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CellMar>
          <w:left w:w="0" w:type="dxa"/>
          <w:right w:w="0" w:type="dxa"/>
        </w:tblCellMar>
        <w:tblLook w:val="04A0" w:firstRow="1" w:lastRow="0" w:firstColumn="1" w:lastColumn="0" w:noHBand="0" w:noVBand="1"/>
      </w:tblPr>
      <w:tblGrid>
        <w:gridCol w:w="10093"/>
      </w:tblGrid>
      <w:tr w:rsidR="00512940" w:rsidRPr="00512940" w14:paraId="2064832E" w14:textId="77777777" w:rsidTr="00B70DBF">
        <w:trPr>
          <w:trHeight w:val="2552"/>
        </w:trPr>
        <w:tc>
          <w:tcPr>
            <w:tcW w:w="10093" w:type="dxa"/>
          </w:tcPr>
          <w:p w14:paraId="614B51FE" w14:textId="2522254B" w:rsidR="00C416E1" w:rsidRPr="00C040B2" w:rsidRDefault="00263278" w:rsidP="00E91933">
            <w:pPr>
              <w:pStyle w:val="DJCSreportmaintitlecover"/>
              <w:rPr>
                <w:color w:val="16145F" w:themeColor="text2"/>
              </w:rPr>
            </w:pPr>
            <w:r w:rsidRPr="00C040B2">
              <w:rPr>
                <w:color w:val="16145F" w:themeColor="text2"/>
              </w:rPr>
              <w:t xml:space="preserve">Regulatory Impact Statement – </w:t>
            </w:r>
            <w:r w:rsidR="00686692" w:rsidRPr="00C040B2">
              <w:rPr>
                <w:color w:val="16145F" w:themeColor="text2"/>
              </w:rPr>
              <w:t>Portable Rental Bond</w:t>
            </w:r>
            <w:r w:rsidRPr="00C040B2">
              <w:rPr>
                <w:color w:val="16145F" w:themeColor="text2"/>
              </w:rPr>
              <w:t xml:space="preserve"> Scheme</w:t>
            </w:r>
          </w:p>
          <w:p w14:paraId="5F1D875A" w14:textId="59F92BF8" w:rsidR="001C3035" w:rsidRDefault="00DA1B65" w:rsidP="00CB0E01">
            <w:pPr>
              <w:pStyle w:val="DJCSbody"/>
              <w:ind w:left="0"/>
              <w:rPr>
                <w:i/>
                <w:iCs/>
                <w:highlight w:val="yellow"/>
              </w:rPr>
            </w:pPr>
            <w:r w:rsidRPr="00CB0E01">
              <w:rPr>
                <w:rFonts w:eastAsia="Times New Roman"/>
                <w:color w:val="16145F" w:themeColor="text2"/>
                <w:sz w:val="32"/>
                <w:szCs w:val="30"/>
              </w:rPr>
              <w:t xml:space="preserve">Residential Tenancies </w:t>
            </w:r>
            <w:r w:rsidR="00CB0E01" w:rsidRPr="00CB0E01">
              <w:rPr>
                <w:rFonts w:eastAsia="Times New Roman"/>
                <w:color w:val="16145F" w:themeColor="text2"/>
                <w:sz w:val="32"/>
                <w:szCs w:val="30"/>
              </w:rPr>
              <w:t xml:space="preserve">(Transfer of Bond Scheme) </w:t>
            </w:r>
            <w:r w:rsidR="00131B24" w:rsidRPr="00CB0E01">
              <w:rPr>
                <w:rFonts w:eastAsia="Times New Roman"/>
                <w:color w:val="16145F" w:themeColor="text2"/>
                <w:sz w:val="32"/>
                <w:szCs w:val="30"/>
              </w:rPr>
              <w:t>Regulations</w:t>
            </w:r>
            <w:r w:rsidRPr="00CB0E01">
              <w:rPr>
                <w:rFonts w:eastAsia="Times New Roman"/>
                <w:color w:val="16145F" w:themeColor="text2"/>
                <w:sz w:val="32"/>
                <w:szCs w:val="30"/>
              </w:rPr>
              <w:t xml:space="preserve"> </w:t>
            </w:r>
            <w:r w:rsidR="00CB0E01" w:rsidRPr="00CB0E01">
              <w:rPr>
                <w:rFonts w:eastAsia="Times New Roman"/>
                <w:color w:val="16145F" w:themeColor="text2"/>
                <w:sz w:val="32"/>
                <w:szCs w:val="30"/>
              </w:rPr>
              <w:t xml:space="preserve">2026 </w:t>
            </w:r>
          </w:p>
          <w:p w14:paraId="7A837676" w14:textId="31509588" w:rsidR="00434920" w:rsidRPr="00512940" w:rsidRDefault="00434920" w:rsidP="00E421C8">
            <w:pPr>
              <w:pStyle w:val="DJCSreportsubtitlecover"/>
              <w:rPr>
                <w:color w:val="000000" w:themeColor="text1"/>
              </w:rPr>
            </w:pPr>
          </w:p>
        </w:tc>
      </w:tr>
    </w:tbl>
    <w:p w14:paraId="1E3A0437" w14:textId="77777777" w:rsidR="00B75851" w:rsidRPr="000F65FE" w:rsidRDefault="00B75851" w:rsidP="00C33FE2">
      <w:pPr>
        <w:pStyle w:val="DJCSbody"/>
        <w:ind w:left="0"/>
        <w:sectPr w:rsidR="00B75851" w:rsidRPr="000F65FE" w:rsidSect="00B75851">
          <w:headerReference w:type="even" r:id="rId12"/>
          <w:headerReference w:type="default" r:id="rId13"/>
          <w:footerReference w:type="even" r:id="rId14"/>
          <w:footerReference w:type="default" r:id="rId15"/>
          <w:footerReference w:type="first" r:id="rId16"/>
          <w:pgSz w:w="11906" w:h="16838" w:code="9"/>
          <w:pgMar w:top="1985" w:right="851" w:bottom="1134" w:left="851" w:header="283" w:footer="680" w:gutter="0"/>
          <w:cols w:space="720"/>
          <w:titlePg/>
          <w:docGrid w:linePitch="360"/>
        </w:sectPr>
      </w:pPr>
    </w:p>
    <w:p w14:paraId="678A17CC" w14:textId="2A4563C9" w:rsidR="006D7CF1" w:rsidRPr="000F65FE" w:rsidRDefault="006D7CF1" w:rsidP="00F2003C">
      <w:pPr>
        <w:pStyle w:val="Heading1"/>
        <w:numPr>
          <w:ilvl w:val="0"/>
          <w:numId w:val="0"/>
        </w:numPr>
        <w:ind w:left="680" w:hanging="680"/>
      </w:pPr>
      <w:bookmarkStart w:id="0" w:name="_Toc221890882"/>
      <w:r w:rsidRPr="000F65FE">
        <w:lastRenderedPageBreak/>
        <w:t>Table of Contents</w:t>
      </w:r>
      <w:bookmarkEnd w:id="0"/>
    </w:p>
    <w:p w14:paraId="1ABDCEC8" w14:textId="60B85A2A" w:rsidR="00D55DF7" w:rsidRDefault="006B46FD">
      <w:pPr>
        <w:pStyle w:val="TOC1"/>
        <w:rPr>
          <w:rFonts w:asciiTheme="minorHAnsi" w:eastAsiaTheme="minorEastAsia" w:hAnsiTheme="minorHAnsi" w:cstheme="minorBidi"/>
          <w:b w:val="0"/>
          <w:color w:val="auto"/>
          <w:kern w:val="2"/>
          <w:sz w:val="24"/>
          <w:szCs w:val="24"/>
          <w:lang w:eastAsia="en-AU"/>
          <w14:ligatures w14:val="standardContextual"/>
        </w:rPr>
      </w:pPr>
      <w:r w:rsidRPr="000F65FE">
        <w:rPr>
          <w:noProof w:val="0"/>
        </w:rPr>
        <w:fldChar w:fldCharType="begin"/>
      </w:r>
      <w:r w:rsidRPr="000F65FE">
        <w:rPr>
          <w:noProof w:val="0"/>
        </w:rPr>
        <w:instrText xml:space="preserve"> TOC \o "1-2" \h \z \u </w:instrText>
      </w:r>
      <w:r w:rsidRPr="000F65FE">
        <w:rPr>
          <w:noProof w:val="0"/>
        </w:rPr>
        <w:fldChar w:fldCharType="separate"/>
      </w:r>
      <w:hyperlink w:anchor="_Toc221890882" w:history="1">
        <w:r w:rsidR="00D55DF7" w:rsidRPr="00985E5C">
          <w:rPr>
            <w:rStyle w:val="Hyperlink"/>
          </w:rPr>
          <w:t>Table of Contents</w:t>
        </w:r>
        <w:r w:rsidR="00D55DF7">
          <w:rPr>
            <w:webHidden/>
          </w:rPr>
          <w:tab/>
        </w:r>
        <w:r w:rsidR="00D55DF7">
          <w:rPr>
            <w:webHidden/>
          </w:rPr>
          <w:fldChar w:fldCharType="begin"/>
        </w:r>
        <w:r w:rsidR="00D55DF7">
          <w:rPr>
            <w:webHidden/>
          </w:rPr>
          <w:instrText xml:space="preserve"> PAGEREF _Toc221890882 \h </w:instrText>
        </w:r>
        <w:r w:rsidR="00D55DF7">
          <w:rPr>
            <w:webHidden/>
          </w:rPr>
        </w:r>
        <w:r w:rsidR="00D55DF7">
          <w:rPr>
            <w:webHidden/>
          </w:rPr>
          <w:fldChar w:fldCharType="separate"/>
        </w:r>
        <w:r w:rsidR="00A50199">
          <w:rPr>
            <w:webHidden/>
          </w:rPr>
          <w:t>2</w:t>
        </w:r>
        <w:r w:rsidR="00D55DF7">
          <w:rPr>
            <w:webHidden/>
          </w:rPr>
          <w:fldChar w:fldCharType="end"/>
        </w:r>
      </w:hyperlink>
    </w:p>
    <w:p w14:paraId="7EB283B4" w14:textId="7D4469A8"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883" w:history="1">
        <w:r w:rsidRPr="00985E5C">
          <w:rPr>
            <w:rStyle w:val="Hyperlink"/>
            <w:rFonts w:eastAsia="MS Gothic" w:cs="Arial"/>
            <w:bCs/>
            <w:kern w:val="32"/>
          </w:rPr>
          <w:t>Executive summary</w:t>
        </w:r>
        <w:r>
          <w:rPr>
            <w:webHidden/>
          </w:rPr>
          <w:tab/>
        </w:r>
        <w:r>
          <w:rPr>
            <w:webHidden/>
          </w:rPr>
          <w:fldChar w:fldCharType="begin"/>
        </w:r>
        <w:r>
          <w:rPr>
            <w:webHidden/>
          </w:rPr>
          <w:instrText xml:space="preserve"> PAGEREF _Toc221890883 \h </w:instrText>
        </w:r>
        <w:r>
          <w:rPr>
            <w:webHidden/>
          </w:rPr>
        </w:r>
        <w:r>
          <w:rPr>
            <w:webHidden/>
          </w:rPr>
          <w:fldChar w:fldCharType="separate"/>
        </w:r>
        <w:r w:rsidR="00A50199">
          <w:rPr>
            <w:webHidden/>
          </w:rPr>
          <w:t>4</w:t>
        </w:r>
        <w:r>
          <w:rPr>
            <w:webHidden/>
          </w:rPr>
          <w:fldChar w:fldCharType="end"/>
        </w:r>
      </w:hyperlink>
    </w:p>
    <w:p w14:paraId="2173814F" w14:textId="534E3707"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884" w:history="1">
        <w:r w:rsidRPr="00985E5C">
          <w:rPr>
            <w:rStyle w:val="Hyperlink"/>
          </w:rPr>
          <w:t>1.</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Background</w:t>
        </w:r>
        <w:r>
          <w:rPr>
            <w:webHidden/>
          </w:rPr>
          <w:tab/>
        </w:r>
        <w:r>
          <w:rPr>
            <w:webHidden/>
          </w:rPr>
          <w:fldChar w:fldCharType="begin"/>
        </w:r>
        <w:r>
          <w:rPr>
            <w:webHidden/>
          </w:rPr>
          <w:instrText xml:space="preserve"> PAGEREF _Toc221890884 \h </w:instrText>
        </w:r>
        <w:r>
          <w:rPr>
            <w:webHidden/>
          </w:rPr>
        </w:r>
        <w:r>
          <w:rPr>
            <w:webHidden/>
          </w:rPr>
          <w:fldChar w:fldCharType="separate"/>
        </w:r>
        <w:r w:rsidR="00A50199">
          <w:rPr>
            <w:webHidden/>
          </w:rPr>
          <w:t>8</w:t>
        </w:r>
        <w:r>
          <w:rPr>
            <w:webHidden/>
          </w:rPr>
          <w:fldChar w:fldCharType="end"/>
        </w:r>
      </w:hyperlink>
    </w:p>
    <w:p w14:paraId="67348359" w14:textId="331EB26F"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85" w:history="1">
        <w:r w:rsidRPr="00985E5C">
          <w:rPr>
            <w:rStyle w:val="Hyperlink"/>
          </w:rPr>
          <w:t>1.1</w:t>
        </w:r>
        <w:r>
          <w:rPr>
            <w:rFonts w:asciiTheme="minorHAnsi" w:eastAsiaTheme="minorEastAsia" w:hAnsiTheme="minorHAnsi" w:cstheme="minorBidi"/>
            <w:kern w:val="2"/>
            <w:sz w:val="24"/>
            <w:szCs w:val="24"/>
            <w:lang w:eastAsia="en-AU"/>
            <w14:ligatures w14:val="standardContextual"/>
          </w:rPr>
          <w:tab/>
        </w:r>
        <w:r w:rsidRPr="00985E5C">
          <w:rPr>
            <w:rStyle w:val="Hyperlink"/>
          </w:rPr>
          <w:t>Introduction</w:t>
        </w:r>
        <w:r>
          <w:rPr>
            <w:webHidden/>
          </w:rPr>
          <w:tab/>
        </w:r>
        <w:r>
          <w:rPr>
            <w:webHidden/>
          </w:rPr>
          <w:fldChar w:fldCharType="begin"/>
        </w:r>
        <w:r>
          <w:rPr>
            <w:webHidden/>
          </w:rPr>
          <w:instrText xml:space="preserve"> PAGEREF _Toc221890885 \h </w:instrText>
        </w:r>
        <w:r>
          <w:rPr>
            <w:webHidden/>
          </w:rPr>
        </w:r>
        <w:r>
          <w:rPr>
            <w:webHidden/>
          </w:rPr>
          <w:fldChar w:fldCharType="separate"/>
        </w:r>
        <w:r w:rsidR="00A50199">
          <w:rPr>
            <w:webHidden/>
          </w:rPr>
          <w:t>8</w:t>
        </w:r>
        <w:r>
          <w:rPr>
            <w:webHidden/>
          </w:rPr>
          <w:fldChar w:fldCharType="end"/>
        </w:r>
      </w:hyperlink>
    </w:p>
    <w:p w14:paraId="649FCA64" w14:textId="6D42471F"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86" w:history="1">
        <w:r w:rsidRPr="00985E5C">
          <w:rPr>
            <w:rStyle w:val="Hyperlink"/>
          </w:rPr>
          <w:t>1.2</w:t>
        </w:r>
        <w:r>
          <w:rPr>
            <w:rFonts w:asciiTheme="minorHAnsi" w:eastAsiaTheme="minorEastAsia" w:hAnsiTheme="minorHAnsi" w:cstheme="minorBidi"/>
            <w:kern w:val="2"/>
            <w:sz w:val="24"/>
            <w:szCs w:val="24"/>
            <w:lang w:eastAsia="en-AU"/>
            <w14:ligatures w14:val="standardContextual"/>
          </w:rPr>
          <w:tab/>
        </w:r>
        <w:r w:rsidRPr="00985E5C">
          <w:rPr>
            <w:rStyle w:val="Hyperlink"/>
          </w:rPr>
          <w:t>Context for the introduction of the PRBS</w:t>
        </w:r>
        <w:r>
          <w:rPr>
            <w:webHidden/>
          </w:rPr>
          <w:tab/>
        </w:r>
        <w:r>
          <w:rPr>
            <w:webHidden/>
          </w:rPr>
          <w:fldChar w:fldCharType="begin"/>
        </w:r>
        <w:r>
          <w:rPr>
            <w:webHidden/>
          </w:rPr>
          <w:instrText xml:space="preserve"> PAGEREF _Toc221890886 \h </w:instrText>
        </w:r>
        <w:r>
          <w:rPr>
            <w:webHidden/>
          </w:rPr>
        </w:r>
        <w:r>
          <w:rPr>
            <w:webHidden/>
          </w:rPr>
          <w:fldChar w:fldCharType="separate"/>
        </w:r>
        <w:r w:rsidR="00A50199">
          <w:rPr>
            <w:webHidden/>
          </w:rPr>
          <w:t>11</w:t>
        </w:r>
        <w:r>
          <w:rPr>
            <w:webHidden/>
          </w:rPr>
          <w:fldChar w:fldCharType="end"/>
        </w:r>
      </w:hyperlink>
    </w:p>
    <w:p w14:paraId="61244F18" w14:textId="3C107E4B"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87" w:history="1">
        <w:r w:rsidRPr="00985E5C">
          <w:rPr>
            <w:rStyle w:val="Hyperlink"/>
          </w:rPr>
          <w:t>1.3</w:t>
        </w:r>
        <w:r>
          <w:rPr>
            <w:rFonts w:asciiTheme="minorHAnsi" w:eastAsiaTheme="minorEastAsia" w:hAnsiTheme="minorHAnsi" w:cstheme="minorBidi"/>
            <w:kern w:val="2"/>
            <w:sz w:val="24"/>
            <w:szCs w:val="24"/>
            <w:lang w:eastAsia="en-AU"/>
            <w14:ligatures w14:val="standardContextual"/>
          </w:rPr>
          <w:tab/>
        </w:r>
        <w:r w:rsidRPr="00985E5C">
          <w:rPr>
            <w:rStyle w:val="Hyperlink"/>
          </w:rPr>
          <w:t>Current legislative and regulatory framework for bonds</w:t>
        </w:r>
        <w:r>
          <w:rPr>
            <w:webHidden/>
          </w:rPr>
          <w:tab/>
        </w:r>
        <w:r>
          <w:rPr>
            <w:webHidden/>
          </w:rPr>
          <w:fldChar w:fldCharType="begin"/>
        </w:r>
        <w:r>
          <w:rPr>
            <w:webHidden/>
          </w:rPr>
          <w:instrText xml:space="preserve"> PAGEREF _Toc221890887 \h </w:instrText>
        </w:r>
        <w:r>
          <w:rPr>
            <w:webHidden/>
          </w:rPr>
        </w:r>
        <w:r>
          <w:rPr>
            <w:webHidden/>
          </w:rPr>
          <w:fldChar w:fldCharType="separate"/>
        </w:r>
        <w:r w:rsidR="00A50199">
          <w:rPr>
            <w:webHidden/>
          </w:rPr>
          <w:t>16</w:t>
        </w:r>
        <w:r>
          <w:rPr>
            <w:webHidden/>
          </w:rPr>
          <w:fldChar w:fldCharType="end"/>
        </w:r>
      </w:hyperlink>
    </w:p>
    <w:p w14:paraId="48FB33B8" w14:textId="33908621"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88" w:history="1">
        <w:r w:rsidRPr="00985E5C">
          <w:rPr>
            <w:rStyle w:val="Hyperlink"/>
          </w:rPr>
          <w:t>1.4</w:t>
        </w:r>
        <w:r>
          <w:rPr>
            <w:rFonts w:asciiTheme="minorHAnsi" w:eastAsiaTheme="minorEastAsia" w:hAnsiTheme="minorHAnsi" w:cstheme="minorBidi"/>
            <w:kern w:val="2"/>
            <w:sz w:val="24"/>
            <w:szCs w:val="24"/>
            <w:lang w:eastAsia="en-AU"/>
            <w14:ligatures w14:val="standardContextual"/>
          </w:rPr>
          <w:tab/>
        </w:r>
        <w:r w:rsidRPr="00985E5C">
          <w:rPr>
            <w:rStyle w:val="Hyperlink"/>
          </w:rPr>
          <w:t>Regulatory approaches in other Australian jurisdictions</w:t>
        </w:r>
        <w:r>
          <w:rPr>
            <w:webHidden/>
          </w:rPr>
          <w:tab/>
        </w:r>
        <w:r>
          <w:rPr>
            <w:webHidden/>
          </w:rPr>
          <w:fldChar w:fldCharType="begin"/>
        </w:r>
        <w:r>
          <w:rPr>
            <w:webHidden/>
          </w:rPr>
          <w:instrText xml:space="preserve"> PAGEREF _Toc221890888 \h </w:instrText>
        </w:r>
        <w:r>
          <w:rPr>
            <w:webHidden/>
          </w:rPr>
        </w:r>
        <w:r>
          <w:rPr>
            <w:webHidden/>
          </w:rPr>
          <w:fldChar w:fldCharType="separate"/>
        </w:r>
        <w:r w:rsidR="00A50199">
          <w:rPr>
            <w:webHidden/>
          </w:rPr>
          <w:t>19</w:t>
        </w:r>
        <w:r>
          <w:rPr>
            <w:webHidden/>
          </w:rPr>
          <w:fldChar w:fldCharType="end"/>
        </w:r>
      </w:hyperlink>
    </w:p>
    <w:p w14:paraId="67FBF82D" w14:textId="4A767CE6"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89" w:history="1">
        <w:r w:rsidRPr="00985E5C">
          <w:rPr>
            <w:rStyle w:val="Hyperlink"/>
          </w:rPr>
          <w:t>1.5</w:t>
        </w:r>
        <w:r>
          <w:rPr>
            <w:rFonts w:asciiTheme="minorHAnsi" w:eastAsiaTheme="minorEastAsia" w:hAnsiTheme="minorHAnsi" w:cstheme="minorBidi"/>
            <w:kern w:val="2"/>
            <w:sz w:val="24"/>
            <w:szCs w:val="24"/>
            <w:lang w:eastAsia="en-AU"/>
            <w14:ligatures w14:val="standardContextual"/>
          </w:rPr>
          <w:tab/>
        </w:r>
        <w:r w:rsidRPr="00985E5C">
          <w:rPr>
            <w:rStyle w:val="Hyperlink"/>
          </w:rPr>
          <w:t>About the Regulatory Impact Statement</w:t>
        </w:r>
        <w:r>
          <w:rPr>
            <w:webHidden/>
          </w:rPr>
          <w:tab/>
        </w:r>
        <w:r>
          <w:rPr>
            <w:webHidden/>
          </w:rPr>
          <w:fldChar w:fldCharType="begin"/>
        </w:r>
        <w:r>
          <w:rPr>
            <w:webHidden/>
          </w:rPr>
          <w:instrText xml:space="preserve"> PAGEREF _Toc221890889 \h </w:instrText>
        </w:r>
        <w:r>
          <w:rPr>
            <w:webHidden/>
          </w:rPr>
        </w:r>
        <w:r>
          <w:rPr>
            <w:webHidden/>
          </w:rPr>
          <w:fldChar w:fldCharType="separate"/>
        </w:r>
        <w:r w:rsidR="00A50199">
          <w:rPr>
            <w:webHidden/>
          </w:rPr>
          <w:t>21</w:t>
        </w:r>
        <w:r>
          <w:rPr>
            <w:webHidden/>
          </w:rPr>
          <w:fldChar w:fldCharType="end"/>
        </w:r>
      </w:hyperlink>
    </w:p>
    <w:p w14:paraId="486CCA7C" w14:textId="3EA26663"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890" w:history="1">
        <w:r w:rsidRPr="00985E5C">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Problem Identification</w:t>
        </w:r>
        <w:r>
          <w:rPr>
            <w:webHidden/>
          </w:rPr>
          <w:tab/>
        </w:r>
        <w:r>
          <w:rPr>
            <w:webHidden/>
          </w:rPr>
          <w:fldChar w:fldCharType="begin"/>
        </w:r>
        <w:r>
          <w:rPr>
            <w:webHidden/>
          </w:rPr>
          <w:instrText xml:space="preserve"> PAGEREF _Toc221890890 \h </w:instrText>
        </w:r>
        <w:r>
          <w:rPr>
            <w:webHidden/>
          </w:rPr>
        </w:r>
        <w:r>
          <w:rPr>
            <w:webHidden/>
          </w:rPr>
          <w:fldChar w:fldCharType="separate"/>
        </w:r>
        <w:r w:rsidR="00A50199">
          <w:rPr>
            <w:webHidden/>
          </w:rPr>
          <w:t>22</w:t>
        </w:r>
        <w:r>
          <w:rPr>
            <w:webHidden/>
          </w:rPr>
          <w:fldChar w:fldCharType="end"/>
        </w:r>
      </w:hyperlink>
    </w:p>
    <w:p w14:paraId="10A0E5B8" w14:textId="773EADD7"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1" w:history="1">
        <w:r w:rsidRPr="00985E5C">
          <w:rPr>
            <w:rStyle w:val="Hyperlink"/>
          </w:rPr>
          <w:t>2.1</w:t>
        </w:r>
        <w:r>
          <w:rPr>
            <w:rFonts w:asciiTheme="minorHAnsi" w:eastAsiaTheme="minorEastAsia" w:hAnsiTheme="minorHAnsi" w:cstheme="minorBidi"/>
            <w:kern w:val="2"/>
            <w:sz w:val="24"/>
            <w:szCs w:val="24"/>
            <w:lang w:eastAsia="en-AU"/>
            <w14:ligatures w14:val="standardContextual"/>
          </w:rPr>
          <w:tab/>
        </w:r>
        <w:r w:rsidRPr="00985E5C">
          <w:rPr>
            <w:rStyle w:val="Hyperlink"/>
          </w:rPr>
          <w:t>Policy problems</w:t>
        </w:r>
        <w:r>
          <w:rPr>
            <w:webHidden/>
          </w:rPr>
          <w:tab/>
        </w:r>
        <w:r>
          <w:rPr>
            <w:webHidden/>
          </w:rPr>
          <w:fldChar w:fldCharType="begin"/>
        </w:r>
        <w:r>
          <w:rPr>
            <w:webHidden/>
          </w:rPr>
          <w:instrText xml:space="preserve"> PAGEREF _Toc221890891 \h </w:instrText>
        </w:r>
        <w:r>
          <w:rPr>
            <w:webHidden/>
          </w:rPr>
        </w:r>
        <w:r>
          <w:rPr>
            <w:webHidden/>
          </w:rPr>
          <w:fldChar w:fldCharType="separate"/>
        </w:r>
        <w:r w:rsidR="00A50199">
          <w:rPr>
            <w:webHidden/>
          </w:rPr>
          <w:t>22</w:t>
        </w:r>
        <w:r>
          <w:rPr>
            <w:webHidden/>
          </w:rPr>
          <w:fldChar w:fldCharType="end"/>
        </w:r>
      </w:hyperlink>
    </w:p>
    <w:p w14:paraId="07998230" w14:textId="3AA0150E"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2" w:history="1">
        <w:r w:rsidRPr="00985E5C">
          <w:rPr>
            <w:rStyle w:val="Hyperlink"/>
          </w:rPr>
          <w:t>2.2</w:t>
        </w:r>
        <w:r>
          <w:rPr>
            <w:rFonts w:asciiTheme="minorHAnsi" w:eastAsiaTheme="minorEastAsia" w:hAnsiTheme="minorHAnsi" w:cstheme="minorBidi"/>
            <w:kern w:val="2"/>
            <w:sz w:val="24"/>
            <w:szCs w:val="24"/>
            <w:lang w:eastAsia="en-AU"/>
            <w14:ligatures w14:val="standardContextual"/>
          </w:rPr>
          <w:tab/>
        </w:r>
        <w:r w:rsidRPr="00985E5C">
          <w:rPr>
            <w:rStyle w:val="Hyperlink"/>
          </w:rPr>
          <w:t>Defining the base case</w:t>
        </w:r>
        <w:r>
          <w:rPr>
            <w:webHidden/>
          </w:rPr>
          <w:tab/>
        </w:r>
        <w:r>
          <w:rPr>
            <w:webHidden/>
          </w:rPr>
          <w:fldChar w:fldCharType="begin"/>
        </w:r>
        <w:r>
          <w:rPr>
            <w:webHidden/>
          </w:rPr>
          <w:instrText xml:space="preserve"> PAGEREF _Toc221890892 \h </w:instrText>
        </w:r>
        <w:r>
          <w:rPr>
            <w:webHidden/>
          </w:rPr>
        </w:r>
        <w:r>
          <w:rPr>
            <w:webHidden/>
          </w:rPr>
          <w:fldChar w:fldCharType="separate"/>
        </w:r>
        <w:r w:rsidR="00A50199">
          <w:rPr>
            <w:webHidden/>
          </w:rPr>
          <w:t>24</w:t>
        </w:r>
        <w:r>
          <w:rPr>
            <w:webHidden/>
          </w:rPr>
          <w:fldChar w:fldCharType="end"/>
        </w:r>
      </w:hyperlink>
    </w:p>
    <w:p w14:paraId="272423B6" w14:textId="2A548EFB"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3" w:history="1">
        <w:r w:rsidRPr="00985E5C">
          <w:rPr>
            <w:rStyle w:val="Hyperlink"/>
          </w:rPr>
          <w:t>2.3</w:t>
        </w:r>
        <w:r>
          <w:rPr>
            <w:rFonts w:asciiTheme="minorHAnsi" w:eastAsiaTheme="minorEastAsia" w:hAnsiTheme="minorHAnsi" w:cstheme="minorBidi"/>
            <w:kern w:val="2"/>
            <w:sz w:val="24"/>
            <w:szCs w:val="24"/>
            <w:lang w:eastAsia="en-AU"/>
            <w14:ligatures w14:val="standardContextual"/>
          </w:rPr>
          <w:tab/>
        </w:r>
        <w:r w:rsidRPr="00985E5C">
          <w:rPr>
            <w:rStyle w:val="Hyperlink"/>
          </w:rPr>
          <w:t>Problems to be addressed in this RIS</w:t>
        </w:r>
        <w:r>
          <w:rPr>
            <w:webHidden/>
          </w:rPr>
          <w:tab/>
        </w:r>
        <w:r>
          <w:rPr>
            <w:webHidden/>
          </w:rPr>
          <w:fldChar w:fldCharType="begin"/>
        </w:r>
        <w:r>
          <w:rPr>
            <w:webHidden/>
          </w:rPr>
          <w:instrText xml:space="preserve"> PAGEREF _Toc221890893 \h </w:instrText>
        </w:r>
        <w:r>
          <w:rPr>
            <w:webHidden/>
          </w:rPr>
        </w:r>
        <w:r>
          <w:rPr>
            <w:webHidden/>
          </w:rPr>
          <w:fldChar w:fldCharType="separate"/>
        </w:r>
        <w:r w:rsidR="00A50199">
          <w:rPr>
            <w:webHidden/>
          </w:rPr>
          <w:t>25</w:t>
        </w:r>
        <w:r>
          <w:rPr>
            <w:webHidden/>
          </w:rPr>
          <w:fldChar w:fldCharType="end"/>
        </w:r>
      </w:hyperlink>
    </w:p>
    <w:p w14:paraId="307AC067" w14:textId="08FE054F"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894" w:history="1">
        <w:r w:rsidRPr="00985E5C">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Objectives</w:t>
        </w:r>
        <w:r>
          <w:rPr>
            <w:webHidden/>
          </w:rPr>
          <w:tab/>
        </w:r>
        <w:r>
          <w:rPr>
            <w:webHidden/>
          </w:rPr>
          <w:fldChar w:fldCharType="begin"/>
        </w:r>
        <w:r>
          <w:rPr>
            <w:webHidden/>
          </w:rPr>
          <w:instrText xml:space="preserve"> PAGEREF _Toc221890894 \h </w:instrText>
        </w:r>
        <w:r>
          <w:rPr>
            <w:webHidden/>
          </w:rPr>
        </w:r>
        <w:r>
          <w:rPr>
            <w:webHidden/>
          </w:rPr>
          <w:fldChar w:fldCharType="separate"/>
        </w:r>
        <w:r w:rsidR="00A50199">
          <w:rPr>
            <w:webHidden/>
          </w:rPr>
          <w:t>27</w:t>
        </w:r>
        <w:r>
          <w:rPr>
            <w:webHidden/>
          </w:rPr>
          <w:fldChar w:fldCharType="end"/>
        </w:r>
      </w:hyperlink>
    </w:p>
    <w:p w14:paraId="70340D9A" w14:textId="141E5E2D"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5" w:history="1">
        <w:r w:rsidRPr="00985E5C">
          <w:rPr>
            <w:rStyle w:val="Hyperlink"/>
          </w:rPr>
          <w:t>3.1</w:t>
        </w:r>
        <w:r>
          <w:rPr>
            <w:rFonts w:asciiTheme="minorHAnsi" w:eastAsiaTheme="minorEastAsia" w:hAnsiTheme="minorHAnsi" w:cstheme="minorBidi"/>
            <w:kern w:val="2"/>
            <w:sz w:val="24"/>
            <w:szCs w:val="24"/>
            <w:lang w:eastAsia="en-AU"/>
            <w14:ligatures w14:val="standardContextual"/>
          </w:rPr>
          <w:tab/>
        </w:r>
        <w:r w:rsidRPr="00985E5C">
          <w:rPr>
            <w:rStyle w:val="Hyperlink"/>
          </w:rPr>
          <w:t>Government’s broader policy objectives</w:t>
        </w:r>
        <w:r>
          <w:rPr>
            <w:webHidden/>
          </w:rPr>
          <w:tab/>
        </w:r>
        <w:r>
          <w:rPr>
            <w:webHidden/>
          </w:rPr>
          <w:fldChar w:fldCharType="begin"/>
        </w:r>
        <w:r>
          <w:rPr>
            <w:webHidden/>
          </w:rPr>
          <w:instrText xml:space="preserve"> PAGEREF _Toc221890895 \h </w:instrText>
        </w:r>
        <w:r>
          <w:rPr>
            <w:webHidden/>
          </w:rPr>
        </w:r>
        <w:r>
          <w:rPr>
            <w:webHidden/>
          </w:rPr>
          <w:fldChar w:fldCharType="separate"/>
        </w:r>
        <w:r w:rsidR="00A50199">
          <w:rPr>
            <w:webHidden/>
          </w:rPr>
          <w:t>27</w:t>
        </w:r>
        <w:r>
          <w:rPr>
            <w:webHidden/>
          </w:rPr>
          <w:fldChar w:fldCharType="end"/>
        </w:r>
      </w:hyperlink>
    </w:p>
    <w:p w14:paraId="17FAB326" w14:textId="6C0F99D8"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6" w:history="1">
        <w:r w:rsidRPr="00985E5C">
          <w:rPr>
            <w:rStyle w:val="Hyperlink"/>
          </w:rPr>
          <w:t>3.2</w:t>
        </w:r>
        <w:r>
          <w:rPr>
            <w:rFonts w:asciiTheme="minorHAnsi" w:eastAsiaTheme="minorEastAsia" w:hAnsiTheme="minorHAnsi" w:cstheme="minorBidi"/>
            <w:kern w:val="2"/>
            <w:sz w:val="24"/>
            <w:szCs w:val="24"/>
            <w:lang w:eastAsia="en-AU"/>
            <w14:ligatures w14:val="standardContextual"/>
          </w:rPr>
          <w:tab/>
        </w:r>
        <w:r w:rsidRPr="00985E5C">
          <w:rPr>
            <w:rStyle w:val="Hyperlink"/>
          </w:rPr>
          <w:t>Objectives of these Regulations</w:t>
        </w:r>
        <w:r>
          <w:rPr>
            <w:webHidden/>
          </w:rPr>
          <w:tab/>
        </w:r>
        <w:r>
          <w:rPr>
            <w:webHidden/>
          </w:rPr>
          <w:fldChar w:fldCharType="begin"/>
        </w:r>
        <w:r>
          <w:rPr>
            <w:webHidden/>
          </w:rPr>
          <w:instrText xml:space="preserve"> PAGEREF _Toc221890896 \h </w:instrText>
        </w:r>
        <w:r>
          <w:rPr>
            <w:webHidden/>
          </w:rPr>
        </w:r>
        <w:r>
          <w:rPr>
            <w:webHidden/>
          </w:rPr>
          <w:fldChar w:fldCharType="separate"/>
        </w:r>
        <w:r w:rsidR="00A50199">
          <w:rPr>
            <w:webHidden/>
          </w:rPr>
          <w:t>28</w:t>
        </w:r>
        <w:r>
          <w:rPr>
            <w:webHidden/>
          </w:rPr>
          <w:fldChar w:fldCharType="end"/>
        </w:r>
      </w:hyperlink>
    </w:p>
    <w:p w14:paraId="07B7895B" w14:textId="2D8DE7D5"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897" w:history="1">
        <w:r w:rsidRPr="00985E5C">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Options</w:t>
        </w:r>
        <w:r>
          <w:rPr>
            <w:webHidden/>
          </w:rPr>
          <w:tab/>
        </w:r>
        <w:r>
          <w:rPr>
            <w:webHidden/>
          </w:rPr>
          <w:fldChar w:fldCharType="begin"/>
        </w:r>
        <w:r>
          <w:rPr>
            <w:webHidden/>
          </w:rPr>
          <w:instrText xml:space="preserve"> PAGEREF _Toc221890897 \h </w:instrText>
        </w:r>
        <w:r>
          <w:rPr>
            <w:webHidden/>
          </w:rPr>
        </w:r>
        <w:r>
          <w:rPr>
            <w:webHidden/>
          </w:rPr>
          <w:fldChar w:fldCharType="separate"/>
        </w:r>
        <w:r w:rsidR="00A50199">
          <w:rPr>
            <w:webHidden/>
          </w:rPr>
          <w:t>29</w:t>
        </w:r>
        <w:r>
          <w:rPr>
            <w:webHidden/>
          </w:rPr>
          <w:fldChar w:fldCharType="end"/>
        </w:r>
      </w:hyperlink>
    </w:p>
    <w:p w14:paraId="271D25A7" w14:textId="3803B3AA"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8" w:history="1">
        <w:r w:rsidRPr="00985E5C">
          <w:rPr>
            <w:rStyle w:val="Hyperlink"/>
          </w:rPr>
          <w:t>4.1</w:t>
        </w:r>
        <w:r>
          <w:rPr>
            <w:rFonts w:asciiTheme="minorHAnsi" w:eastAsiaTheme="minorEastAsia" w:hAnsiTheme="minorHAnsi" w:cstheme="minorBidi"/>
            <w:kern w:val="2"/>
            <w:sz w:val="24"/>
            <w:szCs w:val="24"/>
            <w:lang w:eastAsia="en-AU"/>
            <w14:ligatures w14:val="standardContextual"/>
          </w:rPr>
          <w:tab/>
        </w:r>
        <w:r w:rsidRPr="00985E5C">
          <w:rPr>
            <w:rStyle w:val="Hyperlink"/>
          </w:rPr>
          <w:t>Approach to developing options</w:t>
        </w:r>
        <w:r>
          <w:rPr>
            <w:webHidden/>
          </w:rPr>
          <w:tab/>
        </w:r>
        <w:r>
          <w:rPr>
            <w:webHidden/>
          </w:rPr>
          <w:fldChar w:fldCharType="begin"/>
        </w:r>
        <w:r>
          <w:rPr>
            <w:webHidden/>
          </w:rPr>
          <w:instrText xml:space="preserve"> PAGEREF _Toc221890898 \h </w:instrText>
        </w:r>
        <w:r>
          <w:rPr>
            <w:webHidden/>
          </w:rPr>
        </w:r>
        <w:r>
          <w:rPr>
            <w:webHidden/>
          </w:rPr>
          <w:fldChar w:fldCharType="separate"/>
        </w:r>
        <w:r w:rsidR="00A50199">
          <w:rPr>
            <w:webHidden/>
          </w:rPr>
          <w:t>29</w:t>
        </w:r>
        <w:r>
          <w:rPr>
            <w:webHidden/>
          </w:rPr>
          <w:fldChar w:fldCharType="end"/>
        </w:r>
      </w:hyperlink>
    </w:p>
    <w:p w14:paraId="243A36FC" w14:textId="01106012"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899" w:history="1">
        <w:r w:rsidRPr="00985E5C">
          <w:rPr>
            <w:rStyle w:val="Hyperlink"/>
          </w:rPr>
          <w:t>4.2</w:t>
        </w:r>
        <w:r>
          <w:rPr>
            <w:rFonts w:asciiTheme="minorHAnsi" w:eastAsiaTheme="minorEastAsia" w:hAnsiTheme="minorHAnsi" w:cstheme="minorBidi"/>
            <w:kern w:val="2"/>
            <w:sz w:val="24"/>
            <w:szCs w:val="24"/>
            <w:lang w:eastAsia="en-AU"/>
            <w14:ligatures w14:val="standardContextual"/>
          </w:rPr>
          <w:tab/>
        </w:r>
        <w:r w:rsidRPr="00985E5C">
          <w:rPr>
            <w:rStyle w:val="Hyperlink"/>
          </w:rPr>
          <w:t>Debt management and recovery process</w:t>
        </w:r>
        <w:r>
          <w:rPr>
            <w:webHidden/>
          </w:rPr>
          <w:tab/>
        </w:r>
        <w:r>
          <w:rPr>
            <w:webHidden/>
          </w:rPr>
          <w:fldChar w:fldCharType="begin"/>
        </w:r>
        <w:r>
          <w:rPr>
            <w:webHidden/>
          </w:rPr>
          <w:instrText xml:space="preserve"> PAGEREF _Toc221890899 \h </w:instrText>
        </w:r>
        <w:r>
          <w:rPr>
            <w:webHidden/>
          </w:rPr>
        </w:r>
        <w:r>
          <w:rPr>
            <w:webHidden/>
          </w:rPr>
          <w:fldChar w:fldCharType="separate"/>
        </w:r>
        <w:r w:rsidR="00A50199">
          <w:rPr>
            <w:webHidden/>
          </w:rPr>
          <w:t>29</w:t>
        </w:r>
        <w:r>
          <w:rPr>
            <w:webHidden/>
          </w:rPr>
          <w:fldChar w:fldCharType="end"/>
        </w:r>
      </w:hyperlink>
    </w:p>
    <w:p w14:paraId="685C27AD" w14:textId="6C4247D0"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0" w:history="1">
        <w:r w:rsidRPr="00985E5C">
          <w:rPr>
            <w:rStyle w:val="Hyperlink"/>
          </w:rPr>
          <w:t>4.3</w:t>
        </w:r>
        <w:r>
          <w:rPr>
            <w:rFonts w:asciiTheme="minorHAnsi" w:eastAsiaTheme="minorEastAsia" w:hAnsiTheme="minorHAnsi" w:cstheme="minorBidi"/>
            <w:kern w:val="2"/>
            <w:sz w:val="24"/>
            <w:szCs w:val="24"/>
            <w:lang w:eastAsia="en-AU"/>
            <w14:ligatures w14:val="standardContextual"/>
          </w:rPr>
          <w:tab/>
        </w:r>
        <w:r w:rsidRPr="00985E5C">
          <w:rPr>
            <w:rStyle w:val="Hyperlink"/>
          </w:rPr>
          <w:t>Overview of fee options</w:t>
        </w:r>
        <w:r>
          <w:rPr>
            <w:webHidden/>
          </w:rPr>
          <w:tab/>
        </w:r>
        <w:r>
          <w:rPr>
            <w:webHidden/>
          </w:rPr>
          <w:fldChar w:fldCharType="begin"/>
        </w:r>
        <w:r>
          <w:rPr>
            <w:webHidden/>
          </w:rPr>
          <w:instrText xml:space="preserve"> PAGEREF _Toc221890900 \h </w:instrText>
        </w:r>
        <w:r>
          <w:rPr>
            <w:webHidden/>
          </w:rPr>
        </w:r>
        <w:r>
          <w:rPr>
            <w:webHidden/>
          </w:rPr>
          <w:fldChar w:fldCharType="separate"/>
        </w:r>
        <w:r w:rsidR="00A50199">
          <w:rPr>
            <w:webHidden/>
          </w:rPr>
          <w:t>32</w:t>
        </w:r>
        <w:r>
          <w:rPr>
            <w:webHidden/>
          </w:rPr>
          <w:fldChar w:fldCharType="end"/>
        </w:r>
      </w:hyperlink>
    </w:p>
    <w:p w14:paraId="326B18A7" w14:textId="45C9D606"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1" w:history="1">
        <w:r w:rsidRPr="00985E5C">
          <w:rPr>
            <w:rStyle w:val="Hyperlink"/>
          </w:rPr>
          <w:t>4.4</w:t>
        </w:r>
        <w:r>
          <w:rPr>
            <w:rFonts w:asciiTheme="minorHAnsi" w:eastAsiaTheme="minorEastAsia" w:hAnsiTheme="minorHAnsi" w:cstheme="minorBidi"/>
            <w:kern w:val="2"/>
            <w:sz w:val="24"/>
            <w:szCs w:val="24"/>
            <w:lang w:eastAsia="en-AU"/>
            <w14:ligatures w14:val="standardContextual"/>
          </w:rPr>
          <w:tab/>
        </w:r>
        <w:r w:rsidRPr="00985E5C">
          <w:rPr>
            <w:rStyle w:val="Hyperlink"/>
          </w:rPr>
          <w:t>Application fee options</w:t>
        </w:r>
        <w:r>
          <w:rPr>
            <w:webHidden/>
          </w:rPr>
          <w:tab/>
        </w:r>
        <w:r>
          <w:rPr>
            <w:webHidden/>
          </w:rPr>
          <w:fldChar w:fldCharType="begin"/>
        </w:r>
        <w:r>
          <w:rPr>
            <w:webHidden/>
          </w:rPr>
          <w:instrText xml:space="preserve"> PAGEREF _Toc221890901 \h </w:instrText>
        </w:r>
        <w:r>
          <w:rPr>
            <w:webHidden/>
          </w:rPr>
        </w:r>
        <w:r>
          <w:rPr>
            <w:webHidden/>
          </w:rPr>
          <w:fldChar w:fldCharType="separate"/>
        </w:r>
        <w:r w:rsidR="00A50199">
          <w:rPr>
            <w:webHidden/>
          </w:rPr>
          <w:t>33</w:t>
        </w:r>
        <w:r>
          <w:rPr>
            <w:webHidden/>
          </w:rPr>
          <w:fldChar w:fldCharType="end"/>
        </w:r>
      </w:hyperlink>
    </w:p>
    <w:p w14:paraId="519D7B5C" w14:textId="6B2472ED"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2" w:history="1">
        <w:r w:rsidRPr="00985E5C">
          <w:rPr>
            <w:rStyle w:val="Hyperlink"/>
          </w:rPr>
          <w:t>4.5</w:t>
        </w:r>
        <w:r>
          <w:rPr>
            <w:rFonts w:asciiTheme="minorHAnsi" w:eastAsiaTheme="minorEastAsia" w:hAnsiTheme="minorHAnsi" w:cstheme="minorBidi"/>
            <w:kern w:val="2"/>
            <w:sz w:val="24"/>
            <w:szCs w:val="24"/>
            <w:lang w:eastAsia="en-AU"/>
            <w14:ligatures w14:val="standardContextual"/>
          </w:rPr>
          <w:tab/>
        </w:r>
        <w:r w:rsidRPr="00985E5C">
          <w:rPr>
            <w:rStyle w:val="Hyperlink"/>
          </w:rPr>
          <w:t>Debt recovery fee options</w:t>
        </w:r>
        <w:r>
          <w:rPr>
            <w:webHidden/>
          </w:rPr>
          <w:tab/>
        </w:r>
        <w:r>
          <w:rPr>
            <w:webHidden/>
          </w:rPr>
          <w:fldChar w:fldCharType="begin"/>
        </w:r>
        <w:r>
          <w:rPr>
            <w:webHidden/>
          </w:rPr>
          <w:instrText xml:space="preserve"> PAGEREF _Toc221890902 \h </w:instrText>
        </w:r>
        <w:r>
          <w:rPr>
            <w:webHidden/>
          </w:rPr>
        </w:r>
        <w:r>
          <w:rPr>
            <w:webHidden/>
          </w:rPr>
          <w:fldChar w:fldCharType="separate"/>
        </w:r>
        <w:r w:rsidR="00A50199">
          <w:rPr>
            <w:webHidden/>
          </w:rPr>
          <w:t>35</w:t>
        </w:r>
        <w:r>
          <w:rPr>
            <w:webHidden/>
          </w:rPr>
          <w:fldChar w:fldCharType="end"/>
        </w:r>
      </w:hyperlink>
    </w:p>
    <w:p w14:paraId="21925735" w14:textId="7059EAA0"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03" w:history="1">
        <w:r w:rsidRPr="00985E5C">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Options assessment</w:t>
        </w:r>
        <w:r>
          <w:rPr>
            <w:webHidden/>
          </w:rPr>
          <w:tab/>
        </w:r>
        <w:r>
          <w:rPr>
            <w:webHidden/>
          </w:rPr>
          <w:fldChar w:fldCharType="begin"/>
        </w:r>
        <w:r>
          <w:rPr>
            <w:webHidden/>
          </w:rPr>
          <w:instrText xml:space="preserve"> PAGEREF _Toc221890903 \h </w:instrText>
        </w:r>
        <w:r>
          <w:rPr>
            <w:webHidden/>
          </w:rPr>
        </w:r>
        <w:r>
          <w:rPr>
            <w:webHidden/>
          </w:rPr>
          <w:fldChar w:fldCharType="separate"/>
        </w:r>
        <w:r w:rsidR="00A50199">
          <w:rPr>
            <w:webHidden/>
          </w:rPr>
          <w:t>38</w:t>
        </w:r>
        <w:r>
          <w:rPr>
            <w:webHidden/>
          </w:rPr>
          <w:fldChar w:fldCharType="end"/>
        </w:r>
      </w:hyperlink>
    </w:p>
    <w:p w14:paraId="06285D7B" w14:textId="448AF822"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4" w:history="1">
        <w:r w:rsidRPr="00985E5C">
          <w:rPr>
            <w:rStyle w:val="Hyperlink"/>
          </w:rPr>
          <w:t>5.1</w:t>
        </w:r>
        <w:r>
          <w:rPr>
            <w:rFonts w:asciiTheme="minorHAnsi" w:eastAsiaTheme="minorEastAsia" w:hAnsiTheme="minorHAnsi" w:cstheme="minorBidi"/>
            <w:kern w:val="2"/>
            <w:sz w:val="24"/>
            <w:szCs w:val="24"/>
            <w:lang w:eastAsia="en-AU"/>
            <w14:ligatures w14:val="standardContextual"/>
          </w:rPr>
          <w:tab/>
        </w:r>
        <w:r w:rsidRPr="00985E5C">
          <w:rPr>
            <w:rStyle w:val="Hyperlink"/>
          </w:rPr>
          <w:t>Overview of this chapter</w:t>
        </w:r>
        <w:r>
          <w:rPr>
            <w:webHidden/>
          </w:rPr>
          <w:tab/>
        </w:r>
        <w:r>
          <w:rPr>
            <w:webHidden/>
          </w:rPr>
          <w:fldChar w:fldCharType="begin"/>
        </w:r>
        <w:r>
          <w:rPr>
            <w:webHidden/>
          </w:rPr>
          <w:instrText xml:space="preserve"> PAGEREF _Toc221890904 \h </w:instrText>
        </w:r>
        <w:r>
          <w:rPr>
            <w:webHidden/>
          </w:rPr>
        </w:r>
        <w:r>
          <w:rPr>
            <w:webHidden/>
          </w:rPr>
          <w:fldChar w:fldCharType="separate"/>
        </w:r>
        <w:r w:rsidR="00A50199">
          <w:rPr>
            <w:webHidden/>
          </w:rPr>
          <w:t>38</w:t>
        </w:r>
        <w:r>
          <w:rPr>
            <w:webHidden/>
          </w:rPr>
          <w:fldChar w:fldCharType="end"/>
        </w:r>
      </w:hyperlink>
    </w:p>
    <w:p w14:paraId="5596E743" w14:textId="225DFB82"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5" w:history="1">
        <w:r w:rsidRPr="00985E5C">
          <w:rPr>
            <w:rStyle w:val="Hyperlink"/>
          </w:rPr>
          <w:t>5.2</w:t>
        </w:r>
        <w:r>
          <w:rPr>
            <w:rFonts w:asciiTheme="minorHAnsi" w:eastAsiaTheme="minorEastAsia" w:hAnsiTheme="minorHAnsi" w:cstheme="minorBidi"/>
            <w:kern w:val="2"/>
            <w:sz w:val="24"/>
            <w:szCs w:val="24"/>
            <w:lang w:eastAsia="en-AU"/>
            <w14:ligatures w14:val="standardContextual"/>
          </w:rPr>
          <w:tab/>
        </w:r>
        <w:r w:rsidRPr="00985E5C">
          <w:rPr>
            <w:rStyle w:val="Hyperlink"/>
          </w:rPr>
          <w:t>Methodology</w:t>
        </w:r>
        <w:r>
          <w:rPr>
            <w:webHidden/>
          </w:rPr>
          <w:tab/>
        </w:r>
        <w:r>
          <w:rPr>
            <w:webHidden/>
          </w:rPr>
          <w:fldChar w:fldCharType="begin"/>
        </w:r>
        <w:r>
          <w:rPr>
            <w:webHidden/>
          </w:rPr>
          <w:instrText xml:space="preserve"> PAGEREF _Toc221890905 \h </w:instrText>
        </w:r>
        <w:r>
          <w:rPr>
            <w:webHidden/>
          </w:rPr>
        </w:r>
        <w:r>
          <w:rPr>
            <w:webHidden/>
          </w:rPr>
          <w:fldChar w:fldCharType="separate"/>
        </w:r>
        <w:r w:rsidR="00A50199">
          <w:rPr>
            <w:webHidden/>
          </w:rPr>
          <w:t>38</w:t>
        </w:r>
        <w:r>
          <w:rPr>
            <w:webHidden/>
          </w:rPr>
          <w:fldChar w:fldCharType="end"/>
        </w:r>
      </w:hyperlink>
    </w:p>
    <w:p w14:paraId="1932DC4B" w14:textId="0A8664D3"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6" w:history="1">
        <w:r w:rsidRPr="00985E5C">
          <w:rPr>
            <w:rStyle w:val="Hyperlink"/>
          </w:rPr>
          <w:t>5.3</w:t>
        </w:r>
        <w:r>
          <w:rPr>
            <w:rFonts w:asciiTheme="minorHAnsi" w:eastAsiaTheme="minorEastAsia" w:hAnsiTheme="minorHAnsi" w:cstheme="minorBidi"/>
            <w:kern w:val="2"/>
            <w:sz w:val="24"/>
            <w:szCs w:val="24"/>
            <w:lang w:eastAsia="en-AU"/>
            <w14:ligatures w14:val="standardContextual"/>
          </w:rPr>
          <w:tab/>
        </w:r>
        <w:r w:rsidRPr="00985E5C">
          <w:rPr>
            <w:rStyle w:val="Hyperlink"/>
          </w:rPr>
          <w:t>Application fee options analysis</w:t>
        </w:r>
        <w:r>
          <w:rPr>
            <w:webHidden/>
          </w:rPr>
          <w:tab/>
        </w:r>
        <w:r>
          <w:rPr>
            <w:webHidden/>
          </w:rPr>
          <w:fldChar w:fldCharType="begin"/>
        </w:r>
        <w:r>
          <w:rPr>
            <w:webHidden/>
          </w:rPr>
          <w:instrText xml:space="preserve"> PAGEREF _Toc221890906 \h </w:instrText>
        </w:r>
        <w:r>
          <w:rPr>
            <w:webHidden/>
          </w:rPr>
        </w:r>
        <w:r>
          <w:rPr>
            <w:webHidden/>
          </w:rPr>
          <w:fldChar w:fldCharType="separate"/>
        </w:r>
        <w:r w:rsidR="00A50199">
          <w:rPr>
            <w:webHidden/>
          </w:rPr>
          <w:t>44</w:t>
        </w:r>
        <w:r>
          <w:rPr>
            <w:webHidden/>
          </w:rPr>
          <w:fldChar w:fldCharType="end"/>
        </w:r>
      </w:hyperlink>
    </w:p>
    <w:p w14:paraId="4F39F2C0" w14:textId="60D6A7C6"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7" w:history="1">
        <w:r w:rsidRPr="00985E5C">
          <w:rPr>
            <w:rStyle w:val="Hyperlink"/>
          </w:rPr>
          <w:t>5.4</w:t>
        </w:r>
        <w:r>
          <w:rPr>
            <w:rFonts w:asciiTheme="minorHAnsi" w:eastAsiaTheme="minorEastAsia" w:hAnsiTheme="minorHAnsi" w:cstheme="minorBidi"/>
            <w:kern w:val="2"/>
            <w:sz w:val="24"/>
            <w:szCs w:val="24"/>
            <w:lang w:eastAsia="en-AU"/>
            <w14:ligatures w14:val="standardContextual"/>
          </w:rPr>
          <w:tab/>
        </w:r>
        <w:r w:rsidRPr="00985E5C">
          <w:rPr>
            <w:rStyle w:val="Hyperlink"/>
          </w:rPr>
          <w:t>Debt recovery fee options analysis</w:t>
        </w:r>
        <w:r>
          <w:rPr>
            <w:webHidden/>
          </w:rPr>
          <w:tab/>
        </w:r>
        <w:r>
          <w:rPr>
            <w:webHidden/>
          </w:rPr>
          <w:fldChar w:fldCharType="begin"/>
        </w:r>
        <w:r>
          <w:rPr>
            <w:webHidden/>
          </w:rPr>
          <w:instrText xml:space="preserve"> PAGEREF _Toc221890907 \h </w:instrText>
        </w:r>
        <w:r>
          <w:rPr>
            <w:webHidden/>
          </w:rPr>
        </w:r>
        <w:r>
          <w:rPr>
            <w:webHidden/>
          </w:rPr>
          <w:fldChar w:fldCharType="separate"/>
        </w:r>
        <w:r w:rsidR="00A50199">
          <w:rPr>
            <w:webHidden/>
          </w:rPr>
          <w:t>47</w:t>
        </w:r>
        <w:r>
          <w:rPr>
            <w:webHidden/>
          </w:rPr>
          <w:fldChar w:fldCharType="end"/>
        </w:r>
      </w:hyperlink>
    </w:p>
    <w:p w14:paraId="7D2290DB" w14:textId="25EF4ED1"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08" w:history="1">
        <w:r w:rsidRPr="00985E5C">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Preferred option</w:t>
        </w:r>
        <w:r>
          <w:rPr>
            <w:webHidden/>
          </w:rPr>
          <w:tab/>
        </w:r>
        <w:r>
          <w:rPr>
            <w:webHidden/>
          </w:rPr>
          <w:fldChar w:fldCharType="begin"/>
        </w:r>
        <w:r>
          <w:rPr>
            <w:webHidden/>
          </w:rPr>
          <w:instrText xml:space="preserve"> PAGEREF _Toc221890908 \h </w:instrText>
        </w:r>
        <w:r>
          <w:rPr>
            <w:webHidden/>
          </w:rPr>
        </w:r>
        <w:r>
          <w:rPr>
            <w:webHidden/>
          </w:rPr>
          <w:fldChar w:fldCharType="separate"/>
        </w:r>
        <w:r w:rsidR="00A50199">
          <w:rPr>
            <w:webHidden/>
          </w:rPr>
          <w:t>52</w:t>
        </w:r>
        <w:r>
          <w:rPr>
            <w:webHidden/>
          </w:rPr>
          <w:fldChar w:fldCharType="end"/>
        </w:r>
      </w:hyperlink>
    </w:p>
    <w:p w14:paraId="321C0AFC" w14:textId="68AF7360"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09" w:history="1">
        <w:r w:rsidRPr="00985E5C">
          <w:rPr>
            <w:rStyle w:val="Hyperlink"/>
          </w:rPr>
          <w:t>6.1</w:t>
        </w:r>
        <w:r>
          <w:rPr>
            <w:rFonts w:asciiTheme="minorHAnsi" w:eastAsiaTheme="minorEastAsia" w:hAnsiTheme="minorHAnsi" w:cstheme="minorBidi"/>
            <w:kern w:val="2"/>
            <w:sz w:val="24"/>
            <w:szCs w:val="24"/>
            <w:lang w:eastAsia="en-AU"/>
            <w14:ligatures w14:val="standardContextual"/>
          </w:rPr>
          <w:tab/>
        </w:r>
        <w:r w:rsidRPr="00985E5C">
          <w:rPr>
            <w:rStyle w:val="Hyperlink"/>
          </w:rPr>
          <w:t>Summary of the preferred option</w:t>
        </w:r>
        <w:r>
          <w:rPr>
            <w:webHidden/>
          </w:rPr>
          <w:tab/>
        </w:r>
        <w:r>
          <w:rPr>
            <w:webHidden/>
          </w:rPr>
          <w:fldChar w:fldCharType="begin"/>
        </w:r>
        <w:r>
          <w:rPr>
            <w:webHidden/>
          </w:rPr>
          <w:instrText xml:space="preserve"> PAGEREF _Toc221890909 \h </w:instrText>
        </w:r>
        <w:r>
          <w:rPr>
            <w:webHidden/>
          </w:rPr>
        </w:r>
        <w:r>
          <w:rPr>
            <w:webHidden/>
          </w:rPr>
          <w:fldChar w:fldCharType="separate"/>
        </w:r>
        <w:r w:rsidR="00A50199">
          <w:rPr>
            <w:webHidden/>
          </w:rPr>
          <w:t>52</w:t>
        </w:r>
        <w:r>
          <w:rPr>
            <w:webHidden/>
          </w:rPr>
          <w:fldChar w:fldCharType="end"/>
        </w:r>
      </w:hyperlink>
    </w:p>
    <w:p w14:paraId="78DE2EE6" w14:textId="2DEA26B5"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10" w:history="1">
        <w:r w:rsidRPr="00985E5C">
          <w:rPr>
            <w:rStyle w:val="Hyperlink"/>
          </w:rPr>
          <w:t>6.2</w:t>
        </w:r>
        <w:r>
          <w:rPr>
            <w:rFonts w:asciiTheme="minorHAnsi" w:eastAsiaTheme="minorEastAsia" w:hAnsiTheme="minorHAnsi" w:cstheme="minorBidi"/>
            <w:kern w:val="2"/>
            <w:sz w:val="24"/>
            <w:szCs w:val="24"/>
            <w:lang w:eastAsia="en-AU"/>
            <w14:ligatures w14:val="standardContextual"/>
          </w:rPr>
          <w:tab/>
        </w:r>
        <w:r w:rsidRPr="00985E5C">
          <w:rPr>
            <w:rStyle w:val="Hyperlink"/>
          </w:rPr>
          <w:t>Debt recovery under the preferred option</w:t>
        </w:r>
        <w:r>
          <w:rPr>
            <w:webHidden/>
          </w:rPr>
          <w:tab/>
        </w:r>
        <w:r>
          <w:rPr>
            <w:webHidden/>
          </w:rPr>
          <w:fldChar w:fldCharType="begin"/>
        </w:r>
        <w:r>
          <w:rPr>
            <w:webHidden/>
          </w:rPr>
          <w:instrText xml:space="preserve"> PAGEREF _Toc221890910 \h </w:instrText>
        </w:r>
        <w:r>
          <w:rPr>
            <w:webHidden/>
          </w:rPr>
        </w:r>
        <w:r>
          <w:rPr>
            <w:webHidden/>
          </w:rPr>
          <w:fldChar w:fldCharType="separate"/>
        </w:r>
        <w:r w:rsidR="00A50199">
          <w:rPr>
            <w:webHidden/>
          </w:rPr>
          <w:t>55</w:t>
        </w:r>
        <w:r>
          <w:rPr>
            <w:webHidden/>
          </w:rPr>
          <w:fldChar w:fldCharType="end"/>
        </w:r>
      </w:hyperlink>
    </w:p>
    <w:p w14:paraId="7EBA2716" w14:textId="0ADBB8C3"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11" w:history="1">
        <w:r w:rsidRPr="00985E5C">
          <w:rPr>
            <w:rStyle w:val="Hyperlink"/>
          </w:rPr>
          <w:t>6.3</w:t>
        </w:r>
        <w:r>
          <w:rPr>
            <w:rFonts w:asciiTheme="minorHAnsi" w:eastAsiaTheme="minorEastAsia" w:hAnsiTheme="minorHAnsi" w:cstheme="minorBidi"/>
            <w:kern w:val="2"/>
            <w:sz w:val="24"/>
            <w:szCs w:val="24"/>
            <w:lang w:eastAsia="en-AU"/>
            <w14:ligatures w14:val="standardContextual"/>
          </w:rPr>
          <w:tab/>
        </w:r>
        <w:r w:rsidRPr="00985E5C">
          <w:rPr>
            <w:rStyle w:val="Hyperlink"/>
          </w:rPr>
          <w:t>Sensitivity Analysis</w:t>
        </w:r>
        <w:r>
          <w:rPr>
            <w:webHidden/>
          </w:rPr>
          <w:tab/>
        </w:r>
        <w:r>
          <w:rPr>
            <w:webHidden/>
          </w:rPr>
          <w:fldChar w:fldCharType="begin"/>
        </w:r>
        <w:r>
          <w:rPr>
            <w:webHidden/>
          </w:rPr>
          <w:instrText xml:space="preserve"> PAGEREF _Toc221890911 \h </w:instrText>
        </w:r>
        <w:r>
          <w:rPr>
            <w:webHidden/>
          </w:rPr>
        </w:r>
        <w:r>
          <w:rPr>
            <w:webHidden/>
          </w:rPr>
          <w:fldChar w:fldCharType="separate"/>
        </w:r>
        <w:r w:rsidR="00A50199">
          <w:rPr>
            <w:webHidden/>
          </w:rPr>
          <w:t>58</w:t>
        </w:r>
        <w:r>
          <w:rPr>
            <w:webHidden/>
          </w:rPr>
          <w:fldChar w:fldCharType="end"/>
        </w:r>
      </w:hyperlink>
    </w:p>
    <w:p w14:paraId="467A68CF" w14:textId="2A4BBD80"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16" w:history="1">
        <w:r w:rsidRPr="00985E5C">
          <w:rPr>
            <w:rStyle w:val="Hyperlink"/>
          </w:rPr>
          <w:t>6.4</w:t>
        </w:r>
        <w:r>
          <w:rPr>
            <w:rFonts w:asciiTheme="minorHAnsi" w:eastAsiaTheme="minorEastAsia" w:hAnsiTheme="minorHAnsi" w:cstheme="minorBidi"/>
            <w:kern w:val="2"/>
            <w:sz w:val="24"/>
            <w:szCs w:val="24"/>
            <w:lang w:eastAsia="en-AU"/>
            <w14:ligatures w14:val="standardContextual"/>
          </w:rPr>
          <w:tab/>
        </w:r>
        <w:r w:rsidRPr="00985E5C">
          <w:rPr>
            <w:rStyle w:val="Hyperlink"/>
          </w:rPr>
          <w:t>Other design elements of the preferred option</w:t>
        </w:r>
        <w:r>
          <w:rPr>
            <w:webHidden/>
          </w:rPr>
          <w:tab/>
        </w:r>
        <w:r>
          <w:rPr>
            <w:webHidden/>
          </w:rPr>
          <w:fldChar w:fldCharType="begin"/>
        </w:r>
        <w:r>
          <w:rPr>
            <w:webHidden/>
          </w:rPr>
          <w:instrText xml:space="preserve"> PAGEREF _Toc221890916 \h </w:instrText>
        </w:r>
        <w:r>
          <w:rPr>
            <w:webHidden/>
          </w:rPr>
        </w:r>
        <w:r>
          <w:rPr>
            <w:webHidden/>
          </w:rPr>
          <w:fldChar w:fldCharType="separate"/>
        </w:r>
        <w:r w:rsidR="00A50199">
          <w:rPr>
            <w:webHidden/>
          </w:rPr>
          <w:t>61</w:t>
        </w:r>
        <w:r>
          <w:rPr>
            <w:webHidden/>
          </w:rPr>
          <w:fldChar w:fldCharType="end"/>
        </w:r>
      </w:hyperlink>
    </w:p>
    <w:p w14:paraId="6113A3BD" w14:textId="36B194DE"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17" w:history="1">
        <w:r w:rsidRPr="00985E5C">
          <w:rPr>
            <w:rStyle w:val="Hyperlink"/>
          </w:rPr>
          <w:t>6.5</w:t>
        </w:r>
        <w:r>
          <w:rPr>
            <w:rFonts w:asciiTheme="minorHAnsi" w:eastAsiaTheme="minorEastAsia" w:hAnsiTheme="minorHAnsi" w:cstheme="minorBidi"/>
            <w:kern w:val="2"/>
            <w:sz w:val="24"/>
            <w:szCs w:val="24"/>
            <w:lang w:eastAsia="en-AU"/>
            <w14:ligatures w14:val="standardContextual"/>
          </w:rPr>
          <w:tab/>
        </w:r>
        <w:r w:rsidRPr="00985E5C">
          <w:rPr>
            <w:rStyle w:val="Hyperlink"/>
          </w:rPr>
          <w:t>Competition and small business impacts</w:t>
        </w:r>
        <w:r>
          <w:rPr>
            <w:webHidden/>
          </w:rPr>
          <w:tab/>
        </w:r>
        <w:r>
          <w:rPr>
            <w:webHidden/>
          </w:rPr>
          <w:fldChar w:fldCharType="begin"/>
        </w:r>
        <w:r>
          <w:rPr>
            <w:webHidden/>
          </w:rPr>
          <w:instrText xml:space="preserve"> PAGEREF _Toc221890917 \h </w:instrText>
        </w:r>
        <w:r>
          <w:rPr>
            <w:webHidden/>
          </w:rPr>
        </w:r>
        <w:r>
          <w:rPr>
            <w:webHidden/>
          </w:rPr>
          <w:fldChar w:fldCharType="separate"/>
        </w:r>
        <w:r w:rsidR="00A50199">
          <w:rPr>
            <w:webHidden/>
          </w:rPr>
          <w:t>63</w:t>
        </w:r>
        <w:r>
          <w:rPr>
            <w:webHidden/>
          </w:rPr>
          <w:fldChar w:fldCharType="end"/>
        </w:r>
      </w:hyperlink>
    </w:p>
    <w:p w14:paraId="497D81FF" w14:textId="55A8D96C"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18" w:history="1">
        <w:r w:rsidRPr="00985E5C">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Implementation plan</w:t>
        </w:r>
        <w:r>
          <w:rPr>
            <w:webHidden/>
          </w:rPr>
          <w:tab/>
        </w:r>
        <w:r>
          <w:rPr>
            <w:webHidden/>
          </w:rPr>
          <w:fldChar w:fldCharType="begin"/>
        </w:r>
        <w:r>
          <w:rPr>
            <w:webHidden/>
          </w:rPr>
          <w:instrText xml:space="preserve"> PAGEREF _Toc221890918 \h </w:instrText>
        </w:r>
        <w:r>
          <w:rPr>
            <w:webHidden/>
          </w:rPr>
        </w:r>
        <w:r>
          <w:rPr>
            <w:webHidden/>
          </w:rPr>
          <w:fldChar w:fldCharType="separate"/>
        </w:r>
        <w:r w:rsidR="00A50199">
          <w:rPr>
            <w:webHidden/>
          </w:rPr>
          <w:t>65</w:t>
        </w:r>
        <w:r>
          <w:rPr>
            <w:webHidden/>
          </w:rPr>
          <w:fldChar w:fldCharType="end"/>
        </w:r>
      </w:hyperlink>
    </w:p>
    <w:p w14:paraId="6EF0E289" w14:textId="49A9D6BB"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19" w:history="1">
        <w:r w:rsidRPr="00985E5C">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Evaluation strategy</w:t>
        </w:r>
        <w:r>
          <w:rPr>
            <w:webHidden/>
          </w:rPr>
          <w:tab/>
        </w:r>
        <w:r>
          <w:rPr>
            <w:webHidden/>
          </w:rPr>
          <w:fldChar w:fldCharType="begin"/>
        </w:r>
        <w:r>
          <w:rPr>
            <w:webHidden/>
          </w:rPr>
          <w:instrText xml:space="preserve"> PAGEREF _Toc221890919 \h </w:instrText>
        </w:r>
        <w:r>
          <w:rPr>
            <w:webHidden/>
          </w:rPr>
        </w:r>
        <w:r>
          <w:rPr>
            <w:webHidden/>
          </w:rPr>
          <w:fldChar w:fldCharType="separate"/>
        </w:r>
        <w:r w:rsidR="00A50199">
          <w:rPr>
            <w:webHidden/>
          </w:rPr>
          <w:t>66</w:t>
        </w:r>
        <w:r>
          <w:rPr>
            <w:webHidden/>
          </w:rPr>
          <w:fldChar w:fldCharType="end"/>
        </w:r>
      </w:hyperlink>
    </w:p>
    <w:p w14:paraId="2A2F85E0" w14:textId="139F9D40"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20" w:history="1">
        <w:r w:rsidRPr="00985E5C">
          <w:rPr>
            <w:rStyle w:val="Hyperlink"/>
          </w:rPr>
          <w:t>8.1</w:t>
        </w:r>
        <w:r>
          <w:rPr>
            <w:rFonts w:asciiTheme="minorHAnsi" w:eastAsiaTheme="minorEastAsia" w:hAnsiTheme="minorHAnsi" w:cstheme="minorBidi"/>
            <w:kern w:val="2"/>
            <w:sz w:val="24"/>
            <w:szCs w:val="24"/>
            <w:lang w:eastAsia="en-AU"/>
            <w14:ligatures w14:val="standardContextual"/>
          </w:rPr>
          <w:tab/>
        </w:r>
        <w:r w:rsidRPr="00985E5C">
          <w:rPr>
            <w:rStyle w:val="Hyperlink"/>
          </w:rPr>
          <w:t>Ongoing monitoring of the PRBS</w:t>
        </w:r>
        <w:r>
          <w:rPr>
            <w:webHidden/>
          </w:rPr>
          <w:tab/>
        </w:r>
        <w:r>
          <w:rPr>
            <w:webHidden/>
          </w:rPr>
          <w:fldChar w:fldCharType="begin"/>
        </w:r>
        <w:r>
          <w:rPr>
            <w:webHidden/>
          </w:rPr>
          <w:instrText xml:space="preserve"> PAGEREF _Toc221890920 \h </w:instrText>
        </w:r>
        <w:r>
          <w:rPr>
            <w:webHidden/>
          </w:rPr>
        </w:r>
        <w:r>
          <w:rPr>
            <w:webHidden/>
          </w:rPr>
          <w:fldChar w:fldCharType="separate"/>
        </w:r>
        <w:r w:rsidR="00A50199">
          <w:rPr>
            <w:webHidden/>
          </w:rPr>
          <w:t>66</w:t>
        </w:r>
        <w:r>
          <w:rPr>
            <w:webHidden/>
          </w:rPr>
          <w:fldChar w:fldCharType="end"/>
        </w:r>
      </w:hyperlink>
    </w:p>
    <w:p w14:paraId="7C2FAF9F" w14:textId="6D606781"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21" w:history="1">
        <w:r w:rsidRPr="00985E5C">
          <w:rPr>
            <w:rStyle w:val="Hyperlink"/>
          </w:rPr>
          <w:t>8.2</w:t>
        </w:r>
        <w:r>
          <w:rPr>
            <w:rFonts w:asciiTheme="minorHAnsi" w:eastAsiaTheme="minorEastAsia" w:hAnsiTheme="minorHAnsi" w:cstheme="minorBidi"/>
            <w:kern w:val="2"/>
            <w:sz w:val="24"/>
            <w:szCs w:val="24"/>
            <w:lang w:eastAsia="en-AU"/>
            <w14:ligatures w14:val="standardContextual"/>
          </w:rPr>
          <w:tab/>
        </w:r>
        <w:r w:rsidRPr="00985E5C">
          <w:rPr>
            <w:rStyle w:val="Hyperlink"/>
          </w:rPr>
          <w:t>Independent Review  (between 1 and 3 years after commencement)</w:t>
        </w:r>
        <w:r>
          <w:rPr>
            <w:webHidden/>
          </w:rPr>
          <w:tab/>
        </w:r>
        <w:r>
          <w:rPr>
            <w:webHidden/>
          </w:rPr>
          <w:fldChar w:fldCharType="begin"/>
        </w:r>
        <w:r>
          <w:rPr>
            <w:webHidden/>
          </w:rPr>
          <w:instrText xml:space="preserve"> PAGEREF _Toc221890921 \h </w:instrText>
        </w:r>
        <w:r>
          <w:rPr>
            <w:webHidden/>
          </w:rPr>
        </w:r>
        <w:r>
          <w:rPr>
            <w:webHidden/>
          </w:rPr>
          <w:fldChar w:fldCharType="separate"/>
        </w:r>
        <w:r w:rsidR="00A50199">
          <w:rPr>
            <w:webHidden/>
          </w:rPr>
          <w:t>66</w:t>
        </w:r>
        <w:r>
          <w:rPr>
            <w:webHidden/>
          </w:rPr>
          <w:fldChar w:fldCharType="end"/>
        </w:r>
      </w:hyperlink>
    </w:p>
    <w:p w14:paraId="4C717161" w14:textId="266FB61A" w:rsidR="00D55DF7" w:rsidRDefault="00D55DF7">
      <w:pPr>
        <w:pStyle w:val="TOC2"/>
        <w:rPr>
          <w:rFonts w:asciiTheme="minorHAnsi" w:eastAsiaTheme="minorEastAsia" w:hAnsiTheme="minorHAnsi" w:cstheme="minorBidi"/>
          <w:kern w:val="2"/>
          <w:sz w:val="24"/>
          <w:szCs w:val="24"/>
          <w:lang w:eastAsia="en-AU"/>
          <w14:ligatures w14:val="standardContextual"/>
        </w:rPr>
      </w:pPr>
      <w:hyperlink w:anchor="_Toc221890923" w:history="1">
        <w:r w:rsidRPr="00985E5C">
          <w:rPr>
            <w:rStyle w:val="Hyperlink"/>
          </w:rPr>
          <w:t>8.3</w:t>
        </w:r>
        <w:r>
          <w:rPr>
            <w:rFonts w:asciiTheme="minorHAnsi" w:eastAsiaTheme="minorEastAsia" w:hAnsiTheme="minorHAnsi" w:cstheme="minorBidi"/>
            <w:kern w:val="2"/>
            <w:sz w:val="24"/>
            <w:szCs w:val="24"/>
            <w:lang w:eastAsia="en-AU"/>
            <w14:ligatures w14:val="standardContextual"/>
          </w:rPr>
          <w:tab/>
        </w:r>
        <w:r w:rsidRPr="00985E5C">
          <w:rPr>
            <w:rStyle w:val="Hyperlink"/>
          </w:rPr>
          <w:t>Sunsetting of the Regulations</w:t>
        </w:r>
        <w:r>
          <w:rPr>
            <w:webHidden/>
          </w:rPr>
          <w:tab/>
        </w:r>
        <w:r>
          <w:rPr>
            <w:webHidden/>
          </w:rPr>
          <w:fldChar w:fldCharType="begin"/>
        </w:r>
        <w:r>
          <w:rPr>
            <w:webHidden/>
          </w:rPr>
          <w:instrText xml:space="preserve"> PAGEREF _Toc221890923 \h </w:instrText>
        </w:r>
        <w:r>
          <w:rPr>
            <w:webHidden/>
          </w:rPr>
        </w:r>
        <w:r>
          <w:rPr>
            <w:webHidden/>
          </w:rPr>
          <w:fldChar w:fldCharType="separate"/>
        </w:r>
        <w:r w:rsidR="00A50199">
          <w:rPr>
            <w:webHidden/>
          </w:rPr>
          <w:t>66</w:t>
        </w:r>
        <w:r>
          <w:rPr>
            <w:webHidden/>
          </w:rPr>
          <w:fldChar w:fldCharType="end"/>
        </w:r>
      </w:hyperlink>
    </w:p>
    <w:p w14:paraId="37177194" w14:textId="26A9CF33"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24" w:history="1">
        <w:r w:rsidRPr="00985E5C">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Appendix A – Assumptions used in the analysis of options</w:t>
        </w:r>
        <w:r>
          <w:rPr>
            <w:webHidden/>
          </w:rPr>
          <w:tab/>
        </w:r>
        <w:r>
          <w:rPr>
            <w:webHidden/>
          </w:rPr>
          <w:fldChar w:fldCharType="begin"/>
        </w:r>
        <w:r>
          <w:rPr>
            <w:webHidden/>
          </w:rPr>
          <w:instrText xml:space="preserve"> PAGEREF _Toc221890924 \h </w:instrText>
        </w:r>
        <w:r>
          <w:rPr>
            <w:webHidden/>
          </w:rPr>
        </w:r>
        <w:r>
          <w:rPr>
            <w:webHidden/>
          </w:rPr>
          <w:fldChar w:fldCharType="separate"/>
        </w:r>
        <w:r w:rsidR="00A50199">
          <w:rPr>
            <w:webHidden/>
          </w:rPr>
          <w:t>67</w:t>
        </w:r>
        <w:r>
          <w:rPr>
            <w:webHidden/>
          </w:rPr>
          <w:fldChar w:fldCharType="end"/>
        </w:r>
      </w:hyperlink>
    </w:p>
    <w:p w14:paraId="196CFE5B" w14:textId="5B7EA381"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25" w:history="1">
        <w:r w:rsidRPr="00985E5C">
          <w:rPr>
            <w:rStyle w:val="Hyperlink"/>
          </w:rPr>
          <w:t>10.</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Appendix B - Model schematic (cash inflows and outflows)</w:t>
        </w:r>
        <w:r>
          <w:rPr>
            <w:webHidden/>
          </w:rPr>
          <w:tab/>
        </w:r>
        <w:r>
          <w:rPr>
            <w:webHidden/>
          </w:rPr>
          <w:fldChar w:fldCharType="begin"/>
        </w:r>
        <w:r>
          <w:rPr>
            <w:webHidden/>
          </w:rPr>
          <w:instrText xml:space="preserve"> PAGEREF _Toc221890925 \h </w:instrText>
        </w:r>
        <w:r>
          <w:rPr>
            <w:webHidden/>
          </w:rPr>
        </w:r>
        <w:r>
          <w:rPr>
            <w:webHidden/>
          </w:rPr>
          <w:fldChar w:fldCharType="separate"/>
        </w:r>
        <w:r w:rsidR="00A50199">
          <w:rPr>
            <w:webHidden/>
          </w:rPr>
          <w:t>72</w:t>
        </w:r>
        <w:r>
          <w:rPr>
            <w:webHidden/>
          </w:rPr>
          <w:fldChar w:fldCharType="end"/>
        </w:r>
      </w:hyperlink>
    </w:p>
    <w:p w14:paraId="05669665" w14:textId="24536CBF" w:rsidR="00D55DF7" w:rsidRDefault="00D55DF7">
      <w:pPr>
        <w:pStyle w:val="TOC1"/>
        <w:rPr>
          <w:rFonts w:asciiTheme="minorHAnsi" w:eastAsiaTheme="minorEastAsia" w:hAnsiTheme="minorHAnsi" w:cstheme="minorBidi"/>
          <w:b w:val="0"/>
          <w:color w:val="auto"/>
          <w:kern w:val="2"/>
          <w:sz w:val="24"/>
          <w:szCs w:val="24"/>
          <w:lang w:eastAsia="en-AU"/>
          <w14:ligatures w14:val="standardContextual"/>
        </w:rPr>
      </w:pPr>
      <w:hyperlink w:anchor="_Toc221890926" w:history="1">
        <w:r w:rsidRPr="00985E5C">
          <w:rPr>
            <w:rStyle w:val="Hyperlink"/>
          </w:rPr>
          <w:t>11.</w:t>
        </w:r>
        <w:r>
          <w:rPr>
            <w:rFonts w:asciiTheme="minorHAnsi" w:eastAsiaTheme="minorEastAsia" w:hAnsiTheme="minorHAnsi" w:cstheme="minorBidi"/>
            <w:b w:val="0"/>
            <w:color w:val="auto"/>
            <w:kern w:val="2"/>
            <w:sz w:val="24"/>
            <w:szCs w:val="24"/>
            <w:lang w:eastAsia="en-AU"/>
            <w14:ligatures w14:val="standardContextual"/>
          </w:rPr>
          <w:tab/>
        </w:r>
        <w:r w:rsidRPr="00985E5C">
          <w:rPr>
            <w:rStyle w:val="Hyperlink"/>
          </w:rPr>
          <w:t xml:space="preserve">Appendix C – The Government’s </w:t>
        </w:r>
        <w:r w:rsidRPr="00985E5C">
          <w:rPr>
            <w:rStyle w:val="Hyperlink"/>
            <w:i/>
            <w:iCs/>
          </w:rPr>
          <w:t xml:space="preserve">Pricing for Value </w:t>
        </w:r>
        <w:r w:rsidRPr="00985E5C">
          <w:rPr>
            <w:rStyle w:val="Hyperlink"/>
          </w:rPr>
          <w:t>Guide</w:t>
        </w:r>
        <w:r>
          <w:rPr>
            <w:webHidden/>
          </w:rPr>
          <w:tab/>
        </w:r>
        <w:r>
          <w:rPr>
            <w:webHidden/>
          </w:rPr>
          <w:fldChar w:fldCharType="begin"/>
        </w:r>
        <w:r>
          <w:rPr>
            <w:webHidden/>
          </w:rPr>
          <w:instrText xml:space="preserve"> PAGEREF _Toc221890926 \h </w:instrText>
        </w:r>
        <w:r>
          <w:rPr>
            <w:webHidden/>
          </w:rPr>
        </w:r>
        <w:r>
          <w:rPr>
            <w:webHidden/>
          </w:rPr>
          <w:fldChar w:fldCharType="separate"/>
        </w:r>
        <w:r w:rsidR="00A50199">
          <w:rPr>
            <w:webHidden/>
          </w:rPr>
          <w:t>73</w:t>
        </w:r>
        <w:r>
          <w:rPr>
            <w:webHidden/>
          </w:rPr>
          <w:fldChar w:fldCharType="end"/>
        </w:r>
      </w:hyperlink>
    </w:p>
    <w:p w14:paraId="71F4A81C" w14:textId="3C92A520" w:rsidR="006B46FD" w:rsidRPr="000F65FE" w:rsidRDefault="006B46FD" w:rsidP="006B46FD">
      <w:pPr>
        <w:pStyle w:val="TOC2"/>
        <w:keepNext w:val="0"/>
        <w:keepLines w:val="0"/>
      </w:pPr>
      <w:r w:rsidRPr="000F65FE">
        <w:rPr>
          <w:noProof w:val="0"/>
          <w:color w:val="000000" w:themeColor="text1"/>
        </w:rPr>
        <w:fldChar w:fldCharType="end"/>
      </w:r>
    </w:p>
    <w:p w14:paraId="54CCD44F" w14:textId="60CB8E54" w:rsidR="00B75851" w:rsidRPr="000F65FE" w:rsidRDefault="00B75851" w:rsidP="00B75851">
      <w:pPr>
        <w:pStyle w:val="TOC2"/>
        <w:keepNext w:val="0"/>
        <w:keepLines w:val="0"/>
      </w:pPr>
    </w:p>
    <w:p w14:paraId="50F9BFA0" w14:textId="77777777" w:rsidR="00B75851" w:rsidRPr="000F65FE" w:rsidRDefault="00B75851" w:rsidP="00B75851">
      <w:pPr>
        <w:pStyle w:val="DJCSbody"/>
      </w:pPr>
      <w:r w:rsidRPr="000F65FE">
        <w:br w:type="page"/>
      </w:r>
    </w:p>
    <w:p w14:paraId="7FEC0AFA" w14:textId="77777777" w:rsidR="00597DA1" w:rsidRPr="00F07860" w:rsidRDefault="00597DA1" w:rsidP="00597DA1">
      <w:pPr>
        <w:keepNext/>
        <w:keepLines/>
        <w:spacing w:before="360" w:after="240" w:line="260" w:lineRule="atLeast"/>
        <w:outlineLvl w:val="0"/>
        <w:rPr>
          <w:rFonts w:ascii="Arial" w:eastAsia="MS Gothic" w:hAnsi="Arial" w:cs="Arial"/>
          <w:b/>
          <w:bCs/>
          <w:color w:val="16145F"/>
          <w:kern w:val="32"/>
          <w:sz w:val="32"/>
          <w:szCs w:val="40"/>
        </w:rPr>
      </w:pPr>
      <w:bookmarkStart w:id="1" w:name="_Toc221890883"/>
      <w:bookmarkStart w:id="2" w:name="_Toc221874109"/>
      <w:bookmarkStart w:id="3" w:name="_Toc191030611"/>
      <w:r w:rsidRPr="00F07860">
        <w:rPr>
          <w:rFonts w:ascii="Arial" w:eastAsia="MS Gothic" w:hAnsi="Arial" w:cs="Arial"/>
          <w:b/>
          <w:bCs/>
          <w:color w:val="16145F"/>
          <w:kern w:val="32"/>
          <w:sz w:val="32"/>
          <w:szCs w:val="40"/>
        </w:rPr>
        <w:lastRenderedPageBreak/>
        <w:t>Executive summary</w:t>
      </w:r>
      <w:bookmarkEnd w:id="1"/>
    </w:p>
    <w:p w14:paraId="1D6E1847"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 xml:space="preserve">Purpose of this document </w:t>
      </w:r>
    </w:p>
    <w:p w14:paraId="23A60E39"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This Regulatory Impact Statement (RIS) examines the proposed Residential Tenancies (Transfer of Bond Scheme) Regulations 2026 (the Regulations), which support the implementation of Victoria’s Portable Rental Bond Scheme (PRBS). The PRBS enables eligible renters to transfer an existing rental bond to a new rental agreement, reducing the financial burden associated with paying a new bond before a previous bond is refunded.</w:t>
      </w:r>
    </w:p>
    <w:p w14:paraId="347C5D8D" w14:textId="77777777" w:rsidR="00597DA1" w:rsidRPr="00F07860" w:rsidRDefault="00597DA1" w:rsidP="00597DA1">
      <w:pPr>
        <w:spacing w:after="120" w:line="280" w:lineRule="atLeast"/>
        <w:jc w:val="both"/>
        <w:rPr>
          <w:rFonts w:ascii="Arial" w:eastAsia="Lucida Grande" w:hAnsi="Arial" w:cs="Arial"/>
          <w:sz w:val="22"/>
          <w:szCs w:val="22"/>
        </w:rPr>
      </w:pPr>
      <w:r w:rsidRPr="79E303FA">
        <w:rPr>
          <w:rFonts w:ascii="Arial" w:eastAsia="Lucida Grande" w:hAnsi="Arial" w:cs="Arial"/>
          <w:sz w:val="22"/>
          <w:szCs w:val="22"/>
        </w:rPr>
        <w:t xml:space="preserve">While the PRBS is established through amendments to the </w:t>
      </w:r>
      <w:r w:rsidRPr="79E303FA">
        <w:rPr>
          <w:rFonts w:ascii="Arial" w:eastAsia="Lucida Grande" w:hAnsi="Arial" w:cs="Arial"/>
          <w:i/>
          <w:iCs/>
          <w:sz w:val="22"/>
          <w:szCs w:val="22"/>
        </w:rPr>
        <w:t>Residential Tenancies Act 1997</w:t>
      </w:r>
      <w:r w:rsidRPr="79E303FA">
        <w:rPr>
          <w:rFonts w:ascii="Arial" w:eastAsia="Lucida Grande" w:hAnsi="Arial" w:cs="Arial"/>
          <w:sz w:val="22"/>
          <w:szCs w:val="22"/>
        </w:rPr>
        <w:t xml:space="preserve"> (RT Act), the Regulations are required to prescribe application fees, debt recovery fees and debt recovery actions necessary for the effective, fair and financially sustainable operation of the scheme. This RIS assesses options for prescribing those elements and identifies a preferred regulatory approach.</w:t>
      </w:r>
    </w:p>
    <w:p w14:paraId="221DB095"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Problem analysis</w:t>
      </w:r>
    </w:p>
    <w:p w14:paraId="680C0D1B"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Under current rental bond arrangements, renters moving between properties are often required to pay a new bond before their existing bond is returned. This double bond requirement can impose significant financial stress, particularly in a context of rising rents, increasing bond values and heightened cost-of-living pressures. Delays associated with bond claims and disputes can further extend the period during which renters are out-of-pocket.</w:t>
      </w:r>
    </w:p>
    <w:p w14:paraId="315FC1DD"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The PRBS addresses this problem by allowing an existing bond to be transferred</w:t>
      </w:r>
      <w:r>
        <w:rPr>
          <w:rFonts w:ascii="Arial" w:eastAsia="Lucida Grande" w:hAnsi="Arial" w:cs="Arial"/>
          <w:sz w:val="22"/>
          <w:szCs w:val="22"/>
        </w:rPr>
        <w:t xml:space="preserve"> for eligible renters</w:t>
      </w:r>
      <w:r w:rsidRPr="00F07860">
        <w:rPr>
          <w:rFonts w:ascii="Arial" w:eastAsia="Lucida Grande" w:hAnsi="Arial" w:cs="Arial"/>
          <w:sz w:val="22"/>
          <w:szCs w:val="22"/>
        </w:rPr>
        <w:t>, with the Government guaranteeing the original bond amount to the rental provider. Where a claim is subsequently made against the original bond, the Government pays the claim and establishes a debt with the renter.</w:t>
      </w:r>
    </w:p>
    <w:p w14:paraId="419D1B32" w14:textId="0304A616" w:rsidR="00597DA1" w:rsidRPr="00F07860" w:rsidRDefault="00597DA1" w:rsidP="00597DA1">
      <w:pPr>
        <w:spacing w:after="120" w:line="280" w:lineRule="atLeast"/>
        <w:jc w:val="both"/>
        <w:rPr>
          <w:rFonts w:ascii="Arial" w:eastAsia="Lucida Grande" w:hAnsi="Arial" w:cs="Arial"/>
          <w:sz w:val="22"/>
          <w:szCs w:val="22"/>
        </w:rPr>
      </w:pPr>
      <w:r w:rsidRPr="79E303FA">
        <w:rPr>
          <w:rFonts w:ascii="Arial" w:eastAsia="Lucida Grande" w:hAnsi="Arial" w:cs="Arial"/>
          <w:sz w:val="22"/>
          <w:szCs w:val="22"/>
        </w:rPr>
        <w:t>In the absence of the Regulations, the PRBS would operate without a prescribed application fee, debt recovery fee or debt recovery actions (defined as the base case scenario). This would result in the ongoing costs of administering the scheme (estimated at approximately $2.</w:t>
      </w:r>
      <w:r w:rsidR="00547EB7" w:rsidRPr="79E303FA">
        <w:rPr>
          <w:rFonts w:ascii="Arial" w:eastAsia="Lucida Grande" w:hAnsi="Arial" w:cs="Arial"/>
          <w:sz w:val="22"/>
          <w:szCs w:val="22"/>
        </w:rPr>
        <w:t>9</w:t>
      </w:r>
      <w:r w:rsidR="00976C39" w:rsidRPr="79E303FA">
        <w:rPr>
          <w:rFonts w:ascii="Arial" w:eastAsia="Lucida Grande" w:hAnsi="Arial" w:cs="Arial"/>
          <w:sz w:val="22"/>
          <w:szCs w:val="22"/>
        </w:rPr>
        <w:t xml:space="preserve"> </w:t>
      </w:r>
      <w:r w:rsidRPr="79E303FA">
        <w:rPr>
          <w:rFonts w:ascii="Arial" w:eastAsia="Lucida Grande" w:hAnsi="Arial" w:cs="Arial"/>
          <w:sz w:val="22"/>
          <w:szCs w:val="22"/>
        </w:rPr>
        <w:t>m</w:t>
      </w:r>
      <w:r w:rsidR="00976C39" w:rsidRPr="79E303FA">
        <w:rPr>
          <w:rFonts w:ascii="Arial" w:eastAsia="Lucida Grande" w:hAnsi="Arial" w:cs="Arial"/>
          <w:sz w:val="22"/>
          <w:szCs w:val="22"/>
        </w:rPr>
        <w:t>illion</w:t>
      </w:r>
      <w:r w:rsidRPr="79E303FA">
        <w:rPr>
          <w:rFonts w:ascii="Arial" w:eastAsia="Lucida Grande" w:hAnsi="Arial" w:cs="Arial"/>
          <w:sz w:val="22"/>
          <w:szCs w:val="22"/>
        </w:rPr>
        <w:t xml:space="preserve"> for 20</w:t>
      </w:r>
      <w:r w:rsidR="00547EB7" w:rsidRPr="79E303FA">
        <w:rPr>
          <w:rFonts w:ascii="Arial" w:eastAsia="Lucida Grande" w:hAnsi="Arial" w:cs="Arial"/>
          <w:sz w:val="22"/>
          <w:szCs w:val="22"/>
        </w:rPr>
        <w:t>26</w:t>
      </w:r>
      <w:r w:rsidRPr="79E303FA">
        <w:rPr>
          <w:rFonts w:ascii="Arial" w:eastAsia="Lucida Grande" w:hAnsi="Arial" w:cs="Arial"/>
          <w:sz w:val="22"/>
          <w:szCs w:val="22"/>
        </w:rPr>
        <w:t>-</w:t>
      </w:r>
      <w:r w:rsidR="00547EB7" w:rsidRPr="79E303FA">
        <w:rPr>
          <w:rFonts w:ascii="Arial" w:eastAsia="Lucida Grande" w:hAnsi="Arial" w:cs="Arial"/>
          <w:sz w:val="22"/>
          <w:szCs w:val="22"/>
        </w:rPr>
        <w:t>35 on average per year</w:t>
      </w:r>
      <w:r w:rsidRPr="79E303FA">
        <w:rPr>
          <w:rFonts w:ascii="Arial" w:eastAsia="Lucida Grande" w:hAnsi="Arial" w:cs="Arial"/>
          <w:sz w:val="22"/>
          <w:szCs w:val="22"/>
        </w:rPr>
        <w:t>, plus a level of debt write off) being funded from general revenue and create uncertainty and inconsistency in the management of unpaid debts. Over time, this would undermine the financial sustainability and effective administration of the PRBS.</w:t>
      </w:r>
    </w:p>
    <w:p w14:paraId="432913D2"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The central problems addressed in this RIS include: </w:t>
      </w:r>
    </w:p>
    <w:p w14:paraId="19EA4425" w14:textId="77777777" w:rsidR="00597DA1" w:rsidRPr="00F07860" w:rsidRDefault="00597DA1" w:rsidP="00597DA1">
      <w:pPr>
        <w:numPr>
          <w:ilvl w:val="0"/>
          <w:numId w:val="52"/>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the need for fees to be charged to recover the Government’s costs of operating the PRBS, and </w:t>
      </w:r>
    </w:p>
    <w:p w14:paraId="4B4505A6" w14:textId="77777777" w:rsidR="00597DA1" w:rsidRPr="00F07860" w:rsidRDefault="00597DA1" w:rsidP="00597DA1">
      <w:pPr>
        <w:numPr>
          <w:ilvl w:val="0"/>
          <w:numId w:val="52"/>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the need for prescribed debt recovery actions and notices, to be outlined in the Regulations, that Government can take and issue to recover unpaid debts established through the PRBS. </w:t>
      </w:r>
    </w:p>
    <w:p w14:paraId="31F692B6"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Objectives of government action</w:t>
      </w:r>
    </w:p>
    <w:p w14:paraId="5B672F0D"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The Regulations are intended to support the operation of the PRBS in a manner that is effective, proportionate and consistent with the Department of Treasury and Finance’s Pricing for Value principles.</w:t>
      </w:r>
    </w:p>
    <w:p w14:paraId="2084E4E2"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The key objectives are to:</w:t>
      </w:r>
    </w:p>
    <w:p w14:paraId="254D7FCE" w14:textId="77777777" w:rsidR="00597DA1" w:rsidRPr="00F07860" w:rsidRDefault="00597DA1" w:rsidP="00597DA1">
      <w:pPr>
        <w:numPr>
          <w:ilvl w:val="0"/>
          <w:numId w:val="167"/>
        </w:numPr>
        <w:spacing w:after="120" w:line="280" w:lineRule="atLeast"/>
        <w:contextualSpacing/>
        <w:jc w:val="both"/>
        <w:rPr>
          <w:rFonts w:ascii="Arial" w:eastAsia="Courier New" w:hAnsi="Arial" w:cs="Arial"/>
          <w:sz w:val="22"/>
          <w:szCs w:val="22"/>
        </w:rPr>
      </w:pPr>
      <w:r w:rsidRPr="00F07860">
        <w:rPr>
          <w:rFonts w:ascii="Arial" w:eastAsia="Courier New" w:hAnsi="Arial" w:cs="Arial"/>
          <w:sz w:val="22"/>
          <w:szCs w:val="22"/>
        </w:rPr>
        <w:t>Enable recovery of the Government’s ongoing costs of administering the PRBS.</w:t>
      </w:r>
    </w:p>
    <w:p w14:paraId="292CC32D" w14:textId="77777777" w:rsidR="00597DA1" w:rsidRPr="00F07860" w:rsidRDefault="00597DA1" w:rsidP="00597DA1">
      <w:pPr>
        <w:numPr>
          <w:ilvl w:val="0"/>
          <w:numId w:val="167"/>
        </w:numPr>
        <w:spacing w:after="120" w:line="280" w:lineRule="atLeast"/>
        <w:contextualSpacing/>
        <w:jc w:val="both"/>
        <w:rPr>
          <w:rFonts w:ascii="Arial" w:eastAsia="Courier New" w:hAnsi="Arial" w:cs="Arial"/>
          <w:sz w:val="22"/>
          <w:szCs w:val="22"/>
        </w:rPr>
      </w:pPr>
      <w:r w:rsidRPr="00F07860">
        <w:rPr>
          <w:rFonts w:ascii="Arial" w:eastAsia="Courier New" w:hAnsi="Arial" w:cs="Arial"/>
          <w:sz w:val="22"/>
          <w:szCs w:val="22"/>
        </w:rPr>
        <w:t>Ensure that the costs of the scheme are borne by participants, not the broader taxpayer base.</w:t>
      </w:r>
    </w:p>
    <w:p w14:paraId="354857CF" w14:textId="77777777" w:rsidR="00597DA1" w:rsidRPr="00F07860" w:rsidRDefault="00597DA1" w:rsidP="00597DA1">
      <w:pPr>
        <w:numPr>
          <w:ilvl w:val="0"/>
          <w:numId w:val="167"/>
        </w:numPr>
        <w:spacing w:after="120" w:line="280" w:lineRule="atLeast"/>
        <w:contextualSpacing/>
        <w:jc w:val="both"/>
        <w:rPr>
          <w:rFonts w:ascii="Arial" w:eastAsia="Courier New" w:hAnsi="Arial" w:cs="Arial"/>
          <w:sz w:val="22"/>
          <w:szCs w:val="22"/>
        </w:rPr>
      </w:pPr>
      <w:r w:rsidRPr="00F07860">
        <w:rPr>
          <w:rFonts w:ascii="Arial" w:eastAsia="Courier New" w:hAnsi="Arial" w:cs="Arial"/>
          <w:sz w:val="22"/>
          <w:szCs w:val="22"/>
        </w:rPr>
        <w:t>Encourage appropriate participation in the PRBS by eligible renters.</w:t>
      </w:r>
    </w:p>
    <w:p w14:paraId="335D7E76" w14:textId="77777777" w:rsidR="00597DA1" w:rsidRPr="00F07860" w:rsidRDefault="00597DA1" w:rsidP="00597DA1">
      <w:pPr>
        <w:numPr>
          <w:ilvl w:val="0"/>
          <w:numId w:val="167"/>
        </w:numPr>
        <w:spacing w:after="120" w:line="280" w:lineRule="atLeast"/>
        <w:contextualSpacing/>
        <w:jc w:val="both"/>
        <w:rPr>
          <w:rFonts w:ascii="Arial" w:eastAsia="Courier New" w:hAnsi="Arial" w:cs="Arial"/>
          <w:sz w:val="22"/>
          <w:szCs w:val="22"/>
        </w:rPr>
      </w:pPr>
      <w:r w:rsidRPr="00F07860">
        <w:rPr>
          <w:rFonts w:ascii="Arial" w:eastAsia="Courier New" w:hAnsi="Arial" w:cs="Arial"/>
          <w:sz w:val="22"/>
          <w:szCs w:val="22"/>
        </w:rPr>
        <w:t>Provide clear, fair and transparent processes for recovering unpaid debts.</w:t>
      </w:r>
    </w:p>
    <w:p w14:paraId="24C93BAD" w14:textId="77777777" w:rsidR="00597DA1" w:rsidRPr="00F07860" w:rsidRDefault="00597DA1" w:rsidP="00597DA1">
      <w:pPr>
        <w:numPr>
          <w:ilvl w:val="0"/>
          <w:numId w:val="167"/>
        </w:numPr>
        <w:spacing w:after="120" w:line="280" w:lineRule="atLeast"/>
        <w:contextualSpacing/>
        <w:jc w:val="both"/>
        <w:rPr>
          <w:rFonts w:ascii="Arial" w:eastAsia="Courier New" w:hAnsi="Arial" w:cs="Arial"/>
          <w:sz w:val="22"/>
          <w:szCs w:val="22"/>
        </w:rPr>
      </w:pPr>
      <w:r w:rsidRPr="00F07860">
        <w:rPr>
          <w:rFonts w:ascii="Arial" w:eastAsia="Courier New" w:hAnsi="Arial" w:cs="Arial"/>
          <w:sz w:val="22"/>
          <w:szCs w:val="22"/>
        </w:rPr>
        <w:t>Avoid disproportionately limiting access to the scheme for renters with a lower ability to pay.</w:t>
      </w:r>
    </w:p>
    <w:p w14:paraId="57032846"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lastRenderedPageBreak/>
        <w:t>Debt management and recovery process</w:t>
      </w:r>
    </w:p>
    <w:p w14:paraId="2F2CE9C3" w14:textId="77777777" w:rsidR="00597DA1" w:rsidRPr="00F07860" w:rsidRDefault="00597DA1" w:rsidP="00597DA1">
      <w:pPr>
        <w:spacing w:before="120" w:after="120" w:line="250" w:lineRule="atLeast"/>
        <w:jc w:val="both"/>
        <w:rPr>
          <w:rFonts w:ascii="Arial" w:eastAsia="Times" w:hAnsi="Arial"/>
          <w:sz w:val="22"/>
        </w:rPr>
      </w:pPr>
      <w:r w:rsidRPr="00F07860">
        <w:rPr>
          <w:rFonts w:ascii="Arial" w:eastAsia="Times" w:hAnsi="Arial"/>
          <w:sz w:val="22"/>
        </w:rPr>
        <w:t>Based on the requirements set out in the amended RT Act, the Government has defined the following key stages in the debt management and recovery process as being:</w:t>
      </w:r>
    </w:p>
    <w:p w14:paraId="691099A1" w14:textId="1895AC84" w:rsidR="00597DA1" w:rsidRPr="00F07860" w:rsidRDefault="00597DA1" w:rsidP="3EE459A6">
      <w:pPr>
        <w:numPr>
          <w:ilvl w:val="0"/>
          <w:numId w:val="116"/>
        </w:numPr>
        <w:spacing w:before="120" w:after="120" w:line="250" w:lineRule="atLeast"/>
        <w:jc w:val="both"/>
        <w:rPr>
          <w:rFonts w:ascii="Arial" w:eastAsia="Times" w:hAnsi="Arial"/>
          <w:sz w:val="22"/>
          <w:szCs w:val="22"/>
        </w:rPr>
      </w:pPr>
      <w:r w:rsidRPr="3EE459A6">
        <w:rPr>
          <w:rFonts w:ascii="Arial" w:eastAsia="Times" w:hAnsi="Arial"/>
          <w:b/>
          <w:bCs/>
          <w:sz w:val="22"/>
          <w:szCs w:val="22"/>
        </w:rPr>
        <w:t>Stage 1A -</w:t>
      </w:r>
      <w:r w:rsidRPr="3EE459A6">
        <w:rPr>
          <w:rFonts w:ascii="Arial" w:eastAsia="Times" w:hAnsi="Arial"/>
          <w:sz w:val="22"/>
          <w:szCs w:val="22"/>
        </w:rPr>
        <w:t xml:space="preserve"> </w:t>
      </w:r>
      <w:r w:rsidRPr="3EE459A6">
        <w:rPr>
          <w:rFonts w:ascii="Arial" w:eastAsia="Times" w:hAnsi="Arial"/>
          <w:b/>
          <w:bCs/>
          <w:sz w:val="22"/>
          <w:szCs w:val="22"/>
        </w:rPr>
        <w:t>Invoice issued to renter:</w:t>
      </w:r>
      <w:r w:rsidRPr="3EE459A6">
        <w:rPr>
          <w:rFonts w:ascii="Arial" w:eastAsia="Times" w:hAnsi="Arial"/>
          <w:sz w:val="22"/>
          <w:szCs w:val="22"/>
        </w:rPr>
        <w:t xml:space="preserve"> A debt is established once a bond claim is paid by the Government. Renters are provided with an initial </w:t>
      </w:r>
      <w:r w:rsidR="3123F832" w:rsidRPr="3EE459A6">
        <w:rPr>
          <w:rFonts w:ascii="Arial" w:eastAsia="Times" w:hAnsi="Arial"/>
          <w:sz w:val="22"/>
          <w:szCs w:val="22"/>
        </w:rPr>
        <w:t>eight-week</w:t>
      </w:r>
      <w:r w:rsidRPr="3EE459A6">
        <w:rPr>
          <w:rFonts w:ascii="Arial" w:eastAsia="Times" w:hAnsi="Arial"/>
          <w:sz w:val="22"/>
          <w:szCs w:val="22"/>
        </w:rPr>
        <w:t xml:space="preserve"> period to repay the debt or enter a payment plan. </w:t>
      </w:r>
    </w:p>
    <w:p w14:paraId="3CE2B3BE" w14:textId="77777777" w:rsidR="00597DA1" w:rsidRPr="00F07860" w:rsidRDefault="00597DA1" w:rsidP="00597DA1">
      <w:pPr>
        <w:numPr>
          <w:ilvl w:val="0"/>
          <w:numId w:val="116"/>
        </w:numPr>
        <w:spacing w:before="120" w:after="120" w:line="250" w:lineRule="atLeast"/>
        <w:jc w:val="both"/>
        <w:rPr>
          <w:rFonts w:ascii="Arial" w:eastAsia="Times" w:hAnsi="Arial"/>
          <w:sz w:val="22"/>
        </w:rPr>
      </w:pPr>
      <w:r w:rsidRPr="00F07860">
        <w:rPr>
          <w:rFonts w:ascii="Arial" w:eastAsia="Times" w:hAnsi="Arial"/>
          <w:b/>
          <w:bCs/>
          <w:sz w:val="22"/>
        </w:rPr>
        <w:t>Stage 1B -</w:t>
      </w:r>
      <w:r w:rsidRPr="00F07860">
        <w:rPr>
          <w:rFonts w:ascii="Segoe UI" w:eastAsia="Times" w:hAnsi="Segoe UI" w:cs="Segoe UI"/>
          <w:sz w:val="21"/>
          <w:szCs w:val="21"/>
          <w:lang w:eastAsia="en-AU"/>
        </w:rPr>
        <w:t xml:space="preserve"> </w:t>
      </w:r>
      <w:r w:rsidRPr="00F07860">
        <w:rPr>
          <w:rFonts w:ascii="Arial" w:eastAsia="Times" w:hAnsi="Arial"/>
          <w:b/>
          <w:bCs/>
          <w:sz w:val="22"/>
        </w:rPr>
        <w:t>Government action to recover</w:t>
      </w:r>
      <w:r w:rsidRPr="00F07860">
        <w:rPr>
          <w:rFonts w:ascii="Arial" w:eastAsia="Times" w:hAnsi="Arial"/>
          <w:b/>
          <w:sz w:val="22"/>
        </w:rPr>
        <w:t xml:space="preserve"> debt</w:t>
      </w:r>
      <w:r w:rsidRPr="00F07860">
        <w:rPr>
          <w:rFonts w:ascii="Arial" w:eastAsia="Times" w:hAnsi="Arial"/>
          <w:b/>
          <w:bCs/>
          <w:sz w:val="22"/>
        </w:rPr>
        <w:t xml:space="preserve">: </w:t>
      </w:r>
      <w:r w:rsidRPr="00F07860">
        <w:rPr>
          <w:rFonts w:ascii="Arial" w:eastAsia="Times" w:hAnsi="Arial"/>
          <w:sz w:val="22"/>
        </w:rPr>
        <w:t xml:space="preserve">If the debt remains unpaid, the Government may commence internal debt recovery. The Regulations propose to prescribe a standardised sequence of recovery notices, including minimum time intervals between notices. These are: </w:t>
      </w:r>
    </w:p>
    <w:p w14:paraId="60165C55" w14:textId="77777777" w:rsidR="00597DA1" w:rsidRPr="00F07860" w:rsidRDefault="00597DA1" w:rsidP="00597DA1">
      <w:pPr>
        <w:numPr>
          <w:ilvl w:val="0"/>
          <w:numId w:val="116"/>
        </w:numPr>
        <w:tabs>
          <w:tab w:val="clear" w:pos="340"/>
          <w:tab w:val="num" w:pos="1020"/>
        </w:tabs>
        <w:spacing w:before="120" w:after="120" w:line="250" w:lineRule="atLeast"/>
        <w:ind w:left="1020"/>
        <w:jc w:val="both"/>
        <w:rPr>
          <w:rFonts w:ascii="Arial" w:eastAsia="Times" w:hAnsi="Arial"/>
          <w:sz w:val="22"/>
        </w:rPr>
      </w:pPr>
      <w:r w:rsidRPr="00F07860">
        <w:rPr>
          <w:rFonts w:ascii="Arial" w:eastAsia="Times" w:hAnsi="Arial"/>
          <w:sz w:val="22"/>
        </w:rPr>
        <w:t xml:space="preserve">A reminder notice of debt. </w:t>
      </w:r>
    </w:p>
    <w:p w14:paraId="54E120B0" w14:textId="77777777" w:rsidR="00597DA1" w:rsidRPr="00F07860" w:rsidRDefault="00597DA1" w:rsidP="00597DA1">
      <w:pPr>
        <w:numPr>
          <w:ilvl w:val="0"/>
          <w:numId w:val="116"/>
        </w:numPr>
        <w:tabs>
          <w:tab w:val="clear" w:pos="340"/>
          <w:tab w:val="num" w:pos="1020"/>
        </w:tabs>
        <w:spacing w:before="120" w:after="120" w:line="250" w:lineRule="atLeast"/>
        <w:ind w:left="1020"/>
        <w:jc w:val="both"/>
        <w:rPr>
          <w:rFonts w:ascii="Arial" w:eastAsia="Times" w:hAnsi="Arial"/>
          <w:sz w:val="22"/>
        </w:rPr>
      </w:pPr>
      <w:r w:rsidRPr="00F07860">
        <w:rPr>
          <w:rFonts w:ascii="Arial" w:eastAsia="Times" w:hAnsi="Arial"/>
          <w:sz w:val="22"/>
        </w:rPr>
        <w:t>If payment is still outstanding, a final reminder notice. This will not be issued within 7 days of the reminder notice of debt.</w:t>
      </w:r>
    </w:p>
    <w:p w14:paraId="007492A4" w14:textId="1C36485E" w:rsidR="00E645F7" w:rsidRPr="00F07860" w:rsidRDefault="00E645F7" w:rsidP="3EE459A6">
      <w:pPr>
        <w:numPr>
          <w:ilvl w:val="0"/>
          <w:numId w:val="116"/>
        </w:numPr>
        <w:tabs>
          <w:tab w:val="clear" w:pos="340"/>
          <w:tab w:val="num" w:pos="1020"/>
        </w:tabs>
        <w:spacing w:before="120" w:after="120" w:line="250" w:lineRule="atLeast"/>
        <w:ind w:left="1020"/>
        <w:jc w:val="both"/>
        <w:rPr>
          <w:rFonts w:ascii="Arial" w:eastAsia="Times" w:hAnsi="Arial"/>
          <w:sz w:val="22"/>
          <w:szCs w:val="22"/>
        </w:rPr>
      </w:pPr>
      <w:r w:rsidRPr="3EE459A6">
        <w:rPr>
          <w:rFonts w:ascii="Arial" w:eastAsia="Times" w:hAnsi="Arial"/>
          <w:sz w:val="22"/>
          <w:szCs w:val="22"/>
        </w:rPr>
        <w:t xml:space="preserve">If the debt is still not paid, no payment plan has been </w:t>
      </w:r>
      <w:r w:rsidR="17F13DC1" w:rsidRPr="3EE459A6">
        <w:rPr>
          <w:rFonts w:ascii="Arial" w:eastAsia="Times" w:hAnsi="Arial"/>
          <w:sz w:val="22"/>
          <w:szCs w:val="22"/>
        </w:rPr>
        <w:t>entered</w:t>
      </w:r>
      <w:r w:rsidRPr="3EE459A6">
        <w:rPr>
          <w:rFonts w:ascii="Arial" w:eastAsia="Times" w:hAnsi="Arial"/>
          <w:sz w:val="22"/>
          <w:szCs w:val="22"/>
        </w:rPr>
        <w:t xml:space="preserve"> (during either Stage 1A or 1B) and no write-off exception has been approved, a notice of final demand. This will not be issued within 7 days of the final reminder notice. </w:t>
      </w:r>
    </w:p>
    <w:p w14:paraId="06CEFB9D" w14:textId="10F0C9A6" w:rsidR="00597DA1" w:rsidRPr="00F07860" w:rsidRDefault="00597DA1" w:rsidP="00597DA1">
      <w:pPr>
        <w:numPr>
          <w:ilvl w:val="0"/>
          <w:numId w:val="116"/>
        </w:numPr>
        <w:spacing w:before="120" w:after="120" w:line="250" w:lineRule="atLeast"/>
        <w:jc w:val="both"/>
        <w:rPr>
          <w:rFonts w:ascii="Arial" w:eastAsia="Times" w:hAnsi="Arial"/>
          <w:sz w:val="22"/>
        </w:rPr>
      </w:pPr>
      <w:r w:rsidRPr="00F07860">
        <w:rPr>
          <w:rFonts w:ascii="Arial" w:eastAsia="Times" w:hAnsi="Arial"/>
          <w:b/>
          <w:bCs/>
          <w:sz w:val="22"/>
        </w:rPr>
        <w:t>Stage 2 -</w:t>
      </w:r>
      <w:r w:rsidRPr="00F07860">
        <w:rPr>
          <w:rFonts w:ascii="Arial" w:eastAsia="Times" w:hAnsi="Arial"/>
          <w:sz w:val="22"/>
        </w:rPr>
        <w:t xml:space="preserve"> </w:t>
      </w:r>
      <w:r w:rsidRPr="00F07860">
        <w:rPr>
          <w:rFonts w:ascii="Arial" w:eastAsia="Times" w:hAnsi="Arial"/>
          <w:b/>
          <w:bCs/>
          <w:sz w:val="22"/>
        </w:rPr>
        <w:t>Referral of debt to a</w:t>
      </w:r>
      <w:r>
        <w:rPr>
          <w:rFonts w:ascii="Arial" w:eastAsia="Times" w:hAnsi="Arial"/>
          <w:b/>
          <w:bCs/>
          <w:sz w:val="22"/>
        </w:rPr>
        <w:t>n external</w:t>
      </w:r>
      <w:r w:rsidRPr="00F07860">
        <w:rPr>
          <w:rFonts w:ascii="Arial" w:eastAsia="Times" w:hAnsi="Arial"/>
          <w:b/>
          <w:bCs/>
          <w:sz w:val="22"/>
        </w:rPr>
        <w:t xml:space="preserve"> D</w:t>
      </w:r>
      <w:r>
        <w:rPr>
          <w:rFonts w:ascii="Arial" w:eastAsia="Times" w:hAnsi="Arial"/>
          <w:b/>
          <w:bCs/>
          <w:sz w:val="22"/>
        </w:rPr>
        <w:t xml:space="preserve">ebt </w:t>
      </w:r>
      <w:r w:rsidRPr="00F07860">
        <w:rPr>
          <w:rFonts w:ascii="Arial" w:eastAsia="Times" w:hAnsi="Arial"/>
          <w:b/>
          <w:bCs/>
          <w:sz w:val="22"/>
        </w:rPr>
        <w:t>C</w:t>
      </w:r>
      <w:r>
        <w:rPr>
          <w:rFonts w:ascii="Arial" w:eastAsia="Times" w:hAnsi="Arial"/>
          <w:b/>
          <w:bCs/>
          <w:sz w:val="22"/>
        </w:rPr>
        <w:t xml:space="preserve">ollection </w:t>
      </w:r>
      <w:r w:rsidRPr="00F07860">
        <w:rPr>
          <w:rFonts w:ascii="Arial" w:eastAsia="Times" w:hAnsi="Arial"/>
          <w:b/>
          <w:bCs/>
          <w:sz w:val="22"/>
        </w:rPr>
        <w:t>A</w:t>
      </w:r>
      <w:r>
        <w:rPr>
          <w:rFonts w:ascii="Arial" w:eastAsia="Times" w:hAnsi="Arial"/>
          <w:b/>
          <w:bCs/>
          <w:sz w:val="22"/>
        </w:rPr>
        <w:t>gency (DCA)</w:t>
      </w:r>
      <w:r w:rsidRPr="00F07860">
        <w:rPr>
          <w:rFonts w:ascii="Arial" w:eastAsia="Times" w:hAnsi="Arial"/>
          <w:b/>
          <w:bCs/>
          <w:sz w:val="22"/>
        </w:rPr>
        <w:t xml:space="preserve">: </w:t>
      </w:r>
      <w:r w:rsidRPr="00F07860">
        <w:rPr>
          <w:rFonts w:ascii="Arial" w:eastAsia="Times" w:hAnsi="Arial"/>
          <w:sz w:val="22"/>
        </w:rPr>
        <w:t xml:space="preserve">If internal recovery is unsuccessful, the Government may refer the debt to </w:t>
      </w:r>
      <w:r>
        <w:rPr>
          <w:rFonts w:ascii="Arial" w:eastAsia="Times" w:hAnsi="Arial"/>
          <w:sz w:val="22"/>
        </w:rPr>
        <w:t>a DCA</w:t>
      </w:r>
      <w:r w:rsidRPr="00F07860">
        <w:rPr>
          <w:rFonts w:ascii="Arial" w:eastAsia="Times" w:hAnsi="Arial"/>
          <w:sz w:val="22"/>
        </w:rPr>
        <w:t xml:space="preserve"> for a period of </w:t>
      </w:r>
      <w:r>
        <w:rPr>
          <w:rFonts w:ascii="Arial" w:eastAsia="Times" w:hAnsi="Arial"/>
          <w:sz w:val="22"/>
        </w:rPr>
        <w:t xml:space="preserve">up to </w:t>
      </w:r>
      <w:r w:rsidRPr="00F07860">
        <w:rPr>
          <w:rFonts w:ascii="Arial" w:eastAsia="Times" w:hAnsi="Arial"/>
          <w:sz w:val="22"/>
        </w:rPr>
        <w:t xml:space="preserve">12 months. External </w:t>
      </w:r>
      <w:r>
        <w:rPr>
          <w:rFonts w:ascii="Arial" w:eastAsia="Times" w:hAnsi="Arial"/>
          <w:sz w:val="22"/>
        </w:rPr>
        <w:t>DCA</w:t>
      </w:r>
      <w:r w:rsidRPr="00F07860">
        <w:rPr>
          <w:rFonts w:ascii="Arial" w:eastAsia="Times" w:hAnsi="Arial"/>
          <w:sz w:val="22"/>
        </w:rPr>
        <w:t xml:space="preserve"> fees are not prescribed in the Regulations and are managed separately.</w:t>
      </w:r>
    </w:p>
    <w:p w14:paraId="4D975A4D" w14:textId="77777777" w:rsidR="00597DA1" w:rsidRPr="00F07860" w:rsidRDefault="00597DA1" w:rsidP="00597DA1">
      <w:pPr>
        <w:numPr>
          <w:ilvl w:val="0"/>
          <w:numId w:val="115"/>
        </w:numPr>
        <w:spacing w:after="120" w:line="280" w:lineRule="atLeast"/>
        <w:jc w:val="both"/>
        <w:rPr>
          <w:rFonts w:ascii="Arial" w:eastAsia="Lucida Grande" w:hAnsi="Arial" w:cs="Arial"/>
          <w:sz w:val="22"/>
          <w:szCs w:val="22"/>
        </w:rPr>
      </w:pPr>
      <w:r w:rsidRPr="00F07860">
        <w:rPr>
          <w:rFonts w:ascii="Arial" w:eastAsia="Lucida Grande" w:hAnsi="Arial" w:cs="Arial"/>
          <w:b/>
          <w:bCs/>
          <w:sz w:val="22"/>
          <w:szCs w:val="22"/>
        </w:rPr>
        <w:t>Stage 3 - Debt management by Government:</w:t>
      </w:r>
      <w:r w:rsidRPr="00F07860">
        <w:rPr>
          <w:rFonts w:ascii="Arial" w:eastAsia="Lucida Grande" w:hAnsi="Arial" w:cs="Arial"/>
          <w:sz w:val="22"/>
          <w:szCs w:val="22"/>
        </w:rPr>
        <w:t xml:space="preserve"> The Government takes over the debt management process if the debt remains unpaid. New Section 423ZB of the amended RT Act outlines that the unrecovered debt (including any fees that have been added to the debt) may be recovered from the bond of the second rented premises once the second rental agreement has terminated and if there are no outstanding bond claims in relation to that agreement. This recovery mechanism can occur during stages 1B, 2 or 3, depending on when the renter’s second rental agreement has terminated.</w:t>
      </w:r>
    </w:p>
    <w:p w14:paraId="42701284" w14:textId="77777777" w:rsidR="00597DA1" w:rsidRPr="00F07860" w:rsidRDefault="00597DA1" w:rsidP="00597DA1">
      <w:pPr>
        <w:spacing w:line="300" w:lineRule="atLeast"/>
        <w:rPr>
          <w:rFonts w:ascii="Arial" w:eastAsia="Lucida Grande" w:hAnsi="Arial" w:cs="Arial"/>
          <w:sz w:val="22"/>
          <w:szCs w:val="22"/>
        </w:rPr>
      </w:pPr>
      <w:r w:rsidRPr="00F07860">
        <w:rPr>
          <w:rFonts w:ascii="Arial" w:eastAsia="Lucida Grande" w:hAnsi="Arial" w:cs="Arial"/>
          <w:sz w:val="22"/>
          <w:szCs w:val="22"/>
        </w:rPr>
        <w:t>Payment plans, hardship arrangements and operational details of this debt management and recovery process will be set out in the Transfer of Bond Guidelines rather than prescribed in the Regulations.</w:t>
      </w:r>
    </w:p>
    <w:p w14:paraId="608323EC"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 xml:space="preserve">Fee options </w:t>
      </w:r>
    </w:p>
    <w:p w14:paraId="22060A00" w14:textId="0487BDE3" w:rsidR="00597DA1" w:rsidRPr="00F07860" w:rsidRDefault="00597DA1" w:rsidP="00597DA1">
      <w:pPr>
        <w:spacing w:after="120" w:line="280" w:lineRule="atLeast"/>
        <w:jc w:val="both"/>
        <w:rPr>
          <w:rFonts w:ascii="Arial" w:eastAsia="Lucida Grande" w:hAnsi="Arial" w:cs="Arial"/>
          <w:sz w:val="22"/>
          <w:szCs w:val="22"/>
          <w:lang w:val="en-US"/>
        </w:rPr>
      </w:pPr>
      <w:r w:rsidRPr="79E303FA">
        <w:rPr>
          <w:rFonts w:ascii="Arial" w:eastAsia="Lucida Grande" w:hAnsi="Arial" w:cs="Arial"/>
          <w:sz w:val="22"/>
          <w:szCs w:val="22"/>
          <w:lang w:val="en-US"/>
        </w:rPr>
        <w:t xml:space="preserve">The Regulations propose to prescribe </w:t>
      </w:r>
      <w:r w:rsidR="00976C39" w:rsidRPr="79E303FA">
        <w:rPr>
          <w:rFonts w:ascii="Arial" w:eastAsia="Lucida Grande" w:hAnsi="Arial" w:cs="Arial"/>
          <w:sz w:val="22"/>
          <w:szCs w:val="22"/>
          <w:lang w:val="en-US"/>
        </w:rPr>
        <w:t xml:space="preserve">2 </w:t>
      </w:r>
      <w:r w:rsidRPr="79E303FA">
        <w:rPr>
          <w:rFonts w:ascii="Arial" w:eastAsia="Lucida Grande" w:hAnsi="Arial" w:cs="Arial"/>
          <w:sz w:val="22"/>
          <w:szCs w:val="22"/>
          <w:lang w:val="en-US"/>
        </w:rPr>
        <w:t>types of fees to support the operation of the PRBS:</w:t>
      </w:r>
    </w:p>
    <w:p w14:paraId="5CBA5FBD" w14:textId="77777777" w:rsidR="00597DA1" w:rsidRPr="00F07860" w:rsidRDefault="00597DA1" w:rsidP="00597DA1">
      <w:pPr>
        <w:numPr>
          <w:ilvl w:val="0"/>
          <w:numId w:val="165"/>
        </w:numPr>
        <w:spacing w:after="120" w:line="280" w:lineRule="atLeast"/>
        <w:contextualSpacing/>
        <w:jc w:val="both"/>
        <w:rPr>
          <w:rFonts w:ascii="Arial" w:eastAsia="Courier New" w:hAnsi="Arial" w:cs="Arial"/>
          <w:sz w:val="22"/>
          <w:szCs w:val="22"/>
          <w:lang w:val="en-US"/>
        </w:rPr>
      </w:pPr>
      <w:r w:rsidRPr="00F07860">
        <w:rPr>
          <w:rFonts w:ascii="Arial" w:eastAsia="Courier New" w:hAnsi="Arial" w:cs="Arial"/>
          <w:sz w:val="22"/>
          <w:szCs w:val="22"/>
          <w:lang w:val="en-US"/>
        </w:rPr>
        <w:t>An application fee, payable by renters who elect to transfer a bond under the PRBS. The application fee is intended to recover the Government’s ongoing operating costs for administering the scheme, including system operation, customer support and an allowance for the expected level of debt write-off.</w:t>
      </w:r>
    </w:p>
    <w:p w14:paraId="74F7C946" w14:textId="77777777" w:rsidR="00597DA1" w:rsidRPr="00F07860" w:rsidRDefault="00597DA1" w:rsidP="00597DA1">
      <w:pPr>
        <w:numPr>
          <w:ilvl w:val="0"/>
          <w:numId w:val="166"/>
        </w:numPr>
        <w:spacing w:after="120" w:line="280" w:lineRule="atLeast"/>
        <w:jc w:val="both"/>
        <w:rPr>
          <w:rFonts w:ascii="Arial" w:eastAsia="Lucida Grande" w:hAnsi="Arial" w:cs="Arial"/>
          <w:sz w:val="22"/>
          <w:szCs w:val="22"/>
          <w:lang w:val="en-US"/>
        </w:rPr>
      </w:pPr>
      <w:r w:rsidRPr="00F07860">
        <w:rPr>
          <w:rFonts w:ascii="Arial" w:eastAsia="Lucida Grande" w:hAnsi="Arial" w:cs="Arial"/>
          <w:sz w:val="22"/>
          <w:szCs w:val="22"/>
          <w:lang w:val="en-US"/>
        </w:rPr>
        <w:t>A debt recovery fee, payable by renters with overdue debts where the Government has paid a bond claim on their behalf. The debt recovery fee is intended to recover the costs of internal debt recovery activities undertaken by Government.</w:t>
      </w:r>
    </w:p>
    <w:p w14:paraId="60F166AF" w14:textId="77777777" w:rsidR="00597DA1" w:rsidRPr="00F07860" w:rsidRDefault="00597DA1" w:rsidP="00597DA1">
      <w:pPr>
        <w:spacing w:after="120" w:line="280" w:lineRule="atLeast"/>
        <w:jc w:val="both"/>
        <w:rPr>
          <w:rFonts w:ascii="Arial" w:eastAsia="Lucida Grande" w:hAnsi="Arial" w:cs="Arial"/>
          <w:sz w:val="22"/>
          <w:szCs w:val="22"/>
          <w:lang w:val="en-US"/>
        </w:rPr>
      </w:pPr>
      <w:r w:rsidRPr="00F07860">
        <w:rPr>
          <w:rFonts w:ascii="Arial" w:eastAsia="Lucida Grande" w:hAnsi="Arial" w:cs="Arial"/>
          <w:sz w:val="22"/>
          <w:szCs w:val="22"/>
          <w:lang w:val="en-US"/>
        </w:rPr>
        <w:t xml:space="preserve">This RIS outlines and assesses the options considered for these fees. </w:t>
      </w:r>
    </w:p>
    <w:p w14:paraId="27FD22EA" w14:textId="77777777" w:rsidR="00597DA1" w:rsidRPr="00F07860" w:rsidRDefault="00597DA1" w:rsidP="00597DA1">
      <w:pPr>
        <w:spacing w:after="120" w:line="280" w:lineRule="atLeast"/>
        <w:jc w:val="both"/>
        <w:rPr>
          <w:rFonts w:ascii="Arial" w:eastAsia="Lucida Grande" w:hAnsi="Arial" w:cs="Arial"/>
          <w:i/>
          <w:iCs/>
          <w:sz w:val="22"/>
          <w:szCs w:val="22"/>
        </w:rPr>
      </w:pPr>
      <w:r w:rsidRPr="00F07860">
        <w:rPr>
          <w:rFonts w:ascii="Arial" w:eastAsia="Lucida Grande" w:hAnsi="Arial" w:cs="Arial"/>
          <w:i/>
          <w:iCs/>
          <w:sz w:val="22"/>
          <w:szCs w:val="22"/>
        </w:rPr>
        <w:t>Application fee options</w:t>
      </w:r>
    </w:p>
    <w:p w14:paraId="35312E98"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Three application fee options were assessed: </w:t>
      </w:r>
    </w:p>
    <w:p w14:paraId="3AD550EA" w14:textId="77777777" w:rsidR="00597DA1" w:rsidRPr="00F07860" w:rsidRDefault="00597DA1" w:rsidP="00597DA1">
      <w:pPr>
        <w:numPr>
          <w:ilvl w:val="0"/>
          <w:numId w:val="169"/>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$35 application fee </w:t>
      </w:r>
    </w:p>
    <w:p w14:paraId="248DF6BA" w14:textId="77777777" w:rsidR="00597DA1" w:rsidRPr="00F07860" w:rsidRDefault="00597DA1" w:rsidP="00597DA1">
      <w:pPr>
        <w:numPr>
          <w:ilvl w:val="0"/>
          <w:numId w:val="169"/>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$40 application fee</w:t>
      </w:r>
    </w:p>
    <w:p w14:paraId="753F0F9D" w14:textId="77777777" w:rsidR="00597DA1" w:rsidRPr="00F07860" w:rsidRDefault="00597DA1" w:rsidP="00597DA1">
      <w:pPr>
        <w:numPr>
          <w:ilvl w:val="0"/>
          <w:numId w:val="169"/>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$45 application fee </w:t>
      </w:r>
    </w:p>
    <w:p w14:paraId="4EC44322" w14:textId="5720F15C" w:rsidR="00343EBB" w:rsidRDefault="00597DA1" w:rsidP="008E7AE6">
      <w:pPr>
        <w:pStyle w:val="Body"/>
      </w:pPr>
      <w:r w:rsidRPr="00F07860">
        <w:rPr>
          <w:rFonts w:ascii="Arial" w:eastAsia="Courier New" w:hAnsi="Arial" w:cs="Arial"/>
        </w:rPr>
        <w:lastRenderedPageBreak/>
        <w:t>Under each option, the fee is payable by renters who elect to use the PRBS and is intended to recover the Government’s ongoing operating costs, including an allowance for expected debt write-offs.</w:t>
      </w:r>
      <w:r>
        <w:rPr>
          <w:rFonts w:ascii="Arial" w:hAnsi="Arial" w:cs="Arial"/>
        </w:rPr>
        <w:t xml:space="preserve"> The h</w:t>
      </w:r>
      <w:r w:rsidRPr="00F07860">
        <w:rPr>
          <w:rFonts w:ascii="Arial" w:hAnsi="Arial" w:cs="Arial"/>
        </w:rPr>
        <w:t>igher application fees achieve faster cost recovery but reduce expected participation in the scheme, while lower fees support higher participation but extend the cost recovery timeframe.</w:t>
      </w:r>
    </w:p>
    <w:p w14:paraId="30626ED6" w14:textId="0CE881B2" w:rsidR="00597DA1" w:rsidRPr="008E7AE6" w:rsidRDefault="00597DA1" w:rsidP="008E7AE6">
      <w:pPr>
        <w:pStyle w:val="Body"/>
        <w:rPr>
          <w:i/>
        </w:rPr>
      </w:pPr>
      <w:r w:rsidRPr="008E7AE6">
        <w:rPr>
          <w:i/>
        </w:rPr>
        <w:t>Debt recovery fee options</w:t>
      </w:r>
    </w:p>
    <w:p w14:paraId="4B42E34E" w14:textId="77777777" w:rsidR="00597DA1" w:rsidRPr="00F07860" w:rsidRDefault="00597DA1" w:rsidP="008E7AE6">
      <w:pPr>
        <w:pStyle w:val="Body"/>
      </w:pPr>
      <w:r w:rsidRPr="00F07860">
        <w:t xml:space="preserve">Four options were assessed for recovering the costs of internal debt recovery activities: </w:t>
      </w:r>
    </w:p>
    <w:p w14:paraId="6016FFD3" w14:textId="77777777" w:rsidR="00597DA1" w:rsidRPr="00F07860" w:rsidRDefault="00597DA1" w:rsidP="00597DA1">
      <w:pPr>
        <w:numPr>
          <w:ilvl w:val="0"/>
          <w:numId w:val="163"/>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Option 1: a flat fee charged to all renters with overdue debts at the commencement of internal recovery; </w:t>
      </w:r>
    </w:p>
    <w:p w14:paraId="6D612F58" w14:textId="77777777" w:rsidR="00597DA1" w:rsidRPr="00F07860" w:rsidRDefault="00597DA1" w:rsidP="00597DA1">
      <w:pPr>
        <w:numPr>
          <w:ilvl w:val="0"/>
          <w:numId w:val="163"/>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Option 2: a percentage-based fee charged at the same point; </w:t>
      </w:r>
    </w:p>
    <w:p w14:paraId="4462402D" w14:textId="77777777" w:rsidR="00597DA1" w:rsidRPr="00F07860" w:rsidRDefault="00597DA1" w:rsidP="00597DA1">
      <w:pPr>
        <w:numPr>
          <w:ilvl w:val="0"/>
          <w:numId w:val="163"/>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Option 3: a flat fee charged only where debts are referred to an external debt collection agency; and </w:t>
      </w:r>
    </w:p>
    <w:p w14:paraId="0844C5E8" w14:textId="77777777" w:rsidR="00597DA1" w:rsidRDefault="00597DA1" w:rsidP="00597DA1">
      <w:pPr>
        <w:numPr>
          <w:ilvl w:val="0"/>
          <w:numId w:val="163"/>
        </w:num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Option 4: a percentage-based fee charged at the point of external referral.</w:t>
      </w:r>
    </w:p>
    <w:p w14:paraId="51691AAA" w14:textId="3417ED73" w:rsidR="00597DA1" w:rsidRPr="00F07860" w:rsidRDefault="00597DA1" w:rsidP="00597DA1">
      <w:pPr>
        <w:spacing w:after="200"/>
        <w:rPr>
          <w:i/>
          <w:iCs/>
          <w:color w:val="16145F"/>
          <w:sz w:val="18"/>
          <w:szCs w:val="18"/>
        </w:rPr>
      </w:pPr>
      <w:r w:rsidRPr="00F07860">
        <w:rPr>
          <w:i/>
          <w:iCs/>
          <w:color w:val="16145F"/>
          <w:sz w:val="18"/>
          <w:szCs w:val="18"/>
        </w:rPr>
        <w:t xml:space="preserve">Table </w:t>
      </w:r>
      <w:r w:rsidRPr="00F07860">
        <w:rPr>
          <w:i/>
          <w:iCs/>
          <w:color w:val="16145F"/>
          <w:sz w:val="18"/>
          <w:szCs w:val="18"/>
        </w:rPr>
        <w:fldChar w:fldCharType="begin"/>
      </w:r>
      <w:r w:rsidRPr="00F07860">
        <w:rPr>
          <w:i/>
          <w:iCs/>
          <w:color w:val="16145F"/>
          <w:sz w:val="18"/>
          <w:szCs w:val="18"/>
        </w:rPr>
        <w:instrText xml:space="preserve"> SEQ Table \* ARABIC </w:instrText>
      </w:r>
      <w:r w:rsidRPr="00F07860">
        <w:rPr>
          <w:i/>
          <w:iCs/>
          <w:color w:val="16145F"/>
          <w:sz w:val="18"/>
          <w:szCs w:val="18"/>
        </w:rPr>
        <w:fldChar w:fldCharType="separate"/>
      </w:r>
      <w:r w:rsidR="00A50199">
        <w:rPr>
          <w:i/>
          <w:iCs/>
          <w:noProof/>
          <w:color w:val="16145F"/>
          <w:sz w:val="18"/>
          <w:szCs w:val="18"/>
        </w:rPr>
        <w:t>1</w:t>
      </w:r>
      <w:r w:rsidRPr="00F07860">
        <w:rPr>
          <w:i/>
          <w:iCs/>
          <w:color w:val="16145F"/>
          <w:sz w:val="18"/>
          <w:szCs w:val="18"/>
        </w:rPr>
        <w:fldChar w:fldCharType="end"/>
      </w:r>
      <w:r w:rsidRPr="00F07860">
        <w:rPr>
          <w:i/>
          <w:iCs/>
          <w:color w:val="16145F"/>
          <w:sz w:val="18"/>
          <w:szCs w:val="18"/>
        </w:rPr>
        <w:t xml:space="preserve">: Debt recovery fee options </w:t>
      </w:r>
    </w:p>
    <w:tbl>
      <w:tblPr>
        <w:tblStyle w:val="TableGridLight1"/>
        <w:tblW w:w="5000" w:type="pct"/>
        <w:tblLayout w:type="fixed"/>
        <w:tblLook w:val="04A0" w:firstRow="1" w:lastRow="0" w:firstColumn="1" w:lastColumn="0" w:noHBand="0" w:noVBand="1"/>
      </w:tblPr>
      <w:tblGrid>
        <w:gridCol w:w="1793"/>
        <w:gridCol w:w="1865"/>
        <w:gridCol w:w="2010"/>
        <w:gridCol w:w="2467"/>
        <w:gridCol w:w="2345"/>
      </w:tblGrid>
      <w:tr w:rsidR="00597DA1" w:rsidRPr="00F07860" w14:paraId="035BE81C" w14:textId="77777777" w:rsidTr="008E7AE6">
        <w:trPr>
          <w:trHeight w:val="454"/>
        </w:trPr>
        <w:tc>
          <w:tcPr>
            <w:tcW w:w="855" w:type="pct"/>
            <w:shd w:val="clear" w:color="auto" w:fill="16145F"/>
          </w:tcPr>
          <w:p w14:paraId="4830CD3D" w14:textId="77777777" w:rsidR="00597DA1" w:rsidRPr="00F07860" w:rsidRDefault="00597DA1">
            <w:pPr>
              <w:spacing w:before="120" w:after="120" w:line="250" w:lineRule="atLeast"/>
              <w:jc w:val="center"/>
              <w:rPr>
                <w:rFonts w:ascii="Arial" w:eastAsia="Times" w:hAnsi="Arial"/>
                <w:b/>
                <w:sz w:val="22"/>
              </w:rPr>
            </w:pPr>
          </w:p>
        </w:tc>
        <w:tc>
          <w:tcPr>
            <w:tcW w:w="890" w:type="pct"/>
            <w:shd w:val="clear" w:color="auto" w:fill="16145F"/>
          </w:tcPr>
          <w:p w14:paraId="133E8311" w14:textId="77777777" w:rsidR="00597DA1" w:rsidRPr="00F07860" w:rsidRDefault="00597DA1">
            <w:pPr>
              <w:spacing w:before="120" w:after="120" w:line="250" w:lineRule="atLeast"/>
              <w:jc w:val="center"/>
              <w:rPr>
                <w:rFonts w:ascii="Arial" w:eastAsia="Times" w:hAnsi="Arial"/>
                <w:b/>
                <w:sz w:val="22"/>
              </w:rPr>
            </w:pPr>
            <w:r w:rsidRPr="00F07860">
              <w:rPr>
                <w:rFonts w:ascii="Arial" w:eastAsia="Times" w:hAnsi="Arial"/>
                <w:b/>
                <w:sz w:val="22"/>
              </w:rPr>
              <w:t>Option 1</w:t>
            </w:r>
          </w:p>
        </w:tc>
        <w:tc>
          <w:tcPr>
            <w:tcW w:w="959" w:type="pct"/>
            <w:shd w:val="clear" w:color="auto" w:fill="16145F"/>
          </w:tcPr>
          <w:p w14:paraId="6036D7D9" w14:textId="77777777" w:rsidR="00597DA1" w:rsidRPr="00F07860" w:rsidRDefault="00597DA1">
            <w:pPr>
              <w:spacing w:before="120" w:after="120" w:line="250" w:lineRule="atLeast"/>
              <w:jc w:val="center"/>
              <w:rPr>
                <w:rFonts w:ascii="Arial" w:eastAsia="Times" w:hAnsi="Arial"/>
                <w:b/>
                <w:sz w:val="22"/>
              </w:rPr>
            </w:pPr>
            <w:r w:rsidRPr="00F07860">
              <w:rPr>
                <w:rFonts w:ascii="Arial" w:eastAsia="Times" w:hAnsi="Arial"/>
                <w:b/>
                <w:sz w:val="22"/>
              </w:rPr>
              <w:t>Option 2</w:t>
            </w:r>
          </w:p>
        </w:tc>
        <w:tc>
          <w:tcPr>
            <w:tcW w:w="1177" w:type="pct"/>
            <w:shd w:val="clear" w:color="auto" w:fill="16145F"/>
          </w:tcPr>
          <w:p w14:paraId="33039446" w14:textId="77777777" w:rsidR="00597DA1" w:rsidRPr="00F07860" w:rsidRDefault="00597DA1">
            <w:pPr>
              <w:spacing w:before="120" w:after="120" w:line="250" w:lineRule="atLeast"/>
              <w:jc w:val="center"/>
              <w:rPr>
                <w:rFonts w:ascii="Arial" w:eastAsia="Times" w:hAnsi="Arial"/>
                <w:b/>
                <w:sz w:val="22"/>
              </w:rPr>
            </w:pPr>
            <w:r w:rsidRPr="00F07860">
              <w:rPr>
                <w:rFonts w:ascii="Arial" w:eastAsia="Times" w:hAnsi="Arial"/>
                <w:b/>
                <w:sz w:val="22"/>
              </w:rPr>
              <w:t>Option 3</w:t>
            </w:r>
          </w:p>
        </w:tc>
        <w:tc>
          <w:tcPr>
            <w:tcW w:w="1119" w:type="pct"/>
            <w:shd w:val="clear" w:color="auto" w:fill="16145F"/>
          </w:tcPr>
          <w:p w14:paraId="2B5BFF3F" w14:textId="77777777" w:rsidR="00597DA1" w:rsidRPr="00F07860" w:rsidRDefault="00597DA1">
            <w:pPr>
              <w:spacing w:before="120" w:after="120" w:line="250" w:lineRule="atLeast"/>
              <w:jc w:val="center"/>
              <w:rPr>
                <w:rFonts w:ascii="Arial" w:eastAsia="Times" w:hAnsi="Arial"/>
                <w:b/>
                <w:sz w:val="22"/>
              </w:rPr>
            </w:pPr>
            <w:r w:rsidRPr="00F07860">
              <w:rPr>
                <w:rFonts w:ascii="Arial" w:eastAsia="Times" w:hAnsi="Arial"/>
                <w:b/>
                <w:sz w:val="22"/>
              </w:rPr>
              <w:t>Option 4</w:t>
            </w:r>
          </w:p>
        </w:tc>
      </w:tr>
      <w:tr w:rsidR="00597DA1" w:rsidRPr="00F07860" w14:paraId="621AB44E" w14:textId="77777777" w:rsidTr="008E7AE6">
        <w:trPr>
          <w:trHeight w:val="633"/>
        </w:trPr>
        <w:tc>
          <w:tcPr>
            <w:tcW w:w="855" w:type="pct"/>
            <w:shd w:val="clear" w:color="auto" w:fill="F2F2F2"/>
          </w:tcPr>
          <w:p w14:paraId="77E433F0" w14:textId="77777777" w:rsidR="00597DA1" w:rsidRPr="008C214D" w:rsidRDefault="00597DA1">
            <w:pPr>
              <w:spacing w:before="120" w:after="120" w:line="250" w:lineRule="atLeast"/>
              <w:jc w:val="center"/>
              <w:rPr>
                <w:rFonts w:ascii="Arial" w:eastAsia="Times" w:hAnsi="Arial"/>
                <w:b/>
                <w:bCs/>
                <w:color w:val="000000" w:themeColor="text1"/>
                <w:sz w:val="22"/>
              </w:rPr>
            </w:pPr>
            <w:r w:rsidRPr="008C214D">
              <w:rPr>
                <w:rFonts w:ascii="Arial" w:eastAsia="Times" w:hAnsi="Arial"/>
                <w:b/>
                <w:bCs/>
                <w:color w:val="000000" w:themeColor="text1"/>
                <w:sz w:val="22"/>
              </w:rPr>
              <w:t>Application Fee Option</w:t>
            </w:r>
          </w:p>
        </w:tc>
        <w:tc>
          <w:tcPr>
            <w:tcW w:w="890" w:type="pct"/>
            <w:shd w:val="clear" w:color="auto" w:fill="FFFFFF"/>
            <w:vAlign w:val="center"/>
          </w:tcPr>
          <w:p w14:paraId="08A9801E" w14:textId="77777777" w:rsidR="00597DA1" w:rsidRPr="008C214D" w:rsidRDefault="00597DA1">
            <w:pPr>
              <w:spacing w:before="120" w:after="120" w:line="250" w:lineRule="atLeast"/>
              <w:jc w:val="center"/>
              <w:rPr>
                <w:rFonts w:ascii="Arial" w:eastAsia="Times" w:hAnsi="Arial"/>
                <w:i/>
                <w:iCs/>
                <w:color w:val="000000" w:themeColor="text1"/>
                <w:sz w:val="22"/>
              </w:rPr>
            </w:pPr>
            <w:r w:rsidRPr="008C214D">
              <w:rPr>
                <w:rFonts w:ascii="Arial" w:eastAsia="Times" w:hAnsi="Arial"/>
                <w:i/>
                <w:iCs/>
                <w:color w:val="000000" w:themeColor="text1"/>
                <w:sz w:val="22"/>
              </w:rPr>
              <w:t xml:space="preserve">Debt recovery fee </w:t>
            </w:r>
          </w:p>
        </w:tc>
        <w:tc>
          <w:tcPr>
            <w:tcW w:w="959" w:type="pct"/>
            <w:shd w:val="clear" w:color="auto" w:fill="FFFFFF"/>
            <w:vAlign w:val="center"/>
          </w:tcPr>
          <w:p w14:paraId="69A4B12C" w14:textId="77777777" w:rsidR="00597DA1" w:rsidRPr="008C214D" w:rsidRDefault="00597DA1">
            <w:pPr>
              <w:spacing w:before="120" w:after="120" w:line="250" w:lineRule="atLeast"/>
              <w:jc w:val="center"/>
              <w:rPr>
                <w:rFonts w:ascii="Arial" w:eastAsia="Times" w:hAnsi="Arial"/>
                <w:i/>
                <w:iCs/>
                <w:color w:val="000000" w:themeColor="text1"/>
                <w:sz w:val="22"/>
              </w:rPr>
            </w:pPr>
            <w:r w:rsidRPr="008C214D">
              <w:rPr>
                <w:rFonts w:ascii="Arial" w:eastAsia="Times" w:hAnsi="Arial"/>
                <w:i/>
                <w:iCs/>
                <w:color w:val="000000" w:themeColor="text1"/>
                <w:sz w:val="22"/>
              </w:rPr>
              <w:t>Debt recovery fee</w:t>
            </w:r>
          </w:p>
        </w:tc>
        <w:tc>
          <w:tcPr>
            <w:tcW w:w="1177" w:type="pct"/>
            <w:shd w:val="clear" w:color="auto" w:fill="FFFFFF"/>
            <w:vAlign w:val="center"/>
          </w:tcPr>
          <w:p w14:paraId="6E2DE09D" w14:textId="77777777" w:rsidR="00597DA1" w:rsidRPr="008C214D" w:rsidRDefault="00597DA1">
            <w:pPr>
              <w:spacing w:before="120" w:after="120" w:line="250" w:lineRule="atLeast"/>
              <w:jc w:val="center"/>
              <w:rPr>
                <w:rFonts w:ascii="Arial" w:eastAsia="Times" w:hAnsi="Arial"/>
                <w:i/>
                <w:iCs/>
                <w:color w:val="000000" w:themeColor="text1"/>
                <w:sz w:val="22"/>
              </w:rPr>
            </w:pPr>
            <w:r w:rsidRPr="008C214D">
              <w:rPr>
                <w:rFonts w:ascii="Arial" w:eastAsia="Times" w:hAnsi="Arial"/>
                <w:i/>
                <w:iCs/>
                <w:color w:val="000000" w:themeColor="text1"/>
                <w:sz w:val="22"/>
              </w:rPr>
              <w:t>Debt recovery fee</w:t>
            </w:r>
          </w:p>
        </w:tc>
        <w:tc>
          <w:tcPr>
            <w:tcW w:w="1119" w:type="pct"/>
            <w:shd w:val="clear" w:color="auto" w:fill="FFFFFF"/>
            <w:vAlign w:val="center"/>
          </w:tcPr>
          <w:p w14:paraId="710EDBFF" w14:textId="77777777" w:rsidR="00597DA1" w:rsidRPr="008C214D" w:rsidRDefault="00597DA1">
            <w:pPr>
              <w:spacing w:before="120" w:after="120" w:line="250" w:lineRule="atLeast"/>
              <w:jc w:val="center"/>
              <w:rPr>
                <w:rFonts w:ascii="Arial" w:eastAsia="Times" w:hAnsi="Arial"/>
                <w:i/>
                <w:iCs/>
                <w:color w:val="000000" w:themeColor="text1"/>
                <w:sz w:val="22"/>
              </w:rPr>
            </w:pPr>
            <w:r w:rsidRPr="008C214D">
              <w:rPr>
                <w:rFonts w:ascii="Arial" w:eastAsia="Times" w:hAnsi="Arial"/>
                <w:i/>
                <w:iCs/>
                <w:color w:val="000000" w:themeColor="text1"/>
                <w:sz w:val="22"/>
              </w:rPr>
              <w:t>Debt recovery fee</w:t>
            </w:r>
          </w:p>
        </w:tc>
      </w:tr>
      <w:tr w:rsidR="00597DA1" w:rsidRPr="00F07860" w14:paraId="6550A901" w14:textId="77777777" w:rsidTr="008E7AE6">
        <w:trPr>
          <w:trHeight w:val="454"/>
        </w:trPr>
        <w:tc>
          <w:tcPr>
            <w:tcW w:w="855" w:type="pct"/>
            <w:shd w:val="clear" w:color="auto" w:fill="F2F2F2"/>
          </w:tcPr>
          <w:p w14:paraId="3583F91E" w14:textId="77777777" w:rsidR="00597DA1" w:rsidRPr="008C214D" w:rsidRDefault="00597DA1">
            <w:pPr>
              <w:spacing w:before="120" w:after="120" w:line="250" w:lineRule="atLeast"/>
              <w:jc w:val="center"/>
              <w:rPr>
                <w:rFonts w:ascii="Arial" w:eastAsia="Times" w:hAnsi="Arial"/>
                <w:color w:val="000000" w:themeColor="text1"/>
                <w:sz w:val="22"/>
              </w:rPr>
            </w:pPr>
            <w:r w:rsidRPr="008C214D">
              <w:rPr>
                <w:rFonts w:ascii="Arial" w:eastAsia="Times" w:hAnsi="Arial"/>
                <w:color w:val="000000" w:themeColor="text1"/>
                <w:sz w:val="22"/>
              </w:rPr>
              <w:t>$35</w:t>
            </w:r>
          </w:p>
        </w:tc>
        <w:tc>
          <w:tcPr>
            <w:tcW w:w="890" w:type="pct"/>
            <w:shd w:val="clear" w:color="auto" w:fill="FFFFFF"/>
          </w:tcPr>
          <w:p w14:paraId="22F8B324" w14:textId="25D83FD9"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$12.</w:t>
            </w:r>
            <w:r w:rsidR="00667C9A" w:rsidRPr="008E7AE6">
              <w:rPr>
                <w:rFonts w:ascii="Arial" w:eastAsia="Times" w:hAnsi="Arial"/>
                <w:color w:val="000000" w:themeColor="text1"/>
                <w:sz w:val="22"/>
              </w:rPr>
              <w:t>80</w:t>
            </w:r>
          </w:p>
        </w:tc>
        <w:tc>
          <w:tcPr>
            <w:tcW w:w="959" w:type="pct"/>
            <w:shd w:val="clear" w:color="auto" w:fill="FFFFFF"/>
          </w:tcPr>
          <w:p w14:paraId="39FD2B3E"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0.96%</w:t>
            </w:r>
          </w:p>
        </w:tc>
        <w:tc>
          <w:tcPr>
            <w:tcW w:w="1177" w:type="pct"/>
            <w:shd w:val="clear" w:color="auto" w:fill="FFFFFF"/>
          </w:tcPr>
          <w:p w14:paraId="4070C815"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$13.46</w:t>
            </w:r>
          </w:p>
        </w:tc>
        <w:tc>
          <w:tcPr>
            <w:tcW w:w="1119" w:type="pct"/>
            <w:shd w:val="clear" w:color="auto" w:fill="FFFFFF"/>
          </w:tcPr>
          <w:p w14:paraId="41B8B04F"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1.03%</w:t>
            </w:r>
          </w:p>
        </w:tc>
      </w:tr>
      <w:tr w:rsidR="00597DA1" w:rsidRPr="00F07860" w14:paraId="46FDA740" w14:textId="77777777" w:rsidTr="008E7AE6">
        <w:trPr>
          <w:trHeight w:val="468"/>
        </w:trPr>
        <w:tc>
          <w:tcPr>
            <w:tcW w:w="855" w:type="pct"/>
            <w:shd w:val="clear" w:color="auto" w:fill="F2F2F2"/>
          </w:tcPr>
          <w:p w14:paraId="62707130" w14:textId="77777777" w:rsidR="00597DA1" w:rsidRPr="008C214D" w:rsidRDefault="00597DA1">
            <w:pPr>
              <w:spacing w:before="120" w:after="120" w:line="250" w:lineRule="atLeast"/>
              <w:jc w:val="center"/>
              <w:rPr>
                <w:rFonts w:ascii="Arial" w:eastAsia="Times" w:hAnsi="Arial"/>
                <w:color w:val="000000" w:themeColor="text1"/>
                <w:sz w:val="22"/>
              </w:rPr>
            </w:pPr>
            <w:r w:rsidRPr="008C214D">
              <w:rPr>
                <w:rFonts w:ascii="Arial" w:eastAsia="Times" w:hAnsi="Arial"/>
                <w:color w:val="000000" w:themeColor="text1"/>
                <w:sz w:val="22"/>
              </w:rPr>
              <w:t>$40</w:t>
            </w:r>
          </w:p>
        </w:tc>
        <w:tc>
          <w:tcPr>
            <w:tcW w:w="890" w:type="pct"/>
            <w:shd w:val="clear" w:color="auto" w:fill="FFFFFF"/>
          </w:tcPr>
          <w:p w14:paraId="0EB338E0"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$16.65</w:t>
            </w:r>
          </w:p>
        </w:tc>
        <w:tc>
          <w:tcPr>
            <w:tcW w:w="959" w:type="pct"/>
            <w:shd w:val="clear" w:color="auto" w:fill="FFFFFF"/>
          </w:tcPr>
          <w:p w14:paraId="0C999536"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1.30%</w:t>
            </w:r>
          </w:p>
        </w:tc>
        <w:tc>
          <w:tcPr>
            <w:tcW w:w="1177" w:type="pct"/>
            <w:shd w:val="clear" w:color="auto" w:fill="FFFFFF"/>
          </w:tcPr>
          <w:p w14:paraId="7AFDF60E"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$17.94</w:t>
            </w:r>
          </w:p>
        </w:tc>
        <w:tc>
          <w:tcPr>
            <w:tcW w:w="1119" w:type="pct"/>
            <w:shd w:val="clear" w:color="auto" w:fill="FFFFFF"/>
          </w:tcPr>
          <w:p w14:paraId="7BD57530"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1.40%</w:t>
            </w:r>
          </w:p>
        </w:tc>
      </w:tr>
      <w:tr w:rsidR="00597DA1" w:rsidRPr="00F07860" w14:paraId="6F06E5B0" w14:textId="77777777" w:rsidTr="008E7AE6">
        <w:trPr>
          <w:trHeight w:val="454"/>
        </w:trPr>
        <w:tc>
          <w:tcPr>
            <w:tcW w:w="855" w:type="pct"/>
            <w:shd w:val="clear" w:color="auto" w:fill="F2F2F2"/>
          </w:tcPr>
          <w:p w14:paraId="0C0622FC" w14:textId="77777777" w:rsidR="00597DA1" w:rsidRPr="008C214D" w:rsidRDefault="00597DA1">
            <w:pPr>
              <w:spacing w:before="120" w:after="120" w:line="250" w:lineRule="atLeast"/>
              <w:jc w:val="center"/>
              <w:rPr>
                <w:rFonts w:ascii="Arial" w:eastAsia="Times" w:hAnsi="Arial"/>
                <w:color w:val="000000" w:themeColor="text1"/>
                <w:sz w:val="22"/>
              </w:rPr>
            </w:pPr>
            <w:r w:rsidRPr="008C214D">
              <w:rPr>
                <w:rFonts w:ascii="Arial" w:eastAsia="Times" w:hAnsi="Arial"/>
                <w:color w:val="000000" w:themeColor="text1"/>
                <w:sz w:val="22"/>
              </w:rPr>
              <w:t>$45</w:t>
            </w:r>
          </w:p>
        </w:tc>
        <w:tc>
          <w:tcPr>
            <w:tcW w:w="890" w:type="pct"/>
            <w:shd w:val="clear" w:color="auto" w:fill="FFFFFF"/>
          </w:tcPr>
          <w:p w14:paraId="6278E421"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$21.26</w:t>
            </w:r>
          </w:p>
        </w:tc>
        <w:tc>
          <w:tcPr>
            <w:tcW w:w="959" w:type="pct"/>
            <w:shd w:val="clear" w:color="auto" w:fill="FFFFFF"/>
          </w:tcPr>
          <w:p w14:paraId="52D4A3DF"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1.67%</w:t>
            </w:r>
          </w:p>
        </w:tc>
        <w:tc>
          <w:tcPr>
            <w:tcW w:w="1177" w:type="pct"/>
            <w:shd w:val="clear" w:color="auto" w:fill="FFFFFF"/>
          </w:tcPr>
          <w:p w14:paraId="429F92B4"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$23.04</w:t>
            </w:r>
          </w:p>
        </w:tc>
        <w:tc>
          <w:tcPr>
            <w:tcW w:w="1119" w:type="pct"/>
            <w:shd w:val="clear" w:color="auto" w:fill="FFFFFF"/>
          </w:tcPr>
          <w:p w14:paraId="7ECBE46B" w14:textId="77777777" w:rsidR="00597DA1" w:rsidRPr="008E7AE6" w:rsidRDefault="00597DA1">
            <w:pPr>
              <w:spacing w:before="120" w:after="120" w:line="250" w:lineRule="atLeast"/>
              <w:jc w:val="center"/>
              <w:rPr>
                <w:rFonts w:ascii="Arial" w:eastAsia="Times" w:hAnsi="Arial"/>
                <w:color w:val="000000" w:themeColor="text1"/>
                <w:sz w:val="22"/>
              </w:rPr>
            </w:pPr>
            <w:r w:rsidRPr="008E7AE6">
              <w:rPr>
                <w:rFonts w:ascii="Arial" w:eastAsia="Times" w:hAnsi="Arial"/>
                <w:color w:val="000000" w:themeColor="text1"/>
                <w:sz w:val="22"/>
              </w:rPr>
              <w:t>1.81%</w:t>
            </w:r>
          </w:p>
        </w:tc>
      </w:tr>
    </w:tbl>
    <w:p w14:paraId="76A684D9"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Assessment of impacts</w:t>
      </w:r>
    </w:p>
    <w:p w14:paraId="6D437908" w14:textId="5177EB39" w:rsidR="00597DA1" w:rsidRPr="00F07860" w:rsidRDefault="00597DA1" w:rsidP="00597DA1">
      <w:pPr>
        <w:spacing w:after="120" w:line="280" w:lineRule="atLeast"/>
        <w:jc w:val="both"/>
        <w:rPr>
          <w:rFonts w:ascii="Arial" w:eastAsia="Lucida Grande" w:hAnsi="Arial" w:cs="Arial"/>
          <w:sz w:val="22"/>
          <w:szCs w:val="22"/>
        </w:rPr>
      </w:pPr>
      <w:r w:rsidRPr="79E303FA">
        <w:rPr>
          <w:rFonts w:ascii="Arial" w:eastAsia="Lucida Grande" w:hAnsi="Arial" w:cs="Arial"/>
          <w:sz w:val="22"/>
          <w:szCs w:val="22"/>
        </w:rPr>
        <w:t>Fee options were assessed using financial modelling and multi-criteria analysis consistent with Better Regulation Victoria guidance. Modelling examined ten-year cashflows including fee revenue, operating costs and debt write-offs, with sensitivity testing for participation and recovery rates. The multi-criteria analysis assessed effectiveness, efficiency, simplicity, equity and user-pays alignment.</w:t>
      </w:r>
    </w:p>
    <w:p w14:paraId="50872004" w14:textId="4B84B2C9" w:rsidR="00597DA1" w:rsidRPr="00F07860" w:rsidRDefault="00597DA1" w:rsidP="00597DA1">
      <w:pPr>
        <w:keepNext/>
        <w:spacing w:after="120" w:line="280" w:lineRule="atLeast"/>
        <w:jc w:val="both"/>
        <w:rPr>
          <w:rFonts w:ascii="Arial" w:eastAsia="Lucida Grande" w:hAnsi="Arial" w:cs="Arial"/>
          <w:sz w:val="22"/>
          <w:szCs w:val="22"/>
        </w:rPr>
      </w:pPr>
      <w:r w:rsidRPr="3EE459A6">
        <w:rPr>
          <w:rFonts w:ascii="Arial" w:eastAsia="Lucida Grande" w:hAnsi="Arial" w:cs="Arial"/>
          <w:sz w:val="22"/>
          <w:szCs w:val="22"/>
        </w:rPr>
        <w:t xml:space="preserve">The assessment found that all application fee options enable recovery of the Government’s operating costs for the </w:t>
      </w:r>
      <w:r w:rsidR="09E0F42B" w:rsidRPr="3EE459A6">
        <w:rPr>
          <w:rFonts w:ascii="Arial" w:eastAsia="Lucida Grande" w:hAnsi="Arial" w:cs="Arial"/>
          <w:sz w:val="22"/>
          <w:szCs w:val="22"/>
        </w:rPr>
        <w:t>PRBS but</w:t>
      </w:r>
      <w:r w:rsidRPr="3EE459A6">
        <w:rPr>
          <w:rFonts w:ascii="Arial" w:eastAsia="Lucida Grande" w:hAnsi="Arial" w:cs="Arial"/>
          <w:sz w:val="22"/>
          <w:szCs w:val="22"/>
        </w:rPr>
        <w:t xml:space="preserve"> differ in their impacts on participation and equity. As previously noted, higher application fees achieve faster cost recovery but reduce expected participation in the scheme, while lower fees support higher participation but extend the cost recovery timeframe. The $35 application fee was assessed as best balancing these </w:t>
      </w:r>
      <w:r w:rsidR="0490EBAD" w:rsidRPr="3EE459A6">
        <w:rPr>
          <w:rFonts w:ascii="Arial" w:eastAsia="Lucida Grande" w:hAnsi="Arial" w:cs="Arial"/>
          <w:sz w:val="22"/>
          <w:szCs w:val="22"/>
        </w:rPr>
        <w:t>trade-offs</w:t>
      </w:r>
      <w:r w:rsidRPr="3EE459A6">
        <w:rPr>
          <w:rFonts w:ascii="Arial" w:eastAsia="Lucida Grande" w:hAnsi="Arial" w:cs="Arial"/>
          <w:sz w:val="22"/>
          <w:szCs w:val="22"/>
        </w:rPr>
        <w:t>, achieving cost recovery within the life of the Regulations while supporting broader participation and minimising barriers for renters with lower ability to pay.</w:t>
      </w:r>
    </w:p>
    <w:p w14:paraId="6AE419E2" w14:textId="5AC3D163" w:rsidR="00597DA1" w:rsidRPr="00F07860" w:rsidRDefault="00597DA1" w:rsidP="00597DA1">
      <w:pPr>
        <w:keepNext/>
        <w:spacing w:after="120" w:line="280" w:lineRule="atLeast"/>
        <w:jc w:val="both"/>
        <w:rPr>
          <w:rFonts w:ascii="Arial" w:eastAsia="Lucida Grande" w:hAnsi="Arial" w:cs="Arial"/>
          <w:sz w:val="22"/>
          <w:szCs w:val="22"/>
        </w:rPr>
      </w:pPr>
      <w:r w:rsidRPr="3EE459A6">
        <w:rPr>
          <w:rFonts w:ascii="Arial" w:eastAsia="Lucida Grande" w:hAnsi="Arial" w:cs="Arial"/>
          <w:sz w:val="22"/>
          <w:szCs w:val="22"/>
        </w:rPr>
        <w:t xml:space="preserve">The assessment of debt recovery fee options found that all options support recovery of the Government’s internal debt recovery costs (so are considered equally effective and efficient), but differ in terms of equity, simplicity and alignment with the </w:t>
      </w:r>
      <w:r w:rsidR="2AF4B92C" w:rsidRPr="3EE459A6">
        <w:rPr>
          <w:rFonts w:ascii="Arial" w:eastAsia="Lucida Grande" w:hAnsi="Arial" w:cs="Arial"/>
          <w:sz w:val="22"/>
          <w:szCs w:val="22"/>
        </w:rPr>
        <w:t>user pays</w:t>
      </w:r>
      <w:r w:rsidRPr="3EE459A6">
        <w:rPr>
          <w:rFonts w:ascii="Arial" w:eastAsia="Lucida Grande" w:hAnsi="Arial" w:cs="Arial"/>
          <w:sz w:val="22"/>
          <w:szCs w:val="22"/>
        </w:rPr>
        <w:t xml:space="preserve"> principle. Flat debt recovery fees performed better in terms of administrative simplicity and </w:t>
      </w:r>
      <w:r w:rsidR="61B4A2A7" w:rsidRPr="3EE459A6">
        <w:rPr>
          <w:rFonts w:ascii="Arial" w:eastAsia="Lucida Grande" w:hAnsi="Arial" w:cs="Arial"/>
          <w:sz w:val="22"/>
          <w:szCs w:val="22"/>
        </w:rPr>
        <w:t>cost reflectiveness</w:t>
      </w:r>
      <w:r w:rsidRPr="3EE459A6">
        <w:rPr>
          <w:rFonts w:ascii="Arial" w:eastAsia="Lucida Grande" w:hAnsi="Arial" w:cs="Arial"/>
          <w:sz w:val="22"/>
          <w:szCs w:val="22"/>
        </w:rPr>
        <w:t xml:space="preserve">, while </w:t>
      </w:r>
      <w:r w:rsidR="7704EF9D" w:rsidRPr="3EE459A6">
        <w:rPr>
          <w:rFonts w:ascii="Arial" w:eastAsia="Lucida Grande" w:hAnsi="Arial" w:cs="Arial"/>
          <w:sz w:val="22"/>
          <w:szCs w:val="22"/>
        </w:rPr>
        <w:t>percentage-based</w:t>
      </w:r>
      <w:r w:rsidRPr="3EE459A6">
        <w:rPr>
          <w:rFonts w:ascii="Arial" w:eastAsia="Lucida Grande" w:hAnsi="Arial" w:cs="Arial"/>
          <w:sz w:val="22"/>
          <w:szCs w:val="22"/>
        </w:rPr>
        <w:t xml:space="preserve"> fees performed marginally better on equity but were less transparent and less closely aligned with the underlying costs incurred by </w:t>
      </w:r>
      <w:r w:rsidRPr="3EE459A6">
        <w:rPr>
          <w:rFonts w:ascii="Arial" w:eastAsia="Lucida Grande" w:hAnsi="Arial" w:cs="Arial"/>
          <w:sz w:val="22"/>
          <w:szCs w:val="22"/>
        </w:rPr>
        <w:lastRenderedPageBreak/>
        <w:t>Government. Applying a flat debt recovery fee to overdue debts at the commencement of internal recovery was assessed as providing the most proportionate and effective approach.</w:t>
      </w:r>
    </w:p>
    <w:p w14:paraId="4BC1EA89"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Preferred approach</w:t>
      </w:r>
    </w:p>
    <w:p w14:paraId="694F7849" w14:textId="6FCE9E71" w:rsidR="00597DA1" w:rsidRPr="00F07860" w:rsidRDefault="00597DA1" w:rsidP="00597DA1">
      <w:pPr>
        <w:spacing w:after="120" w:line="280" w:lineRule="atLeast"/>
        <w:jc w:val="both"/>
        <w:rPr>
          <w:rFonts w:ascii="Arial" w:eastAsia="Lucida Grande" w:hAnsi="Arial" w:cs="Arial"/>
          <w:sz w:val="22"/>
          <w:szCs w:val="22"/>
        </w:rPr>
      </w:pPr>
      <w:r w:rsidRPr="79E303FA">
        <w:rPr>
          <w:rFonts w:ascii="Arial" w:eastAsia="Lucida Grande" w:hAnsi="Arial" w:cs="Arial"/>
          <w:sz w:val="22"/>
          <w:szCs w:val="22"/>
        </w:rPr>
        <w:t xml:space="preserve">The preferred approach is to prescribe a $35 flat application fee for renters who choose to participate in the PRBS and a flat debt recovery fee of approximately $12.80 charged to all renters with overdue debts at the start of the internal recovery process. This approach achieves cost recovery over approximately </w:t>
      </w:r>
      <w:r w:rsidR="009C5646" w:rsidRPr="79E303FA">
        <w:rPr>
          <w:rFonts w:ascii="Arial" w:eastAsia="Lucida Grande" w:hAnsi="Arial" w:cs="Arial"/>
          <w:sz w:val="22"/>
          <w:szCs w:val="22"/>
        </w:rPr>
        <w:t>8</w:t>
      </w:r>
      <w:r w:rsidRPr="79E303FA">
        <w:rPr>
          <w:rFonts w:ascii="Arial" w:eastAsia="Lucida Grande" w:hAnsi="Arial" w:cs="Arial"/>
          <w:sz w:val="22"/>
          <w:szCs w:val="22"/>
        </w:rPr>
        <w:t xml:space="preserve"> years, supports higher participation than alternative fee levels and limits cross-subsidisation between users. Modelling indicates that approximately 9</w:t>
      </w:r>
      <w:r w:rsidR="007144D0" w:rsidRPr="79E303FA">
        <w:rPr>
          <w:rFonts w:ascii="Arial" w:eastAsia="Lucida Grande" w:hAnsi="Arial" w:cs="Arial"/>
          <w:sz w:val="22"/>
          <w:szCs w:val="22"/>
        </w:rPr>
        <w:t>6.6</w:t>
      </w:r>
      <w:r w:rsidR="009C5646" w:rsidRPr="79E303FA">
        <w:rPr>
          <w:rFonts w:ascii="Arial" w:eastAsia="Lucida Grande" w:hAnsi="Arial" w:cs="Arial"/>
          <w:sz w:val="22"/>
          <w:szCs w:val="22"/>
        </w:rPr>
        <w:t>%</w:t>
      </w:r>
      <w:r w:rsidRPr="79E303FA">
        <w:rPr>
          <w:rFonts w:ascii="Arial" w:eastAsia="Lucida Grande" w:hAnsi="Arial" w:cs="Arial"/>
          <w:sz w:val="22"/>
          <w:szCs w:val="22"/>
        </w:rPr>
        <w:t xml:space="preserve"> of debts established under the PRBS are expected to be recovered over time.</w:t>
      </w:r>
    </w:p>
    <w:p w14:paraId="28C685A7"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Payment plans and hardship provisions will be available to mitigate impacts on renters experiencing financial difficulty, and set out in the Transfer of Bond Guidelines. </w:t>
      </w:r>
    </w:p>
    <w:p w14:paraId="6302182E" w14:textId="77777777" w:rsidR="00597DA1" w:rsidRPr="00F07860" w:rsidRDefault="00597DA1" w:rsidP="00597DA1">
      <w:pPr>
        <w:keepNext/>
        <w:keepLines/>
        <w:spacing w:before="240" w:after="120" w:line="240" w:lineRule="atLeast"/>
        <w:outlineLvl w:val="3"/>
        <w:rPr>
          <w:rFonts w:ascii="Arial" w:eastAsia="MS Mincho" w:hAnsi="Arial" w:cs="Arial"/>
          <w:b/>
          <w:bCs/>
          <w:color w:val="16145F"/>
          <w:sz w:val="22"/>
        </w:rPr>
      </w:pPr>
      <w:r w:rsidRPr="00F07860">
        <w:rPr>
          <w:rFonts w:ascii="Arial" w:eastAsia="MS Mincho" w:hAnsi="Arial" w:cs="Arial"/>
          <w:b/>
          <w:bCs/>
          <w:color w:val="16145F"/>
          <w:sz w:val="22"/>
        </w:rPr>
        <w:t>Implementation, monitoring and review</w:t>
      </w:r>
    </w:p>
    <w:p w14:paraId="6266859C" w14:textId="77777777" w:rsidR="00597DA1" w:rsidRPr="00F07860" w:rsidRDefault="00597DA1" w:rsidP="00597DA1">
      <w:pPr>
        <w:spacing w:after="120" w:line="280" w:lineRule="atLeast"/>
        <w:jc w:val="both"/>
        <w:rPr>
          <w:rFonts w:ascii="Arial" w:eastAsia="Lucida Grande" w:hAnsi="Arial" w:cs="Arial"/>
          <w:sz w:val="22"/>
          <w:szCs w:val="22"/>
        </w:rPr>
      </w:pPr>
      <w:r w:rsidRPr="00F07860">
        <w:rPr>
          <w:rFonts w:ascii="Arial" w:eastAsia="Lucida Grande" w:hAnsi="Arial" w:cs="Arial"/>
          <w:sz w:val="22"/>
          <w:szCs w:val="22"/>
        </w:rPr>
        <w:t xml:space="preserve">The PRBS is intended to commence in 2026. Implementation will include finalisation </w:t>
      </w:r>
      <w:r>
        <w:rPr>
          <w:rFonts w:ascii="Arial" w:eastAsia="Lucida Grande" w:hAnsi="Arial" w:cs="Arial"/>
          <w:sz w:val="22"/>
          <w:szCs w:val="22"/>
        </w:rPr>
        <w:t xml:space="preserve">and commencement </w:t>
      </w:r>
      <w:r w:rsidRPr="00F07860">
        <w:rPr>
          <w:rFonts w:ascii="Arial" w:eastAsia="Lucida Grande" w:hAnsi="Arial" w:cs="Arial"/>
          <w:sz w:val="22"/>
          <w:szCs w:val="22"/>
        </w:rPr>
        <w:t>of the Regulations, development of operational guidelines, system and staffing arrangements and targeted communications.</w:t>
      </w:r>
    </w:p>
    <w:p w14:paraId="122096E7" w14:textId="164F1354" w:rsidR="00597DA1" w:rsidRPr="00F07860" w:rsidRDefault="00597DA1" w:rsidP="00597DA1">
      <w:pPr>
        <w:rPr>
          <w:rFonts w:ascii="Arial" w:eastAsia="Lucida Grande" w:hAnsi="Arial" w:cs="Arial"/>
          <w:sz w:val="22"/>
          <w:szCs w:val="22"/>
        </w:rPr>
      </w:pPr>
      <w:r w:rsidRPr="79E303FA">
        <w:rPr>
          <w:rFonts w:ascii="Arial" w:eastAsia="Lucida Grande" w:hAnsi="Arial" w:cs="Arial"/>
          <w:sz w:val="22"/>
          <w:szCs w:val="22"/>
        </w:rPr>
        <w:t xml:space="preserve">The scheme will be monitored on an ongoing basis, with an independent review undertaken between one and three years after commencement. The Regulations will sunset after </w:t>
      </w:r>
      <w:r w:rsidR="00A325B0" w:rsidRPr="79E303FA">
        <w:rPr>
          <w:rFonts w:ascii="Arial" w:eastAsia="Lucida Grande" w:hAnsi="Arial" w:cs="Arial"/>
          <w:sz w:val="22"/>
          <w:szCs w:val="22"/>
        </w:rPr>
        <w:t>10</w:t>
      </w:r>
      <w:r w:rsidRPr="79E303FA">
        <w:rPr>
          <w:rFonts w:ascii="Arial" w:eastAsia="Lucida Grande" w:hAnsi="Arial" w:cs="Arial"/>
          <w:sz w:val="22"/>
          <w:szCs w:val="22"/>
        </w:rPr>
        <w:t xml:space="preserve"> years, with a further evaluation at that point.</w:t>
      </w:r>
    </w:p>
    <w:bookmarkEnd w:id="2"/>
    <w:bookmarkEnd w:id="3"/>
    <w:p w14:paraId="15F40555" w14:textId="57467D9B" w:rsidR="00F97A4D" w:rsidRPr="00BE5ED9" w:rsidRDefault="00F97A4D" w:rsidP="00BE5ED9">
      <w:pPr>
        <w:pStyle w:val="Body"/>
      </w:pPr>
      <w:r w:rsidRPr="000F65FE">
        <w:br w:type="page"/>
      </w:r>
    </w:p>
    <w:p w14:paraId="4575F8D7" w14:textId="77777777" w:rsidR="00A26C3F" w:rsidRPr="000F65FE" w:rsidRDefault="00A26C3F" w:rsidP="00A26C3F">
      <w:pPr>
        <w:pStyle w:val="Heading1"/>
        <w:tabs>
          <w:tab w:val="num" w:pos="340"/>
        </w:tabs>
        <w:ind w:left="340" w:hanging="340"/>
      </w:pPr>
      <w:bookmarkStart w:id="4" w:name="_Toc221890884"/>
      <w:r w:rsidRPr="000F65FE">
        <w:lastRenderedPageBreak/>
        <w:t>Background</w:t>
      </w:r>
      <w:bookmarkEnd w:id="4"/>
    </w:p>
    <w:p w14:paraId="1B068030" w14:textId="2C33622C" w:rsidR="00A06A43" w:rsidRPr="000F65FE" w:rsidRDefault="00A06A43" w:rsidP="00A06A43">
      <w:pPr>
        <w:pStyle w:val="DJCSbody"/>
        <w:ind w:left="0"/>
      </w:pPr>
      <w:r w:rsidRPr="000F65FE">
        <w:t xml:space="preserve">This chapter </w:t>
      </w:r>
      <w:r>
        <w:t xml:space="preserve">outlines the background and context for the introduction of the Portable Rental Bond Scheme (PRBS) in Victoria. It describes the key features of the </w:t>
      </w:r>
      <w:r w:rsidR="00940539">
        <w:t>PRBS</w:t>
      </w:r>
      <w:r>
        <w:t>, approaches in other jurisdictions, and the</w:t>
      </w:r>
      <w:r w:rsidRPr="000F65FE">
        <w:t xml:space="preserve"> </w:t>
      </w:r>
      <w:r>
        <w:t xml:space="preserve">scope of this Regulatory Impact Statement (RIS) for the proposed </w:t>
      </w:r>
      <w:r w:rsidRPr="0032412E">
        <w:t xml:space="preserve">Residential Tenancies </w:t>
      </w:r>
      <w:r>
        <w:t xml:space="preserve">(Transfer of Bond Scheme) </w:t>
      </w:r>
      <w:r w:rsidRPr="0032412E">
        <w:t>Regulations 202</w:t>
      </w:r>
      <w:r>
        <w:t>6</w:t>
      </w:r>
      <w:r w:rsidRPr="000F65FE">
        <w:rPr>
          <w:i/>
          <w:iCs/>
        </w:rPr>
        <w:t xml:space="preserve"> </w:t>
      </w:r>
      <w:r w:rsidRPr="000F65FE">
        <w:t xml:space="preserve">(the </w:t>
      </w:r>
      <w:r>
        <w:t>Regulations</w:t>
      </w:r>
      <w:r w:rsidRPr="000F65FE">
        <w:t>)</w:t>
      </w:r>
      <w:r>
        <w:t>.</w:t>
      </w:r>
    </w:p>
    <w:p w14:paraId="523E9812" w14:textId="77777777" w:rsidR="00A26C3F" w:rsidRPr="000F65FE" w:rsidRDefault="00A26C3F" w:rsidP="00A26C3F">
      <w:pPr>
        <w:pStyle w:val="Heading2"/>
      </w:pPr>
      <w:bookmarkStart w:id="5" w:name="_Toc220522638"/>
      <w:bookmarkStart w:id="6" w:name="_Toc221890885"/>
      <w:bookmarkEnd w:id="5"/>
      <w:r w:rsidRPr="000F65FE">
        <w:t>Introduction</w:t>
      </w:r>
      <w:bookmarkEnd w:id="6"/>
    </w:p>
    <w:p w14:paraId="759EFD52" w14:textId="0B3F8B31" w:rsidR="008F0FB5" w:rsidRDefault="00A26C3F" w:rsidP="008F0FB5">
      <w:pPr>
        <w:pStyle w:val="DJCSbody"/>
        <w:ind w:left="0"/>
      </w:pPr>
      <w:r>
        <w:t xml:space="preserve">In 2023, </w:t>
      </w:r>
      <w:r w:rsidR="000853C8">
        <w:t xml:space="preserve">the Victorian Government (the Government) </w:t>
      </w:r>
      <w:r>
        <w:t xml:space="preserve">released its </w:t>
      </w:r>
      <w:r w:rsidRPr="00B07A8D">
        <w:t xml:space="preserve">Housing Statement, </w:t>
      </w:r>
      <w:r w:rsidRPr="00B07A8D">
        <w:rPr>
          <w:i/>
          <w:iCs/>
        </w:rPr>
        <w:t>The decade ahead: 2024-2034</w:t>
      </w:r>
      <w:r>
        <w:t xml:space="preserve">, which </w:t>
      </w:r>
      <w:r w:rsidRPr="00B07A8D">
        <w:t xml:space="preserve">identified </w:t>
      </w:r>
      <w:r w:rsidRPr="00614FC8">
        <w:t>five areas</w:t>
      </w:r>
      <w:r>
        <w:t xml:space="preserve"> of focus for</w:t>
      </w:r>
      <w:r w:rsidRPr="00614FC8">
        <w:t xml:space="preserve"> tackl</w:t>
      </w:r>
      <w:r>
        <w:t>ing</w:t>
      </w:r>
      <w:r w:rsidRPr="00614FC8">
        <w:t xml:space="preserve"> housing supply and affordability in Victoria</w:t>
      </w:r>
      <w:r>
        <w:t xml:space="preserve">. To fulfil one of the Statement’s five priorities, the need to protect renters’ rights, the Government committed to introducing a PRBS. </w:t>
      </w:r>
      <w:r w:rsidR="000E4EC1">
        <w:t xml:space="preserve">The PRBS will allow renters to transfer their rental bond from one </w:t>
      </w:r>
      <w:r w:rsidR="00DB03E5">
        <w:t>rented premises</w:t>
      </w:r>
      <w:r w:rsidR="000E4EC1">
        <w:t xml:space="preserve"> over to another, alleviating some of the financial burden experienced by renters when they move between rental homes</w:t>
      </w:r>
      <w:r w:rsidR="008F0FB5">
        <w:t xml:space="preserve">. </w:t>
      </w:r>
    </w:p>
    <w:p w14:paraId="563BFF63" w14:textId="47CD7B9D" w:rsidR="00861734" w:rsidRDefault="00861734" w:rsidP="008F0FB5">
      <w:pPr>
        <w:pStyle w:val="DJCSbody"/>
        <w:ind w:left="0"/>
      </w:pPr>
      <w:r w:rsidRPr="00861734">
        <w:t xml:space="preserve">The </w:t>
      </w:r>
      <w:r w:rsidRPr="00861734">
        <w:rPr>
          <w:i/>
          <w:iCs/>
        </w:rPr>
        <w:t>Consumer Legislation Amendment Act</w:t>
      </w:r>
      <w:r w:rsidRPr="00861734">
        <w:t xml:space="preserve"> 2025 (the CLA Act), will amend the </w:t>
      </w:r>
      <w:r w:rsidRPr="00861734">
        <w:rPr>
          <w:i/>
          <w:iCs/>
        </w:rPr>
        <w:t>Residential Tenancies Act 1997</w:t>
      </w:r>
      <w:r w:rsidRPr="00861734">
        <w:t xml:space="preserve"> (the RT Act) to establish the legislative framework for the PRBS. The scope of this RIS includes an assessment of options to support the introduction of the PRBS. The RT Act will be amended when Part 2 Division 1 of the CLA Act come</w:t>
      </w:r>
      <w:r w:rsidR="006E5B94">
        <w:t>s</w:t>
      </w:r>
      <w:r w:rsidRPr="00861734">
        <w:t xml:space="preserve"> into effect, which will be on 13 October 2026 or a day or days to be proclaimed, whichever is earlier. </w:t>
      </w:r>
      <w:r w:rsidR="00DC1A77">
        <w:t>This</w:t>
      </w:r>
      <w:r w:rsidRPr="00861734">
        <w:t xml:space="preserve"> RIS refer</w:t>
      </w:r>
      <w:r w:rsidR="005D6B46">
        <w:t>s</w:t>
      </w:r>
      <w:r w:rsidRPr="00861734">
        <w:t xml:space="preserve"> to the sections to be amended or inserted by the CLA Act </w:t>
      </w:r>
      <w:r w:rsidR="008970E5">
        <w:t xml:space="preserve">broadly </w:t>
      </w:r>
      <w:r w:rsidR="00162EAA">
        <w:t xml:space="preserve">as </w:t>
      </w:r>
      <w:r w:rsidR="008970E5">
        <w:t>‘</w:t>
      </w:r>
      <w:r w:rsidR="00162EAA">
        <w:t>amendments to the RT Act</w:t>
      </w:r>
      <w:r w:rsidR="008970E5">
        <w:t>’</w:t>
      </w:r>
      <w:r w:rsidR="00162EAA">
        <w:t xml:space="preserve">, or </w:t>
      </w:r>
      <w:r w:rsidRPr="00861734">
        <w:t>by their section numbers in the RT Act</w:t>
      </w:r>
      <w:r w:rsidR="009430A4">
        <w:t xml:space="preserve">, </w:t>
      </w:r>
      <w:r w:rsidRPr="00861734">
        <w:t xml:space="preserve">e.g. </w:t>
      </w:r>
      <w:r w:rsidR="008970E5">
        <w:t>‘</w:t>
      </w:r>
      <w:r w:rsidRPr="00861734">
        <w:t xml:space="preserve">new </w:t>
      </w:r>
      <w:r w:rsidR="00F92C49">
        <w:t>Section</w:t>
      </w:r>
      <w:r w:rsidRPr="00861734">
        <w:t xml:space="preserve"> xx</w:t>
      </w:r>
      <w:r w:rsidR="008970E5">
        <w:t>’</w:t>
      </w:r>
      <w:r w:rsidRPr="00861734">
        <w:t xml:space="preserve">, as it will be once amended by the CLA Act. </w:t>
      </w:r>
    </w:p>
    <w:p w14:paraId="72AF1B22" w14:textId="77777777" w:rsidR="00A26C3F" w:rsidRPr="000F65FE" w:rsidRDefault="00A26C3F" w:rsidP="00A26C3F">
      <w:pPr>
        <w:pStyle w:val="Heading3"/>
      </w:pPr>
      <w:r>
        <w:t>About the</w:t>
      </w:r>
      <w:r w:rsidRPr="000F65FE">
        <w:t xml:space="preserve"> </w:t>
      </w:r>
      <w:r>
        <w:t>PRBS</w:t>
      </w:r>
    </w:p>
    <w:p w14:paraId="42B0EB73" w14:textId="58EB24C8" w:rsidR="00A26C3F" w:rsidRDefault="00A26C3F" w:rsidP="00A26C3F">
      <w:pPr>
        <w:pStyle w:val="DJCSbody"/>
        <w:ind w:left="0"/>
      </w:pPr>
      <w:r>
        <w:t xml:space="preserve">Under the current legislative framework, Victorian </w:t>
      </w:r>
      <w:r w:rsidRPr="004C33DE">
        <w:t>renters are required to pay a bond amount</w:t>
      </w:r>
      <w:r>
        <w:t xml:space="preserve"> (</w:t>
      </w:r>
      <w:r w:rsidRPr="004C33DE">
        <w:t>typically one month of rent</w:t>
      </w:r>
      <w:r>
        <w:t>)</w:t>
      </w:r>
      <w:r w:rsidRPr="004C33DE">
        <w:t xml:space="preserve"> </w:t>
      </w:r>
      <w:r>
        <w:t xml:space="preserve">prior to </w:t>
      </w:r>
      <w:r w:rsidRPr="004C33DE">
        <w:t>moving into a</w:t>
      </w:r>
      <w:r w:rsidR="00DA09C4" w:rsidRPr="00DA09C4">
        <w:t xml:space="preserve"> </w:t>
      </w:r>
      <w:r w:rsidR="00DA09C4" w:rsidRPr="004C33DE">
        <w:t>rent</w:t>
      </w:r>
      <w:r w:rsidR="00DA09C4">
        <w:t>ed</w:t>
      </w:r>
      <w:r w:rsidR="00DA09C4" w:rsidRPr="004C33DE">
        <w:t xml:space="preserve"> </w:t>
      </w:r>
      <w:r w:rsidR="00DA09C4">
        <w:t>premises</w:t>
      </w:r>
      <w:r w:rsidR="00116F1A">
        <w:t>.</w:t>
      </w:r>
      <w:r>
        <w:t xml:space="preserve"> The bond is held in</w:t>
      </w:r>
      <w:r w:rsidR="001C2E13">
        <w:t xml:space="preserve"> a</w:t>
      </w:r>
      <w:r>
        <w:t xml:space="preserve"> trust by the</w:t>
      </w:r>
      <w:r w:rsidRPr="004C33DE">
        <w:t xml:space="preserve"> Residential Tenancies </w:t>
      </w:r>
      <w:r>
        <w:t xml:space="preserve">Bond </w:t>
      </w:r>
      <w:r w:rsidRPr="004C33DE">
        <w:t>Authority (RTBA)</w:t>
      </w:r>
      <w:r>
        <w:t xml:space="preserve">, a </w:t>
      </w:r>
      <w:r w:rsidRPr="004C33DE">
        <w:t xml:space="preserve">statutory authority. When renters move between two rental properties, they are </w:t>
      </w:r>
      <w:r w:rsidR="005B08EE">
        <w:t xml:space="preserve">often </w:t>
      </w:r>
      <w:r w:rsidRPr="004C33DE">
        <w:t xml:space="preserve">required to pay a bond for </w:t>
      </w:r>
      <w:r w:rsidR="005B08EE">
        <w:t>the</w:t>
      </w:r>
      <w:r w:rsidR="005B08EE" w:rsidRPr="004C33DE">
        <w:t xml:space="preserve"> </w:t>
      </w:r>
      <w:r w:rsidRPr="004C33DE">
        <w:t xml:space="preserve">new </w:t>
      </w:r>
      <w:r w:rsidR="00D3135C">
        <w:t>rented premises</w:t>
      </w:r>
      <w:r w:rsidRPr="004C33DE">
        <w:t xml:space="preserve"> before their bond for their former </w:t>
      </w:r>
      <w:r w:rsidR="005B08EE">
        <w:t>rented premises</w:t>
      </w:r>
      <w:r w:rsidRPr="004C33DE">
        <w:t xml:space="preserve"> is returned</w:t>
      </w:r>
      <w:r>
        <w:t xml:space="preserve"> (often referred to as a ‘double bond’)</w:t>
      </w:r>
      <w:r w:rsidRPr="004C33DE">
        <w:t xml:space="preserve">. This leaves renters out-of-pocket, reduces cashflow and </w:t>
      </w:r>
      <w:r>
        <w:t>can create</w:t>
      </w:r>
      <w:r w:rsidRPr="004C33DE">
        <w:t xml:space="preserve"> financial stress.</w:t>
      </w:r>
      <w:r>
        <w:t xml:space="preserve"> </w:t>
      </w:r>
    </w:p>
    <w:p w14:paraId="18457D9C" w14:textId="5038C113" w:rsidR="00A26C3F" w:rsidRDefault="00237855" w:rsidP="00A26C3F">
      <w:pPr>
        <w:pStyle w:val="DJCSbody"/>
        <w:ind w:left="0"/>
      </w:pPr>
      <w:r>
        <w:t xml:space="preserve">Participation in the </w:t>
      </w:r>
      <w:r w:rsidR="00A26C3F">
        <w:t xml:space="preserve">PRBS is voluntary </w:t>
      </w:r>
      <w:r>
        <w:t>and</w:t>
      </w:r>
      <w:r w:rsidR="00A26C3F">
        <w:t xml:space="preserve"> will allow</w:t>
      </w:r>
      <w:r w:rsidR="00A26C3F" w:rsidRPr="00332692">
        <w:t xml:space="preserve"> </w:t>
      </w:r>
      <w:r w:rsidR="00A26C3F">
        <w:t xml:space="preserve">eligible </w:t>
      </w:r>
      <w:r w:rsidR="00A26C3F" w:rsidRPr="00332692">
        <w:t xml:space="preserve">renters to transfer an existing bond lodged with the </w:t>
      </w:r>
      <w:r w:rsidR="00A26C3F">
        <w:t xml:space="preserve">RTBA </w:t>
      </w:r>
      <w:r w:rsidR="00A26C3F" w:rsidRPr="00332692">
        <w:t xml:space="preserve">to another </w:t>
      </w:r>
      <w:r w:rsidR="00D3135C">
        <w:t>rented premises</w:t>
      </w:r>
      <w:r w:rsidR="00A26C3F">
        <w:t xml:space="preserve">. The PRBS </w:t>
      </w:r>
      <w:r w:rsidR="00A26C3F" w:rsidRPr="00A829D0">
        <w:t xml:space="preserve">aims to: </w:t>
      </w:r>
    </w:p>
    <w:p w14:paraId="3CF0938D" w14:textId="37419CEC" w:rsidR="00A26C3F" w:rsidRDefault="00A26C3F" w:rsidP="00561AE8">
      <w:pPr>
        <w:pStyle w:val="DJCSbody"/>
        <w:numPr>
          <w:ilvl w:val="0"/>
          <w:numId w:val="48"/>
        </w:numPr>
        <w:tabs>
          <w:tab w:val="clear" w:pos="340"/>
          <w:tab w:val="num" w:pos="2388"/>
        </w:tabs>
      </w:pPr>
      <w:r w:rsidRPr="00D128C3">
        <w:rPr>
          <w:b/>
          <w:bCs/>
        </w:rPr>
        <w:t>Alleviate cost of living pressures for renters</w:t>
      </w:r>
      <w:r w:rsidRPr="00D128C3">
        <w:t xml:space="preserve"> – In an increasingly expensive rental market, where the median weekly rent recently reached $5</w:t>
      </w:r>
      <w:r>
        <w:t>5</w:t>
      </w:r>
      <w:r w:rsidRPr="00D128C3">
        <w:t>0</w:t>
      </w:r>
      <w:r>
        <w:rPr>
          <w:rStyle w:val="FootnoteReference"/>
        </w:rPr>
        <w:footnoteReference w:id="2"/>
      </w:r>
      <w:r w:rsidRPr="00D128C3">
        <w:t xml:space="preserve">, </w:t>
      </w:r>
      <w:r w:rsidR="00561AE8" w:rsidRPr="00561AE8">
        <w:t xml:space="preserve">the PRBS aims to offer financial relief for </w:t>
      </w:r>
      <w:r w:rsidR="00CD1A61">
        <w:t xml:space="preserve">all eligible rental households </w:t>
      </w:r>
      <w:r w:rsidR="00561AE8" w:rsidRPr="00561AE8">
        <w:t xml:space="preserve">in Victoria </w:t>
      </w:r>
      <w:r>
        <w:t>by removing the need for renters to pay for a new bond</w:t>
      </w:r>
      <w:r w:rsidR="002C5A5A">
        <w:t xml:space="preserve">, before their old one is refunded, </w:t>
      </w:r>
      <w:r>
        <w:t>when moving home</w:t>
      </w:r>
      <w:r w:rsidR="00887F01">
        <w:t>s</w:t>
      </w:r>
      <w:r w:rsidRPr="00D128C3">
        <w:t xml:space="preserve">. </w:t>
      </w:r>
      <w:r w:rsidR="00F918E7">
        <w:t>The</w:t>
      </w:r>
      <w:r w:rsidR="00872BDF">
        <w:t xml:space="preserve"> RTBA currently holds more than </w:t>
      </w:r>
      <w:bookmarkStart w:id="7" w:name="_Hlk219102558"/>
      <w:r w:rsidR="008E58A1">
        <w:t>736,000</w:t>
      </w:r>
      <w:r w:rsidR="008E58A1">
        <w:rPr>
          <w:rStyle w:val="FootnoteReference"/>
        </w:rPr>
        <w:footnoteReference w:id="3"/>
      </w:r>
      <w:r w:rsidR="008E58A1">
        <w:t xml:space="preserve"> </w:t>
      </w:r>
      <w:bookmarkEnd w:id="7"/>
      <w:r w:rsidR="00B95692">
        <w:t>active bon</w:t>
      </w:r>
      <w:r w:rsidR="00D70CD1">
        <w:t>ds for</w:t>
      </w:r>
      <w:r w:rsidR="00AC4E43">
        <w:t xml:space="preserve"> </w:t>
      </w:r>
      <w:r w:rsidR="00624E66">
        <w:t>r</w:t>
      </w:r>
      <w:r w:rsidR="004774D2">
        <w:t>esidential rental</w:t>
      </w:r>
      <w:r w:rsidR="00AC4E43">
        <w:t xml:space="preserve"> </w:t>
      </w:r>
      <w:r w:rsidR="00D70CD1">
        <w:t>agreements</w:t>
      </w:r>
      <w:r w:rsidR="004774D2">
        <w:t xml:space="preserve"> (rental agreements)</w:t>
      </w:r>
      <w:r w:rsidR="00E643F2">
        <w:t xml:space="preserve"> in Victoria</w:t>
      </w:r>
      <w:r w:rsidR="009807F8">
        <w:t>.</w:t>
      </w:r>
      <w:r w:rsidR="00F918E7">
        <w:t xml:space="preserve"> </w:t>
      </w:r>
      <w:r w:rsidR="009807F8">
        <w:t>M</w:t>
      </w:r>
      <w:r w:rsidR="00DF431C">
        <w:t xml:space="preserve">any </w:t>
      </w:r>
      <w:r w:rsidR="00D70CD1">
        <w:t xml:space="preserve">rental </w:t>
      </w:r>
      <w:r w:rsidR="00ED0DA9">
        <w:t>households</w:t>
      </w:r>
      <w:r w:rsidR="009807F8">
        <w:t xml:space="preserve"> </w:t>
      </w:r>
      <w:r w:rsidR="00974D9F">
        <w:t>will have access to and benefit from the PRBS</w:t>
      </w:r>
      <w:r w:rsidR="001F1D9D">
        <w:t xml:space="preserve"> on an opt-in basis</w:t>
      </w:r>
      <w:r w:rsidR="00974D9F">
        <w:t>.</w:t>
      </w:r>
    </w:p>
    <w:p w14:paraId="745965CE" w14:textId="283AD9EE" w:rsidR="00A26C3F" w:rsidRPr="00D128C3" w:rsidRDefault="00A26C3F" w:rsidP="00A26C3F">
      <w:pPr>
        <w:pStyle w:val="DJCSbody"/>
        <w:numPr>
          <w:ilvl w:val="0"/>
          <w:numId w:val="48"/>
        </w:numPr>
        <w:tabs>
          <w:tab w:val="clear" w:pos="340"/>
          <w:tab w:val="num" w:pos="2388"/>
        </w:tabs>
      </w:pPr>
      <w:r w:rsidRPr="00D128C3">
        <w:rPr>
          <w:b/>
          <w:bCs/>
        </w:rPr>
        <w:t xml:space="preserve">Create a more efficient </w:t>
      </w:r>
      <w:r>
        <w:rPr>
          <w:b/>
          <w:bCs/>
        </w:rPr>
        <w:t xml:space="preserve">bond lodgement process for renters and agents </w:t>
      </w:r>
      <w:r w:rsidRPr="00D128C3">
        <w:t>–</w:t>
      </w:r>
      <w:r w:rsidR="00BE5068">
        <w:t xml:space="preserve"> </w:t>
      </w:r>
      <w:r w:rsidR="00C633C3">
        <w:t>For the transfer of bonds u</w:t>
      </w:r>
      <w:r w:rsidR="00B06EF5" w:rsidRPr="00B06EF5">
        <w:t>nder the PRBS, the transfer of bond process will be completed by the renter after the rental provider has submitted the bond lodgement form through RTBA online. This will reduce administrative processes</w:t>
      </w:r>
      <w:r w:rsidR="00C633C3">
        <w:t>.</w:t>
      </w:r>
    </w:p>
    <w:p w14:paraId="6D48927E" w14:textId="61B35397" w:rsidR="00AA6F9D" w:rsidRDefault="002A4531" w:rsidP="001F576E">
      <w:pPr>
        <w:pStyle w:val="DJCSbody"/>
        <w:numPr>
          <w:ilvl w:val="0"/>
          <w:numId w:val="48"/>
        </w:numPr>
        <w:tabs>
          <w:tab w:val="clear" w:pos="340"/>
          <w:tab w:val="num" w:pos="2388"/>
        </w:tabs>
      </w:pPr>
      <w:r w:rsidRPr="001C66CE">
        <w:rPr>
          <w:b/>
          <w:bCs/>
        </w:rPr>
        <w:t xml:space="preserve">Maintain the </w:t>
      </w:r>
      <w:r>
        <w:rPr>
          <w:b/>
          <w:bCs/>
        </w:rPr>
        <w:t xml:space="preserve">right </w:t>
      </w:r>
      <w:r w:rsidRPr="002A4531">
        <w:rPr>
          <w:b/>
          <w:bCs/>
        </w:rPr>
        <w:t>of residential rental providers to make claims against bonds</w:t>
      </w:r>
      <w:r>
        <w:rPr>
          <w:b/>
          <w:bCs/>
        </w:rPr>
        <w:t xml:space="preserve"> </w:t>
      </w:r>
      <w:r w:rsidR="00A26C3F" w:rsidRPr="00AE72B3">
        <w:t>–</w:t>
      </w:r>
      <w:r w:rsidR="00A26C3F">
        <w:t xml:space="preserve"> To ensure</w:t>
      </w:r>
      <w:r w:rsidR="00A26C3F" w:rsidRPr="00AE72B3">
        <w:t xml:space="preserve"> rental providers continue to have adequate insurance against damage</w:t>
      </w:r>
      <w:r w:rsidR="00A26C3F" w:rsidRPr="00431C19">
        <w:t xml:space="preserve"> </w:t>
      </w:r>
      <w:r w:rsidR="00A26C3F" w:rsidRPr="00AE72B3">
        <w:t>to their property</w:t>
      </w:r>
      <w:r w:rsidR="00A26C3F">
        <w:t xml:space="preserve">, </w:t>
      </w:r>
      <w:r w:rsidR="00A26C3F" w:rsidRPr="00781C8B">
        <w:t xml:space="preserve">the Government will </w:t>
      </w:r>
      <w:r w:rsidR="00A26C3F" w:rsidRPr="00781C8B">
        <w:lastRenderedPageBreak/>
        <w:t>guarantee the existing bond amount in advance to the original rental provider</w:t>
      </w:r>
      <w:r w:rsidR="00A26C3F">
        <w:t xml:space="preserve">. This will </w:t>
      </w:r>
      <w:r w:rsidR="00A26C3F" w:rsidRPr="00914C89">
        <w:t>uphold</w:t>
      </w:r>
      <w:r w:rsidR="00A26C3F">
        <w:t xml:space="preserve"> </w:t>
      </w:r>
      <w:r w:rsidR="00A26C3F" w:rsidRPr="00914C89">
        <w:t xml:space="preserve">the integrity of the existing </w:t>
      </w:r>
      <w:r w:rsidR="00A26C3F">
        <w:t>bond system</w:t>
      </w:r>
      <w:r w:rsidR="00A26C3F" w:rsidRPr="00914C89">
        <w:t xml:space="preserve"> </w:t>
      </w:r>
      <w:r w:rsidR="00A26C3F">
        <w:t>and</w:t>
      </w:r>
      <w:r w:rsidR="00A26C3F" w:rsidRPr="00914C89">
        <w:t xml:space="preserve"> ensur</w:t>
      </w:r>
      <w:r w:rsidR="00A26C3F">
        <w:t>e</w:t>
      </w:r>
      <w:r w:rsidR="00A26C3F" w:rsidRPr="00914C89">
        <w:t xml:space="preserve"> rental providers retain security for their property. </w:t>
      </w:r>
    </w:p>
    <w:p w14:paraId="311909F9" w14:textId="609FEFC2" w:rsidR="00A26C3F" w:rsidRDefault="00A26C3F" w:rsidP="00A26C3F">
      <w:pPr>
        <w:pStyle w:val="DJCSbody"/>
        <w:ind w:left="0"/>
      </w:pPr>
      <w:r w:rsidRPr="00A829D0">
        <w:t>Similar reforms are under development in New South Wales and Queensland.</w:t>
      </w:r>
      <w:r>
        <w:t xml:space="preserve"> </w:t>
      </w:r>
      <w:r w:rsidR="002D69E8">
        <w:t>They</w:t>
      </w:r>
      <w:r>
        <w:t xml:space="preserve"> </w:t>
      </w:r>
      <w:r w:rsidR="002D69E8">
        <w:t xml:space="preserve">are </w:t>
      </w:r>
      <w:r>
        <w:t xml:space="preserve">discussed further in </w:t>
      </w:r>
      <w:r w:rsidR="00A24674">
        <w:t>Subchapter</w:t>
      </w:r>
      <w:r w:rsidR="00776733">
        <w:t xml:space="preserve"> </w:t>
      </w:r>
      <w:r>
        <w:t>1.4</w:t>
      </w:r>
      <w:r w:rsidR="00D051DE">
        <w:t xml:space="preserve"> of this RIS.</w:t>
      </w:r>
    </w:p>
    <w:p w14:paraId="7E23CC28" w14:textId="5366E09E" w:rsidR="003347D8" w:rsidRPr="00364978" w:rsidRDefault="00D8707A" w:rsidP="00A26C3F">
      <w:pPr>
        <w:pStyle w:val="DJCSbody"/>
        <w:ind w:left="0"/>
      </w:pPr>
      <w:r w:rsidRPr="00764D4E" w:rsidDel="005F3800">
        <w:rPr>
          <w:noProof/>
        </w:rPr>
        <w:drawing>
          <wp:anchor distT="0" distB="0" distL="114300" distR="114300" simplePos="0" relativeHeight="251658240" behindDoc="0" locked="0" layoutInCell="1" allowOverlap="1" wp14:anchorId="54D5BB0D" wp14:editId="7834C001">
            <wp:simplePos x="0" y="0"/>
            <wp:positionH relativeFrom="margin">
              <wp:posOffset>91440</wp:posOffset>
            </wp:positionH>
            <wp:positionV relativeFrom="paragraph">
              <wp:posOffset>876300</wp:posOffset>
            </wp:positionV>
            <wp:extent cx="6566535" cy="2624455"/>
            <wp:effectExtent l="0" t="0" r="5715" b="4445"/>
            <wp:wrapSquare wrapText="bothSides"/>
            <wp:docPr id="656201148" name="Picture 1" descr="This diagram outlines the process of participating in the PRBS. The diagram shows the steps associated with the first and second rental bond, and what happens if a claim is made on the first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1148" name="Picture 1" descr="This diagram outlines the process of participating in the PRBS. The diagram shows the steps associated with the first and second rental bond, and what happens if a claim is made on the first bond."/>
                    <pic:cNvPicPr/>
                  </pic:nvPicPr>
                  <pic:blipFill>
                    <a:blip r:embed="rId17"/>
                    <a:stretch>
                      <a:fillRect/>
                    </a:stretch>
                  </pic:blipFill>
                  <pic:spPr>
                    <a:xfrm>
                      <a:off x="0" y="0"/>
                      <a:ext cx="6566535" cy="2624455"/>
                    </a:xfrm>
                    <a:prstGeom prst="rect">
                      <a:avLst/>
                    </a:prstGeom>
                  </pic:spPr>
                </pic:pic>
              </a:graphicData>
            </a:graphic>
            <wp14:sizeRelH relativeFrom="margin">
              <wp14:pctWidth>0</wp14:pctWidth>
            </wp14:sizeRelH>
          </wp:anchor>
        </w:drawing>
      </w:r>
      <w:r w:rsidR="007D697C">
        <w:rPr>
          <w:noProof/>
        </w:rPr>
        <mc:AlternateContent>
          <mc:Choice Requires="wps">
            <w:drawing>
              <wp:anchor distT="0" distB="0" distL="114300" distR="114300" simplePos="0" relativeHeight="251658245" behindDoc="0" locked="0" layoutInCell="1" allowOverlap="1" wp14:anchorId="66688A48" wp14:editId="2CC3FA6C">
                <wp:simplePos x="0" y="0"/>
                <wp:positionH relativeFrom="margin">
                  <wp:align>left</wp:align>
                </wp:positionH>
                <wp:positionV relativeFrom="paragraph">
                  <wp:posOffset>727271</wp:posOffset>
                </wp:positionV>
                <wp:extent cx="6746240" cy="152400"/>
                <wp:effectExtent l="0" t="0" r="0" b="0"/>
                <wp:wrapSquare wrapText="bothSides"/>
                <wp:docPr id="2072577258" name="Text Box 1"/>
                <wp:cNvGraphicFramePr/>
                <a:graphic xmlns:a="http://schemas.openxmlformats.org/drawingml/2006/main">
                  <a:graphicData uri="http://schemas.microsoft.com/office/word/2010/wordprocessingShape">
                    <wps:wsp>
                      <wps:cNvSpPr txBox="1"/>
                      <wps:spPr>
                        <a:xfrm>
                          <a:off x="0" y="0"/>
                          <a:ext cx="6746240" cy="152400"/>
                        </a:xfrm>
                        <a:prstGeom prst="rect">
                          <a:avLst/>
                        </a:prstGeom>
                        <a:solidFill>
                          <a:prstClr val="white"/>
                        </a:solidFill>
                        <a:ln>
                          <a:noFill/>
                        </a:ln>
                      </wps:spPr>
                      <wps:txbx>
                        <w:txbxContent>
                          <w:p w14:paraId="13724EA6" w14:textId="22BF7C5E" w:rsidR="007D697C" w:rsidRPr="00936707" w:rsidRDefault="007D697C" w:rsidP="00BE5ED9">
                            <w:pPr>
                              <w:pStyle w:val="Caption"/>
                              <w:rPr>
                                <w:noProof/>
                              </w:rPr>
                            </w:pPr>
                            <w:r>
                              <w:t xml:space="preserve">Figure </w:t>
                            </w:r>
                            <w:r w:rsidR="003527D7">
                              <w:fldChar w:fldCharType="begin"/>
                            </w:r>
                            <w:r w:rsidR="003527D7">
                              <w:instrText xml:space="preserve"> SEQ Figure \* ARABIC </w:instrText>
                            </w:r>
                            <w:r w:rsidR="003527D7">
                              <w:fldChar w:fldCharType="separate"/>
                            </w:r>
                            <w:r w:rsidR="00A50199">
                              <w:rPr>
                                <w:noProof/>
                              </w:rPr>
                              <w:t>1</w:t>
                            </w:r>
                            <w:r w:rsidR="003527D7">
                              <w:fldChar w:fldCharType="end"/>
                            </w:r>
                            <w:r>
                              <w:t>: The process of participating in the PRBS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88A48" id="_x0000_t202" coordsize="21600,21600" o:spt="202" path="m,l,21600r21600,l21600,xe">
                <v:stroke joinstyle="miter"/>
                <v:path gradientshapeok="t" o:connecttype="rect"/>
              </v:shapetype>
              <v:shape id="Text Box 1" o:spid="_x0000_s1026" type="#_x0000_t202" style="position:absolute;left:0;text-align:left;margin-left:0;margin-top:57.25pt;width:531.2pt;height:12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" stroked="f">
                <v:textbox inset="0,0,0,0">
                  <w:txbxContent>
                    <w:p w14:paraId="13724EA6" w14:textId="22BF7C5E" w:rsidR="007D697C" w:rsidRPr="00936707" w:rsidRDefault="007D697C" w:rsidP="00BE5ED9">
                      <w:pPr>
                        <w:pStyle w:val="Caption"/>
                        <w:rPr>
                          <w:noProof/>
                        </w:rPr>
                      </w:pPr>
                      <w:r>
                        <w:t xml:space="preserve">Figure </w:t>
                      </w:r>
                      <w:r w:rsidR="003527D7">
                        <w:fldChar w:fldCharType="begin"/>
                      </w:r>
                      <w:r w:rsidR="003527D7">
                        <w:instrText xml:space="preserve"> SEQ Figure \* ARABIC </w:instrText>
                      </w:r>
                      <w:r w:rsidR="003527D7">
                        <w:fldChar w:fldCharType="separate"/>
                      </w:r>
                      <w:r w:rsidR="00A50199">
                        <w:rPr>
                          <w:noProof/>
                        </w:rPr>
                        <w:t>1</w:t>
                      </w:r>
                      <w:r w:rsidR="003527D7">
                        <w:fldChar w:fldCharType="end"/>
                      </w:r>
                      <w:r>
                        <w:t>: The process of participating in the PRBS</w:t>
                      </w:r>
                    </w:p>
                  </w:txbxContent>
                </v:textbox>
                <w10:wrap type="square" anchorx="margin"/>
              </v:shape>
            </w:pict>
          </mc:Fallback>
        </mc:AlternateContent>
      </w:r>
      <w:r w:rsidR="00A26C3F">
        <w:t>Under the PRBS, renters</w:t>
      </w:r>
      <w:r w:rsidR="00A26C3F" w:rsidRPr="0037025C">
        <w:t xml:space="preserve"> would pay a</w:t>
      </w:r>
      <w:r w:rsidR="00A26C3F">
        <w:t xml:space="preserve">n application </w:t>
      </w:r>
      <w:r w:rsidR="00A26C3F" w:rsidRPr="0037025C">
        <w:t>fee plus any excess on the second bond amount (compared to the first bond), with the Government acting as guarantor for any claims on the first rental bond.</w:t>
      </w:r>
      <w:r w:rsidR="00A26C3F">
        <w:t xml:space="preserve"> </w:t>
      </w:r>
      <w:r w:rsidR="00A26C3F" w:rsidRPr="004F73FA">
        <w:t>If a rental provider makes a successful bond claim</w:t>
      </w:r>
      <w:r w:rsidR="00A26C3F">
        <w:t>,</w:t>
      </w:r>
      <w:r w:rsidR="00A26C3F" w:rsidRPr="004F73FA">
        <w:t xml:space="preserve"> the Government will pay this on behalf of the renter. A debt is then established, whereby the Government will seek to recover the equivalent amount from the renter. </w:t>
      </w:r>
    </w:p>
    <w:p w14:paraId="292BDE36" w14:textId="04DA814A" w:rsidR="00A26C3F" w:rsidRDefault="00C75FFB" w:rsidP="00A26C3F">
      <w:pPr>
        <w:pStyle w:val="DJCSbody"/>
        <w:ind w:left="0"/>
      </w:pPr>
      <w:r w:rsidRPr="004F73FA">
        <w:t xml:space="preserve">For the purposes of this </w:t>
      </w:r>
      <w:r>
        <w:t>RIS</w:t>
      </w:r>
      <w:r w:rsidRPr="004F73FA">
        <w:t>, a bond claim refers to</w:t>
      </w:r>
      <w:r w:rsidR="00F44210">
        <w:t xml:space="preserve"> </w:t>
      </w:r>
      <w:r w:rsidR="00F44210" w:rsidRPr="00F44210">
        <w:t xml:space="preserve">an amount of </w:t>
      </w:r>
      <w:r w:rsidR="00AD3455">
        <w:t xml:space="preserve">the </w:t>
      </w:r>
      <w:r w:rsidR="00F44210" w:rsidRPr="00F44210">
        <w:t xml:space="preserve">bond </w:t>
      </w:r>
      <w:r w:rsidR="00AD3455">
        <w:t xml:space="preserve">that is </w:t>
      </w:r>
      <w:r w:rsidR="00F44210" w:rsidRPr="00F44210">
        <w:t>paid to the rental provider</w:t>
      </w:r>
      <w:r w:rsidRPr="004F73FA">
        <w:t xml:space="preserve"> at the end of a </w:t>
      </w:r>
      <w:r w:rsidR="001D2328">
        <w:t>rental agreement</w:t>
      </w:r>
      <w:r w:rsidRPr="004F73FA">
        <w:t>.</w:t>
      </w:r>
      <w:r>
        <w:t xml:space="preserve"> </w:t>
      </w:r>
      <w:r w:rsidR="00367D3D">
        <w:t>E</w:t>
      </w:r>
      <w:r w:rsidR="00697203">
        <w:t xml:space="preserve">xisting processes around </w:t>
      </w:r>
      <w:r w:rsidR="00A65ABF">
        <w:t>bond</w:t>
      </w:r>
      <w:r w:rsidR="00697203">
        <w:t xml:space="preserve"> claims remain in place, with</w:t>
      </w:r>
      <w:r w:rsidR="002835E2">
        <w:t xml:space="preserve"> the debt being established upon agreement or order on a bond claim.</w:t>
      </w:r>
    </w:p>
    <w:p w14:paraId="5480DBB6" w14:textId="14E8AB9A" w:rsidR="00DA400F" w:rsidRDefault="009A302C" w:rsidP="00A26C3F">
      <w:pPr>
        <w:pStyle w:val="DJCSbody"/>
        <w:ind w:left="0"/>
      </w:pPr>
      <w:r>
        <w:t>The r</w:t>
      </w:r>
      <w:r w:rsidR="00A26C3F" w:rsidRPr="00406F38">
        <w:t xml:space="preserve">ental providers and property agents </w:t>
      </w:r>
      <w:r w:rsidR="00A30423">
        <w:t xml:space="preserve">for the </w:t>
      </w:r>
      <w:r w:rsidR="00F852E8">
        <w:t xml:space="preserve">second </w:t>
      </w:r>
      <w:r w:rsidR="00D3135C">
        <w:t xml:space="preserve">rented premises </w:t>
      </w:r>
      <w:r w:rsidR="00A26C3F" w:rsidRPr="00406F38">
        <w:t xml:space="preserve">will be notified </w:t>
      </w:r>
      <w:r w:rsidR="00F00F78">
        <w:t>of</w:t>
      </w:r>
      <w:r w:rsidR="00F00F78" w:rsidRPr="00406F38">
        <w:t xml:space="preserve"> </w:t>
      </w:r>
      <w:r w:rsidR="00A26C3F" w:rsidRPr="00406F38">
        <w:t>the transfer</w:t>
      </w:r>
      <w:r w:rsidR="00F852E8">
        <w:t xml:space="preserve"> once the </w:t>
      </w:r>
      <w:r w:rsidR="00837066">
        <w:t xml:space="preserve">transfer </w:t>
      </w:r>
      <w:r w:rsidR="00F852E8">
        <w:t>is complete</w:t>
      </w:r>
      <w:r w:rsidR="00A26C3F" w:rsidRPr="00406F38">
        <w:t xml:space="preserve">. </w:t>
      </w:r>
      <w:r w:rsidR="00CA41AB">
        <w:t xml:space="preserve">There will </w:t>
      </w:r>
      <w:r w:rsidR="00253665">
        <w:t>be</w:t>
      </w:r>
      <w:r w:rsidR="00CA41AB">
        <w:t xml:space="preserve"> no change</w:t>
      </w:r>
      <w:r w:rsidR="009B09CD">
        <w:t xml:space="preserve"> </w:t>
      </w:r>
      <w:r w:rsidR="00CA41AB" w:rsidRPr="00406F38">
        <w:t xml:space="preserve">to </w:t>
      </w:r>
      <w:r w:rsidR="009A07CC">
        <w:t>rental providers</w:t>
      </w:r>
      <w:r w:rsidR="00F2500F">
        <w:t>’</w:t>
      </w:r>
      <w:r w:rsidR="00CA41AB" w:rsidRPr="00406F38">
        <w:t xml:space="preserve"> financial exposure.</w:t>
      </w:r>
    </w:p>
    <w:p w14:paraId="12F88F24" w14:textId="333C6DE5" w:rsidR="00A26C3F" w:rsidRDefault="00A26C3F" w:rsidP="00A26C3F">
      <w:pPr>
        <w:pStyle w:val="DJCSbody"/>
        <w:ind w:left="0"/>
      </w:pPr>
      <w:r w:rsidRPr="00406F38">
        <w:t xml:space="preserve">In cases where a bond claim is made on the initial bond and the </w:t>
      </w:r>
      <w:r w:rsidR="0097338F">
        <w:t>renter</w:t>
      </w:r>
      <w:r w:rsidR="0097338F" w:rsidRPr="00406F38">
        <w:t xml:space="preserve"> </w:t>
      </w:r>
      <w:r w:rsidRPr="00406F38">
        <w:t xml:space="preserve">fails to settle the amount after the claim is resolved, </w:t>
      </w:r>
      <w:r w:rsidR="0097338F">
        <w:t>renters</w:t>
      </w:r>
      <w:r w:rsidRPr="00406F38">
        <w:t xml:space="preserve"> </w:t>
      </w:r>
      <w:r>
        <w:t xml:space="preserve">will </w:t>
      </w:r>
      <w:r w:rsidRPr="00406F38">
        <w:t>undergo a debt management process</w:t>
      </w:r>
      <w:r>
        <w:t xml:space="preserve">, </w:t>
      </w:r>
      <w:r w:rsidR="00A503BD">
        <w:t>which may involve entering a payment plan</w:t>
      </w:r>
      <w:r w:rsidR="00F42A90">
        <w:t xml:space="preserve"> or</w:t>
      </w:r>
      <w:r w:rsidR="00A503BD">
        <w:t xml:space="preserve"> </w:t>
      </w:r>
      <w:r w:rsidR="00EF742C">
        <w:t xml:space="preserve">being identified for </w:t>
      </w:r>
      <w:r>
        <w:t xml:space="preserve">hardship </w:t>
      </w:r>
      <w:r w:rsidR="00EF742C">
        <w:t xml:space="preserve">provisions </w:t>
      </w:r>
      <w:r w:rsidR="001B6B46">
        <w:t>if eligible</w:t>
      </w:r>
      <w:r w:rsidRPr="00406F38">
        <w:t>.</w:t>
      </w:r>
    </w:p>
    <w:p w14:paraId="64982387" w14:textId="0F7D2B51" w:rsidR="00A26C3F" w:rsidRPr="000F65FE" w:rsidRDefault="00A26C3F" w:rsidP="00A26C3F">
      <w:pPr>
        <w:pStyle w:val="Heading3"/>
      </w:pPr>
      <w:r>
        <w:t>Key features of the</w:t>
      </w:r>
      <w:r w:rsidRPr="000F65FE">
        <w:t xml:space="preserve"> </w:t>
      </w:r>
      <w:r w:rsidR="00940539">
        <w:t>PRBS</w:t>
      </w:r>
    </w:p>
    <w:p w14:paraId="3B97EEE0" w14:textId="3F8C3AAE" w:rsidR="00A26C3F" w:rsidRDefault="00A26C3F" w:rsidP="00A26C3F">
      <w:pPr>
        <w:pStyle w:val="DJCSbody"/>
        <w:ind w:left="0"/>
      </w:pPr>
      <w:r>
        <w:t>The key features of the PRBS</w:t>
      </w:r>
      <w:r w:rsidR="009500AE">
        <w:t xml:space="preserve">, as </w:t>
      </w:r>
      <w:r>
        <w:t>outlined in the</w:t>
      </w:r>
      <w:r w:rsidR="0060374F">
        <w:t xml:space="preserve"> amendments to the</w:t>
      </w:r>
      <w:r>
        <w:t xml:space="preserve"> </w:t>
      </w:r>
      <w:r w:rsidR="00A71F96">
        <w:t>RT</w:t>
      </w:r>
      <w:r>
        <w:t xml:space="preserve"> Act</w:t>
      </w:r>
      <w:r w:rsidR="009500AE">
        <w:t>,</w:t>
      </w:r>
      <w:r>
        <w:t xml:space="preserve"> are set out below. </w:t>
      </w:r>
    </w:p>
    <w:p w14:paraId="4EB3D261" w14:textId="77777777" w:rsidR="00A26C3F" w:rsidRDefault="00A26C3F" w:rsidP="00A26C3F">
      <w:pPr>
        <w:pStyle w:val="Heading4"/>
        <w:ind w:left="0"/>
      </w:pPr>
      <w:r>
        <w:t>Renter eligibility for the PRBS</w:t>
      </w:r>
    </w:p>
    <w:p w14:paraId="509AB10F" w14:textId="69E28AE6" w:rsidR="00E96D38" w:rsidRDefault="00A26C3F" w:rsidP="00A26C3F">
      <w:pPr>
        <w:pStyle w:val="DJCSbody"/>
        <w:ind w:left="0"/>
      </w:pPr>
      <w:r>
        <w:t xml:space="preserve">The PRBS will be available to Victorian renters who meet </w:t>
      </w:r>
      <w:r w:rsidR="00CC65F9">
        <w:t xml:space="preserve">the eligibility requirements. </w:t>
      </w:r>
      <w:r>
        <w:t>As outlined in the</w:t>
      </w:r>
      <w:r w:rsidR="00A16B9D">
        <w:t xml:space="preserve"> RT Act,</w:t>
      </w:r>
      <w:r>
        <w:t xml:space="preserve"> </w:t>
      </w:r>
      <w:r w:rsidR="00C20149">
        <w:t xml:space="preserve">new </w:t>
      </w:r>
      <w:r w:rsidR="00F92C49">
        <w:t>Section</w:t>
      </w:r>
      <w:r w:rsidR="00C20149">
        <w:t xml:space="preserve"> </w:t>
      </w:r>
      <w:r w:rsidR="005C79DF" w:rsidRPr="005C79DF">
        <w:t>423G</w:t>
      </w:r>
      <w:r w:rsidR="00A16B9D">
        <w:t>(2)</w:t>
      </w:r>
      <w:r>
        <w:t xml:space="preserve">, renters must have </w:t>
      </w:r>
      <w:r w:rsidRPr="00662B55">
        <w:t>an existing bond</w:t>
      </w:r>
      <w:r w:rsidR="00ED48B0">
        <w:t xml:space="preserve"> </w:t>
      </w:r>
      <w:r w:rsidR="00ED48B0" w:rsidRPr="00662B55">
        <w:t xml:space="preserve">for a current </w:t>
      </w:r>
      <w:r w:rsidR="00ED48B0">
        <w:t>rental</w:t>
      </w:r>
      <w:r w:rsidR="00ED48B0" w:rsidRPr="00662B55">
        <w:t xml:space="preserve"> agreement</w:t>
      </w:r>
      <w:r>
        <w:t xml:space="preserve"> (</w:t>
      </w:r>
      <w:r w:rsidRPr="00662B55">
        <w:t>held by the RTBA</w:t>
      </w:r>
      <w:r>
        <w:t>)</w:t>
      </w:r>
      <w:r w:rsidR="00C5766A">
        <w:t xml:space="preserve"> to</w:t>
      </w:r>
      <w:r>
        <w:t xml:space="preserve"> participate in the PRBS. They must be transferring this existing bond </w:t>
      </w:r>
      <w:r w:rsidRPr="0046277A">
        <w:t xml:space="preserve">from </w:t>
      </w:r>
      <w:r>
        <w:t xml:space="preserve">one </w:t>
      </w:r>
      <w:r w:rsidR="00A31E7D">
        <w:t>rental</w:t>
      </w:r>
      <w:r w:rsidRPr="0046277A">
        <w:t xml:space="preserve"> agreement to a new </w:t>
      </w:r>
      <w:r w:rsidR="00A31E7D">
        <w:t>rental</w:t>
      </w:r>
      <w:r w:rsidRPr="0046277A">
        <w:t xml:space="preserve"> agreement within Victoria</w:t>
      </w:r>
      <w:r>
        <w:t xml:space="preserve">. </w:t>
      </w:r>
      <w:r w:rsidR="00E96D38">
        <w:t>Renters who have outstanding debt owing under the PRBS will not be eligible to continue participation in the PRBS.</w:t>
      </w:r>
    </w:p>
    <w:p w14:paraId="54C7EB6F" w14:textId="68ED8A70" w:rsidR="00E96D38" w:rsidRDefault="00A26C3F" w:rsidP="00A26C3F">
      <w:pPr>
        <w:pStyle w:val="DJCSbody"/>
        <w:ind w:left="0"/>
      </w:pPr>
      <w:r>
        <w:t>Renters must</w:t>
      </w:r>
      <w:r w:rsidR="00ED48B0">
        <w:t xml:space="preserve"> also</w:t>
      </w:r>
      <w:r>
        <w:t xml:space="preserve"> be listed o</w:t>
      </w:r>
      <w:r w:rsidRPr="001C5755">
        <w:t xml:space="preserve">n </w:t>
      </w:r>
      <w:r>
        <w:t>both the</w:t>
      </w:r>
      <w:r w:rsidRPr="001C5755">
        <w:t xml:space="preserve"> bond associated with the current </w:t>
      </w:r>
      <w:r w:rsidR="00AB4F35">
        <w:t>rental</w:t>
      </w:r>
      <w:r w:rsidRPr="001C5755">
        <w:t xml:space="preserve"> agreement and the bond associated with the new</w:t>
      </w:r>
      <w:r w:rsidR="00566604">
        <w:t xml:space="preserve"> rental</w:t>
      </w:r>
      <w:r w:rsidRPr="001C5755">
        <w:t xml:space="preserve"> </w:t>
      </w:r>
      <w:r>
        <w:t xml:space="preserve">agreement. In other words, the PRBS does not support splitting </w:t>
      </w:r>
      <w:r w:rsidR="00404CD5">
        <w:t xml:space="preserve">current </w:t>
      </w:r>
      <w:r>
        <w:t xml:space="preserve">bonds and </w:t>
      </w:r>
      <w:r w:rsidR="00F84EB6">
        <w:t xml:space="preserve">transferring </w:t>
      </w:r>
      <w:r>
        <w:t xml:space="preserve">them </w:t>
      </w:r>
      <w:r w:rsidR="00BD7618">
        <w:t>in</w:t>
      </w:r>
      <w:r>
        <w:t xml:space="preserve">to multiple new </w:t>
      </w:r>
      <w:r w:rsidR="00F84EB6">
        <w:t xml:space="preserve">bonds for </w:t>
      </w:r>
      <w:r w:rsidR="00404CD5">
        <w:t xml:space="preserve">multiple new </w:t>
      </w:r>
      <w:r w:rsidR="0068450A">
        <w:t xml:space="preserve">rental </w:t>
      </w:r>
      <w:r>
        <w:t xml:space="preserve">agreements, as </w:t>
      </w:r>
      <w:r w:rsidR="00AA6F9D" w:rsidRPr="00AA6F9D">
        <w:t>may be the case for renters in share housing</w:t>
      </w:r>
      <w:r w:rsidR="00777B87">
        <w:t xml:space="preserve">. </w:t>
      </w:r>
      <w:r w:rsidR="00AB68B1">
        <w:t>For a bond to be transferred</w:t>
      </w:r>
      <w:r w:rsidR="003E4C53">
        <w:t xml:space="preserve"> in share housing,</w:t>
      </w:r>
      <w:r w:rsidR="003D6543">
        <w:t xml:space="preserve"> </w:t>
      </w:r>
      <w:r w:rsidR="00B11231" w:rsidRPr="001F576E">
        <w:rPr>
          <w:i/>
          <w:iCs/>
        </w:rPr>
        <w:t>all</w:t>
      </w:r>
      <w:r w:rsidR="00B11231">
        <w:t xml:space="preserve"> renters in </w:t>
      </w:r>
      <w:r w:rsidR="00AB68B1">
        <w:t>a</w:t>
      </w:r>
      <w:r w:rsidR="003D6543">
        <w:t xml:space="preserve"> </w:t>
      </w:r>
      <w:r w:rsidR="00B11231">
        <w:t xml:space="preserve">share house </w:t>
      </w:r>
      <w:r w:rsidR="00DA14B6">
        <w:t>who</w:t>
      </w:r>
      <w:r w:rsidR="00555BAD">
        <w:t xml:space="preserve"> </w:t>
      </w:r>
      <w:r w:rsidR="00555BAD">
        <w:lastRenderedPageBreak/>
        <w:t>have</w:t>
      </w:r>
      <w:r w:rsidR="00AF5151">
        <w:t xml:space="preserve"> their names on the </w:t>
      </w:r>
      <w:r w:rsidR="00D16802">
        <w:t xml:space="preserve">existing </w:t>
      </w:r>
      <w:r w:rsidR="00B11231">
        <w:t xml:space="preserve">bond </w:t>
      </w:r>
      <w:r w:rsidR="00DF18A2">
        <w:t xml:space="preserve">registered </w:t>
      </w:r>
      <w:r w:rsidR="00231A63">
        <w:t>and</w:t>
      </w:r>
      <w:r w:rsidR="00D16802">
        <w:t xml:space="preserve"> the existing rental agreement</w:t>
      </w:r>
      <w:r w:rsidR="00875C90">
        <w:t xml:space="preserve"> </w:t>
      </w:r>
      <w:r w:rsidR="00555BAD">
        <w:t>must all be moving into the second property</w:t>
      </w:r>
      <w:r w:rsidR="001C79A0">
        <w:t>,</w:t>
      </w:r>
      <w:r w:rsidR="00555BAD">
        <w:t xml:space="preserve"> and</w:t>
      </w:r>
      <w:r w:rsidR="00231A63">
        <w:t xml:space="preserve"> also</w:t>
      </w:r>
      <w:r w:rsidR="00555BAD">
        <w:t xml:space="preserve"> have their</w:t>
      </w:r>
      <w:r w:rsidR="004A7A1F">
        <w:t xml:space="preserve"> names on the rental agreement for th</w:t>
      </w:r>
      <w:r w:rsidR="00231A63">
        <w:t>e second</w:t>
      </w:r>
      <w:r w:rsidR="004A7A1F">
        <w:t xml:space="preserve"> property</w:t>
      </w:r>
      <w:r w:rsidR="00AA6F9D" w:rsidRPr="00AA6F9D">
        <w:t xml:space="preserve">. </w:t>
      </w:r>
    </w:p>
    <w:p w14:paraId="0EF29188" w14:textId="77777777" w:rsidR="00A26C3F" w:rsidRDefault="00A26C3F" w:rsidP="00A26C3F">
      <w:pPr>
        <w:pStyle w:val="Heading4"/>
        <w:ind w:left="0"/>
      </w:pPr>
      <w:r>
        <w:t>PRBS application fee for users</w:t>
      </w:r>
    </w:p>
    <w:p w14:paraId="0AC5BA8B" w14:textId="2A498F84" w:rsidR="00A26C3F" w:rsidRDefault="00A26C3F" w:rsidP="00A26C3F">
      <w:pPr>
        <w:pStyle w:val="DJCSbody"/>
        <w:ind w:left="0"/>
      </w:pPr>
      <w:r>
        <w:t>The</w:t>
      </w:r>
      <w:r w:rsidR="009D51C9">
        <w:t xml:space="preserve"> amendments to the</w:t>
      </w:r>
      <w:r>
        <w:t xml:space="preserve"> </w:t>
      </w:r>
      <w:r w:rsidR="00A71F96">
        <w:t>RT Act</w:t>
      </w:r>
      <w:r>
        <w:t xml:space="preserve"> </w:t>
      </w:r>
      <w:r w:rsidR="00C92541">
        <w:t>provide</w:t>
      </w:r>
      <w:r>
        <w:t xml:space="preserve"> for an application fee to</w:t>
      </w:r>
      <w:r w:rsidR="00F9565E">
        <w:t xml:space="preserve"> be prescribed to</w:t>
      </w:r>
      <w:r>
        <w:t xml:space="preserve"> access the PRBS. This </w:t>
      </w:r>
      <w:r w:rsidR="00C92541">
        <w:t>fee</w:t>
      </w:r>
      <w:r>
        <w:t xml:space="preserve"> </w:t>
      </w:r>
      <w:r w:rsidR="00F9565E">
        <w:t xml:space="preserve">will enable </w:t>
      </w:r>
      <w:r>
        <w:t xml:space="preserve">cost recovery of the PRBS for the Government </w:t>
      </w:r>
      <w:r w:rsidR="00C92541">
        <w:t xml:space="preserve">and is to be prescribed </w:t>
      </w:r>
      <w:r>
        <w:t xml:space="preserve">in </w:t>
      </w:r>
      <w:r w:rsidR="00C92541">
        <w:t xml:space="preserve">the </w:t>
      </w:r>
      <w:r>
        <w:t xml:space="preserve">Regulations. This fee is non-refundable once the </w:t>
      </w:r>
      <w:r w:rsidR="003A35A9">
        <w:t xml:space="preserve">rental </w:t>
      </w:r>
      <w:r>
        <w:t xml:space="preserve">agreement on the second </w:t>
      </w:r>
      <w:r w:rsidR="00D3135C">
        <w:t xml:space="preserve">rented premises </w:t>
      </w:r>
      <w:r>
        <w:t xml:space="preserve">commences. However, </w:t>
      </w:r>
      <w:r w:rsidR="009E3AD3" w:rsidRPr="009E3AD3">
        <w:t xml:space="preserve">if the request to transfer a bond between </w:t>
      </w:r>
      <w:r w:rsidR="003A35A9">
        <w:t>rented premises</w:t>
      </w:r>
      <w:r w:rsidR="003A35A9" w:rsidRPr="009E3AD3">
        <w:t xml:space="preserve"> </w:t>
      </w:r>
      <w:r w:rsidR="009E3AD3" w:rsidRPr="009E3AD3">
        <w:t>is unsuccessful</w:t>
      </w:r>
      <w:r w:rsidR="00776687">
        <w:t xml:space="preserve"> (</w:t>
      </w:r>
      <w:r w:rsidR="009D51C9">
        <w:t>i.e</w:t>
      </w:r>
      <w:r w:rsidR="00776687">
        <w:t>. if</w:t>
      </w:r>
      <w:r w:rsidR="004B2321">
        <w:t xml:space="preserve"> the bond transfer application is processed but the </w:t>
      </w:r>
      <w:r w:rsidR="003A35A9">
        <w:t>rental agreement</w:t>
      </w:r>
      <w:r w:rsidR="004B2321">
        <w:t xml:space="preserve"> is terminated before the official start date)</w:t>
      </w:r>
      <w:r w:rsidR="009E3AD3" w:rsidRPr="009E3AD3">
        <w:t xml:space="preserve">, </w:t>
      </w:r>
      <w:r>
        <w:t xml:space="preserve">the </w:t>
      </w:r>
      <w:r w:rsidR="003A35A9">
        <w:t xml:space="preserve">transferred </w:t>
      </w:r>
      <w:r>
        <w:t>bond and the associated fee will be refunded.</w:t>
      </w:r>
    </w:p>
    <w:p w14:paraId="5E921972" w14:textId="63138C19" w:rsidR="00A26C3F" w:rsidRDefault="00A26C3F" w:rsidP="00A26C3F">
      <w:pPr>
        <w:pStyle w:val="Heading4"/>
        <w:ind w:left="0"/>
      </w:pPr>
      <w:r>
        <w:t xml:space="preserve">Porting a bond to a new </w:t>
      </w:r>
      <w:r w:rsidR="00D3135C">
        <w:t>rented premises</w:t>
      </w:r>
    </w:p>
    <w:p w14:paraId="2ECC8202" w14:textId="3971D939" w:rsidR="00B84090" w:rsidRDefault="00B84090" w:rsidP="00B84090">
      <w:pPr>
        <w:pStyle w:val="DJCSbody"/>
        <w:ind w:left="0"/>
      </w:pPr>
      <w:r>
        <w:t xml:space="preserve">Once a request to pay a bond for a new </w:t>
      </w:r>
      <w:r w:rsidR="003A35A9">
        <w:t>rental</w:t>
      </w:r>
      <w:r>
        <w:t xml:space="preserve"> agreement is made by a </w:t>
      </w:r>
      <w:r w:rsidR="006258B6">
        <w:t>rental provider</w:t>
      </w:r>
      <w:r>
        <w:t xml:space="preserve"> or agent, the existing bond will be eligible to be </w:t>
      </w:r>
      <w:r w:rsidR="000C257D">
        <w:t>transferred</w:t>
      </w:r>
      <w:r>
        <w:t xml:space="preserve"> from the previous </w:t>
      </w:r>
      <w:r w:rsidR="00CA59FA">
        <w:t>rental agreement</w:t>
      </w:r>
      <w:r>
        <w:t xml:space="preserve"> to the new </w:t>
      </w:r>
      <w:r w:rsidR="00CA59FA">
        <w:t>rental agreement</w:t>
      </w:r>
      <w:r>
        <w:t>. The</w:t>
      </w:r>
      <w:r w:rsidR="00431194">
        <w:t xml:space="preserve"> amended</w:t>
      </w:r>
      <w:r>
        <w:t xml:space="preserve"> </w:t>
      </w:r>
      <w:r w:rsidR="00CA59FA">
        <w:t>RT</w:t>
      </w:r>
      <w:r>
        <w:t xml:space="preserve"> Act states that if the </w:t>
      </w:r>
      <w:r w:rsidRPr="00EC7500">
        <w:t>rental bond for the new</w:t>
      </w:r>
      <w:r w:rsidR="004774D2">
        <w:t xml:space="preserve"> rental</w:t>
      </w:r>
      <w:r w:rsidRPr="00EC7500">
        <w:t xml:space="preserve"> </w:t>
      </w:r>
      <w:r w:rsidR="00CA59FA">
        <w:t>agreement</w:t>
      </w:r>
      <w:r w:rsidRPr="00EC7500">
        <w:t xml:space="preserve"> exceeds the amount of the bond being </w:t>
      </w:r>
      <w:r w:rsidR="000C257D">
        <w:t>transferred</w:t>
      </w:r>
      <w:r w:rsidRPr="00EC7500">
        <w:t>, the renter</w:t>
      </w:r>
      <w:r>
        <w:t xml:space="preserve"> </w:t>
      </w:r>
      <w:r w:rsidRPr="00EC7500">
        <w:t xml:space="preserve">must pay the shortfall </w:t>
      </w:r>
      <w:r>
        <w:t>(</w:t>
      </w:r>
      <w:r w:rsidRPr="00EC7500">
        <w:t>to cover the difference</w:t>
      </w:r>
      <w:r>
        <w:t xml:space="preserve">) prior to </w:t>
      </w:r>
      <w:r w:rsidR="000C257D">
        <w:t xml:space="preserve">transferring </w:t>
      </w:r>
      <w:r>
        <w:t xml:space="preserve">the bond. </w:t>
      </w:r>
      <w:r w:rsidR="001C79A0">
        <w:t>Alternatively</w:t>
      </w:r>
      <w:r>
        <w:t xml:space="preserve">, if the bond on the new </w:t>
      </w:r>
      <w:r w:rsidR="00CA59FA">
        <w:t>rental agreement</w:t>
      </w:r>
      <w:r>
        <w:t xml:space="preserve"> is less than the rental bond being </w:t>
      </w:r>
      <w:r w:rsidR="00B8099C">
        <w:t>transferred</w:t>
      </w:r>
      <w:r>
        <w:t xml:space="preserve">, renters will be refunded any surplus amount upon conclusion of the current </w:t>
      </w:r>
      <w:r w:rsidR="003A35A9">
        <w:t>rental</w:t>
      </w:r>
      <w:r>
        <w:t xml:space="preserve"> agreement (after any claims </w:t>
      </w:r>
      <w:r w:rsidR="00DF4269">
        <w:t xml:space="preserve">on the current bond </w:t>
      </w:r>
      <w:r>
        <w:t xml:space="preserve">have been </w:t>
      </w:r>
      <w:r w:rsidR="00DF4269">
        <w:t>resolved</w:t>
      </w:r>
      <w:r>
        <w:t xml:space="preserve">). If a renter’s new </w:t>
      </w:r>
      <w:r w:rsidR="00CA59FA">
        <w:t xml:space="preserve">rental </w:t>
      </w:r>
      <w:r>
        <w:t xml:space="preserve">agreement </w:t>
      </w:r>
      <w:r w:rsidR="00630F82">
        <w:t xml:space="preserve">becomes </w:t>
      </w:r>
      <w:r>
        <w:t xml:space="preserve">invalid or is terminated, the bond will be returned to them. </w:t>
      </w:r>
    </w:p>
    <w:p w14:paraId="2D91E125" w14:textId="2F9BDED3" w:rsidR="00A26C3F" w:rsidRDefault="00A26C3F" w:rsidP="00A26C3F">
      <w:pPr>
        <w:pStyle w:val="Heading4"/>
        <w:ind w:left="0"/>
      </w:pPr>
      <w:r>
        <w:t>Claim payment under the PRBS</w:t>
      </w:r>
    </w:p>
    <w:p w14:paraId="5077140B" w14:textId="5A3BC336" w:rsidR="00A26C3F" w:rsidRDefault="00A26C3F" w:rsidP="00C82AC9">
      <w:pPr>
        <w:pStyle w:val="DJCSbody"/>
        <w:ind w:left="0"/>
      </w:pPr>
      <w:r w:rsidRPr="009E2307">
        <w:t xml:space="preserve">The Government </w:t>
      </w:r>
      <w:r w:rsidR="00722BF0">
        <w:t>will guarantee</w:t>
      </w:r>
      <w:r w:rsidR="00722BF0" w:rsidRPr="009E2307">
        <w:t xml:space="preserve"> </w:t>
      </w:r>
      <w:r w:rsidRPr="009E2307">
        <w:t>the full value of the bond to the original rental provider when a rental bond is ported to a new rent</w:t>
      </w:r>
      <w:r w:rsidR="008A2802">
        <w:t>ed premises</w:t>
      </w:r>
      <w:r w:rsidRPr="009E2307">
        <w:t xml:space="preserve">. This continues until any claim against the original bond is resolved. </w:t>
      </w:r>
      <w:r w:rsidR="00C82AC9" w:rsidRPr="00C82AC9">
        <w:t xml:space="preserve">If a claim is made and agreed, the Government will distribute the rental bond amount to relevant parties, ensuring that the rental provider is not exposed to increased risk due to their </w:t>
      </w:r>
      <w:r w:rsidR="0097338F">
        <w:t>renter’s</w:t>
      </w:r>
      <w:r w:rsidR="0097338F" w:rsidRPr="00C82AC9">
        <w:t xml:space="preserve"> </w:t>
      </w:r>
      <w:r w:rsidR="00C82AC9" w:rsidRPr="00C82AC9">
        <w:t>participation in the PRBS.</w:t>
      </w:r>
      <w:r w:rsidR="007011DA">
        <w:t xml:space="preserve"> </w:t>
      </w:r>
      <w:r>
        <w:t>If a bond claim is disputed, the bond amount will be redistributed once an order is made through the existing claim review process, either through an order of the Victorian Civil and Administrative Tribunal or a court, or by a settlement agreement through Rental Dispute Resolution Victoria.</w:t>
      </w:r>
      <w:r w:rsidR="00475472">
        <w:t xml:space="preserve"> Following this, the Government establishes a debt against the renter.</w:t>
      </w:r>
      <w:r w:rsidR="00475472" w:rsidRPr="00C82AC9">
        <w:t xml:space="preserve"> </w:t>
      </w:r>
    </w:p>
    <w:p w14:paraId="0348CE67" w14:textId="77777777" w:rsidR="00A26C3F" w:rsidRDefault="00A26C3F" w:rsidP="00A26C3F">
      <w:pPr>
        <w:pStyle w:val="Heading4"/>
        <w:ind w:left="0"/>
      </w:pPr>
      <w:r>
        <w:t xml:space="preserve">Establishment of debt and referral for debt collection </w:t>
      </w:r>
    </w:p>
    <w:p w14:paraId="1B23082F" w14:textId="7E2376FB" w:rsidR="00A26C3F" w:rsidRDefault="00A26C3F" w:rsidP="00A26C3F">
      <w:pPr>
        <w:pStyle w:val="DJCSbody"/>
        <w:ind w:left="0"/>
      </w:pPr>
      <w:r w:rsidRPr="000F0133">
        <w:t xml:space="preserve">If a rental provider makes a claim on the original rental bond, </w:t>
      </w:r>
      <w:r>
        <w:t>the Government will pay the claim and</w:t>
      </w:r>
      <w:r w:rsidRPr="000F0133">
        <w:t xml:space="preserve"> </w:t>
      </w:r>
      <w:r>
        <w:t xml:space="preserve">a </w:t>
      </w:r>
      <w:r w:rsidRPr="000F0133">
        <w:t xml:space="preserve">debt </w:t>
      </w:r>
      <w:r>
        <w:t xml:space="preserve">will be established with the </w:t>
      </w:r>
      <w:r w:rsidRPr="000F0133">
        <w:t>r</w:t>
      </w:r>
      <w:r>
        <w:t>enter</w:t>
      </w:r>
      <w:r w:rsidRPr="000F0133">
        <w:t xml:space="preserve">. </w:t>
      </w:r>
      <w:r>
        <w:t>The</w:t>
      </w:r>
      <w:r w:rsidR="006952EB">
        <w:t xml:space="preserve"> amended</w:t>
      </w:r>
      <w:r>
        <w:t xml:space="preserve"> </w:t>
      </w:r>
      <w:r w:rsidR="00F544B5">
        <w:t xml:space="preserve">RT </w:t>
      </w:r>
      <w:r>
        <w:t xml:space="preserve">Act specifies that the renter must pay this amount within 8 weeks after receiving the notice, or in accordance with the terms of a payment plan. </w:t>
      </w:r>
    </w:p>
    <w:p w14:paraId="29FDA07C" w14:textId="77777777" w:rsidR="00A26C3F" w:rsidRPr="00FD1272" w:rsidRDefault="00A26C3F" w:rsidP="00A26C3F">
      <w:pPr>
        <w:pStyle w:val="DJCSbody"/>
        <w:ind w:left="0"/>
        <w:rPr>
          <w:i/>
          <w:iCs/>
        </w:rPr>
      </w:pPr>
      <w:r>
        <w:rPr>
          <w:i/>
          <w:iCs/>
        </w:rPr>
        <w:t xml:space="preserve">Payment plans </w:t>
      </w:r>
    </w:p>
    <w:p w14:paraId="02028261" w14:textId="5A79DAC9" w:rsidR="00A26C3F" w:rsidRDefault="00A26C3F" w:rsidP="00A26C3F">
      <w:pPr>
        <w:pStyle w:val="DJCSbody"/>
        <w:ind w:left="0"/>
      </w:pPr>
      <w:r>
        <w:t xml:space="preserve">The </w:t>
      </w:r>
      <w:r w:rsidR="006952EB">
        <w:t>amended</w:t>
      </w:r>
      <w:r>
        <w:t xml:space="preserve"> </w:t>
      </w:r>
      <w:r w:rsidR="00F544B5">
        <w:t>RT</w:t>
      </w:r>
      <w:r w:rsidR="00740B66">
        <w:t xml:space="preserve"> </w:t>
      </w:r>
      <w:r>
        <w:t>Act states that payment plans will be available to eligible renters in certain circumstances</w:t>
      </w:r>
      <w:r w:rsidR="00C451B1" w:rsidRPr="00C451B1">
        <w:t xml:space="preserve"> </w:t>
      </w:r>
      <w:r w:rsidR="00C451B1">
        <w:t xml:space="preserve">that will be set out in the </w:t>
      </w:r>
      <w:r w:rsidR="00BF2795">
        <w:t>Transfer of Bond Guidelines (the Guidelines).</w:t>
      </w:r>
      <w:r>
        <w:t xml:space="preserve"> </w:t>
      </w:r>
      <w:r w:rsidR="00AC6E78">
        <w:t>The RT Act outlines</w:t>
      </w:r>
      <w:r w:rsidR="00DF7AE2">
        <w:t xml:space="preserve"> that</w:t>
      </w:r>
      <w:r w:rsidR="006D1E7A">
        <w:t xml:space="preserve"> </w:t>
      </w:r>
      <w:r w:rsidR="00AC6E78">
        <w:t xml:space="preserve">a </w:t>
      </w:r>
      <w:r>
        <w:t>payment plan may provide for the repayment of debt by instalments or by an extension of time to pay, or both.</w:t>
      </w:r>
      <w:r w:rsidR="00FA00D5">
        <w:t xml:space="preserve"> </w:t>
      </w:r>
      <w:r w:rsidR="0052377F" w:rsidRPr="0052377F">
        <w:t xml:space="preserve">If the payment plan does not specify a due date for the payment of the full amount of debt, </w:t>
      </w:r>
      <w:r w:rsidR="00BD4D0C" w:rsidRPr="00BD4D0C">
        <w:t>the renter must repay the debt 8 weeks after the payment plan commences.</w:t>
      </w:r>
      <w:r w:rsidR="005003C9">
        <w:t xml:space="preserve"> </w:t>
      </w:r>
      <w:r w:rsidR="00473BD1">
        <w:t>Payment plans</w:t>
      </w:r>
      <w:r w:rsidR="00C82D07">
        <w:t xml:space="preserve"> commence </w:t>
      </w:r>
      <w:r w:rsidR="00447683">
        <w:t>when the first payment has been made</w:t>
      </w:r>
      <w:r w:rsidR="00BC52E5">
        <w:t>.</w:t>
      </w:r>
      <w:r w:rsidR="00BD4D0C" w:rsidRPr="00BD4D0C">
        <w:t xml:space="preserve"> </w:t>
      </w:r>
      <w:r w:rsidR="00BC52E5">
        <w:t xml:space="preserve">Further details on </w:t>
      </w:r>
      <w:r w:rsidR="00473BD1">
        <w:t xml:space="preserve">payment plans and </w:t>
      </w:r>
      <w:r w:rsidR="00BC52E5">
        <w:t>t</w:t>
      </w:r>
      <w:r>
        <w:t>he eligibility criteria for a payment plan will be outlined in the Guidelines.</w:t>
      </w:r>
    </w:p>
    <w:p w14:paraId="355061BC" w14:textId="77777777" w:rsidR="00A26C3F" w:rsidRPr="00FD1272" w:rsidRDefault="00A26C3F" w:rsidP="00A26C3F">
      <w:pPr>
        <w:pStyle w:val="DJCSbody"/>
        <w:ind w:left="0"/>
        <w:rPr>
          <w:i/>
          <w:iCs/>
        </w:rPr>
      </w:pPr>
      <w:r>
        <w:rPr>
          <w:i/>
          <w:iCs/>
        </w:rPr>
        <w:t xml:space="preserve">Government action to recover debt </w:t>
      </w:r>
    </w:p>
    <w:p w14:paraId="67C2405D" w14:textId="340A268D" w:rsidR="00A26C3F" w:rsidRDefault="00A26C3F" w:rsidP="00A26C3F">
      <w:pPr>
        <w:pStyle w:val="DJCSbody"/>
        <w:ind w:left="0"/>
      </w:pPr>
      <w:r>
        <w:t xml:space="preserve">If a debt is not repaid by the renter after 8 weeks of receiving the notice, or a renter has failed to comply with the terms of their payment plan, the </w:t>
      </w:r>
      <w:r w:rsidR="006952EB">
        <w:t xml:space="preserve">amendments to the </w:t>
      </w:r>
      <w:r w:rsidR="00F544B5">
        <w:t xml:space="preserve">RT </w:t>
      </w:r>
      <w:r>
        <w:t xml:space="preserve">Act state that the Government may take action to recover the debt from the renter. The specific nature and timing of the Government’s debt recovery actions can be specified in </w:t>
      </w:r>
      <w:r w:rsidR="002E6554">
        <w:t xml:space="preserve">the </w:t>
      </w:r>
      <w:r>
        <w:t xml:space="preserve">Regulations and </w:t>
      </w:r>
      <w:r w:rsidR="00F42159">
        <w:t>the Guidelines</w:t>
      </w:r>
      <w:r>
        <w:t xml:space="preserve">. </w:t>
      </w:r>
    </w:p>
    <w:p w14:paraId="222C232D" w14:textId="36F424E0" w:rsidR="00A26C3F" w:rsidRDefault="00A26C3F" w:rsidP="00A26C3F">
      <w:pPr>
        <w:pStyle w:val="DJCSbody"/>
        <w:ind w:left="0"/>
      </w:pPr>
      <w:r>
        <w:lastRenderedPageBreak/>
        <w:t xml:space="preserve">The </w:t>
      </w:r>
      <w:r w:rsidR="006952EB">
        <w:t>amended</w:t>
      </w:r>
      <w:r>
        <w:t xml:space="preserve"> </w:t>
      </w:r>
      <w:r w:rsidR="00F544B5">
        <w:t xml:space="preserve">RT </w:t>
      </w:r>
      <w:r>
        <w:t xml:space="preserve">Act also provides that fees may be prescribed to cover the costs of this </w:t>
      </w:r>
      <w:r w:rsidR="00F42159">
        <w:t xml:space="preserve">internal </w:t>
      </w:r>
      <w:r>
        <w:t xml:space="preserve">debt recovery activity and will be added to the initial debt amount. This is intended to </w:t>
      </w:r>
      <w:r w:rsidRPr="00DA1E61">
        <w:t>recover the costs of the debt recovery process from renters that cause those costs</w:t>
      </w:r>
      <w:r>
        <w:t>.</w:t>
      </w:r>
    </w:p>
    <w:p w14:paraId="124E44B3" w14:textId="77777777" w:rsidR="00A26C3F" w:rsidRPr="004712D1" w:rsidRDefault="00A26C3F" w:rsidP="00A26C3F">
      <w:pPr>
        <w:pStyle w:val="DJCSbody"/>
        <w:ind w:left="0"/>
        <w:rPr>
          <w:i/>
          <w:iCs/>
        </w:rPr>
      </w:pPr>
      <w:r>
        <w:rPr>
          <w:i/>
          <w:iCs/>
        </w:rPr>
        <w:t xml:space="preserve">Referral of debt to a debt collection agency </w:t>
      </w:r>
    </w:p>
    <w:p w14:paraId="5FAE4837" w14:textId="39218609" w:rsidR="00A26C3F" w:rsidRPr="000F0133" w:rsidRDefault="00A26C3F" w:rsidP="00A26C3F">
      <w:pPr>
        <w:pStyle w:val="DJCSbody"/>
        <w:ind w:left="0"/>
      </w:pPr>
      <w:r>
        <w:t xml:space="preserve">If the debt is still unpaid after internal debt recovery actions, </w:t>
      </w:r>
      <w:r w:rsidR="00A67957">
        <w:t xml:space="preserve">amendments to </w:t>
      </w:r>
      <w:r>
        <w:t xml:space="preserve">the </w:t>
      </w:r>
      <w:r w:rsidR="00F544B5">
        <w:t xml:space="preserve">RT </w:t>
      </w:r>
      <w:r>
        <w:t xml:space="preserve">Act </w:t>
      </w:r>
      <w:r w:rsidR="00A67957">
        <w:t xml:space="preserve">state </w:t>
      </w:r>
      <w:r>
        <w:t xml:space="preserve">that </w:t>
      </w:r>
      <w:r w:rsidR="00A67957">
        <w:t>the</w:t>
      </w:r>
      <w:r>
        <w:t xml:space="preserve"> Government may refer unrecovered debts to </w:t>
      </w:r>
      <w:r w:rsidR="007715A3">
        <w:t>a</w:t>
      </w:r>
      <w:r w:rsidR="001D3E4C">
        <w:t xml:space="preserve">n external </w:t>
      </w:r>
      <w:r>
        <w:t>debt collection agenc</w:t>
      </w:r>
      <w:r w:rsidR="007715A3">
        <w:t xml:space="preserve">y </w:t>
      </w:r>
      <w:r>
        <w:t xml:space="preserve">(DCA), who </w:t>
      </w:r>
      <w:r w:rsidRPr="000F0133">
        <w:t xml:space="preserve">will further pursue this </w:t>
      </w:r>
      <w:r>
        <w:t>debt</w:t>
      </w:r>
      <w:r w:rsidRPr="000F0133">
        <w:t xml:space="preserve">. </w:t>
      </w:r>
    </w:p>
    <w:p w14:paraId="3C1540DE" w14:textId="77777777" w:rsidR="00A26C3F" w:rsidRPr="000F0133" w:rsidRDefault="00A26C3F" w:rsidP="00A26C3F">
      <w:pPr>
        <w:pStyle w:val="DJCSbody"/>
        <w:ind w:left="0"/>
      </w:pPr>
      <w:r w:rsidRPr="000F0133">
        <w:t>If a DCA is engaged, the agency will recover PRBS debt in a manner that is compliant with:</w:t>
      </w:r>
    </w:p>
    <w:p w14:paraId="16666B27" w14:textId="561FD724" w:rsidR="00A26C3F" w:rsidRPr="000F0133" w:rsidRDefault="00A26C3F" w:rsidP="00A26C3F">
      <w:pPr>
        <w:pStyle w:val="Body"/>
        <w:numPr>
          <w:ilvl w:val="0"/>
          <w:numId w:val="49"/>
        </w:numPr>
      </w:pPr>
      <w:r w:rsidRPr="000F0133">
        <w:t>The Commonwealth Government’s Debt collection guideline for collectors and creditors, published by the Australian Competition and Consumer Commission (ACCC) and Australian Securities and Investments Commission (ASIC</w:t>
      </w:r>
      <w:r w:rsidRPr="008F7E39">
        <w:t>)</w:t>
      </w:r>
      <w:r w:rsidR="001D3E4C">
        <w:t xml:space="preserve">, and </w:t>
      </w:r>
    </w:p>
    <w:p w14:paraId="72297D39" w14:textId="77777777" w:rsidR="00A26C3F" w:rsidRPr="000F0133" w:rsidRDefault="00A26C3F" w:rsidP="00A26C3F">
      <w:pPr>
        <w:pStyle w:val="Body"/>
        <w:numPr>
          <w:ilvl w:val="0"/>
          <w:numId w:val="49"/>
        </w:numPr>
      </w:pPr>
      <w:r w:rsidRPr="000F0133">
        <w:t>Guidance published by Consumer Affairs Victoria</w:t>
      </w:r>
      <w:r>
        <w:t>.</w:t>
      </w:r>
    </w:p>
    <w:p w14:paraId="1E024D0B" w14:textId="02172960" w:rsidR="00CF5849" w:rsidRPr="00CF5849" w:rsidRDefault="00A26C3F" w:rsidP="001F576E">
      <w:pPr>
        <w:pStyle w:val="DJCSbody"/>
        <w:tabs>
          <w:tab w:val="num" w:pos="2388"/>
        </w:tabs>
        <w:ind w:left="0"/>
      </w:pPr>
      <w:r>
        <w:t>R</w:t>
      </w:r>
      <w:r w:rsidRPr="000F0133">
        <w:t xml:space="preserve">enters </w:t>
      </w:r>
      <w:r>
        <w:t xml:space="preserve">experiencing hardship can seek </w:t>
      </w:r>
      <w:r w:rsidRPr="000F0133">
        <w:t xml:space="preserve">support to meet </w:t>
      </w:r>
      <w:r>
        <w:t>any debt that is owed to the State</w:t>
      </w:r>
      <w:r w:rsidR="00CF5849" w:rsidRPr="00CF5849">
        <w:t>.</w:t>
      </w:r>
    </w:p>
    <w:p w14:paraId="403FAADA" w14:textId="77777777" w:rsidR="00A26C3F" w:rsidRDefault="00A26C3F" w:rsidP="00A26C3F">
      <w:pPr>
        <w:pStyle w:val="Heading4"/>
        <w:ind w:left="0"/>
      </w:pPr>
      <w:r>
        <w:t>Transfer of Bond Guidelines</w:t>
      </w:r>
    </w:p>
    <w:p w14:paraId="658A39B2" w14:textId="7C7FAAEC" w:rsidR="00A26C3F" w:rsidRDefault="00A26C3F" w:rsidP="00A26C3F">
      <w:pPr>
        <w:pStyle w:val="DJCSbody"/>
        <w:ind w:left="0"/>
      </w:pPr>
      <w:r>
        <w:t xml:space="preserve">The </w:t>
      </w:r>
      <w:r w:rsidR="00A67957">
        <w:t>amended</w:t>
      </w:r>
      <w:r>
        <w:t xml:space="preserve"> </w:t>
      </w:r>
      <w:r w:rsidR="00F544B5">
        <w:t xml:space="preserve">RT </w:t>
      </w:r>
      <w:r>
        <w:t xml:space="preserve">Act enables the Government to establish </w:t>
      </w:r>
      <w:r w:rsidR="001D3E4C">
        <w:t>the</w:t>
      </w:r>
      <w:r>
        <w:t xml:space="preserve"> Guidelines for the operation of the PRBS. These Guidelines will cover:</w:t>
      </w:r>
    </w:p>
    <w:p w14:paraId="02D44CF7" w14:textId="77777777" w:rsidR="00A26C3F" w:rsidRDefault="00A26C3F" w:rsidP="00A26C3F">
      <w:pPr>
        <w:pStyle w:val="DJCSbody"/>
        <w:numPr>
          <w:ilvl w:val="0"/>
          <w:numId w:val="50"/>
        </w:numPr>
        <w:tabs>
          <w:tab w:val="num" w:pos="2388"/>
        </w:tabs>
      </w:pPr>
      <w:r>
        <w:t>The administrative process, manner, conduct and timing of the Government’s debt recovery actions, including the eligibility requirements for renters wishing to enter payment plans.</w:t>
      </w:r>
    </w:p>
    <w:p w14:paraId="25995767" w14:textId="77777777" w:rsidR="00A26C3F" w:rsidRDefault="00A26C3F" w:rsidP="00A26C3F">
      <w:pPr>
        <w:pStyle w:val="DJCSbody"/>
        <w:numPr>
          <w:ilvl w:val="0"/>
          <w:numId w:val="50"/>
        </w:numPr>
        <w:tabs>
          <w:tab w:val="num" w:pos="2388"/>
        </w:tabs>
      </w:pPr>
      <w:r>
        <w:t>The definition of hardship and the eligibility requirements for renters’ debt to be written off in hardship circumstances.</w:t>
      </w:r>
    </w:p>
    <w:p w14:paraId="06BAE2B1" w14:textId="48CD1C6A" w:rsidR="00A26C3F" w:rsidRPr="000F65FE" w:rsidRDefault="00A26C3F" w:rsidP="00A26C3F">
      <w:pPr>
        <w:pStyle w:val="Heading2"/>
        <w:jc w:val="both"/>
      </w:pPr>
      <w:bookmarkStart w:id="8" w:name="_Toc221890886"/>
      <w:r>
        <w:t xml:space="preserve">Context for the introduction of the </w:t>
      </w:r>
      <w:r w:rsidR="009602B4">
        <w:t>PRBS</w:t>
      </w:r>
      <w:bookmarkEnd w:id="8"/>
      <w:r>
        <w:t xml:space="preserve"> </w:t>
      </w:r>
    </w:p>
    <w:p w14:paraId="4A97435E" w14:textId="3CF80C6E" w:rsidR="00A26C3F" w:rsidRDefault="00A26C3F" w:rsidP="00A26C3F">
      <w:pPr>
        <w:pStyle w:val="Body"/>
        <w:rPr>
          <w:rStyle w:val="CommentReference"/>
          <w:sz w:val="22"/>
          <w:szCs w:val="22"/>
        </w:rPr>
      </w:pPr>
      <w:r>
        <w:t xml:space="preserve">In Victoria, there are more people renting than ever before, and for longer. </w:t>
      </w:r>
      <w:r w:rsidRPr="00075EB6">
        <w:t xml:space="preserve">Based on the 2021 Census, approximately 1.6 million Victorians live in rented dwellings. </w:t>
      </w:r>
      <w:r w:rsidR="00107582" w:rsidRPr="00F1002A">
        <w:t>T</w:t>
      </w:r>
      <w:r w:rsidR="00107582" w:rsidRPr="00F1002A">
        <w:rPr>
          <w:rStyle w:val="CommentReference"/>
          <w:sz w:val="22"/>
          <w:szCs w:val="22"/>
        </w:rPr>
        <w:t>he proportion of renters in Victoria from 2006 to 2021 has increased from 24% to 29%.</w:t>
      </w:r>
      <w:r w:rsidR="00107582" w:rsidRPr="00657C42">
        <w:rPr>
          <w:rStyle w:val="FootnoteReference"/>
          <w:rFonts w:cstheme="minorBidi"/>
        </w:rPr>
        <w:footnoteReference w:id="4"/>
      </w:r>
      <w:r w:rsidR="00107582" w:rsidRPr="00F1002A">
        <w:rPr>
          <w:rStyle w:val="CommentReference"/>
          <w:sz w:val="22"/>
          <w:szCs w:val="22"/>
        </w:rPr>
        <w:t xml:space="preserve"> </w:t>
      </w:r>
      <w:bookmarkStart w:id="9" w:name="_Hlk219727368"/>
      <w:r w:rsidR="00107582" w:rsidRPr="00F1002A">
        <w:rPr>
          <w:rStyle w:val="CommentReference"/>
          <w:sz w:val="22"/>
          <w:szCs w:val="22"/>
        </w:rPr>
        <w:t xml:space="preserve">Over the past 10 years, the number of </w:t>
      </w:r>
      <w:r w:rsidR="002B05A3">
        <w:rPr>
          <w:rStyle w:val="CommentReference"/>
          <w:sz w:val="22"/>
          <w:szCs w:val="22"/>
        </w:rPr>
        <w:t xml:space="preserve">bonds held by the RTBA (as a proxy for the number of </w:t>
      </w:r>
      <w:r w:rsidR="00107582" w:rsidRPr="00F1002A">
        <w:rPr>
          <w:rStyle w:val="CommentReference"/>
          <w:sz w:val="22"/>
          <w:szCs w:val="22"/>
        </w:rPr>
        <w:t>rental properties</w:t>
      </w:r>
      <w:r w:rsidR="002B05A3">
        <w:rPr>
          <w:rStyle w:val="CommentReference"/>
          <w:sz w:val="22"/>
          <w:szCs w:val="22"/>
        </w:rPr>
        <w:t xml:space="preserve">) </w:t>
      </w:r>
      <w:r w:rsidR="00107582" w:rsidRPr="00F1002A">
        <w:rPr>
          <w:rStyle w:val="CommentReference"/>
          <w:sz w:val="22"/>
          <w:szCs w:val="22"/>
        </w:rPr>
        <w:t xml:space="preserve">has also increased by more than </w:t>
      </w:r>
      <w:r w:rsidR="000311A2" w:rsidRPr="00F1002A">
        <w:rPr>
          <w:rStyle w:val="CommentReference"/>
          <w:sz w:val="22"/>
          <w:szCs w:val="22"/>
        </w:rPr>
        <w:t>3</w:t>
      </w:r>
      <w:r w:rsidR="00962DB0">
        <w:rPr>
          <w:rStyle w:val="CommentReference"/>
          <w:sz w:val="22"/>
          <w:szCs w:val="22"/>
        </w:rPr>
        <w:t>0</w:t>
      </w:r>
      <w:bookmarkEnd w:id="9"/>
      <w:r w:rsidR="00D6345A">
        <w:rPr>
          <w:rStyle w:val="CommentReference"/>
          <w:sz w:val="22"/>
          <w:szCs w:val="22"/>
        </w:rPr>
        <w:t>%</w:t>
      </w:r>
      <w:r w:rsidR="00107582" w:rsidRPr="00F1002A">
        <w:rPr>
          <w:rStyle w:val="CommentReference"/>
          <w:sz w:val="22"/>
          <w:szCs w:val="22"/>
        </w:rPr>
        <w:t>.</w:t>
      </w:r>
      <w:r w:rsidR="00107582" w:rsidRPr="0074717E">
        <w:rPr>
          <w:rStyle w:val="FootnoteReference"/>
        </w:rPr>
        <w:footnoteReference w:id="5"/>
      </w:r>
      <w:r w:rsidR="00107582" w:rsidRPr="00444FAE">
        <w:rPr>
          <w:rStyle w:val="CommentReference"/>
          <w:sz w:val="22"/>
          <w:szCs w:val="22"/>
        </w:rPr>
        <w:t xml:space="preserve"> </w:t>
      </w:r>
    </w:p>
    <w:p w14:paraId="2800474A" w14:textId="08F772F9" w:rsidR="00A26C3F" w:rsidRDefault="00A26C3F" w:rsidP="00A26C3F">
      <w:pPr>
        <w:pStyle w:val="Body"/>
        <w:rPr>
          <w:rStyle w:val="CommentReference"/>
          <w:sz w:val="22"/>
          <w:szCs w:val="22"/>
        </w:rPr>
      </w:pPr>
      <w:r w:rsidRPr="00F1002A">
        <w:rPr>
          <w:rStyle w:val="CommentReference"/>
          <w:sz w:val="22"/>
          <w:szCs w:val="22"/>
        </w:rPr>
        <w:t>Rising ho</w:t>
      </w:r>
      <w:r>
        <w:rPr>
          <w:rStyle w:val="CommentReference"/>
          <w:sz w:val="22"/>
          <w:szCs w:val="22"/>
        </w:rPr>
        <w:t>m</w:t>
      </w:r>
      <w:r w:rsidRPr="00F1002A">
        <w:rPr>
          <w:rStyle w:val="CommentReference"/>
          <w:sz w:val="22"/>
          <w:szCs w:val="22"/>
        </w:rPr>
        <w:t>e prices ha</w:t>
      </w:r>
      <w:r>
        <w:rPr>
          <w:rStyle w:val="CommentReference"/>
          <w:sz w:val="22"/>
          <w:szCs w:val="22"/>
        </w:rPr>
        <w:t xml:space="preserve">ve contributed to a growing </w:t>
      </w:r>
      <w:r w:rsidR="00ED726A">
        <w:rPr>
          <w:rStyle w:val="CommentReference"/>
          <w:sz w:val="22"/>
          <w:szCs w:val="22"/>
        </w:rPr>
        <w:t>p</w:t>
      </w:r>
      <w:r w:rsidR="00F8744A">
        <w:rPr>
          <w:rStyle w:val="CommentReference"/>
          <w:sz w:val="22"/>
          <w:szCs w:val="22"/>
        </w:rPr>
        <w:t>roportion</w:t>
      </w:r>
      <w:r>
        <w:rPr>
          <w:rStyle w:val="CommentReference"/>
          <w:sz w:val="22"/>
          <w:szCs w:val="22"/>
        </w:rPr>
        <w:t xml:space="preserve"> of Victorians renting. The ability to save for a home deposit and enter the housing market has been hindered by an increasing average ratio of rent</w:t>
      </w:r>
      <w:r w:rsidR="00280A2D">
        <w:rPr>
          <w:rStyle w:val="CommentReference"/>
          <w:sz w:val="22"/>
          <w:szCs w:val="22"/>
        </w:rPr>
        <w:t>-to-</w:t>
      </w:r>
      <w:r>
        <w:rPr>
          <w:rStyle w:val="CommentReference"/>
          <w:sz w:val="22"/>
          <w:szCs w:val="22"/>
        </w:rPr>
        <w:t>income and other cost of living pressures.</w:t>
      </w:r>
      <w:r w:rsidRPr="0074717E">
        <w:rPr>
          <w:rStyle w:val="FootnoteReference"/>
        </w:rPr>
        <w:footnoteReference w:id="6"/>
      </w:r>
      <w:r>
        <w:rPr>
          <w:rStyle w:val="CommentReference"/>
          <w:sz w:val="22"/>
          <w:szCs w:val="22"/>
        </w:rPr>
        <w:t xml:space="preserve"> As a result, many Victorians are spending more time in the rental market before </w:t>
      </w:r>
      <w:r w:rsidR="006E0B9E">
        <w:rPr>
          <w:rStyle w:val="CommentReference"/>
          <w:sz w:val="22"/>
          <w:szCs w:val="22"/>
        </w:rPr>
        <w:t xml:space="preserve">seeking to buy </w:t>
      </w:r>
      <w:r>
        <w:rPr>
          <w:rStyle w:val="CommentReference"/>
          <w:sz w:val="22"/>
          <w:szCs w:val="22"/>
        </w:rPr>
        <w:t>a home.</w:t>
      </w:r>
      <w:r w:rsidRPr="00B01344">
        <w:t xml:space="preserve"> </w:t>
      </w:r>
      <w:r>
        <w:t xml:space="preserve">It takes the average Australian household over 12 years to </w:t>
      </w:r>
      <w:r>
        <w:rPr>
          <w:rStyle w:val="CommentReference"/>
          <w:sz w:val="22"/>
          <w:szCs w:val="22"/>
        </w:rPr>
        <w:t>save a</w:t>
      </w:r>
      <w:r w:rsidRPr="00B01344">
        <w:rPr>
          <w:rStyle w:val="CommentReference"/>
          <w:sz w:val="22"/>
          <w:szCs w:val="22"/>
        </w:rPr>
        <w:t xml:space="preserve"> 20% deposit for a typical home</w:t>
      </w:r>
      <w:r>
        <w:rPr>
          <w:rStyle w:val="CommentReference"/>
          <w:sz w:val="22"/>
          <w:szCs w:val="22"/>
        </w:rPr>
        <w:t xml:space="preserve"> in 2025</w:t>
      </w:r>
      <w:r w:rsidR="00423A55">
        <w:rPr>
          <w:rStyle w:val="CommentReference"/>
          <w:sz w:val="22"/>
          <w:szCs w:val="22"/>
        </w:rPr>
        <w:t>,</w:t>
      </w:r>
      <w:r w:rsidRPr="0074717E">
        <w:rPr>
          <w:rStyle w:val="FootnoteReference"/>
        </w:rPr>
        <w:footnoteReference w:id="7"/>
      </w:r>
      <w:r w:rsidR="006746A8">
        <w:rPr>
          <w:rStyle w:val="CommentReference"/>
          <w:sz w:val="22"/>
          <w:szCs w:val="22"/>
        </w:rPr>
        <w:t xml:space="preserve"> compared to</w:t>
      </w:r>
      <w:r w:rsidR="00BE33DE">
        <w:rPr>
          <w:rStyle w:val="CommentReference"/>
          <w:sz w:val="22"/>
          <w:szCs w:val="22"/>
        </w:rPr>
        <w:t xml:space="preserve"> the</w:t>
      </w:r>
      <w:r w:rsidR="006746A8">
        <w:rPr>
          <w:rStyle w:val="CommentReference"/>
          <w:sz w:val="22"/>
          <w:szCs w:val="22"/>
        </w:rPr>
        <w:t xml:space="preserve"> </w:t>
      </w:r>
      <w:r w:rsidR="004446C8">
        <w:rPr>
          <w:rStyle w:val="CommentReference"/>
          <w:sz w:val="22"/>
          <w:szCs w:val="22"/>
        </w:rPr>
        <w:t xml:space="preserve">6 </w:t>
      </w:r>
      <w:r w:rsidR="00D6345A">
        <w:rPr>
          <w:rStyle w:val="CommentReference"/>
          <w:sz w:val="22"/>
          <w:szCs w:val="22"/>
        </w:rPr>
        <w:t>years</w:t>
      </w:r>
      <w:r w:rsidR="006746A8">
        <w:rPr>
          <w:rStyle w:val="CommentReference"/>
          <w:sz w:val="22"/>
          <w:szCs w:val="22"/>
        </w:rPr>
        <w:t xml:space="preserve"> </w:t>
      </w:r>
      <w:r w:rsidR="00BE33DE">
        <w:rPr>
          <w:rStyle w:val="CommentReference"/>
          <w:sz w:val="22"/>
          <w:szCs w:val="22"/>
        </w:rPr>
        <w:t xml:space="preserve">it may have taken </w:t>
      </w:r>
      <w:r w:rsidR="006746A8">
        <w:rPr>
          <w:rStyle w:val="CommentReference"/>
          <w:sz w:val="22"/>
          <w:szCs w:val="22"/>
        </w:rPr>
        <w:t xml:space="preserve">in the </w:t>
      </w:r>
      <w:r w:rsidRPr="00B01344">
        <w:rPr>
          <w:rStyle w:val="CommentReference"/>
          <w:sz w:val="22"/>
          <w:szCs w:val="22"/>
        </w:rPr>
        <w:t>early 1990s.</w:t>
      </w:r>
      <w:r w:rsidRPr="0074717E">
        <w:rPr>
          <w:rStyle w:val="FootnoteReference"/>
        </w:rPr>
        <w:footnoteReference w:id="8"/>
      </w:r>
      <w:r>
        <w:rPr>
          <w:rStyle w:val="CommentReference"/>
          <w:sz w:val="22"/>
          <w:szCs w:val="22"/>
        </w:rPr>
        <w:t xml:space="preserve"> </w:t>
      </w:r>
    </w:p>
    <w:p w14:paraId="2DBBA911" w14:textId="76CFFE11" w:rsidR="00A26C3F" w:rsidRDefault="00A26C3F" w:rsidP="00A26C3F">
      <w:pPr>
        <w:pStyle w:val="Body"/>
      </w:pPr>
      <w:r>
        <w:lastRenderedPageBreak/>
        <w:t xml:space="preserve">Younger age cohorts are facing the sharpest decline in home ownership </w:t>
      </w:r>
      <w:r w:rsidR="00D6345A">
        <w:t>out of all age cohorts</w:t>
      </w:r>
      <w:r>
        <w:t xml:space="preserve"> in Victoria</w:t>
      </w:r>
      <w:r w:rsidRPr="004A3FAE">
        <w:t xml:space="preserve">. In 2001, </w:t>
      </w:r>
      <w:r>
        <w:t>63</w:t>
      </w:r>
      <w:r w:rsidRPr="004A3FAE">
        <w:t xml:space="preserve">% of </w:t>
      </w:r>
      <w:r>
        <w:t>Victorians</w:t>
      </w:r>
      <w:r w:rsidRPr="004A3FAE">
        <w:t xml:space="preserve"> aged </w:t>
      </w:r>
      <w:r>
        <w:t>30 to 34</w:t>
      </w:r>
      <w:r w:rsidRPr="004A3FAE">
        <w:t xml:space="preserve"> owned their home, but by 2021 that figure had dropped to 5</w:t>
      </w:r>
      <w:r>
        <w:t>2</w:t>
      </w:r>
      <w:r w:rsidRPr="004A3FAE">
        <w:t xml:space="preserve">%. Among </w:t>
      </w:r>
      <w:r>
        <w:t xml:space="preserve">those aged </w:t>
      </w:r>
      <w:r w:rsidRPr="004A3FAE">
        <w:t>25</w:t>
      </w:r>
      <w:r>
        <w:t xml:space="preserve"> to 29</w:t>
      </w:r>
      <w:r w:rsidRPr="004A3FAE">
        <w:t xml:space="preserve">, </w:t>
      </w:r>
      <w:r>
        <w:t xml:space="preserve">home </w:t>
      </w:r>
      <w:r w:rsidRPr="004A3FAE">
        <w:t>ownership fell from 4</w:t>
      </w:r>
      <w:r>
        <w:t>7</w:t>
      </w:r>
      <w:r w:rsidRPr="004A3FAE">
        <w:t>% in 2001 to just 3</w:t>
      </w:r>
      <w:r>
        <w:t>7</w:t>
      </w:r>
      <w:r w:rsidRPr="004A3FAE">
        <w:t xml:space="preserve">% </w:t>
      </w:r>
      <w:r>
        <w:t>in 2021</w:t>
      </w:r>
      <w:r w:rsidRPr="004A3FAE">
        <w:t>.</w:t>
      </w:r>
      <w:r w:rsidRPr="00725A2E">
        <w:rPr>
          <w:rStyle w:val="FootnoteReference"/>
        </w:rPr>
        <w:footnoteReference w:id="9"/>
      </w:r>
      <w:r>
        <w:t xml:space="preserve"> This has resulted in an overrepresentation of young people in </w:t>
      </w:r>
      <w:r w:rsidR="00264F78">
        <w:t xml:space="preserve">Victoria’s </w:t>
      </w:r>
      <w:r>
        <w:t>rental market, r</w:t>
      </w:r>
      <w:r w:rsidRPr="00075EB6">
        <w:t>elative to the general population</w:t>
      </w:r>
      <w:r>
        <w:t>.</w:t>
      </w:r>
      <w:r w:rsidRPr="00075EB6">
        <w:t xml:space="preserve"> </w:t>
      </w:r>
      <w:r>
        <w:t>Younger</w:t>
      </w:r>
      <w:r w:rsidRPr="00075EB6">
        <w:t xml:space="preserve"> people comprise </w:t>
      </w:r>
      <w:r>
        <w:t>the highest</w:t>
      </w:r>
      <w:r w:rsidRPr="00075EB6">
        <w:t xml:space="preserve"> proportion of the state’s renters</w:t>
      </w:r>
      <w:r>
        <w:t xml:space="preserve">: </w:t>
      </w:r>
      <w:r w:rsidRPr="00075EB6">
        <w:t>Victorians aged 20</w:t>
      </w:r>
      <w:r w:rsidR="004446C8">
        <w:t xml:space="preserve"> to</w:t>
      </w:r>
      <w:r w:rsidR="007C55C2">
        <w:t xml:space="preserve"> </w:t>
      </w:r>
      <w:r w:rsidRPr="00075EB6">
        <w:t>39 account for 45% of renters</w:t>
      </w:r>
      <w:r>
        <w:t>,</w:t>
      </w:r>
      <w:r w:rsidRPr="00075EB6">
        <w:t xml:space="preserve"> despite representing less than 30% of the general population.</w:t>
      </w:r>
      <w:r>
        <w:rPr>
          <w:rStyle w:val="FootnoteReference"/>
        </w:rPr>
        <w:footnoteReference w:id="10"/>
      </w:r>
    </w:p>
    <w:p w14:paraId="1351BA16" w14:textId="65C194F9" w:rsidR="00A26C3F" w:rsidRDefault="00A26C3F" w:rsidP="00A26C3F">
      <w:pPr>
        <w:pStyle w:val="Body"/>
      </w:pPr>
      <w:r>
        <w:t xml:space="preserve">With more people renting, Victoria’s rental market is becoming increasingly competitive. Rental affordability across Victoria has also decreased, leading to higher rates of </w:t>
      </w:r>
      <w:r w:rsidRPr="00BC5680">
        <w:t>financial stress and tenure insecurity</w:t>
      </w:r>
      <w:r>
        <w:t>.</w:t>
      </w:r>
      <w:r w:rsidRPr="00725A2E">
        <w:rPr>
          <w:rStyle w:val="FootnoteReference"/>
        </w:rPr>
        <w:footnoteReference w:id="11"/>
      </w:r>
      <w:r>
        <w:t xml:space="preserve"> This is explored further below. The current state of Victoria’s rental market is important context for the problems the PRBS seeks to address, which are discussed further in </w:t>
      </w:r>
      <w:r w:rsidR="00776733">
        <w:t xml:space="preserve">Chapter </w:t>
      </w:r>
      <w:r>
        <w:t xml:space="preserve">2 of this RIS. </w:t>
      </w:r>
    </w:p>
    <w:p w14:paraId="415C875A" w14:textId="4E7CF45D" w:rsidR="00A26C3F" w:rsidRPr="00716108" w:rsidRDefault="00A26C3F" w:rsidP="00A26C3F">
      <w:pPr>
        <w:pStyle w:val="Heading4"/>
        <w:ind w:left="0"/>
      </w:pPr>
      <w:r w:rsidRPr="00716108">
        <w:t xml:space="preserve">Low vacancy rates and a shortage of rental supply in Victoria have made it increasingly competitive for prospective </w:t>
      </w:r>
      <w:r w:rsidR="0097338F">
        <w:t>renters</w:t>
      </w:r>
      <w:r w:rsidR="0097338F" w:rsidRPr="00716108">
        <w:t xml:space="preserve"> </w:t>
      </w:r>
      <w:r w:rsidRPr="00716108">
        <w:t>to secure housing.</w:t>
      </w:r>
    </w:p>
    <w:p w14:paraId="384E84DB" w14:textId="24325589" w:rsidR="00A26C3F" w:rsidRPr="005661C1" w:rsidRDefault="00A26C3F" w:rsidP="00A26C3F">
      <w:pPr>
        <w:pStyle w:val="Body"/>
      </w:pPr>
      <w:r w:rsidRPr="005661C1">
        <w:t xml:space="preserve">The </w:t>
      </w:r>
      <w:r w:rsidR="00E944AA">
        <w:t xml:space="preserve">residential </w:t>
      </w:r>
      <w:r w:rsidR="002B5A82">
        <w:t xml:space="preserve">rental </w:t>
      </w:r>
      <w:r w:rsidR="0091528C" w:rsidRPr="005661C1">
        <w:t xml:space="preserve">vacancy rate in </w:t>
      </w:r>
      <w:r w:rsidR="003D4A46" w:rsidRPr="003D4A46">
        <w:t>metropolitan</w:t>
      </w:r>
      <w:r w:rsidR="0091528C" w:rsidRPr="005661C1">
        <w:t xml:space="preserve"> Melbourne </w:t>
      </w:r>
      <w:r w:rsidR="003D4A46" w:rsidRPr="003D4A46">
        <w:t xml:space="preserve">is </w:t>
      </w:r>
      <w:r w:rsidR="0091528C" w:rsidRPr="005661C1">
        <w:t>currently 2</w:t>
      </w:r>
      <w:r w:rsidR="003D4A46" w:rsidRPr="003D4A46">
        <w:t>.4</w:t>
      </w:r>
      <w:r w:rsidR="0091528C" w:rsidRPr="005661C1">
        <w:t>%</w:t>
      </w:r>
      <w:r w:rsidR="0091528C">
        <w:t>,</w:t>
      </w:r>
      <w:r w:rsidR="0091528C" w:rsidRPr="000537CF">
        <w:rPr>
          <w:rStyle w:val="FootnoteReference"/>
        </w:rPr>
        <w:footnoteReference w:id="12"/>
      </w:r>
      <w:r w:rsidR="0014766A" w:rsidRPr="0014766A">
        <w:t xml:space="preserve"> </w:t>
      </w:r>
      <w:r w:rsidR="003C5233" w:rsidRPr="003C5233">
        <w:t xml:space="preserve">while </w:t>
      </w:r>
      <w:r w:rsidR="00D70E4C">
        <w:t xml:space="preserve">in </w:t>
      </w:r>
      <w:r w:rsidR="003C5233" w:rsidRPr="003C5233">
        <w:t xml:space="preserve">regional Victoria </w:t>
      </w:r>
      <w:r w:rsidR="00D70E4C">
        <w:t xml:space="preserve">this figure </w:t>
      </w:r>
      <w:r w:rsidR="003C5233" w:rsidRPr="003C5233">
        <w:t>sits at 1.8%</w:t>
      </w:r>
      <w:r w:rsidR="00011BED">
        <w:t>.</w:t>
      </w:r>
      <w:r w:rsidR="0014766A" w:rsidRPr="000537CF">
        <w:rPr>
          <w:rStyle w:val="FootnoteReference"/>
        </w:rPr>
        <w:footnoteReference w:id="13"/>
      </w:r>
      <w:r w:rsidR="0014766A">
        <w:t xml:space="preserve"> </w:t>
      </w:r>
      <w:r>
        <w:t xml:space="preserve">In addition to a growing population of renters in Victoria, a key driver of low vacancy rates is a declining supply of rental housing. In response to changes in interest rates, land taxes and broader cost of living issues, </w:t>
      </w:r>
      <w:r w:rsidR="00DA09C4">
        <w:t xml:space="preserve">rental providers </w:t>
      </w:r>
      <w:r>
        <w:t>and investors have accelerated selling their properties, leading to a decline in rental housing supply.</w:t>
      </w:r>
      <w:r w:rsidRPr="00725A2E">
        <w:rPr>
          <w:rStyle w:val="FootnoteReference"/>
        </w:rPr>
        <w:footnoteReference w:id="14"/>
      </w:r>
      <w:r>
        <w:t xml:space="preserve"> </w:t>
      </w:r>
      <w:r w:rsidR="00C41DE3">
        <w:t>This is indicated by RTBA bond records, which show that since</w:t>
      </w:r>
      <w:r w:rsidR="00FD665D" w:rsidRPr="00FD665D">
        <w:t xml:space="preserve"> their peak in June 2023, the number of private rental bonds held by the RTBA has fallen by 23,259, or 3.4% to June 2025.</w:t>
      </w:r>
      <w:r w:rsidRPr="00C41DE3">
        <w:rPr>
          <w:rStyle w:val="FootnoteReference"/>
        </w:rPr>
        <w:footnoteReference w:id="15"/>
      </w:r>
      <w:r w:rsidRPr="00C41DE3">
        <w:t xml:space="preserve"> </w:t>
      </w:r>
      <w:r w:rsidR="00015EF9">
        <w:t>Similar trends are also reflected in the number of rental listings</w:t>
      </w:r>
      <w:r w:rsidR="00BC3C34">
        <w:t>. F</w:t>
      </w:r>
      <w:r w:rsidR="00423A55">
        <w:t>or example in March 2024,</w:t>
      </w:r>
      <w:r w:rsidR="00015EF9">
        <w:t xml:space="preserve"> </w:t>
      </w:r>
      <w:r w:rsidR="00423A55">
        <w:t>t</w:t>
      </w:r>
      <w:r w:rsidR="00015EF9" w:rsidRPr="00C914E2">
        <w:t>he number of rental listings were 24% lower in metropolitan Melbourne and 20% lower in regional Victoria than 10-year averages in these areas.</w:t>
      </w:r>
      <w:r w:rsidR="00015EF9" w:rsidRPr="00C914E2">
        <w:rPr>
          <w:rStyle w:val="FootnoteReference"/>
        </w:rPr>
        <w:footnoteReference w:id="16"/>
      </w:r>
      <w:r w:rsidR="00015EF9" w:rsidRPr="00C914E2">
        <w:rPr>
          <w:vertAlign w:val="superscript"/>
        </w:rPr>
        <w:t xml:space="preserve"> </w:t>
      </w:r>
    </w:p>
    <w:p w14:paraId="374B8792" w14:textId="39A929BE" w:rsidR="00A26C3F" w:rsidRPr="005661C1" w:rsidRDefault="00A26C3F" w:rsidP="00A26C3F">
      <w:pPr>
        <w:pStyle w:val="Body"/>
      </w:pPr>
      <w:r>
        <w:t>These factors have resulted in</w:t>
      </w:r>
      <w:r w:rsidRPr="005661C1">
        <w:t xml:space="preserve"> a </w:t>
      </w:r>
      <w:r>
        <w:t>highly competitive rental</w:t>
      </w:r>
      <w:r w:rsidRPr="005661C1">
        <w:t xml:space="preserve"> </w:t>
      </w:r>
      <w:r>
        <w:t>market</w:t>
      </w:r>
      <w:r w:rsidR="00FC1DBD">
        <w:t>.</w:t>
      </w:r>
      <w:r w:rsidRPr="005661C1">
        <w:t xml:space="preserve"> </w:t>
      </w:r>
      <w:r w:rsidR="00FC1DBD">
        <w:t>P</w:t>
      </w:r>
      <w:r w:rsidRPr="005661C1">
        <w:t xml:space="preserve">rospective renters </w:t>
      </w:r>
      <w:r w:rsidR="003222B1">
        <w:t xml:space="preserve">may </w:t>
      </w:r>
      <w:r w:rsidR="00A60C74">
        <w:t>apply</w:t>
      </w:r>
      <w:r w:rsidR="003222B1">
        <w:t xml:space="preserve"> </w:t>
      </w:r>
      <w:r w:rsidRPr="005661C1">
        <w:t>for listings without prior viewing</w:t>
      </w:r>
      <w:r>
        <w:t xml:space="preserve">, </w:t>
      </w:r>
      <w:r w:rsidR="00A60C74">
        <w:t>apply</w:t>
      </w:r>
      <w:r w:rsidR="00A60C74" w:rsidRPr="005661C1">
        <w:t xml:space="preserve"> </w:t>
      </w:r>
      <w:r w:rsidRPr="005661C1">
        <w:t>for multiple listings with limited success</w:t>
      </w:r>
      <w:r>
        <w:t xml:space="preserve"> or offer</w:t>
      </w:r>
      <w:r w:rsidR="00FC1DBD">
        <w:t xml:space="preserve"> </w:t>
      </w:r>
      <w:r w:rsidRPr="005661C1">
        <w:t>higher than advertised rents</w:t>
      </w:r>
      <w:r>
        <w:t xml:space="preserve">. </w:t>
      </w:r>
    </w:p>
    <w:p w14:paraId="679CC6DA" w14:textId="7EEF8983" w:rsidR="00A26C3F" w:rsidRPr="005661C1" w:rsidRDefault="00A26C3F" w:rsidP="00A26C3F">
      <w:pPr>
        <w:pStyle w:val="Body"/>
      </w:pPr>
      <w:r>
        <w:t xml:space="preserve">In 2021, Victorian real estate agents or </w:t>
      </w:r>
      <w:r w:rsidR="00DA09C4">
        <w:t xml:space="preserve">rental providers </w:t>
      </w:r>
      <w:r>
        <w:t xml:space="preserve">were legally banned from soliciting or promoting higher offers of rent than those listed on </w:t>
      </w:r>
      <w:r w:rsidR="000170B1">
        <w:t>the</w:t>
      </w:r>
      <w:r>
        <w:t xml:space="preserve"> advertisement</w:t>
      </w:r>
      <w:r w:rsidR="000170B1">
        <w:t xml:space="preserve"> of</w:t>
      </w:r>
      <w:r w:rsidR="00A52686">
        <w:t xml:space="preserve"> a rented premises</w:t>
      </w:r>
      <w:r>
        <w:t xml:space="preserve">. However, ongoing pressure on prospective </w:t>
      </w:r>
      <w:r w:rsidR="0097338F">
        <w:t xml:space="preserve">renters </w:t>
      </w:r>
      <w:r>
        <w:t>to compete in a tight market has resulted in rental applicants making their own unsolicited bids by offering to pay higher weekly rent or to provide more than four weeks’ rent in advance. In further efforts to protect renters’ rights, reforms were made in November 2025 by the Government to outlaw all remaining types of rental bidding, with agents and rental providers now banned from accepting unsolicited offers of increased rent.</w:t>
      </w:r>
      <w:r w:rsidRPr="00E71C18">
        <w:rPr>
          <w:rStyle w:val="FootnoteReference"/>
        </w:rPr>
        <w:footnoteReference w:id="17"/>
      </w:r>
      <w:r w:rsidRPr="005661C1">
        <w:t xml:space="preserve"> </w:t>
      </w:r>
    </w:p>
    <w:p w14:paraId="048578BC" w14:textId="77777777" w:rsidR="00A26C3F" w:rsidRPr="00716108" w:rsidRDefault="00A26C3F" w:rsidP="00A26C3F">
      <w:pPr>
        <w:pStyle w:val="Heading4"/>
        <w:ind w:left="0"/>
      </w:pPr>
      <w:r w:rsidRPr="00716108">
        <w:lastRenderedPageBreak/>
        <w:t>Rental affordability has significantly declined, with the market facing consistent rent increases.</w:t>
      </w:r>
    </w:p>
    <w:p w14:paraId="73240339" w14:textId="207FC543" w:rsidR="00A26C3F" w:rsidRDefault="00A26C3F" w:rsidP="00A26C3F">
      <w:pPr>
        <w:pStyle w:val="Body"/>
      </w:pPr>
      <w:r w:rsidRPr="007011C1">
        <w:t>Rental affordability has sharply declined in recent year</w:t>
      </w:r>
      <w:r>
        <w:t xml:space="preserve">s. </w:t>
      </w:r>
      <w:r w:rsidRPr="00BC5680">
        <w:t>According to Homes Victoria</w:t>
      </w:r>
      <w:r>
        <w:t xml:space="preserve">’s Rental Report for the </w:t>
      </w:r>
      <w:r w:rsidR="00056CF2">
        <w:t>June</w:t>
      </w:r>
      <w:r>
        <w:t xml:space="preserve"> 2025 quarter</w:t>
      </w:r>
      <w:r w:rsidRPr="00BC5680">
        <w:t xml:space="preserve">, median rents across metropolitan Melbourne and regional Victoria </w:t>
      </w:r>
      <w:r w:rsidRPr="00C20F92">
        <w:t xml:space="preserve">respectively increased by </w:t>
      </w:r>
      <w:r w:rsidR="00056CF2">
        <w:t>2.5</w:t>
      </w:r>
      <w:r w:rsidRPr="00C20F92">
        <w:t xml:space="preserve">% and </w:t>
      </w:r>
      <w:r w:rsidR="009D34BC">
        <w:t>5</w:t>
      </w:r>
      <w:r w:rsidRPr="00C20F92">
        <w:t xml:space="preserve">.0% in the </w:t>
      </w:r>
      <w:r w:rsidR="006A521D">
        <w:t>12</w:t>
      </w:r>
      <w:r w:rsidR="006A521D" w:rsidRPr="00C20F92">
        <w:t xml:space="preserve"> </w:t>
      </w:r>
      <w:r w:rsidRPr="00C20F92">
        <w:t xml:space="preserve">months prior to </w:t>
      </w:r>
      <w:r w:rsidR="009D34BC">
        <w:t>June</w:t>
      </w:r>
      <w:r w:rsidRPr="00C20F92">
        <w:t xml:space="preserve"> 2025</w:t>
      </w:r>
      <w:r w:rsidR="00BE4BE0">
        <w:t>.</w:t>
      </w:r>
      <w:r w:rsidR="000E3853" w:rsidRPr="00E71C18">
        <w:rPr>
          <w:rStyle w:val="FootnoteReference"/>
        </w:rPr>
        <w:footnoteReference w:id="18"/>
      </w:r>
      <w:r w:rsidR="000E3853" w:rsidRPr="00C20F92">
        <w:t xml:space="preserve"> </w:t>
      </w:r>
      <w:r>
        <w:t>The</w:t>
      </w:r>
      <w:r w:rsidR="000B06D1">
        <w:t xml:space="preserve"> growth in </w:t>
      </w:r>
      <w:r w:rsidR="0084647E" w:rsidRPr="0084647E">
        <w:t>metro and regional median rents outpaced the annual increase in the consumer price index (2.0%) over the same 12-month period. Regional rents outpaced the annual increase in wages (3.4%) in Victoria over the same 12-month period.</w:t>
      </w:r>
    </w:p>
    <w:p w14:paraId="2627F3A2" w14:textId="18887A39" w:rsidR="00A26C3F" w:rsidRDefault="00A26C3F" w:rsidP="00A26C3F">
      <w:pPr>
        <w:pStyle w:val="Body"/>
      </w:pPr>
      <w:r>
        <w:t xml:space="preserve">Renters are also having to spend more of their weekly income on rent. By comparing median weekly rents in Melbourne to median weekly </w:t>
      </w:r>
      <w:r w:rsidR="00DE0F1E">
        <w:t xml:space="preserve">household </w:t>
      </w:r>
      <w:r>
        <w:t>earnings, the implied ratio of rent</w:t>
      </w:r>
      <w:r w:rsidR="00280A2D">
        <w:t>-</w:t>
      </w:r>
      <w:r>
        <w:t>to</w:t>
      </w:r>
      <w:r w:rsidR="00280A2D">
        <w:t>-</w:t>
      </w:r>
      <w:r>
        <w:t>income has increased</w:t>
      </w:r>
      <w:r w:rsidR="00794B3F">
        <w:t xml:space="preserve"> </w:t>
      </w:r>
      <w:r>
        <w:t xml:space="preserve">from </w:t>
      </w:r>
      <w:r w:rsidR="00884446">
        <w:t>a</w:t>
      </w:r>
      <w:r w:rsidR="0097598E">
        <w:t>n average of 25</w:t>
      </w:r>
      <w:r w:rsidR="00794B3F">
        <w:t>.</w:t>
      </w:r>
      <w:r w:rsidR="00F821BF">
        <w:t>1</w:t>
      </w:r>
      <w:r w:rsidR="00794B3F">
        <w:t>%</w:t>
      </w:r>
      <w:r w:rsidR="00884446">
        <w:t xml:space="preserve"> </w:t>
      </w:r>
      <w:r w:rsidR="00794B3F">
        <w:t xml:space="preserve">between 2025-2022 (pre-COVID), </w:t>
      </w:r>
      <w:r w:rsidR="00F821BF">
        <w:t xml:space="preserve">to an average of 26.0% </w:t>
      </w:r>
      <w:r w:rsidR="00967B51">
        <w:t xml:space="preserve">between 2023-2025 </w:t>
      </w:r>
      <w:r w:rsidR="00F821BF">
        <w:t>(post-COVID)</w:t>
      </w:r>
      <w:r w:rsidR="00967B51">
        <w:t xml:space="preserve">, </w:t>
      </w:r>
      <w:r w:rsidR="00DE4A2F">
        <w:t>after</w:t>
      </w:r>
      <w:r w:rsidR="00967B51">
        <w:t xml:space="preserve"> </w:t>
      </w:r>
      <w:r w:rsidR="00DE4A2F">
        <w:t xml:space="preserve">reaching </w:t>
      </w:r>
      <w:r w:rsidR="00967B51">
        <w:t>a l</w:t>
      </w:r>
      <w:r w:rsidR="00884446">
        <w:t xml:space="preserve">ow of </w:t>
      </w:r>
      <w:r w:rsidR="00DF0ED9">
        <w:t>2</w:t>
      </w:r>
      <w:r w:rsidR="00884446">
        <w:t>2</w:t>
      </w:r>
      <w:r w:rsidR="00DF0ED9">
        <w:t>.2</w:t>
      </w:r>
      <w:r>
        <w:t>% in 2021 in 20</w:t>
      </w:r>
      <w:r w:rsidR="00967B51">
        <w:t>2</w:t>
      </w:r>
      <w:r w:rsidR="00DE4A2F">
        <w:t xml:space="preserve">1 </w:t>
      </w:r>
      <w:r>
        <w:t>(</w:t>
      </w:r>
      <w:r w:rsidR="00DE4A2F">
        <w:t xml:space="preserve">during </w:t>
      </w:r>
      <w:r>
        <w:t xml:space="preserve">COVID). </w:t>
      </w:r>
    </w:p>
    <w:p w14:paraId="65BA522F" w14:textId="5FA7264A" w:rsidR="00A26C3F" w:rsidRDefault="00FC31B1" w:rsidP="008E1F8F">
      <w:pPr>
        <w:pStyle w:val="Caption"/>
        <w:keepNext/>
      </w:pPr>
      <w:r>
        <w:t xml:space="preserve">Table </w:t>
      </w:r>
      <w:r>
        <w:fldChar w:fldCharType="begin"/>
      </w:r>
      <w:r>
        <w:instrText xml:space="preserve"> SEQ Table \* ARABIC </w:instrText>
      </w:r>
      <w:r>
        <w:fldChar w:fldCharType="separate"/>
      </w:r>
      <w:r w:rsidR="00A50199">
        <w:rPr>
          <w:noProof/>
        </w:rPr>
        <w:t>2</w:t>
      </w:r>
      <w:r>
        <w:rPr>
          <w:noProof/>
        </w:rPr>
        <w:fldChar w:fldCharType="end"/>
      </w:r>
      <w:r>
        <w:t>: Ratio of median weekly rent to median weekly employee earnings, 2019-2025</w:t>
      </w:r>
    </w:p>
    <w:tbl>
      <w:tblPr>
        <w:tblStyle w:val="TableGrid"/>
        <w:tblW w:w="5000" w:type="pct"/>
        <w:tblInd w:w="-5" w:type="dxa"/>
        <w:tblBorders>
          <w:insideH w:val="single" w:sz="4" w:space="0" w:color="auto"/>
        </w:tblBorders>
        <w:tblLook w:val="04A0" w:firstRow="1" w:lastRow="0" w:firstColumn="1" w:lastColumn="0" w:noHBand="0" w:noVBand="1"/>
      </w:tblPr>
      <w:tblGrid>
        <w:gridCol w:w="2634"/>
        <w:gridCol w:w="2612"/>
        <w:gridCol w:w="2704"/>
        <w:gridCol w:w="2530"/>
      </w:tblGrid>
      <w:tr w:rsidR="00C356AC" w:rsidRPr="006876DD" w14:paraId="2FBCEDB9" w14:textId="77777777">
        <w:trPr>
          <w:trHeight w:val="177"/>
          <w:tblHeader/>
        </w:trPr>
        <w:tc>
          <w:tcPr>
            <w:tcW w:w="1257"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37EFC817" w14:textId="77777777" w:rsidR="00A26C3F" w:rsidRPr="006876DD" w:rsidRDefault="00A26C3F">
            <w:pPr>
              <w:pStyle w:val="TableHeading2"/>
              <w:jc w:val="center"/>
            </w:pPr>
            <w:r>
              <w:t>Financial Year</w:t>
            </w:r>
          </w:p>
        </w:tc>
        <w:tc>
          <w:tcPr>
            <w:tcW w:w="1246"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04DBED3B" w14:textId="77777777" w:rsidR="00A26C3F" w:rsidRPr="006876DD" w:rsidRDefault="00A26C3F">
            <w:pPr>
              <w:pStyle w:val="TableHeading2"/>
              <w:jc w:val="center"/>
            </w:pPr>
            <w:r>
              <w:t>Median Weekly Rent for Houses in Victoria</w:t>
            </w:r>
            <w:r>
              <w:rPr>
                <w:rStyle w:val="FootnoteReference"/>
              </w:rPr>
              <w:footnoteReference w:id="19"/>
            </w:r>
          </w:p>
        </w:tc>
        <w:tc>
          <w:tcPr>
            <w:tcW w:w="1290"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04289FDE" w14:textId="46C59940" w:rsidR="00A26C3F" w:rsidRDefault="00A26C3F">
            <w:pPr>
              <w:pStyle w:val="TableHeading2"/>
              <w:jc w:val="center"/>
            </w:pPr>
            <w:r>
              <w:t xml:space="preserve">Median Weekly </w:t>
            </w:r>
            <w:r w:rsidR="00CE7005">
              <w:t xml:space="preserve">Household </w:t>
            </w:r>
            <w:r>
              <w:t>Earnings</w:t>
            </w:r>
            <w:r>
              <w:rPr>
                <w:rStyle w:val="FootnoteReference"/>
              </w:rPr>
              <w:footnoteReference w:id="20"/>
            </w:r>
          </w:p>
        </w:tc>
        <w:tc>
          <w:tcPr>
            <w:tcW w:w="1207"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2589BA4D" w14:textId="77777777" w:rsidR="00A26C3F" w:rsidRPr="006876DD" w:rsidRDefault="00A26C3F">
            <w:pPr>
              <w:pStyle w:val="TableHeading2"/>
              <w:jc w:val="center"/>
            </w:pPr>
            <w:r>
              <w:t>Ratio of Rent to Income</w:t>
            </w:r>
          </w:p>
        </w:tc>
      </w:tr>
      <w:tr w:rsidR="00272729" w:rsidRPr="006876DD" w14:paraId="1A527691" w14:textId="77777777">
        <w:tc>
          <w:tcPr>
            <w:tcW w:w="1257" w:type="pct"/>
            <w:tcBorders>
              <w:top w:val="single" w:sz="4" w:space="0" w:color="auto"/>
              <w:left w:val="single" w:sz="4" w:space="0" w:color="auto"/>
              <w:bottom w:val="single" w:sz="4" w:space="0" w:color="auto"/>
              <w:right w:val="single" w:sz="4" w:space="0" w:color="auto"/>
            </w:tcBorders>
            <w:vAlign w:val="center"/>
          </w:tcPr>
          <w:p w14:paraId="7DF88C33"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2025</w:t>
            </w:r>
          </w:p>
        </w:tc>
        <w:tc>
          <w:tcPr>
            <w:tcW w:w="1246" w:type="pct"/>
            <w:tcBorders>
              <w:top w:val="single" w:sz="4" w:space="0" w:color="auto"/>
              <w:left w:val="single" w:sz="4" w:space="0" w:color="auto"/>
              <w:bottom w:val="single" w:sz="4" w:space="0" w:color="auto"/>
              <w:right w:val="single" w:sz="4" w:space="0" w:color="auto"/>
            </w:tcBorders>
            <w:vAlign w:val="center"/>
          </w:tcPr>
          <w:p w14:paraId="432770FF" w14:textId="77777777" w:rsidR="00A26C3F" w:rsidRPr="006876DD" w:rsidRDefault="00A26C3F">
            <w:pPr>
              <w:pStyle w:val="Tabletext"/>
              <w:jc w:val="center"/>
              <w:rPr>
                <w:color w:val="000000" w:themeColor="text1"/>
              </w:rPr>
            </w:pPr>
            <w:r>
              <w:rPr>
                <w:color w:val="000000" w:themeColor="text1"/>
              </w:rPr>
              <w:t>$550</w:t>
            </w:r>
          </w:p>
        </w:tc>
        <w:tc>
          <w:tcPr>
            <w:tcW w:w="1290" w:type="pct"/>
            <w:tcBorders>
              <w:top w:val="single" w:sz="4" w:space="0" w:color="auto"/>
              <w:left w:val="single" w:sz="4" w:space="0" w:color="auto"/>
              <w:bottom w:val="single" w:sz="4" w:space="0" w:color="auto"/>
              <w:right w:val="single" w:sz="4" w:space="0" w:color="auto"/>
            </w:tcBorders>
          </w:tcPr>
          <w:p w14:paraId="5B26B2D6" w14:textId="2594FD19" w:rsidR="00A26C3F" w:rsidRDefault="00E72AFF" w:rsidP="00F05B35">
            <w:pPr>
              <w:pStyle w:val="Tabletext"/>
              <w:jc w:val="center"/>
            </w:pPr>
            <w:r>
              <w:t>$</w:t>
            </w:r>
            <w:r w:rsidR="00AB5C66">
              <w:t>2,098</w:t>
            </w:r>
          </w:p>
        </w:tc>
        <w:tc>
          <w:tcPr>
            <w:tcW w:w="1207" w:type="pct"/>
            <w:tcBorders>
              <w:top w:val="single" w:sz="4" w:space="0" w:color="auto"/>
              <w:left w:val="single" w:sz="4" w:space="0" w:color="auto"/>
              <w:bottom w:val="single" w:sz="4" w:space="0" w:color="auto"/>
              <w:right w:val="single" w:sz="4" w:space="0" w:color="auto"/>
            </w:tcBorders>
          </w:tcPr>
          <w:p w14:paraId="76A7B187" w14:textId="5FBE818B" w:rsidR="00A26C3F" w:rsidRPr="006876DD" w:rsidRDefault="00F40743">
            <w:pPr>
              <w:pStyle w:val="Tabletext"/>
              <w:jc w:val="center"/>
            </w:pPr>
            <w:r>
              <w:t>26.2</w:t>
            </w:r>
            <w:r w:rsidR="00C755C2">
              <w:t>%</w:t>
            </w:r>
          </w:p>
        </w:tc>
      </w:tr>
      <w:tr w:rsidR="00272729" w:rsidRPr="006876DD" w14:paraId="39FF84C7" w14:textId="77777777">
        <w:tc>
          <w:tcPr>
            <w:tcW w:w="1257" w:type="pct"/>
            <w:tcBorders>
              <w:top w:val="single" w:sz="4" w:space="0" w:color="auto"/>
              <w:left w:val="single" w:sz="4" w:space="0" w:color="auto"/>
              <w:bottom w:val="single" w:sz="4" w:space="0" w:color="auto"/>
              <w:right w:val="single" w:sz="4" w:space="0" w:color="auto"/>
            </w:tcBorders>
            <w:vAlign w:val="center"/>
          </w:tcPr>
          <w:p w14:paraId="689B4927"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2024</w:t>
            </w:r>
          </w:p>
        </w:tc>
        <w:tc>
          <w:tcPr>
            <w:tcW w:w="1246" w:type="pct"/>
            <w:tcBorders>
              <w:top w:val="single" w:sz="4" w:space="0" w:color="auto"/>
              <w:left w:val="single" w:sz="4" w:space="0" w:color="auto"/>
              <w:bottom w:val="single" w:sz="4" w:space="0" w:color="auto"/>
              <w:right w:val="single" w:sz="4" w:space="0" w:color="auto"/>
            </w:tcBorders>
            <w:vAlign w:val="center"/>
          </w:tcPr>
          <w:p w14:paraId="28524B04" w14:textId="77777777" w:rsidR="00A26C3F" w:rsidRPr="006876DD" w:rsidRDefault="00A26C3F">
            <w:pPr>
              <w:pStyle w:val="Tabletext"/>
              <w:jc w:val="center"/>
              <w:rPr>
                <w:color w:val="000000" w:themeColor="text1"/>
              </w:rPr>
            </w:pPr>
            <w:r>
              <w:rPr>
                <w:color w:val="000000" w:themeColor="text1"/>
              </w:rPr>
              <w:t>$540</w:t>
            </w:r>
          </w:p>
        </w:tc>
        <w:tc>
          <w:tcPr>
            <w:tcW w:w="1290" w:type="pct"/>
            <w:tcBorders>
              <w:top w:val="single" w:sz="4" w:space="0" w:color="auto"/>
              <w:left w:val="single" w:sz="4" w:space="0" w:color="auto"/>
              <w:bottom w:val="single" w:sz="4" w:space="0" w:color="auto"/>
              <w:right w:val="single" w:sz="4" w:space="0" w:color="auto"/>
            </w:tcBorders>
          </w:tcPr>
          <w:p w14:paraId="781496DE" w14:textId="1F6C9433" w:rsidR="00A26C3F" w:rsidRDefault="00A26C3F">
            <w:pPr>
              <w:pStyle w:val="Tabletext"/>
              <w:jc w:val="center"/>
            </w:pPr>
            <w:r w:rsidRPr="00D17E85">
              <w:t>$</w:t>
            </w:r>
            <w:r w:rsidR="00AB5C66">
              <w:t>2,007</w:t>
            </w:r>
          </w:p>
        </w:tc>
        <w:tc>
          <w:tcPr>
            <w:tcW w:w="1207" w:type="pct"/>
            <w:tcBorders>
              <w:top w:val="single" w:sz="4" w:space="0" w:color="auto"/>
              <w:left w:val="single" w:sz="4" w:space="0" w:color="auto"/>
              <w:bottom w:val="single" w:sz="4" w:space="0" w:color="auto"/>
              <w:right w:val="single" w:sz="4" w:space="0" w:color="auto"/>
            </w:tcBorders>
          </w:tcPr>
          <w:p w14:paraId="48ECA840" w14:textId="7731B784" w:rsidR="00A26C3F" w:rsidRPr="006876DD" w:rsidRDefault="006D1F97">
            <w:pPr>
              <w:pStyle w:val="Tabletext"/>
              <w:jc w:val="center"/>
            </w:pPr>
            <w:r>
              <w:t>26.9</w:t>
            </w:r>
            <w:r w:rsidR="00A26C3F" w:rsidRPr="00D17E85">
              <w:t>%</w:t>
            </w:r>
          </w:p>
        </w:tc>
      </w:tr>
      <w:tr w:rsidR="00272729" w:rsidRPr="006876DD" w14:paraId="6EBEB8C6" w14:textId="77777777">
        <w:tc>
          <w:tcPr>
            <w:tcW w:w="1257" w:type="pct"/>
            <w:tcBorders>
              <w:top w:val="single" w:sz="4" w:space="0" w:color="auto"/>
              <w:left w:val="single" w:sz="4" w:space="0" w:color="auto"/>
              <w:bottom w:val="single" w:sz="4" w:space="0" w:color="auto"/>
              <w:right w:val="single" w:sz="4" w:space="0" w:color="auto"/>
            </w:tcBorders>
            <w:vAlign w:val="center"/>
          </w:tcPr>
          <w:p w14:paraId="1A95A4DB"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2023</w:t>
            </w:r>
          </w:p>
        </w:tc>
        <w:tc>
          <w:tcPr>
            <w:tcW w:w="1246" w:type="pct"/>
            <w:tcBorders>
              <w:top w:val="single" w:sz="4" w:space="0" w:color="auto"/>
              <w:left w:val="single" w:sz="4" w:space="0" w:color="auto"/>
              <w:bottom w:val="single" w:sz="4" w:space="0" w:color="auto"/>
              <w:right w:val="single" w:sz="4" w:space="0" w:color="auto"/>
            </w:tcBorders>
            <w:vAlign w:val="center"/>
          </w:tcPr>
          <w:p w14:paraId="79E221DF" w14:textId="77777777" w:rsidR="00A26C3F" w:rsidRPr="006876DD" w:rsidRDefault="00A26C3F">
            <w:pPr>
              <w:pStyle w:val="Tabletext"/>
              <w:jc w:val="center"/>
              <w:rPr>
                <w:color w:val="000000" w:themeColor="text1"/>
              </w:rPr>
            </w:pPr>
            <w:r>
              <w:rPr>
                <w:color w:val="000000" w:themeColor="text1"/>
              </w:rPr>
              <w:t>$480</w:t>
            </w:r>
          </w:p>
        </w:tc>
        <w:tc>
          <w:tcPr>
            <w:tcW w:w="1290" w:type="pct"/>
            <w:tcBorders>
              <w:top w:val="single" w:sz="4" w:space="0" w:color="auto"/>
              <w:left w:val="single" w:sz="4" w:space="0" w:color="auto"/>
              <w:bottom w:val="single" w:sz="4" w:space="0" w:color="auto"/>
              <w:right w:val="single" w:sz="4" w:space="0" w:color="auto"/>
            </w:tcBorders>
          </w:tcPr>
          <w:p w14:paraId="733A70AE" w14:textId="495A4926" w:rsidR="00A26C3F" w:rsidRDefault="00A26C3F">
            <w:pPr>
              <w:pStyle w:val="Tabletext"/>
              <w:jc w:val="center"/>
            </w:pPr>
            <w:r w:rsidRPr="00D17E85">
              <w:t>$1,</w:t>
            </w:r>
            <w:r w:rsidR="00AB5C66">
              <w:t>920</w:t>
            </w:r>
          </w:p>
        </w:tc>
        <w:tc>
          <w:tcPr>
            <w:tcW w:w="1207" w:type="pct"/>
            <w:tcBorders>
              <w:top w:val="single" w:sz="4" w:space="0" w:color="auto"/>
              <w:left w:val="single" w:sz="4" w:space="0" w:color="auto"/>
              <w:bottom w:val="single" w:sz="4" w:space="0" w:color="auto"/>
              <w:right w:val="single" w:sz="4" w:space="0" w:color="auto"/>
            </w:tcBorders>
          </w:tcPr>
          <w:p w14:paraId="2401A90A" w14:textId="27B51CEF" w:rsidR="00A26C3F" w:rsidRPr="006876DD" w:rsidRDefault="009D1A55">
            <w:pPr>
              <w:pStyle w:val="Tabletext"/>
              <w:jc w:val="center"/>
            </w:pPr>
            <w:r>
              <w:t>25</w:t>
            </w:r>
            <w:r w:rsidR="00A26C3F">
              <w:t>.0</w:t>
            </w:r>
            <w:r w:rsidR="00A26C3F" w:rsidRPr="00D17E85">
              <w:t>%</w:t>
            </w:r>
          </w:p>
        </w:tc>
      </w:tr>
      <w:tr w:rsidR="00272729" w:rsidRPr="006876DD" w14:paraId="2F4DEA8B" w14:textId="77777777">
        <w:tc>
          <w:tcPr>
            <w:tcW w:w="1257" w:type="pct"/>
            <w:tcBorders>
              <w:top w:val="single" w:sz="4" w:space="0" w:color="auto"/>
              <w:left w:val="single" w:sz="4" w:space="0" w:color="auto"/>
              <w:bottom w:val="single" w:sz="4" w:space="0" w:color="auto"/>
              <w:right w:val="single" w:sz="4" w:space="0" w:color="auto"/>
            </w:tcBorders>
            <w:vAlign w:val="center"/>
          </w:tcPr>
          <w:p w14:paraId="25C38376"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2022</w:t>
            </w:r>
          </w:p>
        </w:tc>
        <w:tc>
          <w:tcPr>
            <w:tcW w:w="1246" w:type="pct"/>
            <w:tcBorders>
              <w:top w:val="single" w:sz="4" w:space="0" w:color="auto"/>
              <w:left w:val="single" w:sz="4" w:space="0" w:color="auto"/>
              <w:bottom w:val="single" w:sz="4" w:space="0" w:color="auto"/>
              <w:right w:val="single" w:sz="4" w:space="0" w:color="auto"/>
            </w:tcBorders>
            <w:vAlign w:val="center"/>
          </w:tcPr>
          <w:p w14:paraId="5896FF56" w14:textId="77777777" w:rsidR="00A26C3F" w:rsidRDefault="00A26C3F">
            <w:pPr>
              <w:pStyle w:val="Tabletext"/>
              <w:jc w:val="center"/>
              <w:rPr>
                <w:color w:val="000000" w:themeColor="text1"/>
              </w:rPr>
            </w:pPr>
            <w:r>
              <w:rPr>
                <w:color w:val="000000" w:themeColor="text1"/>
              </w:rPr>
              <w:t>$420</w:t>
            </w:r>
          </w:p>
        </w:tc>
        <w:tc>
          <w:tcPr>
            <w:tcW w:w="1290" w:type="pct"/>
            <w:tcBorders>
              <w:top w:val="single" w:sz="4" w:space="0" w:color="auto"/>
              <w:left w:val="single" w:sz="4" w:space="0" w:color="auto"/>
              <w:bottom w:val="single" w:sz="4" w:space="0" w:color="auto"/>
              <w:right w:val="single" w:sz="4" w:space="0" w:color="auto"/>
            </w:tcBorders>
          </w:tcPr>
          <w:p w14:paraId="33CE6C4C" w14:textId="797F457D" w:rsidR="00A26C3F" w:rsidRPr="00D17E85" w:rsidRDefault="00A26C3F">
            <w:pPr>
              <w:pStyle w:val="Tabletext"/>
              <w:jc w:val="center"/>
            </w:pPr>
            <w:r>
              <w:t>$1,</w:t>
            </w:r>
            <w:r w:rsidR="00BC229B">
              <w:t>838</w:t>
            </w:r>
          </w:p>
        </w:tc>
        <w:tc>
          <w:tcPr>
            <w:tcW w:w="1207" w:type="pct"/>
            <w:tcBorders>
              <w:top w:val="single" w:sz="4" w:space="0" w:color="auto"/>
              <w:left w:val="single" w:sz="4" w:space="0" w:color="auto"/>
              <w:bottom w:val="single" w:sz="4" w:space="0" w:color="auto"/>
              <w:right w:val="single" w:sz="4" w:space="0" w:color="auto"/>
            </w:tcBorders>
          </w:tcPr>
          <w:p w14:paraId="111D6239" w14:textId="2299D814" w:rsidR="00A26C3F" w:rsidRPr="00D17E85" w:rsidRDefault="008717B2">
            <w:pPr>
              <w:pStyle w:val="Tabletext"/>
              <w:jc w:val="center"/>
            </w:pPr>
            <w:r>
              <w:t>22.9</w:t>
            </w:r>
            <w:r w:rsidR="00A26C3F">
              <w:t>%</w:t>
            </w:r>
          </w:p>
        </w:tc>
      </w:tr>
      <w:tr w:rsidR="00272729" w:rsidRPr="006876DD" w14:paraId="7BFFA497" w14:textId="77777777">
        <w:tc>
          <w:tcPr>
            <w:tcW w:w="1257" w:type="pct"/>
            <w:tcBorders>
              <w:top w:val="single" w:sz="4" w:space="0" w:color="auto"/>
              <w:left w:val="single" w:sz="4" w:space="0" w:color="auto"/>
              <w:bottom w:val="single" w:sz="4" w:space="0" w:color="auto"/>
              <w:right w:val="single" w:sz="4" w:space="0" w:color="auto"/>
            </w:tcBorders>
            <w:vAlign w:val="center"/>
          </w:tcPr>
          <w:p w14:paraId="5B2B950F"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2021</w:t>
            </w:r>
          </w:p>
        </w:tc>
        <w:tc>
          <w:tcPr>
            <w:tcW w:w="1246" w:type="pct"/>
            <w:tcBorders>
              <w:top w:val="single" w:sz="4" w:space="0" w:color="auto"/>
              <w:left w:val="single" w:sz="4" w:space="0" w:color="auto"/>
              <w:bottom w:val="single" w:sz="4" w:space="0" w:color="auto"/>
              <w:right w:val="single" w:sz="4" w:space="0" w:color="auto"/>
            </w:tcBorders>
            <w:vAlign w:val="center"/>
          </w:tcPr>
          <w:p w14:paraId="320253FD" w14:textId="77777777" w:rsidR="00A26C3F" w:rsidRDefault="00A26C3F">
            <w:pPr>
              <w:pStyle w:val="Tabletext"/>
              <w:jc w:val="center"/>
              <w:rPr>
                <w:color w:val="000000" w:themeColor="text1"/>
              </w:rPr>
            </w:pPr>
            <w:r>
              <w:rPr>
                <w:color w:val="000000" w:themeColor="text1"/>
              </w:rPr>
              <w:t>$390</w:t>
            </w:r>
          </w:p>
        </w:tc>
        <w:tc>
          <w:tcPr>
            <w:tcW w:w="1290" w:type="pct"/>
            <w:tcBorders>
              <w:top w:val="single" w:sz="4" w:space="0" w:color="auto"/>
              <w:left w:val="single" w:sz="4" w:space="0" w:color="auto"/>
              <w:bottom w:val="single" w:sz="4" w:space="0" w:color="auto"/>
              <w:right w:val="single" w:sz="4" w:space="0" w:color="auto"/>
            </w:tcBorders>
          </w:tcPr>
          <w:p w14:paraId="1E5CEE33" w14:textId="2EDE666B" w:rsidR="00A26C3F" w:rsidRDefault="00A26C3F">
            <w:pPr>
              <w:pStyle w:val="Tabletext"/>
              <w:jc w:val="center"/>
            </w:pPr>
            <w:r w:rsidRPr="00120CFC">
              <w:t>$1,</w:t>
            </w:r>
            <w:r w:rsidR="00BC229B" w:rsidRPr="00120CFC">
              <w:t>759</w:t>
            </w:r>
          </w:p>
        </w:tc>
        <w:tc>
          <w:tcPr>
            <w:tcW w:w="1207" w:type="pct"/>
            <w:tcBorders>
              <w:top w:val="single" w:sz="4" w:space="0" w:color="auto"/>
              <w:left w:val="single" w:sz="4" w:space="0" w:color="auto"/>
              <w:bottom w:val="single" w:sz="4" w:space="0" w:color="auto"/>
              <w:right w:val="single" w:sz="4" w:space="0" w:color="auto"/>
            </w:tcBorders>
          </w:tcPr>
          <w:p w14:paraId="6E2AD378" w14:textId="250BD1B2" w:rsidR="00A26C3F" w:rsidRDefault="00BF4965">
            <w:pPr>
              <w:pStyle w:val="Tabletext"/>
              <w:jc w:val="center"/>
            </w:pPr>
            <w:r>
              <w:t>22.2</w:t>
            </w:r>
            <w:r w:rsidR="00A26C3F">
              <w:t>%</w:t>
            </w:r>
          </w:p>
        </w:tc>
      </w:tr>
      <w:tr w:rsidR="00272729" w:rsidRPr="006876DD" w14:paraId="2ABEE944" w14:textId="77777777">
        <w:tc>
          <w:tcPr>
            <w:tcW w:w="1257" w:type="pct"/>
            <w:tcBorders>
              <w:top w:val="single" w:sz="4" w:space="0" w:color="auto"/>
              <w:left w:val="single" w:sz="4" w:space="0" w:color="auto"/>
              <w:bottom w:val="single" w:sz="4" w:space="0" w:color="auto"/>
              <w:right w:val="single" w:sz="4" w:space="0" w:color="auto"/>
            </w:tcBorders>
            <w:vAlign w:val="center"/>
          </w:tcPr>
          <w:p w14:paraId="195A3AC1"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2020</w:t>
            </w:r>
          </w:p>
        </w:tc>
        <w:tc>
          <w:tcPr>
            <w:tcW w:w="1246" w:type="pct"/>
            <w:tcBorders>
              <w:top w:val="single" w:sz="4" w:space="0" w:color="auto"/>
              <w:left w:val="single" w:sz="4" w:space="0" w:color="auto"/>
              <w:bottom w:val="single" w:sz="4" w:space="0" w:color="auto"/>
              <w:right w:val="single" w:sz="4" w:space="0" w:color="auto"/>
            </w:tcBorders>
            <w:vAlign w:val="center"/>
          </w:tcPr>
          <w:p w14:paraId="358CC85E" w14:textId="77777777" w:rsidR="00A26C3F" w:rsidRDefault="00A26C3F">
            <w:pPr>
              <w:pStyle w:val="Tabletext"/>
              <w:jc w:val="center"/>
              <w:rPr>
                <w:color w:val="000000" w:themeColor="text1"/>
              </w:rPr>
            </w:pPr>
            <w:r>
              <w:rPr>
                <w:color w:val="000000" w:themeColor="text1"/>
              </w:rPr>
              <w:t>$399</w:t>
            </w:r>
          </w:p>
        </w:tc>
        <w:tc>
          <w:tcPr>
            <w:tcW w:w="1290" w:type="pct"/>
            <w:tcBorders>
              <w:top w:val="single" w:sz="4" w:space="0" w:color="auto"/>
              <w:left w:val="single" w:sz="4" w:space="0" w:color="auto"/>
              <w:bottom w:val="single" w:sz="4" w:space="0" w:color="auto"/>
              <w:right w:val="single" w:sz="4" w:space="0" w:color="auto"/>
            </w:tcBorders>
          </w:tcPr>
          <w:p w14:paraId="74EF9836" w14:textId="10482357" w:rsidR="00A26C3F" w:rsidRDefault="00A26C3F">
            <w:pPr>
              <w:pStyle w:val="Tabletext"/>
              <w:jc w:val="center"/>
            </w:pPr>
            <w:r>
              <w:t>$1,</w:t>
            </w:r>
            <w:r w:rsidR="00BC229B">
              <w:t>691</w:t>
            </w:r>
          </w:p>
        </w:tc>
        <w:tc>
          <w:tcPr>
            <w:tcW w:w="1207" w:type="pct"/>
            <w:tcBorders>
              <w:top w:val="single" w:sz="4" w:space="0" w:color="auto"/>
              <w:left w:val="single" w:sz="4" w:space="0" w:color="auto"/>
              <w:bottom w:val="single" w:sz="4" w:space="0" w:color="auto"/>
              <w:right w:val="single" w:sz="4" w:space="0" w:color="auto"/>
            </w:tcBorders>
          </w:tcPr>
          <w:p w14:paraId="26AF3632" w14:textId="3A8067A5" w:rsidR="00A26C3F" w:rsidRDefault="00723729">
            <w:pPr>
              <w:pStyle w:val="Tabletext"/>
              <w:jc w:val="center"/>
            </w:pPr>
            <w:r>
              <w:t>23.6</w:t>
            </w:r>
            <w:r w:rsidR="00A26C3F">
              <w:t>%</w:t>
            </w:r>
          </w:p>
        </w:tc>
      </w:tr>
      <w:tr w:rsidR="00272729" w:rsidRPr="006876DD" w14:paraId="7CDA6BDF" w14:textId="77777777">
        <w:tc>
          <w:tcPr>
            <w:tcW w:w="1257" w:type="pct"/>
            <w:tcBorders>
              <w:top w:val="single" w:sz="4" w:space="0" w:color="auto"/>
              <w:left w:val="single" w:sz="4" w:space="0" w:color="auto"/>
              <w:bottom w:val="single" w:sz="4" w:space="0" w:color="auto"/>
              <w:right w:val="single" w:sz="4" w:space="0" w:color="auto"/>
            </w:tcBorders>
            <w:vAlign w:val="center"/>
          </w:tcPr>
          <w:p w14:paraId="7907AC04"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2019</w:t>
            </w:r>
          </w:p>
        </w:tc>
        <w:tc>
          <w:tcPr>
            <w:tcW w:w="1246" w:type="pct"/>
            <w:tcBorders>
              <w:top w:val="single" w:sz="4" w:space="0" w:color="auto"/>
              <w:left w:val="single" w:sz="4" w:space="0" w:color="auto"/>
              <w:bottom w:val="single" w:sz="4" w:space="0" w:color="auto"/>
              <w:right w:val="single" w:sz="4" w:space="0" w:color="auto"/>
            </w:tcBorders>
            <w:vAlign w:val="center"/>
          </w:tcPr>
          <w:p w14:paraId="365F1F3F" w14:textId="77777777" w:rsidR="00A26C3F" w:rsidRDefault="00A26C3F">
            <w:pPr>
              <w:pStyle w:val="Tabletext"/>
              <w:jc w:val="center"/>
              <w:rPr>
                <w:color w:val="000000" w:themeColor="text1"/>
              </w:rPr>
            </w:pPr>
            <w:r>
              <w:rPr>
                <w:color w:val="000000" w:themeColor="text1"/>
              </w:rPr>
              <w:t>$400</w:t>
            </w:r>
          </w:p>
        </w:tc>
        <w:tc>
          <w:tcPr>
            <w:tcW w:w="1290" w:type="pct"/>
            <w:tcBorders>
              <w:top w:val="single" w:sz="4" w:space="0" w:color="auto"/>
              <w:left w:val="single" w:sz="4" w:space="0" w:color="auto"/>
              <w:bottom w:val="single" w:sz="4" w:space="0" w:color="auto"/>
              <w:right w:val="single" w:sz="4" w:space="0" w:color="auto"/>
            </w:tcBorders>
          </w:tcPr>
          <w:p w14:paraId="7A3E8F39" w14:textId="1D658884" w:rsidR="00A26C3F" w:rsidRDefault="00A26C3F">
            <w:pPr>
              <w:pStyle w:val="Tabletext"/>
              <w:jc w:val="center"/>
            </w:pPr>
            <w:r>
              <w:t>$1,</w:t>
            </w:r>
            <w:r w:rsidR="00BC229B">
              <w:t>623</w:t>
            </w:r>
          </w:p>
        </w:tc>
        <w:tc>
          <w:tcPr>
            <w:tcW w:w="1207" w:type="pct"/>
            <w:tcBorders>
              <w:top w:val="single" w:sz="4" w:space="0" w:color="auto"/>
              <w:left w:val="single" w:sz="4" w:space="0" w:color="auto"/>
              <w:bottom w:val="single" w:sz="4" w:space="0" w:color="auto"/>
              <w:right w:val="single" w:sz="4" w:space="0" w:color="auto"/>
            </w:tcBorders>
          </w:tcPr>
          <w:p w14:paraId="4D0967A8" w14:textId="5B32E66D" w:rsidR="00A26C3F" w:rsidRDefault="007A199C">
            <w:pPr>
              <w:pStyle w:val="Tabletext"/>
              <w:jc w:val="center"/>
            </w:pPr>
            <w:r>
              <w:t>24.6</w:t>
            </w:r>
            <w:r w:rsidR="00A26C3F">
              <w:t>%</w:t>
            </w:r>
          </w:p>
        </w:tc>
      </w:tr>
      <w:tr w:rsidR="00272729" w:rsidRPr="006876DD" w14:paraId="12DBBF45" w14:textId="77777777">
        <w:tc>
          <w:tcPr>
            <w:tcW w:w="1257" w:type="pct"/>
            <w:tcBorders>
              <w:top w:val="single" w:sz="4" w:space="0" w:color="auto"/>
              <w:left w:val="single" w:sz="4" w:space="0" w:color="auto"/>
              <w:bottom w:val="single" w:sz="4" w:space="0" w:color="auto"/>
              <w:right w:val="single" w:sz="4" w:space="0" w:color="auto"/>
            </w:tcBorders>
            <w:vAlign w:val="center"/>
          </w:tcPr>
          <w:p w14:paraId="5E54A3B1" w14:textId="6D86EAAE" w:rsidR="00812F03" w:rsidRDefault="00812F03" w:rsidP="00812F03">
            <w:pPr>
              <w:pStyle w:val="Tabletext"/>
              <w:jc w:val="center"/>
              <w:rPr>
                <w:rFonts w:cs="Arial"/>
                <w:b/>
                <w:bCs/>
                <w:color w:val="000000" w:themeColor="text1"/>
                <w:kern w:val="24"/>
              </w:rPr>
            </w:pPr>
            <w:r>
              <w:rPr>
                <w:rFonts w:cs="Arial"/>
                <w:b/>
                <w:bCs/>
                <w:color w:val="000000" w:themeColor="text1"/>
                <w:kern w:val="24"/>
              </w:rPr>
              <w:t>30 June 2018</w:t>
            </w:r>
          </w:p>
        </w:tc>
        <w:tc>
          <w:tcPr>
            <w:tcW w:w="1246" w:type="pct"/>
            <w:tcBorders>
              <w:top w:val="single" w:sz="4" w:space="0" w:color="auto"/>
              <w:left w:val="single" w:sz="4" w:space="0" w:color="auto"/>
              <w:bottom w:val="single" w:sz="4" w:space="0" w:color="auto"/>
              <w:right w:val="single" w:sz="4" w:space="0" w:color="auto"/>
            </w:tcBorders>
            <w:vAlign w:val="center"/>
          </w:tcPr>
          <w:p w14:paraId="7018B4A9" w14:textId="280E09A1" w:rsidR="00812F03" w:rsidRPr="00F520EC" w:rsidRDefault="00220490" w:rsidP="00812F03">
            <w:pPr>
              <w:pStyle w:val="Tabletext"/>
              <w:jc w:val="center"/>
              <w:rPr>
                <w:color w:val="000000" w:themeColor="text1"/>
              </w:rPr>
            </w:pPr>
            <w:r w:rsidRPr="00F520EC">
              <w:rPr>
                <w:color w:val="000000" w:themeColor="text1"/>
              </w:rPr>
              <w:t>$395</w:t>
            </w:r>
          </w:p>
        </w:tc>
        <w:tc>
          <w:tcPr>
            <w:tcW w:w="1290" w:type="pct"/>
            <w:tcBorders>
              <w:top w:val="single" w:sz="4" w:space="0" w:color="auto"/>
              <w:left w:val="single" w:sz="4" w:space="0" w:color="auto"/>
              <w:bottom w:val="single" w:sz="4" w:space="0" w:color="auto"/>
              <w:right w:val="single" w:sz="4" w:space="0" w:color="auto"/>
            </w:tcBorders>
          </w:tcPr>
          <w:p w14:paraId="7ED79ECB" w14:textId="2A8C792A" w:rsidR="00812F03" w:rsidRDefault="00576636" w:rsidP="00812F03">
            <w:pPr>
              <w:pStyle w:val="Tabletext"/>
              <w:jc w:val="center"/>
            </w:pPr>
            <w:r>
              <w:t>$1,555</w:t>
            </w:r>
          </w:p>
        </w:tc>
        <w:tc>
          <w:tcPr>
            <w:tcW w:w="1207" w:type="pct"/>
            <w:tcBorders>
              <w:top w:val="single" w:sz="4" w:space="0" w:color="auto"/>
              <w:left w:val="single" w:sz="4" w:space="0" w:color="auto"/>
              <w:bottom w:val="single" w:sz="4" w:space="0" w:color="auto"/>
              <w:right w:val="single" w:sz="4" w:space="0" w:color="auto"/>
            </w:tcBorders>
          </w:tcPr>
          <w:p w14:paraId="30F3C510" w14:textId="463E6851" w:rsidR="00812F03" w:rsidRPr="00F520EC" w:rsidRDefault="005107EC" w:rsidP="00812F03">
            <w:pPr>
              <w:pStyle w:val="Tabletext"/>
              <w:jc w:val="center"/>
            </w:pPr>
            <w:r w:rsidRPr="00F520EC">
              <w:t>25.4%</w:t>
            </w:r>
          </w:p>
        </w:tc>
      </w:tr>
      <w:tr w:rsidR="00272729" w:rsidRPr="006876DD" w14:paraId="7D438718" w14:textId="77777777">
        <w:tc>
          <w:tcPr>
            <w:tcW w:w="1257" w:type="pct"/>
            <w:tcBorders>
              <w:top w:val="single" w:sz="4" w:space="0" w:color="auto"/>
              <w:left w:val="single" w:sz="4" w:space="0" w:color="auto"/>
              <w:bottom w:val="single" w:sz="4" w:space="0" w:color="auto"/>
              <w:right w:val="single" w:sz="4" w:space="0" w:color="auto"/>
            </w:tcBorders>
            <w:vAlign w:val="center"/>
          </w:tcPr>
          <w:p w14:paraId="02695233" w14:textId="6BE5F9D6" w:rsidR="00812F03" w:rsidRDefault="00812F03" w:rsidP="00812F03">
            <w:pPr>
              <w:pStyle w:val="Tabletext"/>
              <w:jc w:val="center"/>
              <w:rPr>
                <w:rFonts w:cs="Arial"/>
                <w:b/>
                <w:bCs/>
                <w:color w:val="000000" w:themeColor="text1"/>
                <w:kern w:val="24"/>
              </w:rPr>
            </w:pPr>
            <w:r>
              <w:rPr>
                <w:rFonts w:cs="Arial"/>
                <w:b/>
                <w:bCs/>
                <w:color w:val="000000" w:themeColor="text1"/>
                <w:kern w:val="24"/>
              </w:rPr>
              <w:t>30 June 2017</w:t>
            </w:r>
          </w:p>
        </w:tc>
        <w:tc>
          <w:tcPr>
            <w:tcW w:w="1246" w:type="pct"/>
            <w:tcBorders>
              <w:top w:val="single" w:sz="4" w:space="0" w:color="auto"/>
              <w:left w:val="single" w:sz="4" w:space="0" w:color="auto"/>
              <w:bottom w:val="single" w:sz="4" w:space="0" w:color="auto"/>
              <w:right w:val="single" w:sz="4" w:space="0" w:color="auto"/>
            </w:tcBorders>
            <w:vAlign w:val="center"/>
          </w:tcPr>
          <w:p w14:paraId="1D83169E" w14:textId="3B763DAC" w:rsidR="00812F03" w:rsidRPr="00F520EC" w:rsidRDefault="00CA0CF7" w:rsidP="00812F03">
            <w:pPr>
              <w:pStyle w:val="Tabletext"/>
              <w:jc w:val="center"/>
              <w:rPr>
                <w:color w:val="000000" w:themeColor="text1"/>
              </w:rPr>
            </w:pPr>
            <w:r w:rsidRPr="00F520EC">
              <w:rPr>
                <w:color w:val="000000" w:themeColor="text1"/>
              </w:rPr>
              <w:t>$380</w:t>
            </w:r>
          </w:p>
        </w:tc>
        <w:tc>
          <w:tcPr>
            <w:tcW w:w="1290" w:type="pct"/>
            <w:tcBorders>
              <w:top w:val="single" w:sz="4" w:space="0" w:color="auto"/>
              <w:left w:val="single" w:sz="4" w:space="0" w:color="auto"/>
              <w:bottom w:val="single" w:sz="4" w:space="0" w:color="auto"/>
              <w:right w:val="single" w:sz="4" w:space="0" w:color="auto"/>
            </w:tcBorders>
          </w:tcPr>
          <w:p w14:paraId="490765B2" w14:textId="448D56B0" w:rsidR="00812F03" w:rsidRDefault="0000783E" w:rsidP="00812F03">
            <w:pPr>
              <w:pStyle w:val="Tabletext"/>
              <w:jc w:val="center"/>
            </w:pPr>
            <w:r>
              <w:t>$1,487</w:t>
            </w:r>
          </w:p>
        </w:tc>
        <w:tc>
          <w:tcPr>
            <w:tcW w:w="1207" w:type="pct"/>
            <w:tcBorders>
              <w:top w:val="single" w:sz="4" w:space="0" w:color="auto"/>
              <w:left w:val="single" w:sz="4" w:space="0" w:color="auto"/>
              <w:bottom w:val="single" w:sz="4" w:space="0" w:color="auto"/>
              <w:right w:val="single" w:sz="4" w:space="0" w:color="auto"/>
            </w:tcBorders>
          </w:tcPr>
          <w:p w14:paraId="3BD53448" w14:textId="71E63586" w:rsidR="00812F03" w:rsidRPr="00F520EC" w:rsidRDefault="003606E3" w:rsidP="00812F03">
            <w:pPr>
              <w:pStyle w:val="Tabletext"/>
              <w:jc w:val="center"/>
            </w:pPr>
            <w:r w:rsidRPr="00F520EC">
              <w:t>25.6%</w:t>
            </w:r>
          </w:p>
        </w:tc>
      </w:tr>
      <w:tr w:rsidR="00272729" w:rsidRPr="006876DD" w14:paraId="179F41AE" w14:textId="77777777">
        <w:tc>
          <w:tcPr>
            <w:tcW w:w="1257" w:type="pct"/>
            <w:tcBorders>
              <w:top w:val="single" w:sz="4" w:space="0" w:color="auto"/>
              <w:left w:val="single" w:sz="4" w:space="0" w:color="auto"/>
              <w:bottom w:val="single" w:sz="4" w:space="0" w:color="auto"/>
              <w:right w:val="single" w:sz="4" w:space="0" w:color="auto"/>
            </w:tcBorders>
            <w:vAlign w:val="center"/>
          </w:tcPr>
          <w:p w14:paraId="15CFC280" w14:textId="70AE84D8" w:rsidR="00812F03" w:rsidRDefault="00812F03" w:rsidP="00812F03">
            <w:pPr>
              <w:pStyle w:val="Tabletext"/>
              <w:jc w:val="center"/>
              <w:rPr>
                <w:rFonts w:cs="Arial"/>
                <w:b/>
                <w:bCs/>
                <w:color w:val="000000" w:themeColor="text1"/>
                <w:kern w:val="24"/>
              </w:rPr>
            </w:pPr>
            <w:r>
              <w:rPr>
                <w:rFonts w:cs="Arial"/>
                <w:b/>
                <w:bCs/>
                <w:color w:val="000000" w:themeColor="text1"/>
                <w:kern w:val="24"/>
              </w:rPr>
              <w:t>30 June 2016</w:t>
            </w:r>
          </w:p>
        </w:tc>
        <w:tc>
          <w:tcPr>
            <w:tcW w:w="1246" w:type="pct"/>
            <w:tcBorders>
              <w:top w:val="single" w:sz="4" w:space="0" w:color="auto"/>
              <w:left w:val="single" w:sz="4" w:space="0" w:color="auto"/>
              <w:bottom w:val="single" w:sz="4" w:space="0" w:color="auto"/>
              <w:right w:val="single" w:sz="4" w:space="0" w:color="auto"/>
            </w:tcBorders>
            <w:vAlign w:val="center"/>
          </w:tcPr>
          <w:p w14:paraId="5E65717B" w14:textId="7F912F1A" w:rsidR="00812F03" w:rsidRPr="00F520EC" w:rsidRDefault="00CA0CF7" w:rsidP="00812F03">
            <w:pPr>
              <w:pStyle w:val="Tabletext"/>
              <w:jc w:val="center"/>
              <w:rPr>
                <w:color w:val="000000" w:themeColor="text1"/>
              </w:rPr>
            </w:pPr>
            <w:r w:rsidRPr="00F520EC">
              <w:rPr>
                <w:color w:val="000000" w:themeColor="text1"/>
              </w:rPr>
              <w:t>$360</w:t>
            </w:r>
          </w:p>
        </w:tc>
        <w:tc>
          <w:tcPr>
            <w:tcW w:w="1290" w:type="pct"/>
            <w:tcBorders>
              <w:top w:val="single" w:sz="4" w:space="0" w:color="auto"/>
              <w:left w:val="single" w:sz="4" w:space="0" w:color="auto"/>
              <w:bottom w:val="single" w:sz="4" w:space="0" w:color="auto"/>
              <w:right w:val="single" w:sz="4" w:space="0" w:color="auto"/>
            </w:tcBorders>
          </w:tcPr>
          <w:p w14:paraId="74BF525F" w14:textId="06457A38" w:rsidR="00812F03" w:rsidRDefault="00185800" w:rsidP="00812F03">
            <w:pPr>
              <w:pStyle w:val="Tabletext"/>
              <w:jc w:val="center"/>
            </w:pPr>
            <w:r w:rsidRPr="00120CFC">
              <w:t>$1,419</w:t>
            </w:r>
          </w:p>
        </w:tc>
        <w:tc>
          <w:tcPr>
            <w:tcW w:w="1207" w:type="pct"/>
            <w:tcBorders>
              <w:top w:val="single" w:sz="4" w:space="0" w:color="auto"/>
              <w:left w:val="single" w:sz="4" w:space="0" w:color="auto"/>
              <w:bottom w:val="single" w:sz="4" w:space="0" w:color="auto"/>
              <w:right w:val="single" w:sz="4" w:space="0" w:color="auto"/>
            </w:tcBorders>
          </w:tcPr>
          <w:p w14:paraId="6AC80CC8" w14:textId="0F2C451C" w:rsidR="00812F03" w:rsidRPr="00F520EC" w:rsidRDefault="002246C6" w:rsidP="00812F03">
            <w:pPr>
              <w:pStyle w:val="Tabletext"/>
              <w:jc w:val="center"/>
            </w:pPr>
            <w:r w:rsidRPr="00F520EC">
              <w:t>25.4%</w:t>
            </w:r>
          </w:p>
        </w:tc>
      </w:tr>
      <w:tr w:rsidR="00272729" w:rsidRPr="006876DD" w14:paraId="681503FF" w14:textId="77777777">
        <w:tc>
          <w:tcPr>
            <w:tcW w:w="1257" w:type="pct"/>
            <w:tcBorders>
              <w:top w:val="single" w:sz="4" w:space="0" w:color="auto"/>
              <w:left w:val="single" w:sz="4" w:space="0" w:color="auto"/>
              <w:bottom w:val="single" w:sz="4" w:space="0" w:color="auto"/>
              <w:right w:val="single" w:sz="4" w:space="0" w:color="auto"/>
            </w:tcBorders>
            <w:vAlign w:val="center"/>
          </w:tcPr>
          <w:p w14:paraId="53A76EC6" w14:textId="722B4747" w:rsidR="00812F03" w:rsidRDefault="00812F03" w:rsidP="00812F03">
            <w:pPr>
              <w:pStyle w:val="Tabletext"/>
              <w:jc w:val="center"/>
              <w:rPr>
                <w:rFonts w:cs="Arial"/>
                <w:b/>
                <w:bCs/>
                <w:color w:val="000000" w:themeColor="text1"/>
                <w:kern w:val="24"/>
              </w:rPr>
            </w:pPr>
            <w:r>
              <w:rPr>
                <w:rFonts w:cs="Arial"/>
                <w:b/>
                <w:bCs/>
                <w:color w:val="000000" w:themeColor="text1"/>
                <w:kern w:val="24"/>
              </w:rPr>
              <w:t>30 June 2015</w:t>
            </w:r>
          </w:p>
        </w:tc>
        <w:tc>
          <w:tcPr>
            <w:tcW w:w="1246" w:type="pct"/>
            <w:tcBorders>
              <w:top w:val="single" w:sz="4" w:space="0" w:color="auto"/>
              <w:left w:val="single" w:sz="4" w:space="0" w:color="auto"/>
              <w:bottom w:val="single" w:sz="4" w:space="0" w:color="auto"/>
              <w:right w:val="single" w:sz="4" w:space="0" w:color="auto"/>
            </w:tcBorders>
            <w:vAlign w:val="center"/>
          </w:tcPr>
          <w:p w14:paraId="59519578" w14:textId="42E8D051" w:rsidR="00812F03" w:rsidRPr="00F520EC" w:rsidRDefault="00DD713F" w:rsidP="00812F03">
            <w:pPr>
              <w:pStyle w:val="Tabletext"/>
              <w:jc w:val="center"/>
              <w:rPr>
                <w:color w:val="000000" w:themeColor="text1"/>
              </w:rPr>
            </w:pPr>
            <w:r w:rsidRPr="00F520EC">
              <w:rPr>
                <w:color w:val="000000" w:themeColor="text1"/>
              </w:rPr>
              <w:t>$350</w:t>
            </w:r>
          </w:p>
        </w:tc>
        <w:tc>
          <w:tcPr>
            <w:tcW w:w="1290" w:type="pct"/>
            <w:tcBorders>
              <w:top w:val="single" w:sz="4" w:space="0" w:color="auto"/>
              <w:left w:val="single" w:sz="4" w:space="0" w:color="auto"/>
              <w:bottom w:val="single" w:sz="4" w:space="0" w:color="auto"/>
              <w:right w:val="single" w:sz="4" w:space="0" w:color="auto"/>
            </w:tcBorders>
          </w:tcPr>
          <w:p w14:paraId="29DFF9E2" w14:textId="28C787A2" w:rsidR="00812F03" w:rsidRDefault="0025745A" w:rsidP="00812F03">
            <w:pPr>
              <w:pStyle w:val="Tabletext"/>
              <w:jc w:val="center"/>
            </w:pPr>
            <w:r>
              <w:t>$1,351</w:t>
            </w:r>
          </w:p>
        </w:tc>
        <w:tc>
          <w:tcPr>
            <w:tcW w:w="1207" w:type="pct"/>
            <w:tcBorders>
              <w:top w:val="single" w:sz="4" w:space="0" w:color="auto"/>
              <w:left w:val="single" w:sz="4" w:space="0" w:color="auto"/>
              <w:bottom w:val="single" w:sz="4" w:space="0" w:color="auto"/>
              <w:right w:val="single" w:sz="4" w:space="0" w:color="auto"/>
            </w:tcBorders>
          </w:tcPr>
          <w:p w14:paraId="10820C0D" w14:textId="7CDFB164" w:rsidR="00812F03" w:rsidRPr="00F520EC" w:rsidRDefault="000418B3" w:rsidP="00812F03">
            <w:pPr>
              <w:pStyle w:val="Tabletext"/>
              <w:jc w:val="center"/>
            </w:pPr>
            <w:r w:rsidRPr="00F520EC">
              <w:t>25.9%</w:t>
            </w:r>
          </w:p>
        </w:tc>
      </w:tr>
    </w:tbl>
    <w:p w14:paraId="0ADF72F0" w14:textId="2F0A40FC" w:rsidR="00345A8A" w:rsidRPr="001F576E" w:rsidRDefault="00345A8A" w:rsidP="00A26C3F">
      <w:pPr>
        <w:pStyle w:val="DJCSbody"/>
        <w:ind w:left="0"/>
        <w:rPr>
          <w:i/>
          <w:iCs/>
          <w:sz w:val="18"/>
          <w:szCs w:val="16"/>
        </w:rPr>
      </w:pPr>
      <w:r w:rsidRPr="001F576E">
        <w:rPr>
          <w:i/>
          <w:iCs/>
          <w:sz w:val="18"/>
          <w:szCs w:val="16"/>
        </w:rPr>
        <w:t>Note: Median household income data is only available from the 2016</w:t>
      </w:r>
      <w:r w:rsidR="00BF547A">
        <w:rPr>
          <w:i/>
          <w:iCs/>
          <w:sz w:val="18"/>
          <w:szCs w:val="16"/>
        </w:rPr>
        <w:t xml:space="preserve"> </w:t>
      </w:r>
      <w:r w:rsidRPr="001F576E">
        <w:rPr>
          <w:i/>
          <w:iCs/>
          <w:sz w:val="18"/>
          <w:szCs w:val="16"/>
        </w:rPr>
        <w:t>and 2021</w:t>
      </w:r>
      <w:r w:rsidR="0006436B">
        <w:rPr>
          <w:i/>
          <w:iCs/>
          <w:sz w:val="18"/>
          <w:szCs w:val="16"/>
        </w:rPr>
        <w:t xml:space="preserve"> </w:t>
      </w:r>
      <w:r w:rsidRPr="001F576E">
        <w:rPr>
          <w:i/>
          <w:iCs/>
          <w:sz w:val="18"/>
          <w:szCs w:val="16"/>
        </w:rPr>
        <w:t>census</w:t>
      </w:r>
      <w:r w:rsidR="0006436B">
        <w:rPr>
          <w:i/>
          <w:iCs/>
          <w:sz w:val="18"/>
          <w:szCs w:val="16"/>
        </w:rPr>
        <w:t>, indicating values of $1,419 and $1,759 respectively</w:t>
      </w:r>
      <w:r w:rsidRPr="001F576E">
        <w:rPr>
          <w:i/>
          <w:iCs/>
          <w:sz w:val="18"/>
          <w:szCs w:val="16"/>
        </w:rPr>
        <w:t>. All years in between have been estimated via linear interpolation</w:t>
      </w:r>
      <w:r>
        <w:rPr>
          <w:i/>
          <w:iCs/>
          <w:sz w:val="18"/>
          <w:szCs w:val="16"/>
        </w:rPr>
        <w:t>. FY24 and FY25 have been estimated by taking the average annual growth between these years.</w:t>
      </w:r>
    </w:p>
    <w:p w14:paraId="1A4C59AC" w14:textId="4ABEBF76" w:rsidR="00C262DF" w:rsidRDefault="00A26C3F" w:rsidP="00C262DF">
      <w:pPr>
        <w:pStyle w:val="DJCSbody"/>
        <w:ind w:left="0"/>
      </w:pPr>
      <w:r>
        <w:t>The effect of rising rents has</w:t>
      </w:r>
      <w:r w:rsidRPr="007011C1">
        <w:t xml:space="preserve"> been compounded by the increased frequency of rental increase requests. In the year </w:t>
      </w:r>
      <w:r>
        <w:t xml:space="preserve">prior </w:t>
      </w:r>
      <w:r w:rsidRPr="007011C1">
        <w:t>to Septe</w:t>
      </w:r>
      <w:r w:rsidRPr="004815B7">
        <w:t xml:space="preserve">mber 2023, the number of Notices of Rent Increases generated </w:t>
      </w:r>
      <w:r>
        <w:t>through VCAT’</w:t>
      </w:r>
      <w:r w:rsidR="0062061D">
        <w:t>s</w:t>
      </w:r>
      <w:r>
        <w:t xml:space="preserve"> Residential Tenancies Hub </w:t>
      </w:r>
      <w:r w:rsidRPr="004815B7">
        <w:t xml:space="preserve">was </w:t>
      </w:r>
      <w:r>
        <w:t xml:space="preserve">equivalent to </w:t>
      </w:r>
      <w:r w:rsidRPr="004815B7">
        <w:t>58.4% of rental households in Victoria, an increase f</w:t>
      </w:r>
      <w:r>
        <w:t>rom</w:t>
      </w:r>
      <w:r w:rsidRPr="004815B7">
        <w:t xml:space="preserve"> 29.8% </w:t>
      </w:r>
      <w:r>
        <w:t xml:space="preserve">in </w:t>
      </w:r>
      <w:r w:rsidRPr="004815B7">
        <w:t>the previous year</w:t>
      </w:r>
      <w:r>
        <w:t>.</w:t>
      </w:r>
      <w:r w:rsidRPr="004815B7">
        <w:rPr>
          <w:rStyle w:val="FootnoteReference"/>
        </w:rPr>
        <w:footnoteReference w:id="21"/>
      </w:r>
      <w:r w:rsidRPr="004815B7">
        <w:t xml:space="preserve"> </w:t>
      </w:r>
    </w:p>
    <w:p w14:paraId="36615C7A" w14:textId="0C9F8222" w:rsidR="00A26C3F" w:rsidRDefault="00A26C3F" w:rsidP="00A26C3F">
      <w:pPr>
        <w:pStyle w:val="DJCSbody"/>
        <w:ind w:left="0"/>
      </w:pPr>
      <w:r>
        <w:lastRenderedPageBreak/>
        <w:t xml:space="preserve">Rising rents are also directly impacting the value of bonds requested by </w:t>
      </w:r>
      <w:r w:rsidR="00DA09C4">
        <w:t>rental providers</w:t>
      </w:r>
      <w:r>
        <w:t xml:space="preserve">, which are typically one month of rent. This is reflected in the RTBA’s rental bond data, which shows that the number of bonds held increased by approximately 7% between 2021 and 2025, while the overall value of those bonds increased by 30% over the same period. Between June 2024 and 2025, the average value of bonds lodged increased by 8.9% to $2,570. Increasing rental bonds are exacerbating the current affordability challenges faced by renters, especially when renters are required to fund a new bond on a </w:t>
      </w:r>
      <w:r w:rsidR="00A52686">
        <w:t>rented premises</w:t>
      </w:r>
      <w:r>
        <w:t xml:space="preserve"> before their existing bond has been returned. </w:t>
      </w:r>
    </w:p>
    <w:p w14:paraId="5025852B" w14:textId="2A74C2C5" w:rsidR="00A26C3F" w:rsidRDefault="00A26C3F" w:rsidP="00A26C3F">
      <w:pPr>
        <w:pStyle w:val="Caption"/>
      </w:pPr>
      <w:r>
        <w:t xml:space="preserve">Table </w:t>
      </w:r>
      <w:r w:rsidR="00BF2B5D">
        <w:fldChar w:fldCharType="begin"/>
      </w:r>
      <w:r w:rsidR="00BF2B5D">
        <w:instrText xml:space="preserve"> SEQ Table \* ARABIC </w:instrText>
      </w:r>
      <w:r w:rsidR="00BF2B5D">
        <w:fldChar w:fldCharType="separate"/>
      </w:r>
      <w:r w:rsidR="00A50199">
        <w:rPr>
          <w:noProof/>
        </w:rPr>
        <w:t>3</w:t>
      </w:r>
      <w:r w:rsidR="00BF2B5D">
        <w:rPr>
          <w:noProof/>
        </w:rPr>
        <w:fldChar w:fldCharType="end"/>
      </w:r>
      <w:r>
        <w:t>: Summary of RTBA bond holdings, 2019-2025</w:t>
      </w:r>
    </w:p>
    <w:tbl>
      <w:tblPr>
        <w:tblStyle w:val="TableGrid"/>
        <w:tblW w:w="5187" w:type="pct"/>
        <w:tblInd w:w="-5" w:type="dxa"/>
        <w:tblBorders>
          <w:insideH w:val="single" w:sz="4" w:space="0" w:color="auto"/>
        </w:tblBorders>
        <w:tblLayout w:type="fixed"/>
        <w:tblLook w:val="04A0" w:firstRow="1" w:lastRow="0" w:firstColumn="1" w:lastColumn="0" w:noHBand="0" w:noVBand="1"/>
      </w:tblPr>
      <w:tblGrid>
        <w:gridCol w:w="1855"/>
        <w:gridCol w:w="1668"/>
        <w:gridCol w:w="1669"/>
        <w:gridCol w:w="1897"/>
        <w:gridCol w:w="1982"/>
        <w:gridCol w:w="1551"/>
        <w:gridCol w:w="255"/>
      </w:tblGrid>
      <w:tr w:rsidR="00420237" w:rsidRPr="006876DD" w14:paraId="7D510C77" w14:textId="77777777" w:rsidTr="00FF6347">
        <w:trPr>
          <w:trHeight w:val="177"/>
          <w:tblHeader/>
        </w:trPr>
        <w:tc>
          <w:tcPr>
            <w:tcW w:w="853"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4A729C16" w14:textId="77777777" w:rsidR="00A26C3F" w:rsidRPr="006876DD" w:rsidRDefault="00A26C3F">
            <w:pPr>
              <w:pStyle w:val="TableHeading2"/>
              <w:jc w:val="center"/>
            </w:pPr>
            <w:r>
              <w:t>Financial Year</w:t>
            </w:r>
          </w:p>
        </w:tc>
        <w:tc>
          <w:tcPr>
            <w:tcW w:w="767"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29DACD30" w14:textId="3402684F" w:rsidR="00A26C3F" w:rsidRPr="006876DD" w:rsidRDefault="00A26C3F">
            <w:pPr>
              <w:pStyle w:val="TableHeading2"/>
              <w:jc w:val="center"/>
            </w:pPr>
            <w:r>
              <w:t xml:space="preserve">Number of rental bonds held by RTBA </w:t>
            </w:r>
            <w:r w:rsidR="0029195C">
              <w:rPr>
                <w:rStyle w:val="FootnoteReference"/>
              </w:rPr>
              <w:footnoteReference w:id="22"/>
            </w:r>
          </w:p>
        </w:tc>
        <w:tc>
          <w:tcPr>
            <w:tcW w:w="767" w:type="pct"/>
            <w:tcBorders>
              <w:top w:val="single" w:sz="4" w:space="0" w:color="auto"/>
              <w:left w:val="single" w:sz="4" w:space="0" w:color="auto"/>
              <w:bottom w:val="single" w:sz="4" w:space="0" w:color="auto"/>
              <w:right w:val="single" w:sz="4" w:space="0" w:color="auto"/>
            </w:tcBorders>
            <w:shd w:val="clear" w:color="auto" w:fill="16145F" w:themeFill="accent3"/>
            <w:vAlign w:val="center"/>
          </w:tcPr>
          <w:p w14:paraId="49FE7212" w14:textId="6580F465" w:rsidR="00A26C3F" w:rsidRPr="006876DD" w:rsidRDefault="00A26C3F">
            <w:pPr>
              <w:pStyle w:val="TableHeading2"/>
              <w:jc w:val="center"/>
            </w:pPr>
            <w:r>
              <w:t xml:space="preserve">Value of rental bonds held by RTBA </w:t>
            </w:r>
            <w:r w:rsidR="006074E3">
              <w:rPr>
                <w:rStyle w:val="FootnoteReference"/>
              </w:rPr>
              <w:footnoteReference w:id="23"/>
            </w:r>
          </w:p>
        </w:tc>
        <w:tc>
          <w:tcPr>
            <w:tcW w:w="872" w:type="pct"/>
            <w:tcBorders>
              <w:top w:val="single" w:sz="4" w:space="0" w:color="auto"/>
              <w:left w:val="single" w:sz="4" w:space="0" w:color="auto"/>
              <w:bottom w:val="single" w:sz="4" w:space="0" w:color="auto"/>
              <w:right w:val="single" w:sz="4" w:space="0" w:color="auto"/>
            </w:tcBorders>
            <w:shd w:val="clear" w:color="auto" w:fill="16145F" w:themeFill="accent3"/>
          </w:tcPr>
          <w:p w14:paraId="416AE8E4" w14:textId="64537AB2" w:rsidR="00A26C3F" w:rsidRPr="009000A8" w:rsidRDefault="00A26C3F">
            <w:pPr>
              <w:spacing w:before="80" w:after="80"/>
              <w:jc w:val="center"/>
              <w:rPr>
                <w:rFonts w:asciiTheme="minorHAnsi" w:hAnsiTheme="minorHAnsi" w:cstheme="minorHAnsi"/>
                <w:b/>
                <w:bCs/>
              </w:rPr>
            </w:pPr>
            <w:r>
              <w:rPr>
                <w:rFonts w:asciiTheme="minorHAnsi" w:hAnsiTheme="minorHAnsi" w:cstheme="minorHAnsi"/>
                <w:b/>
                <w:bCs/>
              </w:rPr>
              <w:t>Number</w:t>
            </w:r>
            <w:r w:rsidRPr="009000A8">
              <w:rPr>
                <w:rFonts w:asciiTheme="minorHAnsi" w:hAnsiTheme="minorHAnsi" w:cstheme="minorHAnsi"/>
                <w:b/>
                <w:bCs/>
              </w:rPr>
              <w:t xml:space="preserve"> of rental bonds </w:t>
            </w:r>
            <w:r>
              <w:rPr>
                <w:rFonts w:asciiTheme="minorHAnsi" w:hAnsiTheme="minorHAnsi" w:cstheme="minorHAnsi"/>
                <w:b/>
                <w:bCs/>
              </w:rPr>
              <w:t>lodged for year ending</w:t>
            </w:r>
            <w:r w:rsidR="006074E3">
              <w:rPr>
                <w:rStyle w:val="FootnoteReference"/>
                <w:rFonts w:asciiTheme="minorHAnsi" w:hAnsiTheme="minorHAnsi" w:cstheme="minorHAnsi"/>
                <w:b/>
                <w:bCs/>
              </w:rPr>
              <w:footnoteReference w:id="24"/>
            </w:r>
          </w:p>
        </w:tc>
        <w:tc>
          <w:tcPr>
            <w:tcW w:w="911" w:type="pct"/>
            <w:tcBorders>
              <w:top w:val="single" w:sz="4" w:space="0" w:color="auto"/>
              <w:left w:val="single" w:sz="4" w:space="0" w:color="auto"/>
              <w:bottom w:val="single" w:sz="4" w:space="0" w:color="auto"/>
              <w:right w:val="single" w:sz="4" w:space="0" w:color="auto"/>
            </w:tcBorders>
            <w:shd w:val="clear" w:color="auto" w:fill="16145F" w:themeFill="accent3"/>
          </w:tcPr>
          <w:p w14:paraId="3D755030" w14:textId="4F7510E4" w:rsidR="00A26C3F" w:rsidRPr="00ED3E6C" w:rsidRDefault="00A26C3F">
            <w:pPr>
              <w:pStyle w:val="TableHeading2"/>
              <w:jc w:val="center"/>
            </w:pPr>
            <w:r w:rsidRPr="00ED3E6C">
              <w:t xml:space="preserve">Value of rental bonds </w:t>
            </w:r>
            <w:r>
              <w:t>lodged for year ending</w:t>
            </w:r>
            <w:r w:rsidR="006074E3">
              <w:rPr>
                <w:rStyle w:val="FootnoteReference"/>
              </w:rPr>
              <w:footnoteReference w:id="25"/>
            </w:r>
          </w:p>
        </w:tc>
        <w:tc>
          <w:tcPr>
            <w:tcW w:w="713" w:type="pct"/>
            <w:tcBorders>
              <w:top w:val="single" w:sz="4" w:space="0" w:color="auto"/>
              <w:left w:val="single" w:sz="4" w:space="0" w:color="auto"/>
              <w:bottom w:val="single" w:sz="4" w:space="0" w:color="auto"/>
              <w:right w:val="single" w:sz="4" w:space="0" w:color="auto"/>
            </w:tcBorders>
            <w:shd w:val="clear" w:color="auto" w:fill="16145F" w:themeFill="text2"/>
          </w:tcPr>
          <w:p w14:paraId="589227B7" w14:textId="77777777" w:rsidR="00A26C3F" w:rsidRPr="005B4287" w:rsidRDefault="00A26C3F">
            <w:pPr>
              <w:spacing w:before="80" w:after="80"/>
              <w:jc w:val="center"/>
              <w:rPr>
                <w:rFonts w:asciiTheme="minorHAnsi" w:eastAsia="Lucida Grande" w:hAnsiTheme="minorHAnsi" w:cstheme="minorHAnsi"/>
                <w:b/>
                <w:bCs/>
              </w:rPr>
            </w:pPr>
            <w:r w:rsidRPr="005B4287">
              <w:rPr>
                <w:rFonts w:asciiTheme="minorHAnsi" w:eastAsia="Lucida Grande" w:hAnsiTheme="minorHAnsi" w:cstheme="minorHAnsi"/>
                <w:b/>
                <w:bCs/>
              </w:rPr>
              <w:t>Average value of bond lodged</w:t>
            </w:r>
          </w:p>
        </w:tc>
        <w:tc>
          <w:tcPr>
            <w:tcW w:w="117" w:type="pct"/>
            <w:tcBorders>
              <w:top w:val="nil"/>
              <w:left w:val="single" w:sz="4" w:space="0" w:color="auto"/>
              <w:bottom w:val="nil"/>
            </w:tcBorders>
          </w:tcPr>
          <w:p w14:paraId="7A0A6EFE" w14:textId="77777777" w:rsidR="00A26C3F" w:rsidRPr="006876DD" w:rsidRDefault="00A26C3F">
            <w:pPr>
              <w:rPr>
                <w:rFonts w:asciiTheme="minorHAnsi" w:eastAsia="Lucida Grande" w:hAnsiTheme="minorHAnsi" w:cstheme="minorHAnsi"/>
              </w:rPr>
            </w:pPr>
          </w:p>
        </w:tc>
      </w:tr>
      <w:tr w:rsidR="00272729" w:rsidRPr="006876DD" w14:paraId="21F66866"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29583DB9"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2025</w:t>
            </w:r>
          </w:p>
        </w:tc>
        <w:tc>
          <w:tcPr>
            <w:tcW w:w="767" w:type="pct"/>
            <w:tcBorders>
              <w:top w:val="single" w:sz="4" w:space="0" w:color="auto"/>
              <w:left w:val="single" w:sz="4" w:space="0" w:color="auto"/>
              <w:bottom w:val="single" w:sz="4" w:space="0" w:color="auto"/>
              <w:right w:val="single" w:sz="4" w:space="0" w:color="auto"/>
            </w:tcBorders>
            <w:vAlign w:val="center"/>
          </w:tcPr>
          <w:p w14:paraId="3944ABDD" w14:textId="77777777" w:rsidR="00A26C3F" w:rsidRDefault="00A26C3F">
            <w:pPr>
              <w:pStyle w:val="Tabletext"/>
              <w:jc w:val="center"/>
              <w:rPr>
                <w:color w:val="000000" w:themeColor="text1"/>
              </w:rPr>
            </w:pPr>
            <w:r>
              <w:rPr>
                <w:color w:val="000000" w:themeColor="text1"/>
              </w:rPr>
              <w:t>736,352</w:t>
            </w:r>
          </w:p>
        </w:tc>
        <w:tc>
          <w:tcPr>
            <w:tcW w:w="767" w:type="pct"/>
            <w:tcBorders>
              <w:top w:val="single" w:sz="4" w:space="0" w:color="auto"/>
              <w:left w:val="single" w:sz="4" w:space="0" w:color="auto"/>
              <w:bottom w:val="single" w:sz="4" w:space="0" w:color="auto"/>
              <w:right w:val="single" w:sz="4" w:space="0" w:color="auto"/>
            </w:tcBorders>
            <w:vAlign w:val="center"/>
          </w:tcPr>
          <w:p w14:paraId="1A8205F8" w14:textId="77777777" w:rsidR="00A26C3F" w:rsidRDefault="00A26C3F">
            <w:pPr>
              <w:pStyle w:val="Tabletext"/>
              <w:jc w:val="center"/>
            </w:pPr>
            <w:r>
              <w:t>$1,545bn</w:t>
            </w:r>
          </w:p>
        </w:tc>
        <w:tc>
          <w:tcPr>
            <w:tcW w:w="872" w:type="pct"/>
            <w:tcBorders>
              <w:top w:val="single" w:sz="4" w:space="0" w:color="auto"/>
              <w:left w:val="single" w:sz="4" w:space="0" w:color="auto"/>
              <w:bottom w:val="single" w:sz="4" w:space="0" w:color="auto"/>
              <w:right w:val="single" w:sz="4" w:space="0" w:color="auto"/>
            </w:tcBorders>
          </w:tcPr>
          <w:p w14:paraId="092BB5EB" w14:textId="77777777" w:rsidR="00A26C3F" w:rsidRDefault="00A26C3F">
            <w:pPr>
              <w:pStyle w:val="Tabletext"/>
              <w:jc w:val="center"/>
            </w:pPr>
            <w:r>
              <w:t>245,125</w:t>
            </w:r>
          </w:p>
        </w:tc>
        <w:tc>
          <w:tcPr>
            <w:tcW w:w="911" w:type="pct"/>
            <w:tcBorders>
              <w:top w:val="single" w:sz="4" w:space="0" w:color="auto"/>
              <w:left w:val="single" w:sz="4" w:space="0" w:color="auto"/>
              <w:bottom w:val="single" w:sz="4" w:space="0" w:color="auto"/>
              <w:right w:val="single" w:sz="4" w:space="0" w:color="auto"/>
            </w:tcBorders>
          </w:tcPr>
          <w:p w14:paraId="6CEE9C09" w14:textId="77777777" w:rsidR="00A26C3F" w:rsidRDefault="00A26C3F">
            <w:pPr>
              <w:pStyle w:val="Tabletext"/>
              <w:jc w:val="center"/>
            </w:pPr>
            <w:r>
              <w:t>$630m</w:t>
            </w:r>
          </w:p>
        </w:tc>
        <w:tc>
          <w:tcPr>
            <w:tcW w:w="713" w:type="pct"/>
            <w:tcBorders>
              <w:top w:val="single" w:sz="4" w:space="0" w:color="auto"/>
              <w:left w:val="single" w:sz="4" w:space="0" w:color="auto"/>
              <w:bottom w:val="single" w:sz="4" w:space="0" w:color="auto"/>
              <w:right w:val="single" w:sz="4" w:space="0" w:color="auto"/>
            </w:tcBorders>
          </w:tcPr>
          <w:p w14:paraId="18E4F0CB" w14:textId="77777777" w:rsidR="00A26C3F" w:rsidRDefault="00A26C3F">
            <w:pPr>
              <w:pStyle w:val="Tabletext"/>
              <w:jc w:val="center"/>
            </w:pPr>
            <w:r>
              <w:t>$2,570</w:t>
            </w:r>
          </w:p>
        </w:tc>
      </w:tr>
      <w:tr w:rsidR="00272729" w:rsidRPr="006876DD" w14:paraId="67AA513C"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050FE3EE"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2024</w:t>
            </w:r>
          </w:p>
        </w:tc>
        <w:tc>
          <w:tcPr>
            <w:tcW w:w="767" w:type="pct"/>
            <w:tcBorders>
              <w:top w:val="single" w:sz="4" w:space="0" w:color="auto"/>
              <w:left w:val="single" w:sz="4" w:space="0" w:color="auto"/>
              <w:bottom w:val="single" w:sz="4" w:space="0" w:color="auto"/>
              <w:right w:val="single" w:sz="4" w:space="0" w:color="auto"/>
            </w:tcBorders>
            <w:vAlign w:val="center"/>
          </w:tcPr>
          <w:p w14:paraId="4DA7D0E4" w14:textId="77777777" w:rsidR="00A26C3F" w:rsidRPr="006876DD" w:rsidRDefault="00A26C3F">
            <w:pPr>
              <w:pStyle w:val="Tabletext"/>
              <w:jc w:val="center"/>
              <w:rPr>
                <w:color w:val="000000" w:themeColor="text1"/>
              </w:rPr>
            </w:pPr>
            <w:r>
              <w:rPr>
                <w:color w:val="000000" w:themeColor="text1"/>
              </w:rPr>
              <w:t>732,125</w:t>
            </w:r>
          </w:p>
        </w:tc>
        <w:tc>
          <w:tcPr>
            <w:tcW w:w="767" w:type="pct"/>
            <w:tcBorders>
              <w:top w:val="single" w:sz="4" w:space="0" w:color="auto"/>
              <w:left w:val="single" w:sz="4" w:space="0" w:color="auto"/>
              <w:bottom w:val="single" w:sz="4" w:space="0" w:color="auto"/>
              <w:right w:val="single" w:sz="4" w:space="0" w:color="auto"/>
            </w:tcBorders>
            <w:vAlign w:val="center"/>
          </w:tcPr>
          <w:p w14:paraId="3A0593D8" w14:textId="77777777" w:rsidR="00A26C3F" w:rsidRPr="006876DD" w:rsidRDefault="00A26C3F">
            <w:pPr>
              <w:pStyle w:val="Tabletext"/>
              <w:jc w:val="center"/>
            </w:pPr>
            <w:r>
              <w:t>$1.456bn</w:t>
            </w:r>
          </w:p>
        </w:tc>
        <w:tc>
          <w:tcPr>
            <w:tcW w:w="872" w:type="pct"/>
            <w:tcBorders>
              <w:top w:val="single" w:sz="4" w:space="0" w:color="auto"/>
              <w:left w:val="single" w:sz="4" w:space="0" w:color="auto"/>
              <w:bottom w:val="single" w:sz="4" w:space="0" w:color="auto"/>
              <w:right w:val="single" w:sz="4" w:space="0" w:color="auto"/>
            </w:tcBorders>
          </w:tcPr>
          <w:p w14:paraId="03059738" w14:textId="77777777" w:rsidR="00A26C3F" w:rsidRDefault="00A26C3F">
            <w:pPr>
              <w:pStyle w:val="Tabletext"/>
              <w:jc w:val="center"/>
            </w:pPr>
            <w:r>
              <w:t>245,744</w:t>
            </w:r>
          </w:p>
        </w:tc>
        <w:tc>
          <w:tcPr>
            <w:tcW w:w="911" w:type="pct"/>
            <w:tcBorders>
              <w:top w:val="single" w:sz="4" w:space="0" w:color="auto"/>
              <w:left w:val="single" w:sz="4" w:space="0" w:color="auto"/>
              <w:bottom w:val="single" w:sz="4" w:space="0" w:color="auto"/>
              <w:right w:val="single" w:sz="4" w:space="0" w:color="auto"/>
            </w:tcBorders>
          </w:tcPr>
          <w:p w14:paraId="0886F958" w14:textId="77777777" w:rsidR="00A26C3F" w:rsidRDefault="00A26C3F">
            <w:pPr>
              <w:pStyle w:val="Tabletext"/>
              <w:jc w:val="center"/>
            </w:pPr>
            <w:r>
              <w:t>$580m</w:t>
            </w:r>
          </w:p>
        </w:tc>
        <w:tc>
          <w:tcPr>
            <w:tcW w:w="713" w:type="pct"/>
            <w:tcBorders>
              <w:top w:val="single" w:sz="4" w:space="0" w:color="auto"/>
              <w:left w:val="single" w:sz="4" w:space="0" w:color="auto"/>
              <w:bottom w:val="single" w:sz="4" w:space="0" w:color="auto"/>
              <w:right w:val="single" w:sz="4" w:space="0" w:color="auto"/>
            </w:tcBorders>
          </w:tcPr>
          <w:p w14:paraId="3D1848B6" w14:textId="77777777" w:rsidR="00A26C3F" w:rsidRDefault="00A26C3F">
            <w:pPr>
              <w:pStyle w:val="Tabletext"/>
              <w:jc w:val="center"/>
            </w:pPr>
            <w:r>
              <w:t>$2,360</w:t>
            </w:r>
          </w:p>
        </w:tc>
      </w:tr>
      <w:tr w:rsidR="00272729" w:rsidRPr="006876DD" w14:paraId="12AAB44C"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0BFB67A2"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2023</w:t>
            </w:r>
          </w:p>
        </w:tc>
        <w:tc>
          <w:tcPr>
            <w:tcW w:w="767" w:type="pct"/>
            <w:tcBorders>
              <w:top w:val="single" w:sz="4" w:space="0" w:color="auto"/>
              <w:left w:val="single" w:sz="4" w:space="0" w:color="auto"/>
              <w:bottom w:val="single" w:sz="4" w:space="0" w:color="auto"/>
              <w:right w:val="single" w:sz="4" w:space="0" w:color="auto"/>
            </w:tcBorders>
            <w:vAlign w:val="center"/>
          </w:tcPr>
          <w:p w14:paraId="46C3567E" w14:textId="77777777" w:rsidR="00A26C3F" w:rsidRPr="006876DD" w:rsidRDefault="00A26C3F">
            <w:pPr>
              <w:pStyle w:val="Tabletext"/>
              <w:jc w:val="center"/>
              <w:rPr>
                <w:color w:val="000000" w:themeColor="text1"/>
              </w:rPr>
            </w:pPr>
            <w:r>
              <w:rPr>
                <w:color w:val="000000" w:themeColor="text1"/>
              </w:rPr>
              <w:t>738,414</w:t>
            </w:r>
          </w:p>
        </w:tc>
        <w:tc>
          <w:tcPr>
            <w:tcW w:w="767" w:type="pct"/>
            <w:tcBorders>
              <w:top w:val="single" w:sz="4" w:space="0" w:color="auto"/>
              <w:left w:val="single" w:sz="4" w:space="0" w:color="auto"/>
              <w:bottom w:val="single" w:sz="4" w:space="0" w:color="auto"/>
              <w:right w:val="single" w:sz="4" w:space="0" w:color="auto"/>
            </w:tcBorders>
            <w:vAlign w:val="center"/>
          </w:tcPr>
          <w:p w14:paraId="4ED9F2CB" w14:textId="77777777" w:rsidR="00A26C3F" w:rsidRPr="006876DD" w:rsidRDefault="00A26C3F">
            <w:pPr>
              <w:pStyle w:val="Tabletext"/>
              <w:jc w:val="center"/>
            </w:pPr>
            <w:r>
              <w:t>$1.384bn</w:t>
            </w:r>
          </w:p>
        </w:tc>
        <w:tc>
          <w:tcPr>
            <w:tcW w:w="872" w:type="pct"/>
            <w:tcBorders>
              <w:top w:val="single" w:sz="4" w:space="0" w:color="auto"/>
              <w:left w:val="single" w:sz="4" w:space="0" w:color="auto"/>
              <w:bottom w:val="single" w:sz="4" w:space="0" w:color="auto"/>
              <w:right w:val="single" w:sz="4" w:space="0" w:color="auto"/>
            </w:tcBorders>
          </w:tcPr>
          <w:p w14:paraId="1A44397A" w14:textId="77777777" w:rsidR="00A26C3F" w:rsidRDefault="00A26C3F">
            <w:pPr>
              <w:pStyle w:val="Tabletext"/>
              <w:jc w:val="center"/>
            </w:pPr>
            <w:r>
              <w:t>255,722</w:t>
            </w:r>
          </w:p>
        </w:tc>
        <w:tc>
          <w:tcPr>
            <w:tcW w:w="911" w:type="pct"/>
            <w:tcBorders>
              <w:top w:val="single" w:sz="4" w:space="0" w:color="auto"/>
              <w:left w:val="single" w:sz="4" w:space="0" w:color="auto"/>
              <w:bottom w:val="single" w:sz="4" w:space="0" w:color="auto"/>
              <w:right w:val="single" w:sz="4" w:space="0" w:color="auto"/>
            </w:tcBorders>
          </w:tcPr>
          <w:p w14:paraId="465DCE18" w14:textId="77777777" w:rsidR="00A26C3F" w:rsidRDefault="00A26C3F">
            <w:pPr>
              <w:pStyle w:val="Tabletext"/>
              <w:jc w:val="center"/>
            </w:pPr>
            <w:r>
              <w:t>$542m</w:t>
            </w:r>
          </w:p>
        </w:tc>
        <w:tc>
          <w:tcPr>
            <w:tcW w:w="713" w:type="pct"/>
            <w:tcBorders>
              <w:top w:val="single" w:sz="4" w:space="0" w:color="auto"/>
              <w:left w:val="single" w:sz="4" w:space="0" w:color="auto"/>
              <w:bottom w:val="single" w:sz="4" w:space="0" w:color="auto"/>
              <w:right w:val="single" w:sz="4" w:space="0" w:color="auto"/>
            </w:tcBorders>
          </w:tcPr>
          <w:p w14:paraId="17B84138" w14:textId="77777777" w:rsidR="00A26C3F" w:rsidRDefault="00A26C3F">
            <w:pPr>
              <w:pStyle w:val="Tabletext"/>
              <w:jc w:val="center"/>
            </w:pPr>
            <w:r>
              <w:t>$2,119</w:t>
            </w:r>
          </w:p>
        </w:tc>
      </w:tr>
      <w:tr w:rsidR="00272729" w:rsidRPr="006876DD" w14:paraId="0D50162D"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39D38EDE"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2022</w:t>
            </w:r>
          </w:p>
        </w:tc>
        <w:tc>
          <w:tcPr>
            <w:tcW w:w="767" w:type="pct"/>
            <w:tcBorders>
              <w:top w:val="single" w:sz="4" w:space="0" w:color="auto"/>
              <w:left w:val="single" w:sz="4" w:space="0" w:color="auto"/>
              <w:bottom w:val="single" w:sz="4" w:space="0" w:color="auto"/>
              <w:right w:val="single" w:sz="4" w:space="0" w:color="auto"/>
            </w:tcBorders>
            <w:vAlign w:val="center"/>
          </w:tcPr>
          <w:p w14:paraId="041CAA87" w14:textId="77777777" w:rsidR="00A26C3F" w:rsidRPr="006876DD" w:rsidRDefault="00A26C3F">
            <w:pPr>
              <w:pStyle w:val="Tabletext"/>
              <w:jc w:val="center"/>
              <w:rPr>
                <w:color w:val="000000" w:themeColor="text1"/>
              </w:rPr>
            </w:pPr>
            <w:r>
              <w:rPr>
                <w:color w:val="000000" w:themeColor="text1"/>
              </w:rPr>
              <w:t>706,892</w:t>
            </w:r>
          </w:p>
        </w:tc>
        <w:tc>
          <w:tcPr>
            <w:tcW w:w="767" w:type="pct"/>
            <w:tcBorders>
              <w:top w:val="single" w:sz="4" w:space="0" w:color="auto"/>
              <w:left w:val="single" w:sz="4" w:space="0" w:color="auto"/>
              <w:bottom w:val="single" w:sz="4" w:space="0" w:color="auto"/>
              <w:right w:val="single" w:sz="4" w:space="0" w:color="auto"/>
            </w:tcBorders>
            <w:vAlign w:val="center"/>
          </w:tcPr>
          <w:p w14:paraId="5AC6A248" w14:textId="77777777" w:rsidR="00A26C3F" w:rsidRPr="006876DD" w:rsidRDefault="00A26C3F">
            <w:pPr>
              <w:pStyle w:val="Tabletext"/>
              <w:jc w:val="center"/>
            </w:pPr>
            <w:r>
              <w:t>$1.268bn</w:t>
            </w:r>
          </w:p>
        </w:tc>
        <w:tc>
          <w:tcPr>
            <w:tcW w:w="872" w:type="pct"/>
            <w:tcBorders>
              <w:top w:val="single" w:sz="4" w:space="0" w:color="auto"/>
              <w:left w:val="single" w:sz="4" w:space="0" w:color="auto"/>
              <w:bottom w:val="single" w:sz="4" w:space="0" w:color="auto"/>
              <w:right w:val="single" w:sz="4" w:space="0" w:color="auto"/>
            </w:tcBorders>
          </w:tcPr>
          <w:p w14:paraId="114C8890" w14:textId="77777777" w:rsidR="00A26C3F" w:rsidRDefault="00A26C3F">
            <w:pPr>
              <w:pStyle w:val="Tabletext"/>
              <w:jc w:val="center"/>
            </w:pPr>
            <w:r>
              <w:t>257,767</w:t>
            </w:r>
          </w:p>
        </w:tc>
        <w:tc>
          <w:tcPr>
            <w:tcW w:w="911" w:type="pct"/>
            <w:tcBorders>
              <w:top w:val="single" w:sz="4" w:space="0" w:color="auto"/>
              <w:left w:val="single" w:sz="4" w:space="0" w:color="auto"/>
              <w:bottom w:val="single" w:sz="4" w:space="0" w:color="auto"/>
              <w:right w:val="single" w:sz="4" w:space="0" w:color="auto"/>
            </w:tcBorders>
          </w:tcPr>
          <w:p w14:paraId="401FBF13" w14:textId="5E50163C" w:rsidR="00A26C3F" w:rsidRDefault="00FF6347">
            <w:pPr>
              <w:pStyle w:val="Tabletext"/>
              <w:jc w:val="center"/>
            </w:pPr>
            <w:r>
              <w:t>$49</w:t>
            </w:r>
            <w:r w:rsidR="00265FD7">
              <w:t>2</w:t>
            </w:r>
            <w:r>
              <w:t>m</w:t>
            </w:r>
          </w:p>
        </w:tc>
        <w:tc>
          <w:tcPr>
            <w:tcW w:w="713" w:type="pct"/>
            <w:tcBorders>
              <w:top w:val="single" w:sz="4" w:space="0" w:color="auto"/>
              <w:left w:val="single" w:sz="4" w:space="0" w:color="auto"/>
              <w:bottom w:val="single" w:sz="4" w:space="0" w:color="auto"/>
              <w:right w:val="single" w:sz="4" w:space="0" w:color="auto"/>
            </w:tcBorders>
          </w:tcPr>
          <w:p w14:paraId="1CF20FAD" w14:textId="4171EB5E" w:rsidR="00A26C3F" w:rsidRDefault="00FF6347">
            <w:pPr>
              <w:pStyle w:val="Tabletext"/>
              <w:jc w:val="center"/>
            </w:pPr>
            <w:r>
              <w:t>$1,91</w:t>
            </w:r>
            <w:r w:rsidR="00762FF7">
              <w:t>0</w:t>
            </w:r>
          </w:p>
        </w:tc>
      </w:tr>
      <w:tr w:rsidR="00272729" w:rsidRPr="006876DD" w14:paraId="2E92752F"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546F63E9"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2021</w:t>
            </w:r>
          </w:p>
        </w:tc>
        <w:tc>
          <w:tcPr>
            <w:tcW w:w="767" w:type="pct"/>
            <w:tcBorders>
              <w:top w:val="single" w:sz="4" w:space="0" w:color="auto"/>
              <w:left w:val="single" w:sz="4" w:space="0" w:color="auto"/>
              <w:bottom w:val="single" w:sz="4" w:space="0" w:color="auto"/>
              <w:right w:val="single" w:sz="4" w:space="0" w:color="auto"/>
            </w:tcBorders>
            <w:vAlign w:val="center"/>
          </w:tcPr>
          <w:p w14:paraId="5058B7E3" w14:textId="77777777" w:rsidR="00A26C3F" w:rsidRPr="006876DD" w:rsidRDefault="00A26C3F">
            <w:pPr>
              <w:pStyle w:val="Tabletext"/>
              <w:jc w:val="center"/>
              <w:rPr>
                <w:color w:val="000000" w:themeColor="text1"/>
              </w:rPr>
            </w:pPr>
            <w:r>
              <w:rPr>
                <w:color w:val="000000" w:themeColor="text1"/>
              </w:rPr>
              <w:t>686,167</w:t>
            </w:r>
          </w:p>
        </w:tc>
        <w:tc>
          <w:tcPr>
            <w:tcW w:w="767" w:type="pct"/>
            <w:tcBorders>
              <w:top w:val="single" w:sz="4" w:space="0" w:color="auto"/>
              <w:left w:val="single" w:sz="4" w:space="0" w:color="auto"/>
              <w:bottom w:val="single" w:sz="4" w:space="0" w:color="auto"/>
              <w:right w:val="single" w:sz="4" w:space="0" w:color="auto"/>
            </w:tcBorders>
            <w:vAlign w:val="center"/>
          </w:tcPr>
          <w:p w14:paraId="76935BEC" w14:textId="77777777" w:rsidR="00A26C3F" w:rsidRPr="006876DD" w:rsidRDefault="00A26C3F">
            <w:pPr>
              <w:pStyle w:val="Tabletext"/>
              <w:jc w:val="center"/>
            </w:pPr>
            <w:r>
              <w:t>$1.242bn</w:t>
            </w:r>
          </w:p>
        </w:tc>
        <w:tc>
          <w:tcPr>
            <w:tcW w:w="872" w:type="pct"/>
            <w:tcBorders>
              <w:top w:val="single" w:sz="4" w:space="0" w:color="auto"/>
              <w:left w:val="single" w:sz="4" w:space="0" w:color="auto"/>
              <w:bottom w:val="single" w:sz="4" w:space="0" w:color="auto"/>
              <w:right w:val="single" w:sz="4" w:space="0" w:color="auto"/>
            </w:tcBorders>
          </w:tcPr>
          <w:p w14:paraId="0E3A727C" w14:textId="77777777" w:rsidR="00A26C3F" w:rsidRDefault="00A26C3F">
            <w:pPr>
              <w:pStyle w:val="Tabletext"/>
              <w:jc w:val="center"/>
            </w:pPr>
            <w:r>
              <w:t>250,170</w:t>
            </w:r>
          </w:p>
        </w:tc>
        <w:tc>
          <w:tcPr>
            <w:tcW w:w="911" w:type="pct"/>
            <w:tcBorders>
              <w:top w:val="single" w:sz="4" w:space="0" w:color="auto"/>
              <w:left w:val="single" w:sz="4" w:space="0" w:color="auto"/>
              <w:bottom w:val="single" w:sz="4" w:space="0" w:color="auto"/>
              <w:right w:val="single" w:sz="4" w:space="0" w:color="auto"/>
            </w:tcBorders>
          </w:tcPr>
          <w:p w14:paraId="7346BB5D" w14:textId="77777777" w:rsidR="00A26C3F" w:rsidRDefault="00A26C3F">
            <w:pPr>
              <w:pStyle w:val="Tabletext"/>
              <w:jc w:val="center"/>
            </w:pPr>
            <w:r>
              <w:t>$486m</w:t>
            </w:r>
          </w:p>
        </w:tc>
        <w:tc>
          <w:tcPr>
            <w:tcW w:w="713" w:type="pct"/>
            <w:tcBorders>
              <w:top w:val="single" w:sz="4" w:space="0" w:color="auto"/>
              <w:left w:val="single" w:sz="4" w:space="0" w:color="auto"/>
              <w:bottom w:val="single" w:sz="4" w:space="0" w:color="auto"/>
              <w:right w:val="single" w:sz="4" w:space="0" w:color="auto"/>
            </w:tcBorders>
          </w:tcPr>
          <w:p w14:paraId="7B8EC116" w14:textId="77777777" w:rsidR="00A26C3F" w:rsidRDefault="00A26C3F">
            <w:pPr>
              <w:pStyle w:val="Tabletext"/>
              <w:jc w:val="center"/>
            </w:pPr>
            <w:r>
              <w:t>$1,943</w:t>
            </w:r>
          </w:p>
        </w:tc>
      </w:tr>
      <w:tr w:rsidR="00272729" w:rsidRPr="006876DD" w14:paraId="5A4A1082"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43A66038"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2020</w:t>
            </w:r>
          </w:p>
        </w:tc>
        <w:tc>
          <w:tcPr>
            <w:tcW w:w="767" w:type="pct"/>
            <w:tcBorders>
              <w:top w:val="single" w:sz="4" w:space="0" w:color="auto"/>
              <w:left w:val="single" w:sz="4" w:space="0" w:color="auto"/>
              <w:bottom w:val="single" w:sz="4" w:space="0" w:color="auto"/>
              <w:right w:val="single" w:sz="4" w:space="0" w:color="auto"/>
            </w:tcBorders>
            <w:vAlign w:val="center"/>
          </w:tcPr>
          <w:p w14:paraId="60C61D82" w14:textId="77777777" w:rsidR="00A26C3F" w:rsidRDefault="00A26C3F">
            <w:pPr>
              <w:pStyle w:val="Tabletext"/>
              <w:jc w:val="center"/>
              <w:rPr>
                <w:color w:val="000000" w:themeColor="text1"/>
              </w:rPr>
            </w:pPr>
            <w:r>
              <w:rPr>
                <w:color w:val="000000" w:themeColor="text1"/>
              </w:rPr>
              <w:t>684,163</w:t>
            </w:r>
          </w:p>
        </w:tc>
        <w:tc>
          <w:tcPr>
            <w:tcW w:w="767" w:type="pct"/>
            <w:tcBorders>
              <w:top w:val="single" w:sz="4" w:space="0" w:color="auto"/>
              <w:left w:val="single" w:sz="4" w:space="0" w:color="auto"/>
              <w:bottom w:val="single" w:sz="4" w:space="0" w:color="auto"/>
              <w:right w:val="single" w:sz="4" w:space="0" w:color="auto"/>
            </w:tcBorders>
            <w:vAlign w:val="center"/>
          </w:tcPr>
          <w:p w14:paraId="2B66E3E9" w14:textId="77777777" w:rsidR="00A26C3F" w:rsidRDefault="00A26C3F">
            <w:pPr>
              <w:pStyle w:val="Tabletext"/>
              <w:jc w:val="center"/>
            </w:pPr>
            <w:r>
              <w:t>$1.267bn</w:t>
            </w:r>
          </w:p>
        </w:tc>
        <w:tc>
          <w:tcPr>
            <w:tcW w:w="872" w:type="pct"/>
            <w:tcBorders>
              <w:top w:val="single" w:sz="4" w:space="0" w:color="auto"/>
              <w:left w:val="single" w:sz="4" w:space="0" w:color="auto"/>
              <w:bottom w:val="single" w:sz="4" w:space="0" w:color="auto"/>
              <w:right w:val="single" w:sz="4" w:space="0" w:color="auto"/>
            </w:tcBorders>
          </w:tcPr>
          <w:p w14:paraId="254239C3" w14:textId="77777777" w:rsidR="00A26C3F" w:rsidRDefault="00A26C3F">
            <w:pPr>
              <w:pStyle w:val="Tabletext"/>
              <w:jc w:val="center"/>
            </w:pPr>
            <w:r>
              <w:t>253,650</w:t>
            </w:r>
          </w:p>
        </w:tc>
        <w:tc>
          <w:tcPr>
            <w:tcW w:w="911" w:type="pct"/>
            <w:tcBorders>
              <w:top w:val="single" w:sz="4" w:space="0" w:color="auto"/>
              <w:left w:val="single" w:sz="4" w:space="0" w:color="auto"/>
              <w:bottom w:val="single" w:sz="4" w:space="0" w:color="auto"/>
              <w:right w:val="single" w:sz="4" w:space="0" w:color="auto"/>
            </w:tcBorders>
          </w:tcPr>
          <w:p w14:paraId="78AEB8B1" w14:textId="77777777" w:rsidR="00A26C3F" w:rsidRDefault="00A26C3F">
            <w:pPr>
              <w:pStyle w:val="Tabletext"/>
              <w:jc w:val="center"/>
            </w:pPr>
            <w:r>
              <w:t>$522m</w:t>
            </w:r>
          </w:p>
        </w:tc>
        <w:tc>
          <w:tcPr>
            <w:tcW w:w="713" w:type="pct"/>
            <w:tcBorders>
              <w:top w:val="single" w:sz="4" w:space="0" w:color="auto"/>
              <w:left w:val="single" w:sz="4" w:space="0" w:color="auto"/>
              <w:bottom w:val="single" w:sz="4" w:space="0" w:color="auto"/>
              <w:right w:val="single" w:sz="4" w:space="0" w:color="auto"/>
            </w:tcBorders>
          </w:tcPr>
          <w:p w14:paraId="61F049BF" w14:textId="77777777" w:rsidR="00A26C3F" w:rsidRDefault="00A26C3F">
            <w:pPr>
              <w:pStyle w:val="Tabletext"/>
              <w:jc w:val="center"/>
            </w:pPr>
            <w:r>
              <w:t>$2,058</w:t>
            </w:r>
          </w:p>
        </w:tc>
      </w:tr>
      <w:tr w:rsidR="00272729" w:rsidRPr="006876DD" w14:paraId="0966BF68" w14:textId="77777777" w:rsidTr="001F576E">
        <w:trPr>
          <w:gridAfter w:val="1"/>
          <w:wAfter w:w="117" w:type="pct"/>
        </w:trPr>
        <w:tc>
          <w:tcPr>
            <w:tcW w:w="853" w:type="pct"/>
            <w:tcBorders>
              <w:top w:val="single" w:sz="4" w:space="0" w:color="auto"/>
              <w:left w:val="single" w:sz="4" w:space="0" w:color="auto"/>
              <w:bottom w:val="single" w:sz="4" w:space="0" w:color="auto"/>
              <w:right w:val="single" w:sz="4" w:space="0" w:color="auto"/>
            </w:tcBorders>
            <w:vAlign w:val="center"/>
          </w:tcPr>
          <w:p w14:paraId="6668292F" w14:textId="77777777" w:rsidR="00A26C3F" w:rsidRDefault="00A26C3F">
            <w:pPr>
              <w:pStyle w:val="Tabletext"/>
              <w:jc w:val="center"/>
              <w:rPr>
                <w:rFonts w:cs="Arial"/>
                <w:b/>
                <w:bCs/>
                <w:color w:val="000000" w:themeColor="text1"/>
                <w:kern w:val="24"/>
              </w:rPr>
            </w:pPr>
            <w:r>
              <w:rPr>
                <w:rFonts w:cs="Arial"/>
                <w:b/>
                <w:bCs/>
                <w:color w:val="000000" w:themeColor="text1"/>
                <w:kern w:val="24"/>
              </w:rPr>
              <w:t>30 June 2019</w:t>
            </w:r>
          </w:p>
        </w:tc>
        <w:tc>
          <w:tcPr>
            <w:tcW w:w="767" w:type="pct"/>
            <w:tcBorders>
              <w:top w:val="single" w:sz="4" w:space="0" w:color="auto"/>
              <w:left w:val="single" w:sz="4" w:space="0" w:color="auto"/>
              <w:bottom w:val="single" w:sz="4" w:space="0" w:color="auto"/>
              <w:right w:val="single" w:sz="4" w:space="0" w:color="auto"/>
            </w:tcBorders>
            <w:vAlign w:val="center"/>
          </w:tcPr>
          <w:p w14:paraId="4500E7BC" w14:textId="77777777" w:rsidR="00A26C3F" w:rsidRDefault="00A26C3F">
            <w:pPr>
              <w:pStyle w:val="Tabletext"/>
              <w:jc w:val="center"/>
              <w:rPr>
                <w:color w:val="000000" w:themeColor="text1"/>
              </w:rPr>
            </w:pPr>
            <w:r>
              <w:rPr>
                <w:color w:val="000000" w:themeColor="text1"/>
              </w:rPr>
              <w:t>669,688</w:t>
            </w:r>
          </w:p>
        </w:tc>
        <w:tc>
          <w:tcPr>
            <w:tcW w:w="767" w:type="pct"/>
            <w:tcBorders>
              <w:top w:val="single" w:sz="4" w:space="0" w:color="auto"/>
              <w:left w:val="single" w:sz="4" w:space="0" w:color="auto"/>
              <w:bottom w:val="single" w:sz="4" w:space="0" w:color="auto"/>
              <w:right w:val="single" w:sz="4" w:space="0" w:color="auto"/>
            </w:tcBorders>
            <w:vAlign w:val="center"/>
          </w:tcPr>
          <w:p w14:paraId="4EC6F435" w14:textId="77777777" w:rsidR="00A26C3F" w:rsidRDefault="00A26C3F">
            <w:pPr>
              <w:pStyle w:val="Tabletext"/>
              <w:jc w:val="center"/>
            </w:pPr>
            <w:r>
              <w:t>$1.218bn</w:t>
            </w:r>
          </w:p>
        </w:tc>
        <w:tc>
          <w:tcPr>
            <w:tcW w:w="872" w:type="pct"/>
            <w:tcBorders>
              <w:top w:val="single" w:sz="4" w:space="0" w:color="auto"/>
              <w:left w:val="single" w:sz="4" w:space="0" w:color="auto"/>
              <w:bottom w:val="single" w:sz="4" w:space="0" w:color="auto"/>
              <w:right w:val="single" w:sz="4" w:space="0" w:color="auto"/>
            </w:tcBorders>
          </w:tcPr>
          <w:p w14:paraId="41937816" w14:textId="77777777" w:rsidR="00A26C3F" w:rsidRDefault="00A26C3F">
            <w:pPr>
              <w:pStyle w:val="Tabletext"/>
              <w:jc w:val="center"/>
            </w:pPr>
            <w:r>
              <w:t>244,800</w:t>
            </w:r>
          </w:p>
        </w:tc>
        <w:tc>
          <w:tcPr>
            <w:tcW w:w="911" w:type="pct"/>
            <w:tcBorders>
              <w:top w:val="single" w:sz="4" w:space="0" w:color="auto"/>
              <w:left w:val="single" w:sz="4" w:space="0" w:color="auto"/>
              <w:bottom w:val="single" w:sz="4" w:space="0" w:color="auto"/>
              <w:right w:val="single" w:sz="4" w:space="0" w:color="auto"/>
            </w:tcBorders>
          </w:tcPr>
          <w:p w14:paraId="5172ADDF" w14:textId="77777777" w:rsidR="00A26C3F" w:rsidRDefault="00A26C3F">
            <w:pPr>
              <w:pStyle w:val="Tabletext"/>
              <w:jc w:val="center"/>
            </w:pPr>
            <w:r>
              <w:t>$503m</w:t>
            </w:r>
          </w:p>
        </w:tc>
        <w:tc>
          <w:tcPr>
            <w:tcW w:w="713" w:type="pct"/>
            <w:tcBorders>
              <w:top w:val="single" w:sz="4" w:space="0" w:color="auto"/>
              <w:left w:val="single" w:sz="4" w:space="0" w:color="auto"/>
              <w:bottom w:val="single" w:sz="4" w:space="0" w:color="auto"/>
              <w:right w:val="single" w:sz="4" w:space="0" w:color="auto"/>
            </w:tcBorders>
          </w:tcPr>
          <w:p w14:paraId="37852199" w14:textId="77777777" w:rsidR="00A26C3F" w:rsidRDefault="00A26C3F">
            <w:pPr>
              <w:pStyle w:val="Tabletext"/>
              <w:jc w:val="center"/>
            </w:pPr>
            <w:r>
              <w:t>$2,056</w:t>
            </w:r>
          </w:p>
        </w:tc>
      </w:tr>
    </w:tbl>
    <w:p w14:paraId="45C99D92" w14:textId="77777777" w:rsidR="00A26C3F" w:rsidRDefault="00A26C3F" w:rsidP="00A26C3F">
      <w:pPr>
        <w:pStyle w:val="TableHeading2"/>
        <w:ind w:firstLine="680"/>
      </w:pPr>
    </w:p>
    <w:p w14:paraId="62AECAFF" w14:textId="5C60C9E5" w:rsidR="00A26C3F" w:rsidRDefault="00DA28A3" w:rsidP="00A26C3F">
      <w:pPr>
        <w:pStyle w:val="Caption"/>
      </w:pPr>
      <w:r>
        <w:t xml:space="preserve">Figure </w:t>
      </w:r>
      <w:r w:rsidR="003527D7">
        <w:fldChar w:fldCharType="begin"/>
      </w:r>
      <w:r w:rsidR="003527D7">
        <w:instrText xml:space="preserve"> SEQ Figure \* ARABIC </w:instrText>
      </w:r>
      <w:r w:rsidR="003527D7">
        <w:fldChar w:fldCharType="separate"/>
      </w:r>
      <w:r w:rsidR="00A50199">
        <w:rPr>
          <w:noProof/>
        </w:rPr>
        <w:t>2</w:t>
      </w:r>
      <w:r w:rsidR="003527D7">
        <w:fldChar w:fldCharType="end"/>
      </w:r>
      <w:r>
        <w:t>: Summary of RTBA bond holdings, 2019-2025</w:t>
      </w:r>
    </w:p>
    <w:p w14:paraId="66AE741F" w14:textId="3E07FF9E" w:rsidR="00A26C3F" w:rsidRDefault="00BF1FFE" w:rsidP="00A26C3F">
      <w:pPr>
        <w:jc w:val="center"/>
      </w:pPr>
      <w:r w:rsidRPr="00BF1FFE">
        <w:t xml:space="preserve"> </w:t>
      </w:r>
      <w:r w:rsidRPr="00BF1FFE">
        <w:rPr>
          <w:noProof/>
        </w:rPr>
        <w:drawing>
          <wp:inline distT="0" distB="0" distL="0" distR="0" wp14:anchorId="2DDD6711" wp14:editId="59FF38B3">
            <wp:extent cx="5989955" cy="2155372"/>
            <wp:effectExtent l="0" t="0" r="0" b="0"/>
            <wp:docPr id="1509938864" name="Picture 5" descr="This graph shows the average bond value and the number of bonds lodged each year between 2019 and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38864" name="Picture 5" descr="This graph shows the average bond value and the number of bonds lodged each year between 2019 and 2025.  "/>
                    <pic:cNvPicPr>
                      <a:picLocks noChangeAspect="1" noChangeArrowheads="1"/>
                    </pic:cNvPicPr>
                  </pic:nvPicPr>
                  <pic:blipFill rotWithShape="1">
                    <a:blip r:embed="rId18">
                      <a:extLst>
                        <a:ext uri="{28A0092B-C50C-407E-A947-70E740481C1C}">
                          <a14:useLocalDpi xmlns:a14="http://schemas.microsoft.com/office/drawing/2010/main" val="0"/>
                        </a:ext>
                      </a:extLst>
                    </a:blip>
                    <a:srcRect t="10643" b="8309"/>
                    <a:stretch>
                      <a:fillRect/>
                    </a:stretch>
                  </pic:blipFill>
                  <pic:spPr bwMode="auto">
                    <a:xfrm>
                      <a:off x="0" y="0"/>
                      <a:ext cx="5989955" cy="2155372"/>
                    </a:xfrm>
                    <a:prstGeom prst="rect">
                      <a:avLst/>
                    </a:prstGeom>
                    <a:noFill/>
                    <a:ln>
                      <a:noFill/>
                    </a:ln>
                    <a:extLst>
                      <a:ext uri="{53640926-AAD7-44D8-BBD7-CCE9431645EC}">
                        <a14:shadowObscured xmlns:a14="http://schemas.microsoft.com/office/drawing/2010/main"/>
                      </a:ext>
                    </a:extLst>
                  </pic:spPr>
                </pic:pic>
              </a:graphicData>
            </a:graphic>
          </wp:inline>
        </w:drawing>
      </w:r>
    </w:p>
    <w:p w14:paraId="4DA9C125" w14:textId="77777777" w:rsidR="00A26C3F" w:rsidRDefault="00A26C3F" w:rsidP="00A26C3F">
      <w:pPr>
        <w:pStyle w:val="DJCSbody"/>
        <w:ind w:left="0"/>
      </w:pPr>
      <w:r w:rsidRPr="007011C1">
        <w:t xml:space="preserve">These conditions increase </w:t>
      </w:r>
      <w:r>
        <w:t>renters’</w:t>
      </w:r>
      <w:r w:rsidRPr="007011C1">
        <w:t xml:space="preserve"> financial vulnerability, particularly </w:t>
      </w:r>
      <w:r>
        <w:t xml:space="preserve">for </w:t>
      </w:r>
      <w:r w:rsidRPr="007011C1">
        <w:t>those experiencing financial hardship</w:t>
      </w:r>
      <w:r>
        <w:t xml:space="preserve">. Vulnerable </w:t>
      </w:r>
      <w:r w:rsidRPr="001B7776">
        <w:t xml:space="preserve">cohorts are </w:t>
      </w:r>
      <w:r>
        <w:t xml:space="preserve">also </w:t>
      </w:r>
      <w:r w:rsidRPr="001B7776">
        <w:t xml:space="preserve">overrepresented </w:t>
      </w:r>
      <w:r>
        <w:t>within</w:t>
      </w:r>
      <w:r w:rsidRPr="001B7776">
        <w:t xml:space="preserve"> Victoria</w:t>
      </w:r>
      <w:r>
        <w:t xml:space="preserve">’s </w:t>
      </w:r>
      <w:r w:rsidRPr="001B7776">
        <w:t>rent</w:t>
      </w:r>
      <w:r>
        <w:t xml:space="preserve">al market and may be </w:t>
      </w:r>
      <w:r w:rsidRPr="001B7776">
        <w:t>particularly exposed to</w:t>
      </w:r>
      <w:r>
        <w:t xml:space="preserve"> increasing uncertainty of the Victorian rental market and </w:t>
      </w:r>
      <w:r w:rsidRPr="001B7776">
        <w:t xml:space="preserve">displacement pressures. </w:t>
      </w:r>
      <w:r>
        <w:t>For example, more</w:t>
      </w:r>
      <w:r w:rsidRPr="004575DE">
        <w:t xml:space="preserve"> than half (51%) of households that include an Indigenous person</w:t>
      </w:r>
      <w:r>
        <w:t xml:space="preserve"> in Victoria are households that</w:t>
      </w:r>
      <w:r w:rsidRPr="004575DE">
        <w:t xml:space="preserve"> are </w:t>
      </w:r>
      <w:r w:rsidRPr="004575DE">
        <w:lastRenderedPageBreak/>
        <w:t>rentin</w:t>
      </w:r>
      <w:r>
        <w:t>g.</w:t>
      </w:r>
      <w:r w:rsidRPr="004815B7">
        <w:rPr>
          <w:rStyle w:val="FootnoteReference"/>
        </w:rPr>
        <w:footnoteReference w:id="26"/>
      </w:r>
      <w:r w:rsidRPr="004575DE">
        <w:t xml:space="preserve"> </w:t>
      </w:r>
      <w:r>
        <w:t>Other</w:t>
      </w:r>
      <w:r w:rsidRPr="001B7776">
        <w:t xml:space="preserve"> cohorts such as non-citizen recent arrivals</w:t>
      </w:r>
      <w:r>
        <w:t xml:space="preserve"> and </w:t>
      </w:r>
      <w:r w:rsidRPr="001B7776">
        <w:t xml:space="preserve">lone persons are </w:t>
      </w:r>
      <w:r>
        <w:t>also overrepresented in the profile of Victorian renters.</w:t>
      </w:r>
      <w:r w:rsidRPr="004815B7">
        <w:rPr>
          <w:rStyle w:val="FootnoteReference"/>
        </w:rPr>
        <w:footnoteReference w:id="27"/>
      </w:r>
      <w:r>
        <w:t xml:space="preserve"> </w:t>
      </w:r>
    </w:p>
    <w:p w14:paraId="04639A43" w14:textId="77777777" w:rsidR="00A26C3F" w:rsidRDefault="00A26C3F" w:rsidP="00A26C3F">
      <w:pPr>
        <w:pStyle w:val="Heading3"/>
      </w:pPr>
      <w:r>
        <w:t>Benefits of the</w:t>
      </w:r>
      <w:r w:rsidRPr="007C48AF">
        <w:t xml:space="preserve"> PRBS </w:t>
      </w:r>
      <w:r>
        <w:t xml:space="preserve">to renters </w:t>
      </w:r>
    </w:p>
    <w:p w14:paraId="56651B43" w14:textId="40D5CD82" w:rsidR="00324419" w:rsidRDefault="00A26C3F" w:rsidP="00A26C3F">
      <w:pPr>
        <w:pStyle w:val="DJCSbody"/>
        <w:spacing w:before="0"/>
        <w:ind w:left="0"/>
      </w:pPr>
      <w:r w:rsidRPr="00C15E39">
        <w:t xml:space="preserve">The </w:t>
      </w:r>
      <w:r>
        <w:t xml:space="preserve">PRBS will provide financial relief for renters facing </w:t>
      </w:r>
      <w:r w:rsidR="00FD5807">
        <w:t xml:space="preserve">the </w:t>
      </w:r>
      <w:r>
        <w:t>financial burden</w:t>
      </w:r>
      <w:r w:rsidR="006A4F80">
        <w:t xml:space="preserve"> </w:t>
      </w:r>
      <w:r w:rsidR="006A56DF">
        <w:t xml:space="preserve">associated with a </w:t>
      </w:r>
      <w:r w:rsidR="006A4F80">
        <w:t>double bond</w:t>
      </w:r>
      <w:r w:rsidR="00112C00">
        <w:t xml:space="preserve"> </w:t>
      </w:r>
      <w:r w:rsidR="006A56DF">
        <w:t xml:space="preserve">when </w:t>
      </w:r>
      <w:r>
        <w:t xml:space="preserve">transitioning between homes. </w:t>
      </w:r>
      <w:r w:rsidR="00FD5807">
        <w:t>The RTBA currently holds more than 736,000</w:t>
      </w:r>
      <w:r w:rsidR="00FD5807">
        <w:rPr>
          <w:rStyle w:val="FootnoteReference"/>
        </w:rPr>
        <w:footnoteReference w:id="28"/>
      </w:r>
      <w:r w:rsidR="00FD5807">
        <w:t xml:space="preserve"> active bonds for Victorian rental agreement</w:t>
      </w:r>
      <w:r w:rsidR="008F7FFE">
        <w:t>s</w:t>
      </w:r>
      <w:r w:rsidR="002543C7">
        <w:t xml:space="preserve">. It </w:t>
      </w:r>
      <w:r w:rsidR="00635C54">
        <w:t xml:space="preserve">is expected that </w:t>
      </w:r>
      <w:r w:rsidR="12387670">
        <w:t>most</w:t>
      </w:r>
      <w:r w:rsidR="00635C54">
        <w:t xml:space="preserve"> renters </w:t>
      </w:r>
      <w:r w:rsidR="00F8125A">
        <w:t>who have paid</w:t>
      </w:r>
      <w:r w:rsidR="005751F4">
        <w:t xml:space="preserve"> these bonds will be eligible </w:t>
      </w:r>
      <w:r w:rsidR="00BE03D4">
        <w:t>for</w:t>
      </w:r>
      <w:r w:rsidR="00952D06">
        <w:t xml:space="preserve"> the</w:t>
      </w:r>
      <w:r w:rsidR="003E4576">
        <w:t xml:space="preserve"> PRB</w:t>
      </w:r>
      <w:r w:rsidR="00952D06">
        <w:t>S</w:t>
      </w:r>
      <w:r w:rsidR="00860CDE">
        <w:t>.</w:t>
      </w:r>
      <w:r w:rsidR="00324CEC">
        <w:t xml:space="preserve"> E</w:t>
      </w:r>
      <w:r w:rsidR="00F8125A">
        <w:t xml:space="preserve">ligible </w:t>
      </w:r>
      <w:r w:rsidR="00FF448C">
        <w:t>renters</w:t>
      </w:r>
      <w:r w:rsidR="00776782">
        <w:t xml:space="preserve"> </w:t>
      </w:r>
      <w:r w:rsidR="00952D06">
        <w:t xml:space="preserve">will </w:t>
      </w:r>
      <w:r w:rsidR="00FD5807">
        <w:t xml:space="preserve">be able to </w:t>
      </w:r>
      <w:r w:rsidR="002273F3">
        <w:t>participate in the</w:t>
      </w:r>
      <w:r w:rsidR="00776782">
        <w:t xml:space="preserve"> PRBS </w:t>
      </w:r>
      <w:r w:rsidR="00922E5D">
        <w:t>on an opt-in basis</w:t>
      </w:r>
      <w:r w:rsidR="00FD5807">
        <w:t>.</w:t>
      </w:r>
      <w:r w:rsidR="00F73A6A" w:rsidRPr="00117756">
        <w:t xml:space="preserve"> </w:t>
      </w:r>
      <w:r w:rsidR="00F73A6A" w:rsidRPr="00117756">
        <w:rPr>
          <w:vertAlign w:val="superscript"/>
        </w:rPr>
        <w:footnoteReference w:id="29"/>
      </w:r>
      <w:r w:rsidR="00F73A6A" w:rsidRPr="00117756">
        <w:t xml:space="preserve"> </w:t>
      </w:r>
    </w:p>
    <w:p w14:paraId="7C21AC71" w14:textId="3381FA2B" w:rsidR="00A26C3F" w:rsidRDefault="00A26C3F" w:rsidP="00A26C3F">
      <w:pPr>
        <w:pStyle w:val="DJCSbody"/>
        <w:spacing w:before="0"/>
        <w:ind w:left="0"/>
      </w:pPr>
      <w:r w:rsidRPr="00C15E39">
        <w:t xml:space="preserve">The </w:t>
      </w:r>
      <w:r>
        <w:t xml:space="preserve">following </w:t>
      </w:r>
      <w:r w:rsidRPr="00C15E39">
        <w:t xml:space="preserve">table </w:t>
      </w:r>
      <w:r>
        <w:t>outlines some</w:t>
      </w:r>
      <w:r w:rsidRPr="00C15E39">
        <w:t xml:space="preserve"> considerations associated with the </w:t>
      </w:r>
      <w:r>
        <w:t>PRBS</w:t>
      </w:r>
      <w:r w:rsidRPr="00C15E39">
        <w:t xml:space="preserve"> </w:t>
      </w:r>
      <w:r>
        <w:t>that are</w:t>
      </w:r>
      <w:r w:rsidRPr="00C15E39">
        <w:t xml:space="preserve"> relevant to different cohorts of renters. </w:t>
      </w:r>
      <w:r>
        <w:t xml:space="preserve">Data on each cohort’s reported experience of </w:t>
      </w:r>
      <w:r w:rsidR="00364BE5">
        <w:t xml:space="preserve">rental </w:t>
      </w:r>
      <w:r>
        <w:t xml:space="preserve">stress (defined as being in the position where rent payments are greater than 30% of household income), indicate that the cohorts that are most likely to benefit from the PRBS are single parents with children and individual </w:t>
      </w:r>
      <w:r w:rsidR="0097338F">
        <w:t>renters</w:t>
      </w:r>
      <w:r>
        <w:t xml:space="preserve">. Though the PRBS may be particularly beneficial for renters in these cohorts, it will benefit all renters who choose to opt-in to the PRBS.  </w:t>
      </w:r>
    </w:p>
    <w:p w14:paraId="32E15C6B" w14:textId="082E373A" w:rsidR="00A26C3F" w:rsidRDefault="00A26C3F" w:rsidP="00A26C3F">
      <w:pPr>
        <w:pStyle w:val="Caption"/>
      </w:pPr>
      <w:r>
        <w:t xml:space="preserve">Table </w:t>
      </w:r>
      <w:r w:rsidR="00DA51A3">
        <w:fldChar w:fldCharType="begin"/>
      </w:r>
      <w:r w:rsidR="00DA51A3">
        <w:instrText xml:space="preserve"> SEQ Table \* ARABIC </w:instrText>
      </w:r>
      <w:r w:rsidR="00DA51A3">
        <w:fldChar w:fldCharType="separate"/>
      </w:r>
      <w:r w:rsidR="00A50199">
        <w:rPr>
          <w:noProof/>
        </w:rPr>
        <w:t>4</w:t>
      </w:r>
      <w:r w:rsidR="00DA51A3">
        <w:rPr>
          <w:noProof/>
        </w:rPr>
        <w:fldChar w:fldCharType="end"/>
      </w:r>
      <w:r>
        <w:t>: Potential benefits of the PRBS by cohort</w:t>
      </w:r>
      <w:r>
        <w:rPr>
          <w:rStyle w:val="FootnoteReference"/>
        </w:rPr>
        <w:footnoteReference w:id="30"/>
      </w:r>
      <w:r>
        <w:t xml:space="preserve"> </w:t>
      </w:r>
    </w:p>
    <w:tbl>
      <w:tblPr>
        <w:tblStyle w:val="TableGrid"/>
        <w:tblW w:w="5000" w:type="pct"/>
        <w:tblBorders>
          <w:insideH w:val="single" w:sz="4" w:space="0" w:color="auto"/>
        </w:tblBorders>
        <w:tblLook w:val="04A0" w:firstRow="1" w:lastRow="0" w:firstColumn="1" w:lastColumn="0" w:noHBand="0" w:noVBand="1"/>
      </w:tblPr>
      <w:tblGrid>
        <w:gridCol w:w="1657"/>
        <w:gridCol w:w="4003"/>
        <w:gridCol w:w="4830"/>
      </w:tblGrid>
      <w:tr w:rsidR="00A26C3F" w:rsidRPr="000F65FE" w14:paraId="6009C2E7" w14:textId="77777777" w:rsidTr="79E303FA">
        <w:trPr>
          <w:trHeight w:val="177"/>
          <w:tblHeader/>
        </w:trPr>
        <w:tc>
          <w:tcPr>
            <w:tcW w:w="790" w:type="pct"/>
            <w:tcBorders>
              <w:top w:val="nil"/>
              <w:bottom w:val="nil"/>
            </w:tcBorders>
            <w:shd w:val="clear" w:color="auto" w:fill="16145F" w:themeFill="accent3"/>
            <w:vAlign w:val="center"/>
          </w:tcPr>
          <w:p w14:paraId="0AA347F8" w14:textId="77777777" w:rsidR="00A26C3F" w:rsidRPr="006876DD" w:rsidRDefault="00A26C3F">
            <w:pPr>
              <w:pStyle w:val="TableHeading2"/>
              <w:jc w:val="center"/>
            </w:pPr>
            <w:r w:rsidRPr="006876DD">
              <w:t>Cohort</w:t>
            </w:r>
          </w:p>
        </w:tc>
        <w:tc>
          <w:tcPr>
            <w:tcW w:w="1908" w:type="pct"/>
            <w:tcBorders>
              <w:top w:val="nil"/>
              <w:bottom w:val="nil"/>
            </w:tcBorders>
            <w:shd w:val="clear" w:color="auto" w:fill="16145F" w:themeFill="accent3"/>
            <w:vAlign w:val="center"/>
          </w:tcPr>
          <w:p w14:paraId="350CB96E" w14:textId="77777777" w:rsidR="00A26C3F" w:rsidRPr="006876DD" w:rsidRDefault="00A26C3F">
            <w:pPr>
              <w:pStyle w:val="TableHeading2"/>
              <w:jc w:val="center"/>
            </w:pPr>
            <w:r w:rsidRPr="006876DD">
              <w:t>Description</w:t>
            </w:r>
          </w:p>
        </w:tc>
        <w:tc>
          <w:tcPr>
            <w:tcW w:w="2302" w:type="pct"/>
            <w:tcBorders>
              <w:top w:val="nil"/>
              <w:bottom w:val="nil"/>
            </w:tcBorders>
            <w:shd w:val="clear" w:color="auto" w:fill="16145F" w:themeFill="accent3"/>
            <w:vAlign w:val="center"/>
          </w:tcPr>
          <w:p w14:paraId="44327D9D" w14:textId="77777777" w:rsidR="00A26C3F" w:rsidRPr="006876DD" w:rsidRDefault="00A26C3F">
            <w:pPr>
              <w:pStyle w:val="TableHeading2"/>
              <w:jc w:val="center"/>
            </w:pPr>
            <w:r>
              <w:t xml:space="preserve">Likely benefit from </w:t>
            </w:r>
            <w:r w:rsidRPr="006876DD">
              <w:t>the PRBS</w:t>
            </w:r>
          </w:p>
        </w:tc>
      </w:tr>
      <w:tr w:rsidR="00A26C3F" w:rsidRPr="000F65FE" w14:paraId="3FC60B15" w14:textId="77777777" w:rsidTr="79E303FA">
        <w:tc>
          <w:tcPr>
            <w:tcW w:w="790" w:type="pct"/>
            <w:tcBorders>
              <w:top w:val="nil"/>
            </w:tcBorders>
            <w:vAlign w:val="center"/>
          </w:tcPr>
          <w:p w14:paraId="71871412" w14:textId="77777777" w:rsidR="00A26C3F" w:rsidRPr="006876DD" w:rsidRDefault="00A26C3F">
            <w:pPr>
              <w:pStyle w:val="Tabletext"/>
              <w:jc w:val="center"/>
              <w:rPr>
                <w:rFonts w:cs="Arial"/>
                <w:b/>
                <w:bCs/>
                <w:color w:val="000000" w:themeColor="text1"/>
                <w:kern w:val="24"/>
              </w:rPr>
            </w:pPr>
            <w:r w:rsidRPr="006876DD">
              <w:rPr>
                <w:rFonts w:cs="Arial"/>
                <w:b/>
                <w:bCs/>
                <w:color w:val="000000" w:themeColor="text1"/>
                <w:kern w:val="24"/>
              </w:rPr>
              <w:t>Individuals</w:t>
            </w:r>
          </w:p>
        </w:tc>
        <w:tc>
          <w:tcPr>
            <w:tcW w:w="1908" w:type="pct"/>
            <w:tcBorders>
              <w:top w:val="nil"/>
            </w:tcBorders>
            <w:vAlign w:val="center"/>
          </w:tcPr>
          <w:p w14:paraId="6619F5EA" w14:textId="77777777" w:rsidR="00A26C3F" w:rsidRDefault="00A26C3F">
            <w:pPr>
              <w:pStyle w:val="Tabletext"/>
              <w:rPr>
                <w:rFonts w:cs="Arial"/>
                <w:b/>
                <w:bCs/>
                <w:i/>
                <w:iCs/>
                <w:color w:val="000000" w:themeColor="text1"/>
                <w:kern w:val="24"/>
              </w:rPr>
            </w:pPr>
            <w:r w:rsidRPr="006876DD">
              <w:rPr>
                <w:rFonts w:cs="Arial"/>
                <w:b/>
                <w:bCs/>
                <w:i/>
                <w:iCs/>
                <w:color w:val="000000" w:themeColor="text1"/>
                <w:kern w:val="24"/>
              </w:rPr>
              <w:t xml:space="preserve">People living alone comprise 29% of the private rental market in Victoria. </w:t>
            </w:r>
          </w:p>
          <w:p w14:paraId="0CFC0A1F" w14:textId="1C6715E5" w:rsidR="00A26C3F" w:rsidRPr="006876DD" w:rsidRDefault="00A26C3F">
            <w:pPr>
              <w:pStyle w:val="Tabletext"/>
              <w:rPr>
                <w:rFonts w:cs="Arial"/>
                <w:i/>
                <w:iCs/>
                <w:color w:val="000000" w:themeColor="text1"/>
                <w:kern w:val="24"/>
              </w:rPr>
            </w:pPr>
            <w:r w:rsidRPr="006876DD">
              <w:rPr>
                <w:rFonts w:cs="Arial"/>
                <w:i/>
                <w:iCs/>
                <w:color w:val="000000" w:themeColor="text1"/>
                <w:kern w:val="24"/>
              </w:rPr>
              <w:t xml:space="preserve">Individual renters are most likely to be </w:t>
            </w:r>
            <w:r w:rsidRPr="006876DD">
              <w:rPr>
                <w:rFonts w:cs="Arial"/>
                <w:b/>
                <w:bCs/>
                <w:i/>
                <w:iCs/>
                <w:color w:val="000000" w:themeColor="text1"/>
                <w:kern w:val="24"/>
              </w:rPr>
              <w:t>over</w:t>
            </w:r>
            <w:r w:rsidRPr="006876DD">
              <w:rPr>
                <w:rFonts w:cs="Arial"/>
                <w:i/>
                <w:iCs/>
                <w:color w:val="000000" w:themeColor="text1"/>
                <w:kern w:val="24"/>
              </w:rPr>
              <w:t xml:space="preserve"> </w:t>
            </w:r>
            <w:r w:rsidRPr="006876DD">
              <w:rPr>
                <w:rFonts w:cs="Arial"/>
                <w:b/>
                <w:bCs/>
                <w:i/>
                <w:iCs/>
                <w:color w:val="000000" w:themeColor="text1"/>
                <w:kern w:val="24"/>
              </w:rPr>
              <w:t xml:space="preserve">30 years old, </w:t>
            </w:r>
            <w:r w:rsidRPr="006876DD">
              <w:rPr>
                <w:rFonts w:cs="Arial"/>
                <w:i/>
                <w:iCs/>
                <w:color w:val="000000" w:themeColor="text1"/>
                <w:kern w:val="24"/>
              </w:rPr>
              <w:t xml:space="preserve">with </w:t>
            </w:r>
            <w:r w:rsidRPr="006876DD">
              <w:rPr>
                <w:rFonts w:cs="Arial"/>
                <w:b/>
                <w:bCs/>
                <w:i/>
                <w:iCs/>
                <w:color w:val="000000" w:themeColor="text1"/>
                <w:kern w:val="24"/>
              </w:rPr>
              <w:t xml:space="preserve">43% </w:t>
            </w:r>
            <w:r w:rsidRPr="006876DD">
              <w:rPr>
                <w:rFonts w:cs="Arial"/>
                <w:i/>
                <w:iCs/>
                <w:color w:val="000000" w:themeColor="text1"/>
                <w:kern w:val="24"/>
              </w:rPr>
              <w:t xml:space="preserve">of Victorian renters living alone aged </w:t>
            </w:r>
            <w:r w:rsidRPr="006876DD">
              <w:rPr>
                <w:rFonts w:cs="Arial"/>
                <w:b/>
                <w:bCs/>
                <w:i/>
                <w:iCs/>
                <w:color w:val="000000" w:themeColor="text1"/>
                <w:kern w:val="24"/>
              </w:rPr>
              <w:t>50 and over</w:t>
            </w:r>
            <w:r w:rsidRPr="006876DD">
              <w:rPr>
                <w:rFonts w:cs="Arial"/>
                <w:i/>
                <w:iCs/>
                <w:color w:val="000000" w:themeColor="text1"/>
                <w:kern w:val="24"/>
              </w:rPr>
              <w:t>.</w:t>
            </w:r>
            <w:r w:rsidRPr="006876DD">
              <w:rPr>
                <w:rFonts w:cs="Arial"/>
                <w:b/>
                <w:bCs/>
                <w:i/>
                <w:iCs/>
                <w:color w:val="000000" w:themeColor="text1"/>
                <w:kern w:val="24"/>
              </w:rPr>
              <w:t xml:space="preserve"> </w:t>
            </w:r>
            <w:r w:rsidR="001551ED" w:rsidRPr="001924BA">
              <w:rPr>
                <w:rFonts w:cs="Arial"/>
                <w:i/>
                <w:iCs/>
                <w:color w:val="000000" w:themeColor="text1"/>
                <w:kern w:val="24"/>
              </w:rPr>
              <w:t>Individual renters are relatively immo</w:t>
            </w:r>
            <w:r w:rsidR="00C538D1" w:rsidRPr="001924BA">
              <w:rPr>
                <w:rFonts w:cs="Arial"/>
                <w:i/>
                <w:iCs/>
                <w:color w:val="000000" w:themeColor="text1"/>
                <w:kern w:val="24"/>
              </w:rPr>
              <w:t>bile</w:t>
            </w:r>
            <w:r w:rsidR="001924BA">
              <w:rPr>
                <w:rFonts w:cs="Arial"/>
                <w:i/>
                <w:iCs/>
                <w:color w:val="000000" w:themeColor="text1"/>
                <w:kern w:val="24"/>
              </w:rPr>
              <w:t>,</w:t>
            </w:r>
            <w:r w:rsidR="00C538D1" w:rsidRPr="001924BA">
              <w:rPr>
                <w:rFonts w:cs="Arial"/>
                <w:i/>
                <w:iCs/>
                <w:color w:val="000000" w:themeColor="text1"/>
                <w:kern w:val="24"/>
              </w:rPr>
              <w:t xml:space="preserve"> with</w:t>
            </w:r>
            <w:r w:rsidR="00C538D1">
              <w:rPr>
                <w:rFonts w:cs="Arial"/>
                <w:color w:val="000000" w:themeColor="text1"/>
                <w:kern w:val="24"/>
              </w:rPr>
              <w:t xml:space="preserve"> </w:t>
            </w:r>
            <w:r w:rsidRPr="006876DD">
              <w:rPr>
                <w:rFonts w:cs="Arial"/>
                <w:b/>
                <w:bCs/>
                <w:i/>
                <w:iCs/>
                <w:color w:val="000000" w:themeColor="text1"/>
                <w:kern w:val="24"/>
              </w:rPr>
              <w:t xml:space="preserve">70% </w:t>
            </w:r>
            <w:r w:rsidRPr="00A90EA5">
              <w:rPr>
                <w:rFonts w:cs="Arial"/>
                <w:i/>
                <w:iCs/>
                <w:color w:val="000000" w:themeColor="text1"/>
                <w:kern w:val="24"/>
              </w:rPr>
              <w:t>of individual renters report</w:t>
            </w:r>
            <w:r w:rsidR="001924BA">
              <w:rPr>
                <w:rFonts w:cs="Arial"/>
                <w:i/>
                <w:iCs/>
                <w:color w:val="000000" w:themeColor="text1"/>
                <w:kern w:val="24"/>
              </w:rPr>
              <w:t>ing</w:t>
            </w:r>
            <w:r w:rsidRPr="00A90EA5">
              <w:rPr>
                <w:rFonts w:cs="Arial"/>
                <w:i/>
                <w:iCs/>
                <w:color w:val="000000" w:themeColor="text1"/>
                <w:kern w:val="24"/>
              </w:rPr>
              <w:t xml:space="preserve"> that they did not move in the past year in the 2021 Census</w:t>
            </w:r>
            <w:r w:rsidRPr="006876DD">
              <w:rPr>
                <w:rFonts w:cs="Arial"/>
                <w:b/>
                <w:bCs/>
                <w:i/>
                <w:iCs/>
                <w:color w:val="000000" w:themeColor="text1"/>
                <w:kern w:val="24"/>
              </w:rPr>
              <w:t xml:space="preserve">. </w:t>
            </w:r>
          </w:p>
        </w:tc>
        <w:tc>
          <w:tcPr>
            <w:tcW w:w="2302" w:type="pct"/>
            <w:tcBorders>
              <w:top w:val="nil"/>
            </w:tcBorders>
            <w:vAlign w:val="center"/>
          </w:tcPr>
          <w:p w14:paraId="3C1D0142" w14:textId="765B5A6C" w:rsidR="00A26C3F" w:rsidRDefault="00A26C3F">
            <w:pPr>
              <w:pStyle w:val="Tabletext"/>
            </w:pPr>
            <w:r>
              <w:t xml:space="preserve">This cohort is likely to </w:t>
            </w:r>
            <w:r w:rsidR="00C50ABF">
              <w:t xml:space="preserve">experience some </w:t>
            </w:r>
            <w:r>
              <w:t xml:space="preserve">benefit from the PRBS. </w:t>
            </w:r>
            <w:r w:rsidR="00EC5A37">
              <w:t xml:space="preserve">While the data shows that </w:t>
            </w:r>
            <w:r w:rsidR="00C50ABF">
              <w:t>individuals</w:t>
            </w:r>
            <w:r w:rsidR="00EC5A37">
              <w:t xml:space="preserve"> are </w:t>
            </w:r>
            <w:r w:rsidR="00C50ABF">
              <w:t>relatively</w:t>
            </w:r>
            <w:r w:rsidR="00EC5A37">
              <w:t xml:space="preserve"> less mobile</w:t>
            </w:r>
            <w:r>
              <w:t>, 51</w:t>
            </w:r>
            <w:r w:rsidRPr="00406082">
              <w:t xml:space="preserve">% of this cohort are reported to experience </w:t>
            </w:r>
            <w:r w:rsidR="00017912">
              <w:t>rental</w:t>
            </w:r>
            <w:r w:rsidRPr="00406082">
              <w:t xml:space="preserve"> stress</w:t>
            </w:r>
            <w:r>
              <w:t>. Noting the age profile of this cohort, o</w:t>
            </w:r>
            <w:r w:rsidRPr="00E26721">
              <w:t>lder Australians</w:t>
            </w:r>
            <w:r>
              <w:t xml:space="preserve"> (aged over 55)</w:t>
            </w:r>
            <w:r w:rsidRPr="00E26721">
              <w:t xml:space="preserve"> living independently are more susceptible to financial stress</w:t>
            </w:r>
            <w:r>
              <w:t>.</w:t>
            </w:r>
          </w:p>
        </w:tc>
      </w:tr>
      <w:tr w:rsidR="00A26C3F" w:rsidRPr="000F65FE" w14:paraId="4A9F6224" w14:textId="77777777" w:rsidTr="79E303FA">
        <w:tc>
          <w:tcPr>
            <w:tcW w:w="790" w:type="pct"/>
            <w:tcBorders>
              <w:top w:val="nil"/>
            </w:tcBorders>
            <w:vAlign w:val="center"/>
          </w:tcPr>
          <w:p w14:paraId="2BA3F0C2" w14:textId="77777777" w:rsidR="00A26C3F" w:rsidRPr="006876DD" w:rsidRDefault="00A26C3F">
            <w:pPr>
              <w:pStyle w:val="Tabletext"/>
              <w:jc w:val="center"/>
              <w:rPr>
                <w:rFonts w:cs="Arial"/>
                <w:b/>
                <w:bCs/>
                <w:color w:val="000000" w:themeColor="text1"/>
                <w:kern w:val="24"/>
              </w:rPr>
            </w:pPr>
            <w:r w:rsidRPr="006876DD">
              <w:rPr>
                <w:rFonts w:cs="Arial"/>
                <w:b/>
                <w:bCs/>
                <w:color w:val="000000" w:themeColor="text1"/>
                <w:kern w:val="24"/>
              </w:rPr>
              <w:t>Single parents with children</w:t>
            </w:r>
          </w:p>
        </w:tc>
        <w:tc>
          <w:tcPr>
            <w:tcW w:w="1908" w:type="pct"/>
            <w:tcBorders>
              <w:top w:val="nil"/>
            </w:tcBorders>
            <w:vAlign w:val="center"/>
          </w:tcPr>
          <w:p w14:paraId="4B580AEF" w14:textId="77777777" w:rsidR="00A26C3F" w:rsidRDefault="00A26C3F">
            <w:pPr>
              <w:pStyle w:val="Tabletext"/>
              <w:rPr>
                <w:rFonts w:cs="Arial"/>
                <w:i/>
                <w:color w:val="000000" w:themeColor="dark1"/>
                <w:kern w:val="24"/>
              </w:rPr>
            </w:pPr>
            <w:r w:rsidRPr="006876DD">
              <w:rPr>
                <w:rFonts w:cs="Arial"/>
                <w:i/>
                <w:color w:val="000000" w:themeColor="dark1"/>
                <w:kern w:val="24"/>
              </w:rPr>
              <w:t xml:space="preserve">Single parent households comprise </w:t>
            </w:r>
            <w:r w:rsidRPr="006876DD">
              <w:rPr>
                <w:rFonts w:cs="Arial"/>
                <w:b/>
                <w:i/>
                <w:color w:val="000000" w:themeColor="dark1"/>
                <w:kern w:val="24"/>
              </w:rPr>
              <w:t>14%</w:t>
            </w:r>
            <w:r w:rsidRPr="006876DD">
              <w:rPr>
                <w:rFonts w:cs="Arial"/>
                <w:i/>
                <w:color w:val="000000" w:themeColor="dark1"/>
                <w:kern w:val="24"/>
              </w:rPr>
              <w:t xml:space="preserve"> of the private rental market in Victoria. </w:t>
            </w:r>
          </w:p>
          <w:p w14:paraId="0BA83F1B" w14:textId="77777777" w:rsidR="00A26C3F" w:rsidRPr="006876DD" w:rsidRDefault="00A26C3F">
            <w:pPr>
              <w:pStyle w:val="Tabletext"/>
              <w:rPr>
                <w:rFonts w:cs="Arial"/>
                <w:i/>
                <w:iCs/>
                <w:color w:val="000000" w:themeColor="text1"/>
                <w:kern w:val="24"/>
              </w:rPr>
            </w:pPr>
            <w:r w:rsidRPr="006876DD">
              <w:rPr>
                <w:rFonts w:cs="Arial"/>
                <w:b/>
                <w:i/>
                <w:color w:val="000000" w:themeColor="dark1"/>
                <w:kern w:val="24"/>
              </w:rPr>
              <w:t>73%</w:t>
            </w:r>
            <w:r w:rsidRPr="006876DD">
              <w:rPr>
                <w:rFonts w:cs="Arial"/>
                <w:i/>
                <w:color w:val="000000" w:themeColor="dark1"/>
                <w:kern w:val="24"/>
              </w:rPr>
              <w:t xml:space="preserve"> of single parent households reported that they did not move in the past year in the 2021 Census.</w:t>
            </w:r>
          </w:p>
        </w:tc>
        <w:tc>
          <w:tcPr>
            <w:tcW w:w="2302" w:type="pct"/>
            <w:tcBorders>
              <w:top w:val="nil"/>
            </w:tcBorders>
            <w:vAlign w:val="center"/>
          </w:tcPr>
          <w:p w14:paraId="50899ED6" w14:textId="29A8DDC4" w:rsidR="00A26C3F" w:rsidRDefault="00A26C3F">
            <w:pPr>
              <w:pStyle w:val="Tabletext"/>
            </w:pPr>
            <w:r>
              <w:t xml:space="preserve">This cohort is likely to benefit significantly from the PRBS, given </w:t>
            </w:r>
            <w:r w:rsidRPr="00406082">
              <w:t xml:space="preserve">48% of this cohort are reported to experience </w:t>
            </w:r>
            <w:r w:rsidR="00017912">
              <w:t>rental</w:t>
            </w:r>
            <w:r w:rsidR="00017912" w:rsidRPr="00406082">
              <w:t xml:space="preserve"> </w:t>
            </w:r>
            <w:r w:rsidRPr="00406082">
              <w:t>stress</w:t>
            </w:r>
            <w:r>
              <w:t xml:space="preserve">. However, there is still relatively low mobility between properties by this cohort, likely due to avoiding disruptions for children. </w:t>
            </w:r>
          </w:p>
        </w:tc>
      </w:tr>
      <w:tr w:rsidR="00A26C3F" w:rsidRPr="000F65FE" w14:paraId="3B51AA45" w14:textId="77777777" w:rsidTr="79E303FA">
        <w:tc>
          <w:tcPr>
            <w:tcW w:w="790" w:type="pct"/>
            <w:tcBorders>
              <w:top w:val="nil"/>
            </w:tcBorders>
            <w:vAlign w:val="center"/>
          </w:tcPr>
          <w:p w14:paraId="5F84D638" w14:textId="77777777" w:rsidR="00A26C3F" w:rsidRPr="006876DD" w:rsidRDefault="00A26C3F">
            <w:pPr>
              <w:pStyle w:val="Tabletext"/>
              <w:jc w:val="center"/>
              <w:rPr>
                <w:b/>
                <w:bCs/>
                <w:color w:val="000000" w:themeColor="text1"/>
              </w:rPr>
            </w:pPr>
            <w:r w:rsidRPr="006876DD">
              <w:rPr>
                <w:rFonts w:cs="Arial"/>
                <w:b/>
                <w:bCs/>
                <w:color w:val="000000" w:themeColor="text1"/>
                <w:kern w:val="24"/>
              </w:rPr>
              <w:t xml:space="preserve">Couples with </w:t>
            </w:r>
            <w:r>
              <w:rPr>
                <w:rFonts w:cs="Arial"/>
                <w:b/>
                <w:bCs/>
                <w:color w:val="000000" w:themeColor="text1"/>
                <w:kern w:val="24"/>
              </w:rPr>
              <w:t>c</w:t>
            </w:r>
            <w:r w:rsidRPr="006876DD">
              <w:rPr>
                <w:rFonts w:cs="Arial"/>
                <w:b/>
                <w:bCs/>
                <w:color w:val="000000" w:themeColor="text1"/>
                <w:kern w:val="24"/>
              </w:rPr>
              <w:t>hildren</w:t>
            </w:r>
          </w:p>
        </w:tc>
        <w:tc>
          <w:tcPr>
            <w:tcW w:w="1908" w:type="pct"/>
            <w:tcBorders>
              <w:top w:val="nil"/>
            </w:tcBorders>
            <w:vAlign w:val="center"/>
          </w:tcPr>
          <w:p w14:paraId="061B05B4" w14:textId="77777777" w:rsidR="00A26C3F" w:rsidRDefault="00A26C3F">
            <w:pPr>
              <w:pStyle w:val="Tabletext"/>
              <w:rPr>
                <w:rFonts w:cs="Arial"/>
                <w:i/>
                <w:iCs/>
                <w:color w:val="000000" w:themeColor="text1"/>
                <w:kern w:val="24"/>
              </w:rPr>
            </w:pPr>
            <w:r w:rsidRPr="006876DD">
              <w:rPr>
                <w:rFonts w:cs="Arial"/>
                <w:i/>
                <w:iCs/>
                <w:color w:val="000000" w:themeColor="text1"/>
                <w:kern w:val="24"/>
              </w:rPr>
              <w:t xml:space="preserve">Single family households (i.e. couples with children) comprise </w:t>
            </w:r>
            <w:r w:rsidRPr="006876DD">
              <w:rPr>
                <w:rFonts w:cs="Arial"/>
                <w:b/>
                <w:bCs/>
                <w:i/>
                <w:iCs/>
                <w:color w:val="000000" w:themeColor="text1"/>
                <w:kern w:val="24"/>
              </w:rPr>
              <w:t xml:space="preserve">23% </w:t>
            </w:r>
            <w:r w:rsidRPr="006876DD">
              <w:rPr>
                <w:rFonts w:cs="Arial"/>
                <w:i/>
                <w:iCs/>
                <w:color w:val="000000" w:themeColor="text1"/>
                <w:kern w:val="24"/>
              </w:rPr>
              <w:t>of the private rental market in Victoria.</w:t>
            </w:r>
          </w:p>
          <w:p w14:paraId="55B67852" w14:textId="77777777" w:rsidR="00A26C3F" w:rsidRPr="006876DD" w:rsidRDefault="00A26C3F">
            <w:pPr>
              <w:pStyle w:val="Tabletext"/>
              <w:rPr>
                <w:color w:val="000000" w:themeColor="text1"/>
              </w:rPr>
            </w:pPr>
            <w:r w:rsidRPr="006876DD">
              <w:rPr>
                <w:rFonts w:cs="Arial"/>
                <w:i/>
                <w:iCs/>
                <w:color w:val="000000" w:themeColor="text1"/>
                <w:kern w:val="24"/>
              </w:rPr>
              <w:t xml:space="preserve">As a cohort, families who rent are relatively immobile, with </w:t>
            </w:r>
            <w:r w:rsidRPr="006876DD">
              <w:rPr>
                <w:rFonts w:cs="Arial"/>
                <w:b/>
                <w:bCs/>
                <w:i/>
                <w:iCs/>
                <w:color w:val="000000" w:themeColor="text1"/>
                <w:kern w:val="24"/>
              </w:rPr>
              <w:t>70%</w:t>
            </w:r>
            <w:r w:rsidRPr="006876DD">
              <w:rPr>
                <w:rFonts w:cs="Arial"/>
                <w:i/>
                <w:iCs/>
                <w:color w:val="000000" w:themeColor="text1"/>
                <w:kern w:val="24"/>
              </w:rPr>
              <w:t xml:space="preserve"> of single-family households reporting that they did not move in the past year in the 2021 Census.</w:t>
            </w:r>
          </w:p>
        </w:tc>
        <w:tc>
          <w:tcPr>
            <w:tcW w:w="2302" w:type="pct"/>
            <w:tcBorders>
              <w:top w:val="nil"/>
            </w:tcBorders>
            <w:vAlign w:val="center"/>
          </w:tcPr>
          <w:p w14:paraId="5432C8E4" w14:textId="4E507DD8" w:rsidR="00A26C3F" w:rsidRPr="006876DD" w:rsidRDefault="00A26C3F">
            <w:pPr>
              <w:pStyle w:val="Tabletext"/>
            </w:pPr>
            <w:r>
              <w:t>This cohort is likely to moderately benefit from the PRBS. This cohort has relatively l</w:t>
            </w:r>
            <w:r w:rsidRPr="00DC3F11">
              <w:t>ow mobility between properties</w:t>
            </w:r>
            <w:r>
              <w:t xml:space="preserve">, likely due to avoiding disruptions for children (especially those with children enrolled in school), and </w:t>
            </w:r>
            <w:r w:rsidRPr="003C4E8F">
              <w:t xml:space="preserve">20% </w:t>
            </w:r>
            <w:r w:rsidRPr="00B25BF1">
              <w:t>of this cohort</w:t>
            </w:r>
            <w:r>
              <w:t xml:space="preserve"> have </w:t>
            </w:r>
            <w:r w:rsidRPr="00B25BF1">
              <w:t xml:space="preserve">reported </w:t>
            </w:r>
            <w:r w:rsidR="00017912">
              <w:t>rental</w:t>
            </w:r>
            <w:r w:rsidR="00017912" w:rsidRPr="00B25BF1">
              <w:t xml:space="preserve"> </w:t>
            </w:r>
            <w:r w:rsidRPr="00B25BF1">
              <w:t>stress</w:t>
            </w:r>
            <w:r>
              <w:t>.</w:t>
            </w:r>
          </w:p>
        </w:tc>
      </w:tr>
      <w:tr w:rsidR="00A26C3F" w:rsidRPr="000F65FE" w14:paraId="7D38064E" w14:textId="77777777" w:rsidTr="79E303FA">
        <w:tc>
          <w:tcPr>
            <w:tcW w:w="790" w:type="pct"/>
            <w:vAlign w:val="center"/>
          </w:tcPr>
          <w:p w14:paraId="46FDF1EE" w14:textId="77777777" w:rsidR="00A26C3F" w:rsidRPr="006876DD" w:rsidRDefault="00A26C3F">
            <w:pPr>
              <w:pStyle w:val="Tabletext"/>
              <w:jc w:val="center"/>
              <w:rPr>
                <w:b/>
                <w:bCs/>
                <w:color w:val="000000" w:themeColor="text1"/>
              </w:rPr>
            </w:pPr>
            <w:r w:rsidRPr="006876DD">
              <w:rPr>
                <w:rFonts w:cs="Arial"/>
                <w:b/>
                <w:bCs/>
                <w:color w:val="000000" w:themeColor="text1"/>
                <w:kern w:val="24"/>
              </w:rPr>
              <w:lastRenderedPageBreak/>
              <w:t>Couples without children</w:t>
            </w:r>
          </w:p>
        </w:tc>
        <w:tc>
          <w:tcPr>
            <w:tcW w:w="1908" w:type="pct"/>
            <w:vAlign w:val="center"/>
          </w:tcPr>
          <w:p w14:paraId="173721A3" w14:textId="77777777" w:rsidR="00A26C3F" w:rsidRDefault="00A26C3F">
            <w:pPr>
              <w:pStyle w:val="Tabletext"/>
              <w:rPr>
                <w:rFonts w:cs="Arial"/>
                <w:i/>
                <w:color w:val="000000" w:themeColor="dark1"/>
                <w:kern w:val="24"/>
              </w:rPr>
            </w:pPr>
            <w:r w:rsidRPr="006876DD">
              <w:rPr>
                <w:rFonts w:cs="Arial"/>
                <w:i/>
                <w:color w:val="000000" w:themeColor="dark1"/>
                <w:kern w:val="24"/>
              </w:rPr>
              <w:t xml:space="preserve">Couples without children comprise </w:t>
            </w:r>
            <w:r w:rsidRPr="006876DD">
              <w:rPr>
                <w:rFonts w:cs="Arial"/>
                <w:b/>
                <w:i/>
                <w:color w:val="000000" w:themeColor="dark1"/>
                <w:kern w:val="24"/>
              </w:rPr>
              <w:t>21%</w:t>
            </w:r>
            <w:r w:rsidRPr="006876DD">
              <w:rPr>
                <w:rFonts w:cs="Arial"/>
                <w:i/>
                <w:color w:val="000000" w:themeColor="dark1"/>
                <w:kern w:val="24"/>
              </w:rPr>
              <w:t xml:space="preserve"> of the private rental market in Victoria. </w:t>
            </w:r>
          </w:p>
          <w:p w14:paraId="39122C74" w14:textId="77777777" w:rsidR="00A26C3F" w:rsidRPr="006876DD" w:rsidRDefault="00A26C3F">
            <w:pPr>
              <w:pStyle w:val="Tabletext"/>
            </w:pPr>
            <w:r w:rsidRPr="006876DD">
              <w:rPr>
                <w:rFonts w:cs="Arial"/>
                <w:i/>
                <w:color w:val="000000" w:themeColor="dark1"/>
                <w:kern w:val="24"/>
              </w:rPr>
              <w:t xml:space="preserve">Relative to couples with children, couples without children are more mobile, with </w:t>
            </w:r>
            <w:r w:rsidRPr="006876DD">
              <w:rPr>
                <w:rFonts w:cs="Arial"/>
                <w:b/>
                <w:i/>
                <w:color w:val="000000" w:themeColor="dark1"/>
                <w:kern w:val="24"/>
              </w:rPr>
              <w:t>42%</w:t>
            </w:r>
            <w:r w:rsidRPr="006876DD">
              <w:rPr>
                <w:rFonts w:cs="Arial"/>
                <w:i/>
                <w:color w:val="000000" w:themeColor="dark1"/>
                <w:kern w:val="24"/>
              </w:rPr>
              <w:t xml:space="preserve"> of households reporting that at least one member moved in the past year in the 2021 Census.</w:t>
            </w:r>
          </w:p>
        </w:tc>
        <w:tc>
          <w:tcPr>
            <w:tcW w:w="2302" w:type="pct"/>
            <w:vAlign w:val="center"/>
          </w:tcPr>
          <w:p w14:paraId="09402780" w14:textId="2452D620" w:rsidR="00A26C3F" w:rsidRPr="007A5945" w:rsidRDefault="00A26C3F">
            <w:pPr>
              <w:pStyle w:val="Tabletext"/>
              <w:rPr>
                <w:rFonts w:cs="Arial"/>
              </w:rPr>
            </w:pPr>
            <w:r w:rsidRPr="79E303FA">
              <w:rPr>
                <w:rFonts w:cs="Arial"/>
              </w:rPr>
              <w:t xml:space="preserve">This cohort is likely to </w:t>
            </w:r>
            <w:r>
              <w:t>moderately benefit from the PRBS.</w:t>
            </w:r>
            <w:r w:rsidRPr="79E303FA">
              <w:rPr>
                <w:rFonts w:cs="Arial"/>
              </w:rPr>
              <w:t xml:space="preserve"> While this cohort is relatively more mobile than others, only </w:t>
            </w:r>
            <w:r w:rsidRPr="79E303FA">
              <w:rPr>
                <w:rFonts w:eastAsia="Times New Roman" w:cs="Arial"/>
              </w:rPr>
              <w:t xml:space="preserve">18% report </w:t>
            </w:r>
            <w:r w:rsidR="00017912" w:rsidRPr="79E303FA">
              <w:rPr>
                <w:rFonts w:eastAsia="Times New Roman" w:cs="Arial"/>
              </w:rPr>
              <w:t xml:space="preserve">rental </w:t>
            </w:r>
            <w:r w:rsidRPr="79E303FA">
              <w:rPr>
                <w:rFonts w:eastAsia="Times New Roman" w:cs="Arial"/>
              </w:rPr>
              <w:t>stress</w:t>
            </w:r>
            <w:r w:rsidRPr="79E303FA">
              <w:rPr>
                <w:rFonts w:cs="Arial"/>
              </w:rPr>
              <w:t>. Further, 69% of couples without children who rent are aged 20</w:t>
            </w:r>
            <w:r w:rsidR="006A521D" w:rsidRPr="79E303FA">
              <w:rPr>
                <w:rFonts w:cs="Arial"/>
              </w:rPr>
              <w:t xml:space="preserve"> to</w:t>
            </w:r>
            <w:r w:rsidR="007C55C2">
              <w:rPr>
                <w:rFonts w:cs="Arial"/>
              </w:rPr>
              <w:t xml:space="preserve"> </w:t>
            </w:r>
            <w:r w:rsidRPr="79E303FA">
              <w:rPr>
                <w:rFonts w:cs="Arial"/>
              </w:rPr>
              <w:t xml:space="preserve">39, suggesting that many in this cohort leave the rental market in midlife once they purchase a property. </w:t>
            </w:r>
          </w:p>
        </w:tc>
      </w:tr>
      <w:tr w:rsidR="00A26C3F" w:rsidRPr="000F65FE" w14:paraId="0B65B7E6" w14:textId="77777777" w:rsidTr="79E303FA">
        <w:tc>
          <w:tcPr>
            <w:tcW w:w="790" w:type="pct"/>
            <w:vAlign w:val="center"/>
          </w:tcPr>
          <w:p w14:paraId="6956D000" w14:textId="77777777" w:rsidR="00A26C3F" w:rsidRPr="006876DD" w:rsidRDefault="00A26C3F">
            <w:pPr>
              <w:pStyle w:val="Tabletext"/>
              <w:jc w:val="center"/>
              <w:rPr>
                <w:rFonts w:cs="Arial"/>
                <w:b/>
                <w:bCs/>
                <w:color w:val="000000" w:themeColor="text1"/>
                <w:kern w:val="24"/>
              </w:rPr>
            </w:pPr>
            <w:r w:rsidRPr="00357008">
              <w:rPr>
                <w:rFonts w:cs="Arial"/>
                <w:b/>
                <w:bCs/>
                <w:color w:val="000000" w:themeColor="text1"/>
                <w:kern w:val="24"/>
              </w:rPr>
              <w:t>Group households</w:t>
            </w:r>
          </w:p>
        </w:tc>
        <w:tc>
          <w:tcPr>
            <w:tcW w:w="1908" w:type="pct"/>
            <w:vAlign w:val="center"/>
          </w:tcPr>
          <w:p w14:paraId="42767EF8" w14:textId="77777777" w:rsidR="00A26C3F" w:rsidRDefault="00A26C3F">
            <w:pPr>
              <w:pStyle w:val="Tabletext"/>
              <w:rPr>
                <w:rFonts w:cs="Arial"/>
                <w:i/>
                <w:color w:val="000000" w:themeColor="dark1"/>
                <w:kern w:val="24"/>
              </w:rPr>
            </w:pPr>
            <w:r w:rsidRPr="006876DD">
              <w:rPr>
                <w:rFonts w:cs="Arial"/>
                <w:i/>
                <w:color w:val="000000" w:themeColor="dark1"/>
                <w:kern w:val="24"/>
              </w:rPr>
              <w:t xml:space="preserve">Group households comprise </w:t>
            </w:r>
            <w:r w:rsidRPr="006876DD">
              <w:rPr>
                <w:rFonts w:cs="Arial"/>
                <w:b/>
                <w:i/>
                <w:color w:val="000000" w:themeColor="dark1"/>
                <w:kern w:val="24"/>
              </w:rPr>
              <w:t xml:space="preserve">12% </w:t>
            </w:r>
            <w:r w:rsidRPr="006876DD">
              <w:rPr>
                <w:rFonts w:cs="Arial"/>
                <w:i/>
                <w:color w:val="000000" w:themeColor="dark1"/>
                <w:kern w:val="24"/>
              </w:rPr>
              <w:t xml:space="preserve">of the private rental market in Victoria. </w:t>
            </w:r>
          </w:p>
          <w:p w14:paraId="56F1CA4E" w14:textId="77777777" w:rsidR="00A26C3F" w:rsidRPr="006876DD" w:rsidRDefault="00A26C3F">
            <w:pPr>
              <w:pStyle w:val="Tabletext"/>
              <w:rPr>
                <w:rFonts w:cs="Arial"/>
                <w:b/>
                <w:bCs/>
                <w:i/>
                <w:iCs/>
                <w:color w:val="000000" w:themeColor="text1"/>
                <w:kern w:val="24"/>
              </w:rPr>
            </w:pPr>
            <w:r w:rsidRPr="006876DD">
              <w:rPr>
                <w:rFonts w:cs="Arial"/>
                <w:b/>
                <w:i/>
                <w:color w:val="000000" w:themeColor="dark1"/>
                <w:kern w:val="24"/>
              </w:rPr>
              <w:t xml:space="preserve">81% </w:t>
            </w:r>
            <w:r w:rsidRPr="006876DD">
              <w:rPr>
                <w:rFonts w:cs="Arial"/>
                <w:i/>
                <w:color w:val="000000" w:themeColor="dark1"/>
                <w:kern w:val="24"/>
              </w:rPr>
              <w:t xml:space="preserve">of people living in group households are aged </w:t>
            </w:r>
            <w:r w:rsidRPr="006876DD">
              <w:rPr>
                <w:rFonts w:cs="Arial"/>
                <w:b/>
                <w:i/>
                <w:color w:val="000000" w:themeColor="dark1"/>
                <w:kern w:val="24"/>
              </w:rPr>
              <w:t xml:space="preserve">20-39. </w:t>
            </w:r>
            <w:r w:rsidRPr="006876DD">
              <w:rPr>
                <w:rFonts w:cs="Arial"/>
                <w:i/>
                <w:color w:val="000000" w:themeColor="dark1"/>
                <w:kern w:val="24"/>
              </w:rPr>
              <w:t xml:space="preserve">As a cohort, group households are the most mobile cohort of renters in Victoria, with </w:t>
            </w:r>
            <w:r w:rsidRPr="006876DD">
              <w:rPr>
                <w:rFonts w:cs="Arial"/>
                <w:b/>
                <w:i/>
                <w:color w:val="000000" w:themeColor="dark1"/>
                <w:kern w:val="24"/>
              </w:rPr>
              <w:t>60%</w:t>
            </w:r>
            <w:r w:rsidRPr="006876DD">
              <w:rPr>
                <w:rFonts w:cs="Arial"/>
                <w:i/>
                <w:color w:val="000000" w:themeColor="dark1"/>
                <w:kern w:val="24"/>
              </w:rPr>
              <w:t xml:space="preserve"> of group households reporting that at least one member moved in the past year in the 2021 Census. </w:t>
            </w:r>
          </w:p>
        </w:tc>
        <w:tc>
          <w:tcPr>
            <w:tcW w:w="2302" w:type="pct"/>
            <w:vAlign w:val="center"/>
          </w:tcPr>
          <w:p w14:paraId="17729DFB" w14:textId="5011D57A" w:rsidR="00A26C3F" w:rsidRDefault="00A26C3F">
            <w:pPr>
              <w:pStyle w:val="Tabletext"/>
            </w:pPr>
            <w:r>
              <w:rPr>
                <w:rFonts w:cs="Arial"/>
              </w:rPr>
              <w:t xml:space="preserve">Despite having the highest level of rental mobility, this cohort is likely to </w:t>
            </w:r>
            <w:r>
              <w:t xml:space="preserve">have a lower benefit from the </w:t>
            </w:r>
            <w:r w:rsidR="00E502A9" w:rsidRPr="00E502A9">
              <w:t>PRBS</w:t>
            </w:r>
            <w:r>
              <w:t xml:space="preserve">. </w:t>
            </w:r>
          </w:p>
          <w:p w14:paraId="23237649" w14:textId="573796A4" w:rsidR="00A26C3F" w:rsidRPr="008703D6" w:rsidRDefault="00A26C3F">
            <w:pPr>
              <w:pStyle w:val="Tabletext"/>
            </w:pPr>
            <w:r w:rsidRPr="008703D6">
              <w:t xml:space="preserve">The PRBS </w:t>
            </w:r>
            <w:r>
              <w:t>will</w:t>
            </w:r>
            <w:r w:rsidRPr="008703D6">
              <w:t xml:space="preserve"> not allow bonds to be split for the purposes of porting a bond. This means one bond cannot be split and ported to multiple new properties or partially repaid to some </w:t>
            </w:r>
            <w:r w:rsidR="0097338F">
              <w:t>renters</w:t>
            </w:r>
            <w:r w:rsidR="0097338F" w:rsidRPr="008703D6">
              <w:t xml:space="preserve"> </w:t>
            </w:r>
            <w:r w:rsidRPr="008703D6">
              <w:t>and ported for others.</w:t>
            </w:r>
          </w:p>
          <w:p w14:paraId="227D88AB" w14:textId="77777777" w:rsidR="00A26C3F" w:rsidRPr="008703D6" w:rsidRDefault="00A26C3F">
            <w:pPr>
              <w:pStyle w:val="Tabletext"/>
            </w:pPr>
            <w:r w:rsidRPr="008703D6">
              <w:t>Multiple renters can port a bond under the PRBS. For this to take place the following needs to exist:</w:t>
            </w:r>
          </w:p>
          <w:p w14:paraId="44F0B9CC" w14:textId="0A9AEBF2" w:rsidR="00A26C3F" w:rsidRPr="008703D6" w:rsidRDefault="00A26C3F" w:rsidP="00A26C3F">
            <w:pPr>
              <w:pStyle w:val="Tabletext"/>
              <w:numPr>
                <w:ilvl w:val="0"/>
                <w:numId w:val="61"/>
              </w:numPr>
            </w:pPr>
            <w:r w:rsidRPr="008703D6">
              <w:t xml:space="preserve">All renters moving into the new </w:t>
            </w:r>
            <w:r w:rsidR="00A52686">
              <w:t>rented premises</w:t>
            </w:r>
            <w:r w:rsidR="00A52686" w:rsidRPr="008703D6">
              <w:t xml:space="preserve"> </w:t>
            </w:r>
            <w:r w:rsidRPr="008703D6">
              <w:t xml:space="preserve">are on the </w:t>
            </w:r>
            <w:r>
              <w:t>lodged</w:t>
            </w:r>
            <w:r w:rsidRPr="008703D6">
              <w:t xml:space="preserve"> bond being ported.</w:t>
            </w:r>
            <w:r>
              <w:t xml:space="preserve"> These renters must be the only renters named on the lodged bond.</w:t>
            </w:r>
          </w:p>
          <w:p w14:paraId="4EE4DFA0" w14:textId="361ECD32" w:rsidR="00A26C3F" w:rsidRDefault="00A26C3F" w:rsidP="001F576E">
            <w:pPr>
              <w:pStyle w:val="Tabletext"/>
              <w:numPr>
                <w:ilvl w:val="0"/>
                <w:numId w:val="61"/>
              </w:numPr>
            </w:pPr>
            <w:r w:rsidRPr="008703D6">
              <w:t xml:space="preserve">All renters on the bond being ported are on the </w:t>
            </w:r>
            <w:r w:rsidR="00AB4F35">
              <w:t>rental</w:t>
            </w:r>
            <w:r w:rsidRPr="008703D6">
              <w:t xml:space="preserve"> agreement for the original </w:t>
            </w:r>
            <w:r w:rsidR="00A743F7">
              <w:t xml:space="preserve">rented </w:t>
            </w:r>
            <w:r w:rsidR="00A743F7" w:rsidRPr="008703D6">
              <w:t xml:space="preserve"> </w:t>
            </w:r>
            <w:r w:rsidR="00A743F7">
              <w:t xml:space="preserve">premises </w:t>
            </w:r>
            <w:r w:rsidR="00374FDD">
              <w:t xml:space="preserve">and on the new rental agreement </w:t>
            </w:r>
            <w:r w:rsidRPr="008703D6">
              <w:t>the bond is being ported to.</w:t>
            </w:r>
          </w:p>
          <w:p w14:paraId="3D63E8B9" w14:textId="77777777" w:rsidR="00A26C3F" w:rsidRDefault="00A26C3F">
            <w:pPr>
              <w:pStyle w:val="Tabletext"/>
            </w:pPr>
            <w:r w:rsidRPr="006F6777">
              <w:t>‘</w:t>
            </w:r>
            <w:r>
              <w:t>S</w:t>
            </w:r>
            <w:r w:rsidRPr="006F6777">
              <w:t>hare house’ arrangements and sub-leases may increase potential for dispute as to which renter is responsible for repaying debt associated with a transferred rental bond.</w:t>
            </w:r>
          </w:p>
          <w:p w14:paraId="3CE3D4C1" w14:textId="53476B90" w:rsidR="00A26C3F" w:rsidRDefault="00A26C3F">
            <w:pPr>
              <w:pStyle w:val="Tabletext"/>
            </w:pPr>
            <w:r>
              <w:t xml:space="preserve">However, those that are eligible would likely experience some benefit from the PRBS, noting that 24% of this cohort are reported to experience </w:t>
            </w:r>
            <w:r w:rsidR="00017912">
              <w:t xml:space="preserve">rental </w:t>
            </w:r>
            <w:r>
              <w:t>stress.</w:t>
            </w:r>
          </w:p>
        </w:tc>
      </w:tr>
    </w:tbl>
    <w:p w14:paraId="1AA1C8C1" w14:textId="77777777" w:rsidR="00A21532" w:rsidRDefault="00A21532" w:rsidP="00A21532">
      <w:pPr>
        <w:pStyle w:val="Heading4"/>
        <w:ind w:left="0"/>
      </w:pPr>
      <w:bookmarkStart w:id="14" w:name="_Toc221890887"/>
      <w:r>
        <w:t>Introduction of the PRBS provides a more accessible alternative to the private bond loan market</w:t>
      </w:r>
    </w:p>
    <w:p w14:paraId="78059359" w14:textId="775184EF" w:rsidR="00A21532" w:rsidRDefault="00A21532" w:rsidP="008E7AE6">
      <w:pPr>
        <w:pStyle w:val="DJCSbody"/>
        <w:ind w:left="0"/>
      </w:pPr>
      <w:r>
        <w:t xml:space="preserve">The establishment of the PRBS also introduces an alternative to the bond loan (private credit) market, whereby renters have historically had as an option if they required short-term liquidity assistance. In this sense, private bond loans function as a parallel solution to the PRBS although demand for private credit may reduce. The competitive dynamics are explored further in Section 6.5 of this RIS. </w:t>
      </w:r>
    </w:p>
    <w:p w14:paraId="584CA67B" w14:textId="3BA9B15A" w:rsidR="00A26C3F" w:rsidRPr="000F65FE" w:rsidRDefault="00A26C3F" w:rsidP="00A26C3F">
      <w:pPr>
        <w:pStyle w:val="Heading2"/>
        <w:ind w:left="340"/>
        <w:jc w:val="both"/>
      </w:pPr>
      <w:r w:rsidRPr="000F65FE">
        <w:t xml:space="preserve">Current </w:t>
      </w:r>
      <w:r w:rsidR="00111283">
        <w:t>legislative and regulatory framework for bonds</w:t>
      </w:r>
      <w:bookmarkEnd w:id="14"/>
      <w:r w:rsidR="00111283">
        <w:t xml:space="preserve"> </w:t>
      </w:r>
      <w:r>
        <w:t xml:space="preserve"> </w:t>
      </w:r>
    </w:p>
    <w:p w14:paraId="343D3C0E" w14:textId="0DA0DBFD" w:rsidR="00EC3EA0" w:rsidRPr="00EC3EA0" w:rsidRDefault="00EC3EA0" w:rsidP="00EC3EA0">
      <w:pPr>
        <w:pStyle w:val="Body"/>
      </w:pPr>
      <w:r w:rsidRPr="001F576E">
        <w:t xml:space="preserve">The RT Act is the </w:t>
      </w:r>
      <w:r w:rsidR="00212B8A">
        <w:t>primary piece of</w:t>
      </w:r>
      <w:r w:rsidRPr="001F576E">
        <w:t xml:space="preserve"> legislation that regulates rental agreements in Victoria. It </w:t>
      </w:r>
      <w:r w:rsidRPr="00EC3EA0">
        <w:t>set</w:t>
      </w:r>
      <w:r w:rsidRPr="001F576E">
        <w:t>s</w:t>
      </w:r>
      <w:r w:rsidRPr="00EC3EA0">
        <w:t xml:space="preserve"> out the rights and responsibilities of renters and residents, rental providers</w:t>
      </w:r>
      <w:r w:rsidR="00097438">
        <w:t xml:space="preserve"> </w:t>
      </w:r>
      <w:r w:rsidRPr="00EC3EA0">
        <w:t xml:space="preserve">and owners of rented premises. The </w:t>
      </w:r>
      <w:r w:rsidRPr="001F576E">
        <w:t xml:space="preserve">RT Act has </w:t>
      </w:r>
      <w:r w:rsidR="0074414E" w:rsidRPr="0074414E">
        <w:t>several</w:t>
      </w:r>
      <w:r w:rsidRPr="001F576E">
        <w:t xml:space="preserve"> </w:t>
      </w:r>
      <w:r w:rsidR="001E24B7">
        <w:t xml:space="preserve">sets of </w:t>
      </w:r>
      <w:r w:rsidRPr="001F576E">
        <w:t xml:space="preserve">regulations that are attached to it, including </w:t>
      </w:r>
      <w:r w:rsidRPr="00EC3EA0">
        <w:t>the Residential Tenancies Regulations 2021</w:t>
      </w:r>
      <w:r w:rsidR="00275ACE">
        <w:t>.</w:t>
      </w:r>
    </w:p>
    <w:p w14:paraId="202DC9DF" w14:textId="7059D8AF" w:rsidR="00851B63" w:rsidRDefault="00EC3EA0" w:rsidP="00EC3EA0">
      <w:pPr>
        <w:pStyle w:val="Body"/>
      </w:pPr>
      <w:r w:rsidRPr="001F576E">
        <w:t xml:space="preserve">The RT Act provides the ability for rental providers to request a bond. </w:t>
      </w:r>
      <w:r w:rsidRPr="00EC3EA0">
        <w:t>A bond is a payment that rental providers can request from renters at the start of a rental agreement. It acts as financial protection for the rental provider and can be used to cover some costs they may have to pay when the renter moves out</w:t>
      </w:r>
      <w:r w:rsidR="001F4300">
        <w:t xml:space="preserve"> (e.g. </w:t>
      </w:r>
      <w:r w:rsidR="00C96531">
        <w:t>for damage to the property)</w:t>
      </w:r>
      <w:r w:rsidRPr="00EC3EA0">
        <w:t>. Bonds are held in trust by the </w:t>
      </w:r>
      <w:r w:rsidR="008F2797">
        <w:t>RTBA,</w:t>
      </w:r>
      <w:r w:rsidRPr="00EC3EA0">
        <w:t xml:space="preserve"> a statutory authority within the Department </w:t>
      </w:r>
      <w:r w:rsidRPr="00EC3EA0">
        <w:lastRenderedPageBreak/>
        <w:t>of Government Services.</w:t>
      </w:r>
      <w:r w:rsidRPr="001F576E">
        <w:t xml:space="preserve"> Current arrangements for rental bonds are legislated and regulated through the </w:t>
      </w:r>
      <w:r w:rsidR="008F2797">
        <w:t xml:space="preserve">existing </w:t>
      </w:r>
      <w:r w:rsidRPr="001F576E">
        <w:t xml:space="preserve">RT Act and </w:t>
      </w:r>
      <w:r w:rsidR="00C315EC" w:rsidRPr="00EC3EA0">
        <w:t>the Residential Tenancies Regulations 2021</w:t>
      </w:r>
      <w:r w:rsidRPr="001F576E">
        <w:t>.</w:t>
      </w:r>
      <w:r w:rsidR="000C54AD">
        <w:t xml:space="preserve"> </w:t>
      </w:r>
    </w:p>
    <w:p w14:paraId="224F79C6" w14:textId="09D6F0DF" w:rsidR="00EC3EA0" w:rsidRPr="001F576E" w:rsidRDefault="00EC3EA0" w:rsidP="00EC3EA0">
      <w:pPr>
        <w:pStyle w:val="Body"/>
      </w:pPr>
      <w:r w:rsidRPr="001F576E">
        <w:t>At a high-level, the current arrangements</w:t>
      </w:r>
      <w:r w:rsidR="00851B63">
        <w:t xml:space="preserve"> (</w:t>
      </w:r>
      <w:r w:rsidR="00DA141E">
        <w:t xml:space="preserve">including </w:t>
      </w:r>
      <w:r w:rsidR="00851B63">
        <w:t>legislative, regulatory and administrative</w:t>
      </w:r>
      <w:r w:rsidR="00DA141E">
        <w:t xml:space="preserve"> arrangements</w:t>
      </w:r>
      <w:r w:rsidR="00851B63">
        <w:t>)</w:t>
      </w:r>
      <w:r w:rsidRPr="001F576E">
        <w:t xml:space="preserve"> for rental bonds include:</w:t>
      </w:r>
      <w:r w:rsidR="007E2C39">
        <w:rPr>
          <w:rStyle w:val="FootnoteReference"/>
        </w:rPr>
        <w:footnoteReference w:id="31"/>
      </w:r>
      <w:r w:rsidRPr="001F576E">
        <w:t xml:space="preserve"> </w:t>
      </w:r>
    </w:p>
    <w:p w14:paraId="5DFF7752" w14:textId="41DA9D8C" w:rsidR="00EC3EA0" w:rsidRPr="00EC3EA0" w:rsidRDefault="003A323E" w:rsidP="00EC3EA0">
      <w:pPr>
        <w:pStyle w:val="Body"/>
        <w:numPr>
          <w:ilvl w:val="0"/>
          <w:numId w:val="154"/>
        </w:numPr>
      </w:pPr>
      <w:r>
        <w:t xml:space="preserve">A bond is not mandatory. </w:t>
      </w:r>
      <w:r w:rsidRPr="00EC3EA0">
        <w:t xml:space="preserve">The RT Act and </w:t>
      </w:r>
      <w:r w:rsidR="00C315EC" w:rsidRPr="00EC3EA0">
        <w:t>the Residential Tenancies Regulations 2021</w:t>
      </w:r>
      <w:r w:rsidR="00C315EC">
        <w:t xml:space="preserve"> </w:t>
      </w:r>
      <w:r w:rsidRPr="00EC3EA0">
        <w:t>do not require a provider to request a bond</w:t>
      </w:r>
      <w:r>
        <w:t>. However, a</w:t>
      </w:r>
      <w:r w:rsidR="00EC3EA0" w:rsidRPr="00EC3EA0">
        <w:t>ny renter who signs a rental agreement can be asked to pay a bon</w:t>
      </w:r>
      <w:r>
        <w:t>d</w:t>
      </w:r>
      <w:r w:rsidR="00EC3EA0" w:rsidRPr="00EC3EA0">
        <w:t>.</w:t>
      </w:r>
      <w:r w:rsidR="00EC3EA0" w:rsidRPr="001F576E">
        <w:t xml:space="preserve"> </w:t>
      </w:r>
    </w:p>
    <w:p w14:paraId="2C916F30" w14:textId="38023E83" w:rsidR="00EC3EA0" w:rsidRPr="001F576E" w:rsidRDefault="00390948" w:rsidP="00EC3EA0">
      <w:pPr>
        <w:pStyle w:val="Body"/>
        <w:numPr>
          <w:ilvl w:val="0"/>
          <w:numId w:val="154"/>
        </w:numPr>
      </w:pPr>
      <w:r>
        <w:t xml:space="preserve">There is no </w:t>
      </w:r>
      <w:r w:rsidR="00EC3EA0" w:rsidRPr="00EC3EA0">
        <w:t xml:space="preserve">timeframe for </w:t>
      </w:r>
      <w:r w:rsidR="003A323E">
        <w:t>requesting a bond.</w:t>
      </w:r>
      <w:r w:rsidR="00EC3EA0" w:rsidRPr="00EC3EA0">
        <w:t xml:space="preserve"> </w:t>
      </w:r>
      <w:r w:rsidR="00B01B10">
        <w:t>However,</w:t>
      </w:r>
      <w:r w:rsidR="003A323E">
        <w:t xml:space="preserve"> </w:t>
      </w:r>
      <w:r w:rsidR="00EC3EA0" w:rsidRPr="00EC3EA0">
        <w:t>it is standard practice to request a bond after the</w:t>
      </w:r>
      <w:r w:rsidR="004774D2">
        <w:t xml:space="preserve"> rental</w:t>
      </w:r>
      <w:r w:rsidR="00EC3EA0" w:rsidRPr="00EC3EA0">
        <w:t xml:space="preserve"> agreement is signed and before the renter moves in.</w:t>
      </w:r>
    </w:p>
    <w:p w14:paraId="55AF67B2" w14:textId="3BB8BC39" w:rsidR="009859EE" w:rsidRPr="00EC3EA0" w:rsidRDefault="009859EE" w:rsidP="009859EE">
      <w:pPr>
        <w:pStyle w:val="DJCStabletext"/>
        <w:numPr>
          <w:ilvl w:val="0"/>
          <w:numId w:val="154"/>
        </w:numPr>
        <w:jc w:val="both"/>
      </w:pPr>
      <w:r w:rsidRPr="00F437ED">
        <w:t>Maximum bond amounts</w:t>
      </w:r>
      <w:r w:rsidR="00EF77F8">
        <w:t xml:space="preserve"> often</w:t>
      </w:r>
      <w:r w:rsidRPr="00F437ED">
        <w:t xml:space="preserve"> apply. If the weekly rent is less than $900 per week, the bond amount must not be more than one month of rent.</w:t>
      </w:r>
      <w:r w:rsidRPr="00F437ED">
        <w:rPr>
          <w:rStyle w:val="FootnoteReference"/>
        </w:rPr>
        <w:footnoteReference w:id="32"/>
      </w:r>
      <w:r w:rsidRPr="00F437ED">
        <w:t xml:space="preserve"> </w:t>
      </w:r>
    </w:p>
    <w:p w14:paraId="62635B94" w14:textId="6FD6DEF0" w:rsidR="00EC3EA0" w:rsidRPr="00EC3EA0" w:rsidRDefault="00EC3EA0" w:rsidP="001F576E">
      <w:pPr>
        <w:pStyle w:val="DJCStablebullet1"/>
        <w:numPr>
          <w:ilvl w:val="0"/>
          <w:numId w:val="155"/>
        </w:numPr>
        <w:tabs>
          <w:tab w:val="num" w:pos="1566"/>
        </w:tabs>
        <w:ind w:left="369"/>
        <w:jc w:val="both"/>
      </w:pPr>
      <w:r w:rsidRPr="001F576E">
        <w:t xml:space="preserve">Renters can pay the bond by paying the rental provider, who then pays the amount to the RTBA during the bond lodgement. </w:t>
      </w:r>
      <w:r w:rsidR="008437A5" w:rsidRPr="00FC3C5A">
        <w:t>The rental provider must lodge the bond with the Residential Tenancies Bond Authority (RTBA) within 10 business days of receiving payment.</w:t>
      </w:r>
      <w:r w:rsidR="008437A5" w:rsidRPr="00FC3C5A">
        <w:rPr>
          <w:rStyle w:val="FootnoteReference"/>
        </w:rPr>
        <w:footnoteReference w:id="33"/>
      </w:r>
      <w:r w:rsidR="008437A5">
        <w:t xml:space="preserve"> </w:t>
      </w:r>
      <w:r w:rsidRPr="001F576E">
        <w:t>Alternatively, renters can pay the RTBA directly during the bond lodgement.</w:t>
      </w:r>
    </w:p>
    <w:p w14:paraId="189AE114" w14:textId="3E9E7C4F" w:rsidR="00EE6942" w:rsidRDefault="00EC3EA0" w:rsidP="001F576E">
      <w:pPr>
        <w:pStyle w:val="Body"/>
        <w:numPr>
          <w:ilvl w:val="0"/>
          <w:numId w:val="154"/>
        </w:numPr>
      </w:pPr>
      <w:r w:rsidRPr="001F576E">
        <w:t xml:space="preserve">If a bond is paid, the </w:t>
      </w:r>
      <w:r w:rsidRPr="00EC3EA0">
        <w:t>rental provider must give the renter a condition report specifying the state of repair and general condition of the premises.</w:t>
      </w:r>
      <w:r w:rsidR="00381469">
        <w:t xml:space="preserve"> </w:t>
      </w:r>
      <w:r w:rsidR="00C45898">
        <w:t>This report</w:t>
      </w:r>
      <w:r w:rsidR="00381469" w:rsidRPr="00381469">
        <w:t xml:space="preserve"> is used to compare the condition of the property at the beginning of the rental agreement to the end.</w:t>
      </w:r>
    </w:p>
    <w:p w14:paraId="01D49411" w14:textId="36ACF084" w:rsidR="00EC7794" w:rsidRDefault="00132313" w:rsidP="00DF5D06">
      <w:pPr>
        <w:pStyle w:val="DJCStablebullet1"/>
        <w:numPr>
          <w:ilvl w:val="0"/>
          <w:numId w:val="154"/>
        </w:numPr>
        <w:jc w:val="both"/>
      </w:pPr>
      <w:r>
        <w:t>The bond</w:t>
      </w:r>
      <w:r w:rsidR="00411784" w:rsidRPr="00411784">
        <w:t xml:space="preserve"> is returned to renters when they move out at the end of the</w:t>
      </w:r>
      <w:r w:rsidR="004774D2">
        <w:t xml:space="preserve"> rental</w:t>
      </w:r>
      <w:r w:rsidR="00411784" w:rsidRPr="00411784">
        <w:t> agreement, unless there is a reason for the rental provider to claim some or all of the bond</w:t>
      </w:r>
      <w:r w:rsidR="00275C87">
        <w:t xml:space="preserve">. These reasons could include </w:t>
      </w:r>
      <w:r w:rsidR="00F92506">
        <w:t>damage</w:t>
      </w:r>
      <w:r w:rsidR="00275C87">
        <w:t xml:space="preserve"> to the property (beyond fair </w:t>
      </w:r>
      <w:r w:rsidR="00EC60BD">
        <w:t>wear and tear)</w:t>
      </w:r>
      <w:r w:rsidR="00F92506">
        <w:t xml:space="preserve">, </w:t>
      </w:r>
      <w:r w:rsidR="00EC60BD">
        <w:t xml:space="preserve">if </w:t>
      </w:r>
      <w:r w:rsidR="00275C87">
        <w:t xml:space="preserve">rent </w:t>
      </w:r>
      <w:r w:rsidR="00EC60BD">
        <w:t xml:space="preserve">is </w:t>
      </w:r>
      <w:r w:rsidR="00275C87">
        <w:t xml:space="preserve">owed </w:t>
      </w:r>
      <w:r w:rsidR="00EC60BD">
        <w:t>after the rental agreement has ended</w:t>
      </w:r>
      <w:r w:rsidR="00275C87">
        <w:t xml:space="preserve">, </w:t>
      </w:r>
      <w:r w:rsidR="006421DB">
        <w:t xml:space="preserve">if the property is not </w:t>
      </w:r>
      <w:r w:rsidR="0015065A">
        <w:t xml:space="preserve">left reasonably clean, </w:t>
      </w:r>
      <w:r w:rsidR="00954308">
        <w:t xml:space="preserve">if there are </w:t>
      </w:r>
      <w:r w:rsidR="00717118">
        <w:t xml:space="preserve">missing items, </w:t>
      </w:r>
      <w:r w:rsidR="00954308">
        <w:t xml:space="preserve">or if </w:t>
      </w:r>
      <w:r w:rsidR="00717118">
        <w:t xml:space="preserve">certain </w:t>
      </w:r>
      <w:r w:rsidR="00954308">
        <w:t>changes</w:t>
      </w:r>
      <w:r w:rsidR="00717118">
        <w:t xml:space="preserve"> </w:t>
      </w:r>
      <w:r w:rsidR="00954308">
        <w:t xml:space="preserve">were made </w:t>
      </w:r>
      <w:r w:rsidR="00717118">
        <w:t>to the property</w:t>
      </w:r>
      <w:r w:rsidR="00954308">
        <w:t xml:space="preserve"> without permission</w:t>
      </w:r>
      <w:r w:rsidR="00411784" w:rsidRPr="00411784">
        <w:t>.</w:t>
      </w:r>
    </w:p>
    <w:p w14:paraId="53533E56" w14:textId="77777777" w:rsidR="00F72696" w:rsidRDefault="009B56B3" w:rsidP="00F72696">
      <w:pPr>
        <w:pStyle w:val="DJCStablebullet1"/>
        <w:numPr>
          <w:ilvl w:val="0"/>
          <w:numId w:val="154"/>
        </w:numPr>
        <w:jc w:val="both"/>
      </w:pPr>
      <w:r>
        <w:t xml:space="preserve">The RTBA only repays a bond when there is agreement between the rental provider and renter(s) on how it should be repaid. </w:t>
      </w:r>
      <w:r w:rsidR="00F72696">
        <w:t xml:space="preserve">This is done through a </w:t>
      </w:r>
      <w:r w:rsidR="00F72696" w:rsidRPr="00411784">
        <w:t>bond claim</w:t>
      </w:r>
      <w:r w:rsidR="00F72696">
        <w:t>, which</w:t>
      </w:r>
      <w:r w:rsidR="00F72696" w:rsidRPr="00411784">
        <w:t xml:space="preserve"> is a form which tells the RTBA how a bond should be repaid. </w:t>
      </w:r>
    </w:p>
    <w:p w14:paraId="1FABA144" w14:textId="3386ADE2" w:rsidR="00F72696" w:rsidRDefault="00EC7794" w:rsidP="00241A68">
      <w:pPr>
        <w:pStyle w:val="DJCStablebullet1"/>
        <w:numPr>
          <w:ilvl w:val="0"/>
          <w:numId w:val="154"/>
        </w:numPr>
        <w:jc w:val="both"/>
      </w:pPr>
      <w:r>
        <w:t>If</w:t>
      </w:r>
      <w:r w:rsidR="0045732B">
        <w:t xml:space="preserve"> </w:t>
      </w:r>
      <w:r>
        <w:t>agreement cannot be reached, rente</w:t>
      </w:r>
      <w:r w:rsidR="001B21E3">
        <w:t>rs or the rental provider can apply to Rental Dispute Resolution Victoria (RDRV) for help to reach</w:t>
      </w:r>
      <w:r w:rsidR="0045732B">
        <w:t xml:space="preserve"> </w:t>
      </w:r>
      <w:r w:rsidR="001B21E3">
        <w:t xml:space="preserve">agreement. </w:t>
      </w:r>
      <w:r w:rsidR="00D60365">
        <w:t xml:space="preserve">Victorian Civil and Administrative Tribunal (VCAT) may also </w:t>
      </w:r>
      <w:r w:rsidR="00BC6304">
        <w:t>decide</w:t>
      </w:r>
      <w:r w:rsidR="000B503D">
        <w:t xml:space="preserve"> </w:t>
      </w:r>
      <w:r w:rsidR="00BC6304">
        <w:t>the outcome of</w:t>
      </w:r>
      <w:r w:rsidR="000B503D">
        <w:t xml:space="preserve"> the bond claim. </w:t>
      </w:r>
    </w:p>
    <w:p w14:paraId="78C0EAE3" w14:textId="50C98AA5" w:rsidR="00EC3EA0" w:rsidRPr="00EC3EA0" w:rsidRDefault="00EC3EA0" w:rsidP="00EC3EA0">
      <w:pPr>
        <w:pStyle w:val="DJCStabletext"/>
        <w:jc w:val="both"/>
      </w:pPr>
      <w:r w:rsidRPr="00EC3EA0">
        <w:t xml:space="preserve">More broadly, there have been </w:t>
      </w:r>
      <w:r w:rsidR="00BC6304" w:rsidRPr="00EC3EA0">
        <w:t>several</w:t>
      </w:r>
      <w:r w:rsidR="002062F5">
        <w:t xml:space="preserve"> other</w:t>
      </w:r>
      <w:r w:rsidRPr="00EC3EA0">
        <w:t xml:space="preserve"> legislative and regulatory reforms that aim to improve equity and safety of the rental market. These reforms have included:</w:t>
      </w:r>
    </w:p>
    <w:p w14:paraId="1BFFF68F" w14:textId="77777777" w:rsidR="00EC3EA0" w:rsidRPr="00EC3EA0" w:rsidRDefault="00EC3EA0" w:rsidP="00EC3EA0">
      <w:pPr>
        <w:pStyle w:val="DJCStabletext"/>
        <w:numPr>
          <w:ilvl w:val="0"/>
          <w:numId w:val="154"/>
        </w:numPr>
        <w:jc w:val="both"/>
      </w:pPr>
      <w:r w:rsidRPr="001F576E">
        <w:t>Limiting reasons that can be cited by rental providers to end tenancies.</w:t>
      </w:r>
      <w:r w:rsidRPr="001F576E">
        <w:rPr>
          <w:rStyle w:val="FootnoteReference"/>
        </w:rPr>
        <w:footnoteReference w:id="34"/>
      </w:r>
    </w:p>
    <w:p w14:paraId="45A29B99" w14:textId="77777777" w:rsidR="00EC3EA0" w:rsidRPr="001F576E" w:rsidRDefault="00EC3EA0" w:rsidP="00EC3EA0">
      <w:pPr>
        <w:pStyle w:val="DJCStablebullet1"/>
        <w:numPr>
          <w:ilvl w:val="0"/>
          <w:numId w:val="154"/>
        </w:numPr>
        <w:jc w:val="both"/>
      </w:pPr>
      <w:r w:rsidRPr="001F576E">
        <w:t>Prohibiting certain information requests by rental providers, including that the rental provider must not require rental applicants to disclose their rental bond or claim history.</w:t>
      </w:r>
    </w:p>
    <w:p w14:paraId="0A3819A6" w14:textId="77777777" w:rsidR="00EC3EA0" w:rsidRPr="001F576E" w:rsidRDefault="00EC3EA0" w:rsidP="00EC3EA0">
      <w:pPr>
        <w:pStyle w:val="DJCStablebullet1"/>
        <w:numPr>
          <w:ilvl w:val="0"/>
          <w:numId w:val="154"/>
        </w:numPr>
        <w:jc w:val="both"/>
      </w:pPr>
      <w:r w:rsidRPr="001F576E">
        <w:t>Mandating reporting requirements for the condition of the rental property by the landlord.</w:t>
      </w:r>
    </w:p>
    <w:p w14:paraId="3B927A36" w14:textId="5ED8CA16" w:rsidR="00EC3EA0" w:rsidRDefault="00EC3EA0" w:rsidP="00EC3EA0">
      <w:pPr>
        <w:pStyle w:val="DJCStablebullet1"/>
        <w:numPr>
          <w:ilvl w:val="0"/>
          <w:numId w:val="154"/>
        </w:numPr>
        <w:jc w:val="both"/>
      </w:pPr>
      <w:r w:rsidRPr="001F576E">
        <w:lastRenderedPageBreak/>
        <w:t xml:space="preserve">Changing the allowable property modifications which can be made by </w:t>
      </w:r>
      <w:r w:rsidR="0097338F">
        <w:t>renters</w:t>
      </w:r>
      <w:r w:rsidRPr="001F576E">
        <w:t>.</w:t>
      </w:r>
    </w:p>
    <w:p w14:paraId="07915F65" w14:textId="3BEAD8F8" w:rsidR="00A26C3F" w:rsidRPr="00915C26" w:rsidRDefault="00EC3EA0" w:rsidP="001F576E">
      <w:pPr>
        <w:pStyle w:val="DJCStablebullet1"/>
        <w:numPr>
          <w:ilvl w:val="0"/>
          <w:numId w:val="154"/>
        </w:numPr>
        <w:jc w:val="both"/>
      </w:pPr>
      <w:r w:rsidRPr="00EC3EA0">
        <w:t>Maintaining safety-related checks and expanding the definition of urgent property repairs to be carried out by rental providers.</w:t>
      </w:r>
      <w:r w:rsidRPr="001F576E">
        <w:rPr>
          <w:b/>
          <w:bCs/>
        </w:rPr>
        <w:t xml:space="preserve"> </w:t>
      </w:r>
      <w:r w:rsidRPr="00EC3EA0">
        <w:rPr>
          <w:bCs/>
        </w:rPr>
        <w:t xml:space="preserve"> </w:t>
      </w:r>
      <w:r w:rsidR="00A26C3F" w:rsidRPr="00915C26">
        <w:br w:type="page"/>
      </w:r>
    </w:p>
    <w:p w14:paraId="6F054C80" w14:textId="77777777" w:rsidR="00A26C3F" w:rsidRPr="000F65FE" w:rsidRDefault="00A26C3F" w:rsidP="00A26C3F">
      <w:pPr>
        <w:pStyle w:val="Heading2"/>
        <w:ind w:left="340"/>
        <w:jc w:val="both"/>
      </w:pPr>
      <w:bookmarkStart w:id="15" w:name="_Toc221890888"/>
      <w:r w:rsidRPr="000F65FE">
        <w:lastRenderedPageBreak/>
        <w:t>Regulatory approaches in other Australian jurisdictions</w:t>
      </w:r>
      <w:bookmarkEnd w:id="15"/>
    </w:p>
    <w:p w14:paraId="3954CE26" w14:textId="10F20747" w:rsidR="00A26C3F" w:rsidRDefault="00A26C3F" w:rsidP="00A26C3F">
      <w:pPr>
        <w:pStyle w:val="DJCSbody"/>
        <w:ind w:left="0"/>
        <w:rPr>
          <w:i/>
          <w:iCs/>
        </w:rPr>
      </w:pPr>
      <w:r w:rsidRPr="00F17481">
        <w:t xml:space="preserve">At present, New South Wales and Queensland are actively developing </w:t>
      </w:r>
      <w:r w:rsidRPr="00EA65ED">
        <w:t xml:space="preserve">portable rental bond schemes, which remain in the planning stages and are not yet operational. Other states do not offer these schemes but </w:t>
      </w:r>
      <w:r w:rsidR="00395F4D">
        <w:t xml:space="preserve">there are </w:t>
      </w:r>
      <w:r w:rsidRPr="00EA65ED">
        <w:t xml:space="preserve">various forms of rental bond financial assistance </w:t>
      </w:r>
      <w:r w:rsidR="00AF3E83">
        <w:t xml:space="preserve">available </w:t>
      </w:r>
      <w:r w:rsidRPr="00EA65ED">
        <w:t>which are summarised in the table below</w:t>
      </w:r>
      <w:r w:rsidRPr="00F17481">
        <w:rPr>
          <w:i/>
          <w:iCs/>
        </w:rPr>
        <w:t>.</w:t>
      </w:r>
    </w:p>
    <w:p w14:paraId="05756731" w14:textId="264E2041" w:rsidR="00A26C3F" w:rsidRPr="000F65FE" w:rsidRDefault="009B3366" w:rsidP="00276AB2">
      <w:pPr>
        <w:pStyle w:val="Caption"/>
      </w:pPr>
      <w:r>
        <w:t xml:space="preserve">Table </w:t>
      </w:r>
      <w:r>
        <w:fldChar w:fldCharType="begin"/>
      </w:r>
      <w:r>
        <w:instrText>SEQ Table \* ARABIC</w:instrText>
      </w:r>
      <w:r>
        <w:fldChar w:fldCharType="separate"/>
      </w:r>
      <w:r w:rsidR="00A50199">
        <w:rPr>
          <w:noProof/>
        </w:rPr>
        <w:t>5</w:t>
      </w:r>
      <w:r>
        <w:fldChar w:fldCharType="end"/>
      </w:r>
      <w:r w:rsidRPr="000F65FE">
        <w:t xml:space="preserve">: </w:t>
      </w:r>
      <w:r>
        <w:t>Bond</w:t>
      </w:r>
      <w:r w:rsidRPr="000F65FE">
        <w:t xml:space="preserve"> </w:t>
      </w:r>
      <w:r>
        <w:t xml:space="preserve">assistance </w:t>
      </w:r>
      <w:r w:rsidRPr="000F65FE">
        <w:t>schemes in place in Australia</w:t>
      </w:r>
    </w:p>
    <w:p w14:paraId="70A488D4" w14:textId="77777777" w:rsidR="00933F49" w:rsidRPr="00B47DEC" w:rsidRDefault="00933F49" w:rsidP="00933F49">
      <w:pPr>
        <w:rPr>
          <w:rFonts w:asciiTheme="majorHAnsi" w:hAnsiTheme="majorHAnsi" w:cstheme="majorHAnsi"/>
        </w:rPr>
      </w:pPr>
      <w:r w:rsidRPr="00B47DEC">
        <w:rPr>
          <w:rFonts w:asciiTheme="majorHAnsi" w:hAnsiTheme="majorHAnsi" w:cstheme="majorHAnsi"/>
        </w:rPr>
        <w:t>Program development in progress within the specified state</w:t>
      </w:r>
    </w:p>
    <w:p w14:paraId="73222712" w14:textId="77777777" w:rsidR="00933F49" w:rsidRPr="00B47DEC" w:rsidRDefault="00933F49" w:rsidP="00933F49">
      <w:pPr>
        <w:rPr>
          <w:rFonts w:asciiTheme="majorHAnsi" w:hAnsiTheme="majorHAnsi" w:cstheme="majorHAnsi"/>
        </w:rPr>
      </w:pPr>
      <w:r w:rsidRPr="00B47DEC">
        <w:rPr>
          <w:rFonts w:asciiTheme="majorHAnsi" w:hAnsiTheme="majorHAnsi" w:cstheme="majorHAnsi"/>
          <w:noProof/>
        </w:rPr>
        <w:drawing>
          <wp:anchor distT="0" distB="0" distL="114300" distR="114300" simplePos="0" relativeHeight="251658241" behindDoc="1" locked="0" layoutInCell="1" allowOverlap="1" wp14:anchorId="642FEB54" wp14:editId="1D63F14D">
            <wp:simplePos x="0" y="0"/>
            <wp:positionH relativeFrom="column">
              <wp:posOffset>27997</wp:posOffset>
            </wp:positionH>
            <wp:positionV relativeFrom="paragraph">
              <wp:posOffset>138430</wp:posOffset>
            </wp:positionV>
            <wp:extent cx="190500" cy="190500"/>
            <wp:effectExtent l="0" t="0" r="0" b="0"/>
            <wp:wrapTight wrapText="bothSides">
              <wp:wrapPolygon edited="0">
                <wp:start x="12960" y="0"/>
                <wp:lineTo x="0" y="8640"/>
                <wp:lineTo x="0" y="12960"/>
                <wp:lineTo x="2160" y="19440"/>
                <wp:lineTo x="10800" y="19440"/>
                <wp:lineTo x="19440" y="8640"/>
                <wp:lineTo x="19440" y="0"/>
                <wp:lineTo x="12960" y="0"/>
              </wp:wrapPolygon>
            </wp:wrapTight>
            <wp:docPr id="657278885"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p>
    <w:p w14:paraId="0041D9B3" w14:textId="77777777" w:rsidR="00933F49" w:rsidRDefault="00933F49" w:rsidP="00933F49">
      <w:pPr>
        <w:rPr>
          <w:rFonts w:asciiTheme="majorHAnsi" w:hAnsiTheme="majorHAnsi" w:cstheme="majorHAnsi"/>
        </w:rPr>
      </w:pPr>
      <w:r w:rsidRPr="00B47DEC">
        <w:rPr>
          <w:rFonts w:asciiTheme="majorHAnsi" w:hAnsiTheme="majorHAnsi" w:cstheme="majorHAnsi"/>
        </w:rPr>
        <w:t xml:space="preserve">  Program is currently active within the specified state</w:t>
      </w:r>
    </w:p>
    <w:p w14:paraId="79495AC0" w14:textId="77777777" w:rsidR="00933F49" w:rsidRDefault="00933F49" w:rsidP="00933F49">
      <w:pPr>
        <w:rPr>
          <w:rFonts w:asciiTheme="majorHAnsi" w:hAnsiTheme="majorHAnsi" w:cstheme="majorHAnsi"/>
        </w:rPr>
      </w:pPr>
      <w:r>
        <w:rPr>
          <w:noProof/>
        </w:rPr>
        <w:drawing>
          <wp:anchor distT="0" distB="0" distL="114300" distR="114300" simplePos="0" relativeHeight="251658242" behindDoc="1" locked="0" layoutInCell="1" allowOverlap="1" wp14:anchorId="1E2CCD26" wp14:editId="37C6EACB">
            <wp:simplePos x="0" y="0"/>
            <wp:positionH relativeFrom="margin">
              <wp:posOffset>-635</wp:posOffset>
            </wp:positionH>
            <wp:positionV relativeFrom="paragraph">
              <wp:posOffset>92892</wp:posOffset>
            </wp:positionV>
            <wp:extent cx="286385" cy="286385"/>
            <wp:effectExtent l="0" t="0" r="0" b="0"/>
            <wp:wrapTight wrapText="bothSides">
              <wp:wrapPolygon edited="0">
                <wp:start x="4310" y="0"/>
                <wp:lineTo x="0" y="5747"/>
                <wp:lineTo x="0" y="12931"/>
                <wp:lineTo x="5747" y="20115"/>
                <wp:lineTo x="15805" y="20115"/>
                <wp:lineTo x="20115" y="12931"/>
                <wp:lineTo x="20115" y="7184"/>
                <wp:lineTo x="14368" y="0"/>
                <wp:lineTo x="4310" y="0"/>
              </wp:wrapPolygon>
            </wp:wrapTight>
            <wp:docPr id="409125787" name="Graphic 3"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2372" name="Graphic 1809672372" descr="Clock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286385" cy="286385"/>
                    </a:xfrm>
                    <a:prstGeom prst="rect">
                      <a:avLst/>
                    </a:prstGeom>
                  </pic:spPr>
                </pic:pic>
              </a:graphicData>
            </a:graphic>
            <wp14:sizeRelH relativeFrom="page">
              <wp14:pctWidth>0</wp14:pctWidth>
            </wp14:sizeRelH>
            <wp14:sizeRelV relativeFrom="page">
              <wp14:pctHeight>0</wp14:pctHeight>
            </wp14:sizeRelV>
          </wp:anchor>
        </w:drawing>
      </w:r>
    </w:p>
    <w:p w14:paraId="0E2B76D5" w14:textId="77777777" w:rsidR="00933F49" w:rsidRPr="00B47DEC" w:rsidRDefault="00933F49" w:rsidP="00933F49">
      <w:pPr>
        <w:rPr>
          <w:rFonts w:asciiTheme="majorHAnsi" w:hAnsiTheme="majorHAnsi" w:cstheme="majorHAnsi"/>
        </w:rPr>
      </w:pPr>
      <w:r>
        <w:rPr>
          <w:rFonts w:asciiTheme="majorHAnsi" w:hAnsiTheme="majorHAnsi" w:cstheme="majorHAnsi"/>
        </w:rPr>
        <w:t>Program is in development but not currently active</w:t>
      </w:r>
    </w:p>
    <w:p w14:paraId="347A8DA4" w14:textId="77777777" w:rsidR="00933F49" w:rsidRPr="00B47DEC" w:rsidRDefault="00933F49" w:rsidP="00933F49">
      <w:pPr>
        <w:rPr>
          <w:rFonts w:asciiTheme="majorHAnsi" w:hAnsiTheme="majorHAnsi" w:cstheme="majorHAnsi"/>
        </w:rPr>
      </w:pPr>
      <w:r w:rsidRPr="00B47DEC">
        <w:rPr>
          <w:rFonts w:asciiTheme="majorHAnsi" w:hAnsiTheme="majorHAnsi" w:cstheme="majorHAnsi"/>
          <w:noProof/>
        </w:rPr>
        <w:drawing>
          <wp:anchor distT="0" distB="0" distL="114300" distR="114300" simplePos="0" relativeHeight="251658244" behindDoc="1" locked="0" layoutInCell="1" allowOverlap="1" wp14:anchorId="652A4C3B" wp14:editId="22BB4F26">
            <wp:simplePos x="0" y="0"/>
            <wp:positionH relativeFrom="column">
              <wp:posOffset>45720</wp:posOffset>
            </wp:positionH>
            <wp:positionV relativeFrom="paragraph">
              <wp:posOffset>137160</wp:posOffset>
            </wp:positionV>
            <wp:extent cx="180975" cy="180975"/>
            <wp:effectExtent l="0" t="0" r="9525" b="9525"/>
            <wp:wrapTight wrapText="bothSides">
              <wp:wrapPolygon edited="0">
                <wp:start x="0" y="0"/>
                <wp:lineTo x="0" y="20463"/>
                <wp:lineTo x="20463" y="20463"/>
                <wp:lineTo x="20463" y="0"/>
                <wp:lineTo x="0" y="0"/>
              </wp:wrapPolygon>
            </wp:wrapTight>
            <wp:docPr id="971973588"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14:sizeRelH relativeFrom="page">
              <wp14:pctWidth>0</wp14:pctWidth>
            </wp14:sizeRelH>
            <wp14:sizeRelV relativeFrom="page">
              <wp14:pctHeight>0</wp14:pctHeight>
            </wp14:sizeRelV>
          </wp:anchor>
        </w:drawing>
      </w:r>
    </w:p>
    <w:p w14:paraId="5C989243" w14:textId="5D94E4C1" w:rsidR="00933F49" w:rsidRPr="00B47DEC" w:rsidRDefault="00933F49" w:rsidP="00933F49">
      <w:pPr>
        <w:rPr>
          <w:rFonts w:asciiTheme="majorHAnsi" w:hAnsiTheme="majorHAnsi" w:cstheme="majorHAnsi"/>
        </w:rPr>
      </w:pPr>
      <w:r w:rsidRPr="00B47DEC">
        <w:rPr>
          <w:rFonts w:asciiTheme="majorHAnsi" w:hAnsiTheme="majorHAnsi" w:cstheme="majorHAnsi"/>
        </w:rPr>
        <w:t xml:space="preserve">  Program is not available within the specified state</w:t>
      </w:r>
    </w:p>
    <w:p w14:paraId="38E6284B" w14:textId="77777777" w:rsidR="00933F49" w:rsidRPr="00933F49" w:rsidRDefault="00933F49" w:rsidP="001F576E"/>
    <w:tbl>
      <w:tblPr>
        <w:tblStyle w:val="ListTable3-Accent3"/>
        <w:tblpPr w:leftFromText="180" w:rightFromText="180" w:vertAnchor="text" w:tblpY="1"/>
        <w:tblW w:w="5000" w:type="pct"/>
        <w:tblLayout w:type="fixed"/>
        <w:tblLook w:val="04A0" w:firstRow="1" w:lastRow="0" w:firstColumn="1" w:lastColumn="0" w:noHBand="0" w:noVBand="1"/>
      </w:tblPr>
      <w:tblGrid>
        <w:gridCol w:w="3795"/>
        <w:gridCol w:w="1673"/>
        <w:gridCol w:w="1675"/>
        <w:gridCol w:w="1675"/>
        <w:gridCol w:w="1662"/>
      </w:tblGrid>
      <w:tr w:rsidR="00A26C3F" w:rsidRPr="000F65FE" w14:paraId="5E582CCA" w14:textId="77777777" w:rsidTr="001F576E">
        <w:trPr>
          <w:cnfStyle w:val="100000000000" w:firstRow="1" w:lastRow="0" w:firstColumn="0" w:lastColumn="0" w:oddVBand="0" w:evenVBand="0" w:oddHBand="0" w:evenHBand="0" w:firstRowFirstColumn="0" w:firstRowLastColumn="0" w:lastRowFirstColumn="0" w:lastRowLastColumn="0"/>
          <w:trHeight w:val="177"/>
          <w:tblHeader/>
        </w:trPr>
        <w:tc>
          <w:tcPr>
            <w:cnfStyle w:val="001000000100" w:firstRow="0" w:lastRow="0" w:firstColumn="1" w:lastColumn="0" w:oddVBand="0" w:evenVBand="0" w:oddHBand="0" w:evenHBand="0" w:firstRowFirstColumn="1" w:firstRowLastColumn="0" w:lastRowFirstColumn="0" w:lastRowLastColumn="0"/>
            <w:tcW w:w="0" w:type="pct"/>
            <w:tcBorders>
              <w:right w:val="single" w:sz="4" w:space="0" w:color="auto"/>
            </w:tcBorders>
          </w:tcPr>
          <w:p w14:paraId="04047F0C" w14:textId="77777777" w:rsidR="00A26C3F" w:rsidRPr="006D10EB" w:rsidRDefault="00A26C3F">
            <w:pPr>
              <w:pStyle w:val="TableHeading2"/>
              <w:jc w:val="center"/>
              <w:rPr>
                <w:b/>
                <w:bCs/>
              </w:rPr>
            </w:pPr>
            <w:r w:rsidRPr="006D10EB">
              <w:rPr>
                <w:b/>
                <w:bCs/>
              </w:rPr>
              <w:t>State or Territory</w:t>
            </w:r>
          </w:p>
        </w:tc>
        <w:tc>
          <w:tcPr>
            <w:tcW w:w="0" w:type="pct"/>
            <w:tcBorders>
              <w:top w:val="single" w:sz="4" w:space="0" w:color="auto"/>
              <w:left w:val="single" w:sz="4" w:space="0" w:color="auto"/>
              <w:bottom w:val="single" w:sz="4" w:space="0" w:color="auto"/>
              <w:right w:val="single" w:sz="4" w:space="0" w:color="auto"/>
            </w:tcBorders>
          </w:tcPr>
          <w:p w14:paraId="3B8AA456" w14:textId="77777777" w:rsidR="00A26C3F" w:rsidRPr="00677856" w:rsidRDefault="00A26C3F">
            <w:pPr>
              <w:pStyle w:val="TableHeading2"/>
              <w:jc w:val="center"/>
              <w:cnfStyle w:val="100000000000" w:firstRow="1" w:lastRow="0" w:firstColumn="0" w:lastColumn="0" w:oddVBand="0" w:evenVBand="0" w:oddHBand="0" w:evenHBand="0" w:firstRowFirstColumn="0" w:firstRowLastColumn="0" w:lastRowFirstColumn="0" w:lastRowLastColumn="0"/>
            </w:pPr>
            <w:r w:rsidRPr="006D10EB">
              <w:rPr>
                <w:b/>
                <w:bCs/>
              </w:rPr>
              <w:t>Portable Rental Bond Scheme</w:t>
            </w:r>
            <w:r>
              <w:rPr>
                <w:b/>
                <w:bCs/>
              </w:rPr>
              <w:t>s</w:t>
            </w:r>
          </w:p>
        </w:tc>
        <w:tc>
          <w:tcPr>
            <w:tcW w:w="0" w:type="pct"/>
            <w:tcBorders>
              <w:top w:val="single" w:sz="4" w:space="0" w:color="auto"/>
              <w:left w:val="single" w:sz="4" w:space="0" w:color="auto"/>
              <w:bottom w:val="single" w:sz="4" w:space="0" w:color="auto"/>
              <w:right w:val="single" w:sz="4" w:space="0" w:color="auto"/>
            </w:tcBorders>
          </w:tcPr>
          <w:p w14:paraId="50CF3AD4" w14:textId="77777777" w:rsidR="00A26C3F" w:rsidRPr="006D10EB" w:rsidRDefault="00A26C3F">
            <w:pPr>
              <w:pStyle w:val="TableHeading2"/>
              <w:jc w:val="center"/>
              <w:cnfStyle w:val="100000000000" w:firstRow="1" w:lastRow="0" w:firstColumn="0" w:lastColumn="0" w:oddVBand="0" w:evenVBand="0" w:oddHBand="0" w:evenHBand="0" w:firstRowFirstColumn="0" w:firstRowLastColumn="0" w:lastRowFirstColumn="0" w:lastRowLastColumn="0"/>
              <w:rPr>
                <w:b/>
                <w:bCs/>
              </w:rPr>
            </w:pPr>
            <w:r>
              <w:rPr>
                <w:b/>
                <w:bCs/>
              </w:rPr>
              <w:t>Rental</w:t>
            </w:r>
            <w:r w:rsidRPr="006D10EB">
              <w:rPr>
                <w:b/>
                <w:bCs/>
              </w:rPr>
              <w:t xml:space="preserve"> bond loans</w:t>
            </w:r>
            <w:r>
              <w:rPr>
                <w:b/>
                <w:bCs/>
              </w:rPr>
              <w:t xml:space="preserve"> (various)</w:t>
            </w:r>
          </w:p>
        </w:tc>
        <w:tc>
          <w:tcPr>
            <w:tcW w:w="0" w:type="pct"/>
            <w:tcBorders>
              <w:top w:val="single" w:sz="4" w:space="0" w:color="auto"/>
              <w:left w:val="single" w:sz="4" w:space="0" w:color="auto"/>
              <w:bottom w:val="single" w:sz="4" w:space="0" w:color="auto"/>
              <w:right w:val="single" w:sz="4" w:space="0" w:color="auto"/>
            </w:tcBorders>
          </w:tcPr>
          <w:p w14:paraId="3910AAB6" w14:textId="77777777" w:rsidR="00A26C3F" w:rsidRPr="006D10EB" w:rsidRDefault="00A26C3F">
            <w:pPr>
              <w:pStyle w:val="TableHeading2"/>
              <w:jc w:val="center"/>
              <w:cnfStyle w:val="100000000000" w:firstRow="1" w:lastRow="0" w:firstColumn="0" w:lastColumn="0" w:oddVBand="0" w:evenVBand="0" w:oddHBand="0" w:evenHBand="0" w:firstRowFirstColumn="0" w:firstRowLastColumn="0" w:lastRowFirstColumn="0" w:lastRowLastColumn="0"/>
              <w:rPr>
                <w:b/>
                <w:bCs/>
              </w:rPr>
            </w:pPr>
            <w:r w:rsidRPr="006D10EB">
              <w:rPr>
                <w:b/>
                <w:bCs/>
              </w:rPr>
              <w:t>Bond guarantees</w:t>
            </w:r>
          </w:p>
        </w:tc>
        <w:tc>
          <w:tcPr>
            <w:tcW w:w="0" w:type="pct"/>
            <w:tcBorders>
              <w:top w:val="single" w:sz="4" w:space="0" w:color="auto"/>
              <w:left w:val="single" w:sz="4" w:space="0" w:color="auto"/>
              <w:bottom w:val="single" w:sz="4" w:space="0" w:color="auto"/>
              <w:right w:val="single" w:sz="4" w:space="0" w:color="auto"/>
            </w:tcBorders>
          </w:tcPr>
          <w:p w14:paraId="4F71DDD6" w14:textId="4C4F4915" w:rsidR="00A26C3F" w:rsidRPr="006D10EB" w:rsidRDefault="00F65033">
            <w:pPr>
              <w:pStyle w:val="TableHeading2"/>
              <w:jc w:val="center"/>
              <w:cnfStyle w:val="100000000000" w:firstRow="1" w:lastRow="0" w:firstColumn="0" w:lastColumn="0" w:oddVBand="0" w:evenVBand="0" w:oddHBand="0" w:evenHBand="0" w:firstRowFirstColumn="0" w:firstRowLastColumn="0" w:lastRowFirstColumn="0" w:lastRowLastColumn="0"/>
              <w:rPr>
                <w:b/>
                <w:bCs/>
              </w:rPr>
            </w:pPr>
            <w:r>
              <w:rPr>
                <w:b/>
                <w:bCs/>
              </w:rPr>
              <w:t>Rent and rental bond grants</w:t>
            </w:r>
          </w:p>
        </w:tc>
      </w:tr>
      <w:tr w:rsidR="00A26C3F" w:rsidRPr="00B0004E" w14:paraId="7F290FFE" w14:textId="77777777" w:rsidTr="000A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3AAA7348" w14:textId="77777777" w:rsidR="0083251B" w:rsidRDefault="0083251B" w:rsidP="001F576E">
            <w:pPr>
              <w:pStyle w:val="Tabletext"/>
              <w:spacing w:after="160"/>
              <w:jc w:val="center"/>
              <w:rPr>
                <w:b w:val="0"/>
                <w:bCs w:val="0"/>
              </w:rPr>
            </w:pPr>
            <w:r>
              <w:t>VIC</w:t>
            </w:r>
          </w:p>
          <w:p w14:paraId="5F77D23B" w14:textId="3880B1B1" w:rsidR="008B40F2" w:rsidRPr="001F576E" w:rsidRDefault="0083251B" w:rsidP="001F576E">
            <w:pPr>
              <w:pStyle w:val="Tabletext"/>
              <w:spacing w:after="160"/>
              <w:jc w:val="center"/>
              <w:rPr>
                <w:i/>
                <w:iCs/>
              </w:rPr>
            </w:pPr>
            <w:r w:rsidRPr="00B132D3">
              <w:rPr>
                <w:b w:val="0"/>
                <w:bCs w:val="0"/>
                <w:i/>
                <w:iCs/>
              </w:rPr>
              <w:t xml:space="preserve">RentAssist bond loans provide an interest-free loan to vulnerable cohorts to cover </w:t>
            </w:r>
            <w:r w:rsidR="003436CB">
              <w:rPr>
                <w:b w:val="0"/>
                <w:bCs w:val="0"/>
                <w:i/>
                <w:iCs/>
              </w:rPr>
              <w:t>their</w:t>
            </w:r>
            <w:r w:rsidR="003436CB" w:rsidRPr="00B132D3">
              <w:rPr>
                <w:b w:val="0"/>
                <w:bCs w:val="0"/>
                <w:i/>
                <w:iCs/>
              </w:rPr>
              <w:t xml:space="preserve"> </w:t>
            </w:r>
            <w:r w:rsidRPr="00B132D3">
              <w:rPr>
                <w:b w:val="0"/>
                <w:bCs w:val="0"/>
                <w:i/>
                <w:iCs/>
              </w:rPr>
              <w:t xml:space="preserve">rental bond, which is lodged with the RTBA. Loan limits depend on property size and are shared equally among </w:t>
            </w:r>
            <w:r w:rsidR="0097338F">
              <w:rPr>
                <w:b w:val="0"/>
                <w:bCs w:val="0"/>
                <w:i/>
                <w:iCs/>
              </w:rPr>
              <w:t>renters</w:t>
            </w:r>
            <w:r w:rsidRPr="00B132D3">
              <w:rPr>
                <w:b w:val="0"/>
                <w:bCs w:val="0"/>
                <w:i/>
                <w:iCs/>
              </w:rPr>
              <w:t>. The RentAssist program began on 1 January 2024, replacing the Homes Victoria bond loan scheme which had been in operation since October 2020.</w:t>
            </w:r>
          </w:p>
        </w:tc>
        <w:tc>
          <w:tcPr>
            <w:tcW w:w="798" w:type="pct"/>
            <w:tcBorders>
              <w:top w:val="single" w:sz="4" w:space="0" w:color="auto"/>
              <w:left w:val="single" w:sz="4" w:space="0" w:color="auto"/>
              <w:bottom w:val="single" w:sz="4" w:space="0" w:color="auto"/>
              <w:right w:val="single" w:sz="4" w:space="0" w:color="auto"/>
            </w:tcBorders>
            <w:vAlign w:val="center"/>
          </w:tcPr>
          <w:p w14:paraId="12C91580" w14:textId="3E65136B" w:rsidR="00A26C3F" w:rsidRDefault="0083251B">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59407F72" wp14:editId="1A660C7C">
                  <wp:extent cx="286385" cy="286385"/>
                  <wp:effectExtent l="0" t="0" r="0" b="0"/>
                  <wp:docPr id="1527249559" name="Graphic 3"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2372" name="Graphic 1809672372" descr="Clock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286385" cy="28638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474A90D6" w14:textId="77777777" w:rsidR="00A26C3F"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BFA6DB9" wp14:editId="115016FF">
                  <wp:extent cx="171450" cy="171450"/>
                  <wp:effectExtent l="0" t="0" r="0" b="0"/>
                  <wp:docPr id="718311315"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12A34A92" w14:textId="77777777" w:rsidR="00A26C3F" w:rsidRPr="00B0004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488EDE5F" wp14:editId="2BF5C305">
                  <wp:extent cx="180975" cy="180975"/>
                  <wp:effectExtent l="0" t="0" r="9525" b="9525"/>
                  <wp:docPr id="722068453"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1D707AF0" w14:textId="77777777" w:rsidR="00A26C3F"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E476EDC" wp14:editId="6574B1CE">
                  <wp:extent cx="180975" cy="180975"/>
                  <wp:effectExtent l="0" t="0" r="9525" b="9525"/>
                  <wp:docPr id="108364318"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r>
      <w:tr w:rsidR="00A26C3F" w:rsidRPr="000F65FE" w14:paraId="2311A384" w14:textId="77777777" w:rsidTr="000A360E">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65577610" w14:textId="77777777" w:rsidR="00A26C3F" w:rsidRPr="00E1280D" w:rsidRDefault="00A26C3F" w:rsidP="001F576E">
            <w:pPr>
              <w:pStyle w:val="Tabletext"/>
              <w:spacing w:after="160"/>
              <w:jc w:val="center"/>
            </w:pPr>
            <w:r w:rsidRPr="000F65FE">
              <w:t>ACT</w:t>
            </w:r>
          </w:p>
          <w:p w14:paraId="67592824" w14:textId="10EE4B70" w:rsidR="00A26C3F" w:rsidRPr="001F576E" w:rsidRDefault="00A26C3F" w:rsidP="001F576E">
            <w:pPr>
              <w:pStyle w:val="Tabletext"/>
              <w:spacing w:after="160"/>
              <w:jc w:val="center"/>
              <w:rPr>
                <w:i/>
                <w:iCs/>
              </w:rPr>
            </w:pPr>
            <w:r w:rsidRPr="00E1280D">
              <w:rPr>
                <w:b w:val="0"/>
                <w:bCs w:val="0"/>
                <w:i/>
                <w:iCs/>
              </w:rPr>
              <w:t>Housing ACT can cover up to 100% of the bond required for a private rental, with interest-free repayments made in small instalments over a period of up to two years. To apply, applicants must not yet have paid their bond.</w:t>
            </w:r>
          </w:p>
        </w:tc>
        <w:tc>
          <w:tcPr>
            <w:tcW w:w="798" w:type="pct"/>
            <w:tcBorders>
              <w:top w:val="single" w:sz="4" w:space="0" w:color="auto"/>
              <w:left w:val="single" w:sz="4" w:space="0" w:color="auto"/>
              <w:bottom w:val="single" w:sz="4" w:space="0" w:color="auto"/>
              <w:right w:val="single" w:sz="4" w:space="0" w:color="auto"/>
            </w:tcBorders>
            <w:vAlign w:val="center"/>
          </w:tcPr>
          <w:p w14:paraId="6265CF3B"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8D61B67" wp14:editId="58E62A04">
                  <wp:extent cx="180975" cy="180975"/>
                  <wp:effectExtent l="0" t="0" r="9525" b="9525"/>
                  <wp:docPr id="105840253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76CC08AF"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0E6AF00" wp14:editId="7CD45AC7">
                  <wp:extent cx="171450" cy="171450"/>
                  <wp:effectExtent l="0" t="0" r="0" b="0"/>
                  <wp:docPr id="23115290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0C762441"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9AB84F1" wp14:editId="44180D1C">
                  <wp:extent cx="180975" cy="180975"/>
                  <wp:effectExtent l="0" t="0" r="9525" b="9525"/>
                  <wp:docPr id="656055430"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2B597CB3" w14:textId="77777777" w:rsidR="00A26C3F" w:rsidRPr="00B0004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9BBB2E0" wp14:editId="60CA350F">
                  <wp:extent cx="180975" cy="180975"/>
                  <wp:effectExtent l="0" t="0" r="9525" b="9525"/>
                  <wp:docPr id="1081906541"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r>
      <w:tr w:rsidR="00A26C3F" w:rsidRPr="000F65FE" w14:paraId="01DAAB3C" w14:textId="77777777" w:rsidTr="000A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76BAB32D" w14:textId="77777777" w:rsidR="00A26C3F" w:rsidRDefault="00A26C3F" w:rsidP="001F576E">
            <w:pPr>
              <w:pStyle w:val="Tabletext"/>
              <w:spacing w:after="160"/>
              <w:jc w:val="center"/>
              <w:rPr>
                <w:b w:val="0"/>
                <w:bCs w:val="0"/>
              </w:rPr>
            </w:pPr>
            <w:r w:rsidRPr="000F65FE">
              <w:t>QLD</w:t>
            </w:r>
          </w:p>
          <w:p w14:paraId="7378B656" w14:textId="77777777" w:rsidR="00A26C3F" w:rsidRPr="00FA1DAC" w:rsidRDefault="00A26C3F" w:rsidP="001F576E">
            <w:pPr>
              <w:pStyle w:val="Tabletext"/>
              <w:spacing w:after="160"/>
              <w:jc w:val="center"/>
              <w:rPr>
                <w:b w:val="0"/>
                <w:bCs w:val="0"/>
                <w:i/>
                <w:iCs/>
              </w:rPr>
            </w:pPr>
            <w:r w:rsidRPr="00FA1DAC">
              <w:rPr>
                <w:b w:val="0"/>
                <w:bCs w:val="0"/>
                <w:i/>
                <w:iCs/>
              </w:rPr>
              <w:t xml:space="preserve">QLD is developing a Portable Rental Bond Scheme. In the interim, a Bridging Bond Loan scheme has been implemented </w:t>
            </w:r>
            <w:r>
              <w:rPr>
                <w:b w:val="0"/>
                <w:bCs w:val="0"/>
                <w:i/>
                <w:iCs/>
              </w:rPr>
              <w:t>as</w:t>
            </w:r>
            <w:r w:rsidRPr="00FA1DAC">
              <w:rPr>
                <w:b w:val="0"/>
                <w:bCs w:val="0"/>
                <w:i/>
                <w:iCs/>
              </w:rPr>
              <w:t xml:space="preserve"> an interest-free loan of up to 4 weeks’ rent, available to eligible renters awaiting the release of their previous bond.</w:t>
            </w:r>
          </w:p>
          <w:p w14:paraId="78F7FE25" w14:textId="08939C23" w:rsidR="00A26C3F" w:rsidRPr="001F576E" w:rsidRDefault="00A26C3F" w:rsidP="001F576E">
            <w:pPr>
              <w:pStyle w:val="Tabletext"/>
              <w:spacing w:after="160"/>
              <w:jc w:val="center"/>
              <w:rPr>
                <w:i/>
                <w:iCs/>
              </w:rPr>
            </w:pPr>
            <w:r w:rsidRPr="00FA1DAC">
              <w:rPr>
                <w:b w:val="0"/>
                <w:bCs w:val="0"/>
                <w:i/>
                <w:iCs/>
              </w:rPr>
              <w:t xml:space="preserve">In addition, Queensland offers the Bond Loan Plus, providing up to 6 weeks’ rent </w:t>
            </w:r>
            <w:r>
              <w:rPr>
                <w:b w:val="0"/>
                <w:bCs w:val="0"/>
                <w:i/>
                <w:iCs/>
              </w:rPr>
              <w:t>(</w:t>
            </w:r>
            <w:r w:rsidRPr="00FA1DAC">
              <w:rPr>
                <w:b w:val="0"/>
                <w:bCs w:val="0"/>
                <w:i/>
                <w:iCs/>
              </w:rPr>
              <w:t>an increase of 2 weeks compared to the standard</w:t>
            </w:r>
            <w:r>
              <w:rPr>
                <w:b w:val="0"/>
                <w:bCs w:val="0"/>
                <w:i/>
                <w:iCs/>
              </w:rPr>
              <w:t xml:space="preserve">) and the </w:t>
            </w:r>
            <w:r w:rsidRPr="00FA1DAC">
              <w:rPr>
                <w:b w:val="0"/>
                <w:bCs w:val="0"/>
                <w:i/>
                <w:iCs/>
              </w:rPr>
              <w:t xml:space="preserve">Rental Grant </w:t>
            </w:r>
            <w:r>
              <w:rPr>
                <w:b w:val="0"/>
                <w:bCs w:val="0"/>
                <w:i/>
                <w:iCs/>
              </w:rPr>
              <w:t>offering</w:t>
            </w:r>
            <w:r w:rsidRPr="00FA1DAC">
              <w:rPr>
                <w:b w:val="0"/>
                <w:bCs w:val="0"/>
                <w:i/>
                <w:iCs/>
              </w:rPr>
              <w:t xml:space="preserve"> a one-off payment of up to two weeks’ rent to help with moving costs, which does not need to be repaid.</w:t>
            </w:r>
          </w:p>
        </w:tc>
        <w:tc>
          <w:tcPr>
            <w:tcW w:w="798" w:type="pct"/>
            <w:tcBorders>
              <w:top w:val="single" w:sz="4" w:space="0" w:color="auto"/>
              <w:left w:val="single" w:sz="4" w:space="0" w:color="auto"/>
              <w:bottom w:val="single" w:sz="4" w:space="0" w:color="auto"/>
              <w:right w:val="single" w:sz="4" w:space="0" w:color="auto"/>
            </w:tcBorders>
            <w:vAlign w:val="center"/>
          </w:tcPr>
          <w:p w14:paraId="5CDDC9DA"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486259B0" wp14:editId="00179B98">
                  <wp:extent cx="286385" cy="286385"/>
                  <wp:effectExtent l="0" t="0" r="0" b="0"/>
                  <wp:docPr id="557221082" name="Graphic 3"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2372" name="Graphic 1809672372" descr="Clock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286385" cy="28638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43958623"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4B8C3DA" wp14:editId="5F3E4D6C">
                  <wp:extent cx="171450" cy="171450"/>
                  <wp:effectExtent l="0" t="0" r="0" b="0"/>
                  <wp:docPr id="553275718"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5A47D3AA"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742D1DCB" wp14:editId="01DCF4BA">
                  <wp:extent cx="180975" cy="180975"/>
                  <wp:effectExtent l="0" t="0" r="9525" b="9525"/>
                  <wp:docPr id="498107661"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109010A1" w14:textId="77777777" w:rsidR="00A26C3F" w:rsidRPr="004D376B"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4A54057" wp14:editId="22A20900">
                  <wp:extent cx="171450" cy="171450"/>
                  <wp:effectExtent l="0" t="0" r="0" b="0"/>
                  <wp:docPr id="168799160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r>
      <w:tr w:rsidR="000A360E" w:rsidRPr="000F65FE" w14:paraId="67CBA590" w14:textId="77777777" w:rsidTr="000A360E">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4925F878" w14:textId="1B8414A8" w:rsidR="00344291" w:rsidRDefault="00344291" w:rsidP="00344291">
            <w:pPr>
              <w:pStyle w:val="Tabletext"/>
              <w:jc w:val="center"/>
              <w:rPr>
                <w:b w:val="0"/>
                <w:bCs w:val="0"/>
              </w:rPr>
            </w:pPr>
            <w:r w:rsidRPr="000F65FE">
              <w:lastRenderedPageBreak/>
              <w:t>NSW</w:t>
            </w:r>
          </w:p>
          <w:p w14:paraId="2683C435" w14:textId="45F96C72" w:rsidR="000A360E" w:rsidRPr="00F05B35" w:rsidRDefault="00344291" w:rsidP="000A360E">
            <w:pPr>
              <w:pStyle w:val="Tabletext"/>
              <w:jc w:val="center"/>
              <w:rPr>
                <w:i/>
                <w:iCs/>
              </w:rPr>
            </w:pPr>
            <w:r>
              <w:rPr>
                <w:b w:val="0"/>
                <w:bCs w:val="0"/>
                <w:i/>
                <w:iCs/>
              </w:rPr>
              <w:t xml:space="preserve">NSW provides eligible renters with an interest-free government loan through the </w:t>
            </w:r>
            <w:r w:rsidR="00933F49">
              <w:rPr>
                <w:b w:val="0"/>
                <w:bCs w:val="0"/>
                <w:i/>
                <w:iCs/>
              </w:rPr>
              <w:t>Rent</w:t>
            </w:r>
            <w:r w:rsidR="00AF2ADE">
              <w:rPr>
                <w:b w:val="0"/>
                <w:bCs w:val="0"/>
                <w:i/>
                <w:iCs/>
              </w:rPr>
              <w:t>S</w:t>
            </w:r>
            <w:r w:rsidR="00933F49">
              <w:rPr>
                <w:b w:val="0"/>
                <w:bCs w:val="0"/>
                <w:i/>
                <w:iCs/>
              </w:rPr>
              <w:t>tart</w:t>
            </w:r>
            <w:r>
              <w:rPr>
                <w:b w:val="0"/>
                <w:bCs w:val="0"/>
                <w:i/>
                <w:iCs/>
              </w:rPr>
              <w:t xml:space="preserve"> Bond Loan, which covers up to 100% of their rental bond with repayments spread over 12-18 months. </w:t>
            </w:r>
            <w:r w:rsidRPr="00677856">
              <w:rPr>
                <w:b w:val="0"/>
                <w:bCs w:val="0"/>
                <w:i/>
                <w:iCs/>
              </w:rPr>
              <w:t>A new Portable Rental Bond Scheme (in development) will enable eligible renters to digitally transfer their bond. It has been proposed that participants will need to pay an application fee. The scheme has not been implemented yet.</w:t>
            </w:r>
          </w:p>
        </w:tc>
        <w:tc>
          <w:tcPr>
            <w:tcW w:w="798" w:type="pct"/>
            <w:tcBorders>
              <w:top w:val="single" w:sz="4" w:space="0" w:color="auto"/>
              <w:left w:val="single" w:sz="4" w:space="0" w:color="auto"/>
              <w:bottom w:val="single" w:sz="4" w:space="0" w:color="auto"/>
              <w:right w:val="single" w:sz="4" w:space="0" w:color="auto"/>
            </w:tcBorders>
            <w:vAlign w:val="center"/>
          </w:tcPr>
          <w:p w14:paraId="280AE219" w14:textId="2CA05BD7" w:rsidR="000A360E" w:rsidRPr="000F65FE" w:rsidRDefault="00933F49" w:rsidP="000A360E">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F5FD3E" wp14:editId="3A010A11">
                  <wp:extent cx="286385" cy="286385"/>
                  <wp:effectExtent l="0" t="0" r="0" b="0"/>
                  <wp:docPr id="251331986" name="Graphic 3" descr="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2372" name="Graphic 1809672372" descr="Clock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286385" cy="28638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44909F71" w14:textId="3CFE2C07" w:rsidR="000A360E" w:rsidRPr="000F65FE" w:rsidRDefault="00933F49" w:rsidP="000A360E">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CCE80B3" wp14:editId="192C5D7F">
                  <wp:extent cx="171450" cy="171450"/>
                  <wp:effectExtent l="0" t="0" r="0" b="0"/>
                  <wp:docPr id="109947174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7B417B07" w14:textId="18E7E1ED" w:rsidR="000A360E" w:rsidRPr="000F65FE" w:rsidRDefault="00933F49" w:rsidP="000A360E">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C82039" wp14:editId="1688DF89">
                  <wp:extent cx="180975" cy="180975"/>
                  <wp:effectExtent l="0" t="0" r="9525" b="9525"/>
                  <wp:docPr id="859257459"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1A19B89A" w14:textId="50AB2AA6" w:rsidR="000A360E" w:rsidRPr="00820B87" w:rsidRDefault="00933F49" w:rsidP="000A360E">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5824D0" wp14:editId="4488EE2B">
                  <wp:extent cx="190500" cy="190500"/>
                  <wp:effectExtent l="0" t="0" r="0" b="0"/>
                  <wp:docPr id="558396065" name="Graphic 1" descr="Close with solid fill"/>
                  <wp:cNvGraphicFramePr/>
                  <a:graphic xmlns:a="http://schemas.openxmlformats.org/drawingml/2006/main">
                    <a:graphicData uri="http://schemas.openxmlformats.org/drawingml/2006/picture">
                      <pic:pic xmlns:pic="http://schemas.openxmlformats.org/drawingml/2006/picture">
                        <pic:nvPicPr>
                          <pic:cNvPr id="1959413275" name="Graphic 1" descr="Close with solid fill"/>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r>
      <w:tr w:rsidR="00A26C3F" w:rsidRPr="000F65FE" w14:paraId="2F2262DA" w14:textId="77777777" w:rsidTr="000A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0A9B794E" w14:textId="77777777" w:rsidR="00A26C3F" w:rsidRDefault="00A26C3F">
            <w:pPr>
              <w:pStyle w:val="Tabletext"/>
              <w:jc w:val="center"/>
              <w:rPr>
                <w:b w:val="0"/>
                <w:bCs w:val="0"/>
              </w:rPr>
            </w:pPr>
            <w:r w:rsidRPr="000F65FE">
              <w:t>NT</w:t>
            </w:r>
          </w:p>
          <w:p w14:paraId="09895FB5" w14:textId="77777777" w:rsidR="00A26C3F" w:rsidRPr="00677856" w:rsidRDefault="00A26C3F">
            <w:pPr>
              <w:pStyle w:val="Tabletext"/>
              <w:jc w:val="center"/>
              <w:rPr>
                <w:b w:val="0"/>
                <w:i/>
              </w:rPr>
            </w:pPr>
            <w:r w:rsidRPr="00677856">
              <w:rPr>
                <w:b w:val="0"/>
                <w:bCs w:val="0"/>
                <w:i/>
                <w:iCs/>
              </w:rPr>
              <w:t>Bond assistance provides up to 4 weeks’ rent as a bond and optionally 2 weeks’ rent in advance for private rentals, with repayments made interest-free over 18 months or less. Applicants must apply before paying the bond and can only request the portion they are responsible for if sharing.</w:t>
            </w:r>
          </w:p>
        </w:tc>
        <w:tc>
          <w:tcPr>
            <w:tcW w:w="798" w:type="pct"/>
            <w:tcBorders>
              <w:top w:val="single" w:sz="4" w:space="0" w:color="auto"/>
              <w:left w:val="single" w:sz="4" w:space="0" w:color="auto"/>
              <w:bottom w:val="single" w:sz="4" w:space="0" w:color="auto"/>
              <w:right w:val="single" w:sz="4" w:space="0" w:color="auto"/>
            </w:tcBorders>
            <w:vAlign w:val="center"/>
          </w:tcPr>
          <w:p w14:paraId="76296955"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25AECAD3" wp14:editId="3DA7C849">
                  <wp:extent cx="180975" cy="180975"/>
                  <wp:effectExtent l="0" t="0" r="9525" b="9525"/>
                  <wp:docPr id="1132745023"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2DBAE621"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8BB64DF" wp14:editId="78199C5F">
                  <wp:extent cx="171450" cy="171450"/>
                  <wp:effectExtent l="0" t="0" r="0" b="0"/>
                  <wp:docPr id="136746703"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761B4A64"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990CECB" wp14:editId="1359F2FA">
                  <wp:extent cx="180975" cy="180975"/>
                  <wp:effectExtent l="0" t="0" r="9525" b="9525"/>
                  <wp:docPr id="1097060455"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1001C655" w14:textId="77777777" w:rsidR="00A26C3F" w:rsidRPr="00B741C4"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7CCB2141" wp14:editId="17C7C2E9">
                  <wp:extent cx="180975" cy="180975"/>
                  <wp:effectExtent l="0" t="0" r="9525" b="9525"/>
                  <wp:docPr id="45787182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r>
      <w:tr w:rsidR="00A26C3F" w:rsidRPr="000F65FE" w14:paraId="2B124713" w14:textId="77777777" w:rsidTr="000A360E">
        <w:trPr>
          <w:trHeight w:val="73"/>
        </w:trPr>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553712F8" w14:textId="77777777" w:rsidR="00A26C3F" w:rsidRDefault="00A26C3F">
            <w:pPr>
              <w:pStyle w:val="Tabletext"/>
              <w:jc w:val="center"/>
              <w:rPr>
                <w:b w:val="0"/>
                <w:bCs w:val="0"/>
              </w:rPr>
            </w:pPr>
            <w:r w:rsidRPr="000F65FE">
              <w:t>SA</w:t>
            </w:r>
          </w:p>
          <w:p w14:paraId="3CDFA2C3" w14:textId="79B4F35E" w:rsidR="00A26C3F" w:rsidRPr="00B4113C" w:rsidRDefault="00A26C3F">
            <w:pPr>
              <w:pStyle w:val="Tabletext"/>
              <w:jc w:val="center"/>
              <w:rPr>
                <w:b w:val="0"/>
                <w:i/>
              </w:rPr>
            </w:pPr>
            <w:r w:rsidRPr="00B4113C">
              <w:rPr>
                <w:b w:val="0"/>
                <w:i/>
              </w:rPr>
              <w:t>The</w:t>
            </w:r>
            <w:r w:rsidR="00463618">
              <w:rPr>
                <w:b w:val="0"/>
                <w:i/>
              </w:rPr>
              <w:t xml:space="preserve"> SA</w:t>
            </w:r>
            <w:r w:rsidRPr="00B4113C">
              <w:rPr>
                <w:b w:val="0"/>
                <w:i/>
              </w:rPr>
              <w:t xml:space="preserve"> Housing Trust provides Bond Guarantees for up to 4–6 weeks’ rent</w:t>
            </w:r>
            <w:r w:rsidRPr="00B4113C">
              <w:rPr>
                <w:b w:val="0"/>
                <w:bCs w:val="0"/>
                <w:i/>
                <w:iCs/>
              </w:rPr>
              <w:t xml:space="preserve">, </w:t>
            </w:r>
            <w:r w:rsidRPr="00B4113C">
              <w:rPr>
                <w:b w:val="0"/>
                <w:i/>
              </w:rPr>
              <w:t>Rent in Advance (up to 2 weeks within a 4-week limit over 2 years) and Rent in Arrears (to prevent eviction</w:t>
            </w:r>
            <w:r w:rsidRPr="00B4113C">
              <w:rPr>
                <w:b w:val="0"/>
                <w:bCs w:val="0"/>
                <w:i/>
                <w:iCs/>
              </w:rPr>
              <w:t>). The latter two options</w:t>
            </w:r>
            <w:r w:rsidRPr="00B4113C">
              <w:rPr>
                <w:b w:val="0"/>
                <w:i/>
              </w:rPr>
              <w:t xml:space="preserve"> are grants that generally do not need to be repaid.</w:t>
            </w:r>
          </w:p>
        </w:tc>
        <w:tc>
          <w:tcPr>
            <w:tcW w:w="798" w:type="pct"/>
            <w:tcBorders>
              <w:top w:val="single" w:sz="4" w:space="0" w:color="auto"/>
              <w:left w:val="single" w:sz="4" w:space="0" w:color="auto"/>
              <w:bottom w:val="single" w:sz="4" w:space="0" w:color="auto"/>
              <w:right w:val="single" w:sz="4" w:space="0" w:color="auto"/>
            </w:tcBorders>
            <w:vAlign w:val="center"/>
          </w:tcPr>
          <w:p w14:paraId="6A73F78B"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58D27B4" wp14:editId="73391408">
                  <wp:extent cx="180975" cy="180975"/>
                  <wp:effectExtent l="0" t="0" r="9525" b="9525"/>
                  <wp:docPr id="1528714475"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7DEC6E21" w14:textId="674B1DFE" w:rsidR="00A26C3F" w:rsidRPr="000F65FE" w:rsidRDefault="001F4471" w:rsidP="001F576E">
            <w:pPr>
              <w:pStyle w:val="Tabletext"/>
              <w:ind w:left="624"/>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C650A2" wp14:editId="4A90EA20">
                  <wp:extent cx="180975" cy="180975"/>
                  <wp:effectExtent l="0" t="0" r="9525" b="9525"/>
                  <wp:docPr id="1674667199"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7249D1A2"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4B55B4" wp14:editId="0423B402">
                  <wp:extent cx="171450" cy="171450"/>
                  <wp:effectExtent l="0" t="0" r="0" b="0"/>
                  <wp:docPr id="143741478"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14FC388D" w14:textId="77777777" w:rsidR="00A26C3F"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8BD6D7E" wp14:editId="461E6087">
                  <wp:extent cx="171450" cy="171450"/>
                  <wp:effectExtent l="0" t="0" r="0" b="0"/>
                  <wp:docPr id="1251649163"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r>
      <w:tr w:rsidR="00A26C3F" w:rsidRPr="000F65FE" w14:paraId="3EEA9143" w14:textId="77777777" w:rsidTr="000A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50F77527" w14:textId="77777777" w:rsidR="00C91F21" w:rsidRPr="00B4113C" w:rsidRDefault="00C91F21" w:rsidP="00C91F21">
            <w:pPr>
              <w:pStyle w:val="Tabletext"/>
              <w:jc w:val="center"/>
            </w:pPr>
            <w:r w:rsidRPr="000F65FE">
              <w:t>TAS</w:t>
            </w:r>
          </w:p>
          <w:p w14:paraId="0B7865EF" w14:textId="41C7E30A" w:rsidR="00A26C3F" w:rsidRPr="00B4113C" w:rsidRDefault="00A26C3F">
            <w:pPr>
              <w:pStyle w:val="Tabletext"/>
              <w:jc w:val="center"/>
              <w:rPr>
                <w:b w:val="0"/>
                <w:i/>
              </w:rPr>
            </w:pPr>
            <w:r w:rsidRPr="00B4113C">
              <w:rPr>
                <w:b w:val="0"/>
                <w:bCs w:val="0"/>
                <w:i/>
                <w:iCs/>
              </w:rPr>
              <w:t xml:space="preserve">Private Rental Assistance (PRA) provides one-off grants to eligible low-income renters, helping with costs such as bond, rent in advance, rent arrears, removal expenses, or storage fees for people escaping family violence. </w:t>
            </w:r>
          </w:p>
        </w:tc>
        <w:tc>
          <w:tcPr>
            <w:tcW w:w="798" w:type="pct"/>
            <w:tcBorders>
              <w:top w:val="single" w:sz="4" w:space="0" w:color="auto"/>
              <w:left w:val="single" w:sz="4" w:space="0" w:color="auto"/>
              <w:bottom w:val="single" w:sz="4" w:space="0" w:color="auto"/>
              <w:right w:val="single" w:sz="4" w:space="0" w:color="auto"/>
            </w:tcBorders>
            <w:vAlign w:val="center"/>
          </w:tcPr>
          <w:p w14:paraId="24EB3A8C"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669E826" wp14:editId="77FBA9C1">
                  <wp:extent cx="180975" cy="180975"/>
                  <wp:effectExtent l="0" t="0" r="9525" b="9525"/>
                  <wp:docPr id="140575070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6F31D397" w14:textId="4919F581" w:rsidR="00A26C3F" w:rsidRPr="000F65FE" w:rsidRDefault="00C91F21">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C09AEFB" wp14:editId="3A8A83F6">
                  <wp:extent cx="180975" cy="180975"/>
                  <wp:effectExtent l="0" t="0" r="9525" b="9525"/>
                  <wp:docPr id="1974988243"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658F33AD" w14:textId="77777777" w:rsidR="00A26C3F" w:rsidRPr="000F65FE"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4D00458" wp14:editId="1B439E08">
                  <wp:extent cx="180975" cy="180975"/>
                  <wp:effectExtent l="0" t="0" r="9525" b="9525"/>
                  <wp:docPr id="137168070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41BE5C5F" w14:textId="77777777" w:rsidR="00A26C3F" w:rsidRPr="00D84F9F" w:rsidRDefault="00A26C3F">
            <w:pPr>
              <w:pStyle w:val="Tabletext"/>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C124844" wp14:editId="094BB023">
                  <wp:extent cx="180975" cy="180975"/>
                  <wp:effectExtent l="0" t="0" r="9525" b="9525"/>
                  <wp:docPr id="1790093434" name="Graphic 1" descr="This diagram shows the 3 stages of the debt recove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93434" name="Graphic 1" descr="This diagram shows the 3 stages of the debt recovery process"/>
                          <pic:cNvPicPr/>
                        </pic:nvPicPr>
                        <pic:blipFill>
                          <a:blip r:embed="rId19">
                            <a:extLst>
                              <a:ext uri="{96DAC541-7B7A-43D3-8B79-37D633B846F1}">
                                <asvg:svgBlip xmlns:asvg="http://schemas.microsoft.com/office/drawing/2016/SVG/main" r:embed="rId20"/>
                              </a:ext>
                            </a:extLst>
                          </a:blip>
                          <a:stretch>
                            <a:fillRect/>
                          </a:stretch>
                        </pic:blipFill>
                        <pic:spPr>
                          <a:xfrm>
                            <a:off x="0" y="0"/>
                            <a:ext cx="180975" cy="180975"/>
                          </a:xfrm>
                          <a:prstGeom prst="rect">
                            <a:avLst/>
                          </a:prstGeom>
                        </pic:spPr>
                      </pic:pic>
                    </a:graphicData>
                  </a:graphic>
                </wp:inline>
              </w:drawing>
            </w:r>
          </w:p>
        </w:tc>
      </w:tr>
      <w:tr w:rsidR="00A26C3F" w:rsidRPr="000F65FE" w14:paraId="2E22E445" w14:textId="77777777" w:rsidTr="000A360E">
        <w:tc>
          <w:tcPr>
            <w:cnfStyle w:val="001000000000" w:firstRow="0" w:lastRow="0" w:firstColumn="1" w:lastColumn="0" w:oddVBand="0" w:evenVBand="0" w:oddHBand="0" w:evenHBand="0" w:firstRowFirstColumn="0" w:firstRowLastColumn="0" w:lastRowFirstColumn="0" w:lastRowLastColumn="0"/>
            <w:tcW w:w="1811" w:type="pct"/>
            <w:tcBorders>
              <w:right w:val="single" w:sz="4" w:space="0" w:color="auto"/>
            </w:tcBorders>
          </w:tcPr>
          <w:p w14:paraId="47D38EA2" w14:textId="77777777" w:rsidR="00A26C3F" w:rsidRDefault="00A26C3F">
            <w:pPr>
              <w:pStyle w:val="Tabletext"/>
              <w:jc w:val="center"/>
              <w:rPr>
                <w:b w:val="0"/>
                <w:bCs w:val="0"/>
              </w:rPr>
            </w:pPr>
            <w:r w:rsidRPr="000F65FE">
              <w:t>WA</w:t>
            </w:r>
          </w:p>
          <w:p w14:paraId="1A13A7C8" w14:textId="1AD11B86" w:rsidR="00A26C3F" w:rsidRPr="00EA65ED" w:rsidRDefault="00A26C3F">
            <w:pPr>
              <w:pStyle w:val="Tabletext"/>
              <w:jc w:val="center"/>
              <w:rPr>
                <w:b w:val="0"/>
                <w:i/>
              </w:rPr>
            </w:pPr>
            <w:r w:rsidRPr="00EA65ED">
              <w:rPr>
                <w:b w:val="0"/>
                <w:i/>
              </w:rPr>
              <w:t xml:space="preserve">Eligible low-income renters can access interest-free loans </w:t>
            </w:r>
            <w:r w:rsidRPr="00EA65ED">
              <w:rPr>
                <w:b w:val="0"/>
                <w:bCs w:val="0"/>
                <w:i/>
                <w:iCs/>
              </w:rPr>
              <w:t xml:space="preserve">for </w:t>
            </w:r>
            <w:r w:rsidRPr="00EA65ED">
              <w:rPr>
                <w:b w:val="0"/>
                <w:i/>
              </w:rPr>
              <w:t xml:space="preserve">rental </w:t>
            </w:r>
            <w:r w:rsidR="00933F49" w:rsidRPr="00EA65ED">
              <w:rPr>
                <w:b w:val="0"/>
                <w:i/>
              </w:rPr>
              <w:t>bond</w:t>
            </w:r>
            <w:r w:rsidR="00531482">
              <w:rPr>
                <w:b w:val="0"/>
                <w:i/>
              </w:rPr>
              <w:t xml:space="preserve">s </w:t>
            </w:r>
            <w:r w:rsidRPr="00EA65ED">
              <w:rPr>
                <w:b w:val="0"/>
                <w:i/>
              </w:rPr>
              <w:t xml:space="preserve">and up to two weeks’ rent, with repayments starting </w:t>
            </w:r>
            <w:r w:rsidRPr="00EA65ED">
              <w:rPr>
                <w:b w:val="0"/>
                <w:bCs w:val="0"/>
                <w:i/>
                <w:iCs/>
              </w:rPr>
              <w:t xml:space="preserve">at </w:t>
            </w:r>
            <w:r w:rsidRPr="00EA65ED">
              <w:rPr>
                <w:b w:val="0"/>
                <w:i/>
              </w:rPr>
              <w:t xml:space="preserve">$25 per fortnight. </w:t>
            </w:r>
            <w:r w:rsidRPr="00EA65ED">
              <w:rPr>
                <w:b w:val="0"/>
                <w:bCs w:val="0"/>
                <w:i/>
                <w:iCs/>
              </w:rPr>
              <w:t>Applicants</w:t>
            </w:r>
            <w:r w:rsidRPr="00EA65ED">
              <w:rPr>
                <w:b w:val="0"/>
                <w:i/>
              </w:rPr>
              <w:t xml:space="preserve"> must meet income and asset limits</w:t>
            </w:r>
            <w:r w:rsidRPr="00EA65ED">
              <w:rPr>
                <w:b w:val="0"/>
                <w:bCs w:val="0"/>
                <w:i/>
                <w:iCs/>
              </w:rPr>
              <w:t>, and</w:t>
            </w:r>
            <w:r w:rsidRPr="00EA65ED">
              <w:rPr>
                <w:b w:val="0"/>
                <w:i/>
              </w:rPr>
              <w:t xml:space="preserve"> rent </w:t>
            </w:r>
            <w:r w:rsidRPr="00EA65ED">
              <w:rPr>
                <w:b w:val="0"/>
                <w:bCs w:val="0"/>
                <w:i/>
                <w:iCs/>
              </w:rPr>
              <w:t xml:space="preserve">cannot exceed </w:t>
            </w:r>
            <w:r w:rsidRPr="00EA65ED">
              <w:rPr>
                <w:b w:val="0"/>
                <w:i/>
              </w:rPr>
              <w:t xml:space="preserve">60% of gross income. </w:t>
            </w:r>
            <w:r w:rsidRPr="00EA65ED">
              <w:rPr>
                <w:b w:val="0"/>
                <w:bCs w:val="0"/>
                <w:i/>
                <w:iCs/>
              </w:rPr>
              <w:t>After approval</w:t>
            </w:r>
            <w:r w:rsidRPr="00EA65ED">
              <w:rPr>
                <w:b w:val="0"/>
                <w:i/>
              </w:rPr>
              <w:t xml:space="preserve">, renters submit a </w:t>
            </w:r>
            <w:r w:rsidR="00DA09C4">
              <w:rPr>
                <w:b w:val="0"/>
                <w:i/>
              </w:rPr>
              <w:t>rental provider</w:t>
            </w:r>
            <w:r w:rsidRPr="00EA65ED">
              <w:rPr>
                <w:b w:val="0"/>
                <w:i/>
              </w:rPr>
              <w:t xml:space="preserve">-signed form </w:t>
            </w:r>
            <w:r w:rsidRPr="00EA65ED">
              <w:rPr>
                <w:b w:val="0"/>
                <w:bCs w:val="0"/>
                <w:i/>
                <w:iCs/>
              </w:rPr>
              <w:t xml:space="preserve">for </w:t>
            </w:r>
            <w:r w:rsidRPr="00EA65ED">
              <w:rPr>
                <w:b w:val="0"/>
                <w:i/>
              </w:rPr>
              <w:t>payment</w:t>
            </w:r>
            <w:r w:rsidRPr="00EA65ED">
              <w:rPr>
                <w:b w:val="0"/>
                <w:bCs w:val="0"/>
                <w:i/>
                <w:iCs/>
              </w:rPr>
              <w:t xml:space="preserve"> </w:t>
            </w:r>
            <w:r w:rsidRPr="00EA65ED">
              <w:rPr>
                <w:b w:val="0"/>
                <w:i/>
              </w:rPr>
              <w:t xml:space="preserve">or apply for a refund within </w:t>
            </w:r>
            <w:r w:rsidRPr="00EA65ED">
              <w:rPr>
                <w:b w:val="0"/>
                <w:bCs w:val="0"/>
                <w:i/>
                <w:iCs/>
              </w:rPr>
              <w:t>eight</w:t>
            </w:r>
            <w:r w:rsidRPr="00EA65ED">
              <w:rPr>
                <w:b w:val="0"/>
                <w:i/>
              </w:rPr>
              <w:t xml:space="preserve"> weeks </w:t>
            </w:r>
            <w:r w:rsidRPr="00EA65ED">
              <w:rPr>
                <w:b w:val="0"/>
                <w:bCs w:val="0"/>
                <w:i/>
                <w:iCs/>
              </w:rPr>
              <w:t>if costs were already paid,</w:t>
            </w:r>
            <w:r w:rsidRPr="00EA65ED">
              <w:rPr>
                <w:b w:val="0"/>
                <w:i/>
              </w:rPr>
              <w:t xml:space="preserve"> providing proof and </w:t>
            </w:r>
            <w:r>
              <w:rPr>
                <w:b w:val="0"/>
                <w:i/>
              </w:rPr>
              <w:t xml:space="preserve">evidence of </w:t>
            </w:r>
            <w:r w:rsidRPr="00EA65ED">
              <w:rPr>
                <w:b w:val="0"/>
                <w:i/>
              </w:rPr>
              <w:t>bond lodgement.</w:t>
            </w:r>
          </w:p>
        </w:tc>
        <w:tc>
          <w:tcPr>
            <w:tcW w:w="798" w:type="pct"/>
            <w:tcBorders>
              <w:top w:val="single" w:sz="4" w:space="0" w:color="auto"/>
              <w:left w:val="single" w:sz="4" w:space="0" w:color="auto"/>
              <w:bottom w:val="single" w:sz="4" w:space="0" w:color="auto"/>
              <w:right w:val="single" w:sz="4" w:space="0" w:color="auto"/>
            </w:tcBorders>
            <w:vAlign w:val="center"/>
          </w:tcPr>
          <w:p w14:paraId="7F186FB4"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8941FD6" wp14:editId="35960E5D">
                  <wp:extent cx="180975" cy="180975"/>
                  <wp:effectExtent l="0" t="0" r="9525" b="9525"/>
                  <wp:docPr id="1771061491"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67825A9A"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8B1D369" wp14:editId="390843E1">
                  <wp:extent cx="171450" cy="171450"/>
                  <wp:effectExtent l="0" t="0" r="0" b="0"/>
                  <wp:docPr id="45095925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4645" name="Graphic 1129044645" descr="Checkmark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71450" cy="171450"/>
                          </a:xfrm>
                          <a:prstGeom prst="rect">
                            <a:avLst/>
                          </a:prstGeom>
                        </pic:spPr>
                      </pic:pic>
                    </a:graphicData>
                  </a:graphic>
                </wp:inline>
              </w:drawing>
            </w:r>
          </w:p>
        </w:tc>
        <w:tc>
          <w:tcPr>
            <w:tcW w:w="799" w:type="pct"/>
            <w:tcBorders>
              <w:top w:val="single" w:sz="4" w:space="0" w:color="auto"/>
              <w:left w:val="single" w:sz="4" w:space="0" w:color="auto"/>
              <w:bottom w:val="single" w:sz="4" w:space="0" w:color="auto"/>
              <w:right w:val="single" w:sz="4" w:space="0" w:color="auto"/>
            </w:tcBorders>
            <w:vAlign w:val="center"/>
          </w:tcPr>
          <w:p w14:paraId="0EDABCDC" w14:textId="77777777" w:rsidR="00A26C3F" w:rsidRPr="000F65FE"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20D553" wp14:editId="3FA488AD">
                  <wp:extent cx="180975" cy="180975"/>
                  <wp:effectExtent l="0" t="0" r="9525" b="9525"/>
                  <wp:docPr id="1228535514"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c>
          <w:tcPr>
            <w:tcW w:w="793" w:type="pct"/>
            <w:tcBorders>
              <w:top w:val="single" w:sz="4" w:space="0" w:color="auto"/>
              <w:left w:val="single" w:sz="4" w:space="0" w:color="auto"/>
              <w:bottom w:val="single" w:sz="4" w:space="0" w:color="auto"/>
              <w:right w:val="single" w:sz="4" w:space="0" w:color="auto"/>
            </w:tcBorders>
            <w:vAlign w:val="center"/>
          </w:tcPr>
          <w:p w14:paraId="788C0183" w14:textId="77777777" w:rsidR="00A26C3F" w:rsidRDefault="00A26C3F">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61C1F2E" wp14:editId="1FE4E262">
                  <wp:extent cx="180975" cy="180975"/>
                  <wp:effectExtent l="0" t="0" r="9525" b="9525"/>
                  <wp:docPr id="847017626"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1111" name="Graphic 1"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p>
        </w:tc>
      </w:tr>
    </w:tbl>
    <w:p w14:paraId="77FB4FAC" w14:textId="77777777" w:rsidR="00A26C3F" w:rsidRPr="0005344F" w:rsidRDefault="00A26C3F" w:rsidP="00A26C3F"/>
    <w:p w14:paraId="7F2C7F14" w14:textId="77777777" w:rsidR="00A26C3F" w:rsidRPr="000F65FE" w:rsidRDefault="00A26C3F" w:rsidP="00A26C3F">
      <w:pPr>
        <w:pStyle w:val="Heading2"/>
        <w:ind w:left="340"/>
        <w:jc w:val="both"/>
      </w:pPr>
      <w:bookmarkStart w:id="16" w:name="_Toc221890889"/>
      <w:r w:rsidRPr="000F65FE">
        <w:lastRenderedPageBreak/>
        <w:t>About the Regulatory Impact Statement</w:t>
      </w:r>
      <w:bookmarkEnd w:id="16"/>
    </w:p>
    <w:p w14:paraId="69141D5F" w14:textId="721ECB47" w:rsidR="00A26C3F" w:rsidRPr="00716108" w:rsidRDefault="00A26C3F" w:rsidP="00FB4C83">
      <w:pPr>
        <w:pStyle w:val="DJCSbody"/>
        <w:ind w:left="0"/>
      </w:pPr>
      <w:r w:rsidRPr="00716108">
        <w:t xml:space="preserve">This RIS considers two main aspects of the PRBS that need to be set out in </w:t>
      </w:r>
      <w:r w:rsidR="002C410E">
        <w:t xml:space="preserve">the </w:t>
      </w:r>
      <w:r w:rsidR="00A06690">
        <w:t xml:space="preserve">Regulations </w:t>
      </w:r>
      <w:r>
        <w:t xml:space="preserve">to address a set of problems identified in Chapter 2. </w:t>
      </w:r>
      <w:r w:rsidR="004D0C33">
        <w:t xml:space="preserve">These two aspects are </w:t>
      </w:r>
      <w:r>
        <w:t>the prescribed</w:t>
      </w:r>
      <w:r w:rsidR="004D0C33">
        <w:t xml:space="preserve"> application</w:t>
      </w:r>
      <w:r w:rsidRPr="00716108">
        <w:t xml:space="preserve"> fee</w:t>
      </w:r>
      <w:r w:rsidR="0010565F">
        <w:t xml:space="preserve"> options</w:t>
      </w:r>
      <w:r w:rsidRPr="00716108">
        <w:t xml:space="preserve"> </w:t>
      </w:r>
      <w:r>
        <w:t>fo</w:t>
      </w:r>
      <w:r w:rsidRPr="00716108">
        <w:t xml:space="preserve">r the PRBS and </w:t>
      </w:r>
      <w:r>
        <w:t xml:space="preserve">the prescribed </w:t>
      </w:r>
      <w:r w:rsidRPr="00716108">
        <w:t xml:space="preserve">debt recovery </w:t>
      </w:r>
      <w:r w:rsidR="0010565F">
        <w:t xml:space="preserve">fee options </w:t>
      </w:r>
      <w:r>
        <w:t xml:space="preserve">that will be taken by </w:t>
      </w:r>
      <w:r w:rsidR="00A06690">
        <w:t>the Government</w:t>
      </w:r>
      <w:r>
        <w:t xml:space="preserve">. </w:t>
      </w:r>
    </w:p>
    <w:p w14:paraId="43B7B023" w14:textId="3F38ABB2" w:rsidR="00A26C3F" w:rsidRDefault="00A26C3F" w:rsidP="00A26C3F">
      <w:pPr>
        <w:pStyle w:val="DJCSbody"/>
        <w:ind w:left="0"/>
      </w:pPr>
      <w:r>
        <w:t>T</w:t>
      </w:r>
      <w:r w:rsidRPr="000F65FE">
        <w:t xml:space="preserve">he RIS </w:t>
      </w:r>
      <w:r>
        <w:t xml:space="preserve">explores several options for prescribing fees that have been considered by the </w:t>
      </w:r>
      <w:r w:rsidR="002B7A03">
        <w:t>Govern</w:t>
      </w:r>
      <w:r w:rsidR="00FB4C83" w:rsidRPr="00FB4C83">
        <w:t xml:space="preserve">ment </w:t>
      </w:r>
      <w:r>
        <w:t xml:space="preserve">(Chapter 4). It then assesses these fee options using a multicriteria analysis (Chapter 5) to </w:t>
      </w:r>
      <w:r w:rsidR="00EC6370">
        <w:t>determine which</w:t>
      </w:r>
      <w:r>
        <w:t xml:space="preserve"> fee option best aligns with </w:t>
      </w:r>
      <w:r w:rsidR="00A06690">
        <w:t xml:space="preserve">the Government’s </w:t>
      </w:r>
      <w:r>
        <w:t xml:space="preserve">objectives (Chapter 3). The preferred fee option is detailed in Chapter 6, alongside 10-year cash flow projections for the operation of the PRBS. </w:t>
      </w:r>
    </w:p>
    <w:p w14:paraId="78ECF465" w14:textId="0CA27798" w:rsidR="00A26C3F" w:rsidRDefault="00A26C3F" w:rsidP="00A26C3F">
      <w:pPr>
        <w:pStyle w:val="DJCSbody"/>
        <w:ind w:left="0"/>
      </w:pPr>
      <w:r>
        <w:t>Chapter 6 discusses the debt recovery arrangements envisioned for the PRBS, including the proposed</w:t>
      </w:r>
      <w:r w:rsidRPr="000F65FE">
        <w:t xml:space="preserve"> </w:t>
      </w:r>
      <w:r>
        <w:t xml:space="preserve">debt recovery actions to be prescribed, and the outcomes of a sensitivity analysis on the assumptions that informed the estimated debt recovery rate for the </w:t>
      </w:r>
      <w:r w:rsidR="009602B4">
        <w:t>PRBS</w:t>
      </w:r>
      <w:r>
        <w:t xml:space="preserve">. The remainder of the RIS outlines </w:t>
      </w:r>
      <w:r w:rsidRPr="000F65FE">
        <w:t>additional details</w:t>
      </w:r>
      <w:r>
        <w:t xml:space="preserve"> </w:t>
      </w:r>
      <w:r w:rsidRPr="000F65FE">
        <w:t xml:space="preserve">about the </w:t>
      </w:r>
      <w:r>
        <w:t xml:space="preserve">planned </w:t>
      </w:r>
      <w:r w:rsidRPr="000F65FE">
        <w:t xml:space="preserve">operation of the </w:t>
      </w:r>
      <w:r>
        <w:t xml:space="preserve">PRBS that will be developed through </w:t>
      </w:r>
      <w:r w:rsidR="00690499">
        <w:t xml:space="preserve">guidelines </w:t>
      </w:r>
      <w:r>
        <w:t>(</w:t>
      </w:r>
      <w:r w:rsidR="00A24674">
        <w:t xml:space="preserve">Subchapter </w:t>
      </w:r>
      <w:r>
        <w:t>6.4)</w:t>
      </w:r>
      <w:r w:rsidRPr="000F65FE">
        <w:t>, implementation considerations</w:t>
      </w:r>
      <w:r>
        <w:t xml:space="preserve"> (Chapter 7) </w:t>
      </w:r>
      <w:r w:rsidRPr="000F65FE">
        <w:t>and an evaluation strategy</w:t>
      </w:r>
      <w:r>
        <w:t xml:space="preserve"> (Chapter 8).</w:t>
      </w:r>
    </w:p>
    <w:p w14:paraId="3568C40C" w14:textId="77777777" w:rsidR="00A26C3F" w:rsidRPr="000F65FE" w:rsidRDefault="00A26C3F" w:rsidP="00A26C3F">
      <w:pPr>
        <w:pStyle w:val="DJCSbody"/>
        <w:ind w:left="0"/>
      </w:pPr>
      <w:r w:rsidRPr="000F65FE">
        <w:t>The RIS has been prepared through consultation and engagement with Better Regulation Victoria (BRV).</w:t>
      </w:r>
      <w:r>
        <w:t xml:space="preserve"> It is informed by BRV’s </w:t>
      </w:r>
      <w:r w:rsidRPr="00716108">
        <w:t>Victorian Guide to Regulation</w:t>
      </w:r>
      <w:r>
        <w:t xml:space="preserve"> which states the importance of regulations being effective and efficient, clear for stakeholders with an approach consistent with other regulatory obligations, proportionate to the scale of the problem and flexible to changes in broader society across Victoria</w:t>
      </w:r>
      <w:r w:rsidRPr="00275F03">
        <w:t>.</w:t>
      </w:r>
      <w:r>
        <w:t xml:space="preserve"> </w:t>
      </w:r>
    </w:p>
    <w:p w14:paraId="0F35D5DB" w14:textId="77777777" w:rsidR="00A26C3F" w:rsidRDefault="00A26C3F" w:rsidP="00A26C3F">
      <w:pPr>
        <w:rPr>
          <w:rFonts w:ascii="Arial" w:eastAsia="MS Gothic" w:hAnsi="Arial" w:cs="Arial"/>
          <w:b/>
          <w:bCs/>
          <w:color w:val="16145F" w:themeColor="accent3"/>
          <w:kern w:val="32"/>
          <w:sz w:val="32"/>
          <w:szCs w:val="40"/>
        </w:rPr>
      </w:pPr>
      <w:r>
        <w:br w:type="page"/>
      </w:r>
    </w:p>
    <w:p w14:paraId="1F59EFB4" w14:textId="77777777" w:rsidR="00A26C3F" w:rsidRPr="000F65FE" w:rsidRDefault="00A26C3F" w:rsidP="00A26C3F">
      <w:pPr>
        <w:pStyle w:val="Heading1"/>
        <w:ind w:left="340"/>
        <w:jc w:val="both"/>
      </w:pPr>
      <w:bookmarkStart w:id="17" w:name="_Toc221890890"/>
      <w:r w:rsidRPr="000F65FE">
        <w:lastRenderedPageBreak/>
        <w:t>Problem Identification</w:t>
      </w:r>
      <w:bookmarkEnd w:id="17"/>
    </w:p>
    <w:p w14:paraId="584D8842" w14:textId="26233E00" w:rsidR="00A26C3F" w:rsidRPr="000F65FE" w:rsidRDefault="00A26C3F" w:rsidP="00A26C3F">
      <w:pPr>
        <w:pStyle w:val="DJCSbody"/>
        <w:ind w:left="0"/>
      </w:pPr>
      <w:r w:rsidRPr="000F65FE">
        <w:t xml:space="preserve">This </w:t>
      </w:r>
      <w:r w:rsidR="00A37576">
        <w:t>c</w:t>
      </w:r>
      <w:r w:rsidRPr="000F65FE">
        <w:t xml:space="preserve">hapter briefly summarises the key </w:t>
      </w:r>
      <w:r>
        <w:t>policy problems</w:t>
      </w:r>
      <w:r w:rsidRPr="000F65FE">
        <w:t xml:space="preserve"> that gave rise to the </w:t>
      </w:r>
      <w:r>
        <w:t xml:space="preserve">Government’s commitment to introduce a PRBS and the key issues that </w:t>
      </w:r>
      <w:r w:rsidR="00F85489" w:rsidRPr="00F85489">
        <w:t xml:space="preserve">require the </w:t>
      </w:r>
      <w:r w:rsidR="00590E2A">
        <w:t>Regulations to be created</w:t>
      </w:r>
      <w:r w:rsidR="00F85489" w:rsidRPr="00F85489">
        <w:t xml:space="preserve">.  </w:t>
      </w:r>
    </w:p>
    <w:p w14:paraId="31712AD6" w14:textId="77777777" w:rsidR="00A26C3F" w:rsidRDefault="00A26C3F" w:rsidP="00A26C3F">
      <w:pPr>
        <w:pStyle w:val="Heading2"/>
        <w:ind w:left="340"/>
        <w:jc w:val="both"/>
      </w:pPr>
      <w:bookmarkStart w:id="18" w:name="_Toc221890891"/>
      <w:r>
        <w:t>P</w:t>
      </w:r>
      <w:r w:rsidRPr="000F65FE">
        <w:t>olicy problems</w:t>
      </w:r>
      <w:bookmarkEnd w:id="18"/>
    </w:p>
    <w:p w14:paraId="5D852BEE" w14:textId="77777777" w:rsidR="00A26C3F" w:rsidRPr="005A3A21" w:rsidRDefault="00A26C3F" w:rsidP="00A26C3F">
      <w:pPr>
        <w:pStyle w:val="Heading4"/>
        <w:ind w:left="0"/>
      </w:pPr>
      <w:r>
        <w:t>Renters</w:t>
      </w:r>
      <w:r w:rsidRPr="005A3A21">
        <w:t xml:space="preserve"> </w:t>
      </w:r>
      <w:r>
        <w:t>often pay for a bond on a new rental agreement before their current bond has been returned</w:t>
      </w:r>
      <w:r w:rsidRPr="005A3A21">
        <w:t xml:space="preserve">, leading to </w:t>
      </w:r>
      <w:r>
        <w:t>financial burden</w:t>
      </w:r>
    </w:p>
    <w:p w14:paraId="58F341A5" w14:textId="785D9812" w:rsidR="00A26C3F" w:rsidRDefault="00A26C3F" w:rsidP="00A26C3F">
      <w:pPr>
        <w:pStyle w:val="Body"/>
      </w:pPr>
      <w:r>
        <w:t>The primary policy problem that the PRBS seeks to address is the financial strain experienced by renters in the current bond system when having to fund the bond on a new rental agreement before their previous bond has been returned to them. Under t</w:t>
      </w:r>
      <w:r w:rsidRPr="005A3A21">
        <w:t>he current regulatory framework</w:t>
      </w:r>
      <w:r>
        <w:t xml:space="preserve">, renters are required to pay a bond (normally equivalent to a month’s rent) upon signing the lease for a </w:t>
      </w:r>
      <w:r w:rsidR="00AB4F35">
        <w:t>rental</w:t>
      </w:r>
      <w:r>
        <w:t xml:space="preserve"> agreement. This bond is then returned when they move out of the </w:t>
      </w:r>
      <w:r w:rsidR="00374FDD">
        <w:t>rented premises</w:t>
      </w:r>
      <w:r>
        <w:t xml:space="preserve"> and any claims on the bond have been finalised. The problem arises when renters are moving between homes and are required to pay a new bond before their previous bond is refunded. This results in a </w:t>
      </w:r>
      <w:r w:rsidR="00E3007B">
        <w:t>period</w:t>
      </w:r>
      <w:r>
        <w:t xml:space="preserve"> where renters are covering the costs of two bonds, which can leave them significantly out</w:t>
      </w:r>
      <w:r w:rsidR="000C2886">
        <w:t>-of-pocket</w:t>
      </w:r>
      <w:r>
        <w:t xml:space="preserve">. The harm associated with this is that renters may be subject to financial stress on top of existing cost of living pressures. </w:t>
      </w:r>
    </w:p>
    <w:p w14:paraId="072A3E45" w14:textId="315A8483" w:rsidR="00A26C3F" w:rsidRDefault="00A26C3F" w:rsidP="00A26C3F">
      <w:pPr>
        <w:pStyle w:val="Body"/>
      </w:pPr>
      <w:r>
        <w:t xml:space="preserve">This period of financial strain is prolonged for renters in especially competitive rental markets, where high demand for rental properties may make it difficult to exactly align the start date of a new </w:t>
      </w:r>
      <w:r w:rsidR="003A35A9">
        <w:t xml:space="preserve">rental </w:t>
      </w:r>
      <w:r>
        <w:t>agreement with the end date of an existing one. Due to the unreliability of finding housing quickly in these markets</w:t>
      </w:r>
      <w:r w:rsidR="000163D6">
        <w:t xml:space="preserve">, renters may have to secure a new </w:t>
      </w:r>
      <w:r w:rsidR="003A35A9">
        <w:t>rental</w:t>
      </w:r>
      <w:r w:rsidR="000163D6">
        <w:t xml:space="preserve"> agreement</w:t>
      </w:r>
      <w:r w:rsidR="00F36C87">
        <w:t>, and commence rental payments,</w:t>
      </w:r>
      <w:r w:rsidR="000163D6">
        <w:t xml:space="preserve"> prior to providing notice to their existing rental provider</w:t>
      </w:r>
      <w:r w:rsidR="00A81442">
        <w:t xml:space="preserve"> (usually 28 days)</w:t>
      </w:r>
      <w:r w:rsidR="00F36C87">
        <w:t xml:space="preserve">. This </w:t>
      </w:r>
      <w:r w:rsidR="000163D6">
        <w:t xml:space="preserve">may </w:t>
      </w:r>
      <w:r w:rsidR="00F36C87">
        <w:t xml:space="preserve">also </w:t>
      </w:r>
      <w:r w:rsidR="000163D6">
        <w:t>extend</w:t>
      </w:r>
      <w:r>
        <w:t xml:space="preserve"> the period for which they are left out-of-pocket for more than one bond. </w:t>
      </w:r>
      <w:r w:rsidR="00F36C87">
        <w:t>The</w:t>
      </w:r>
      <w:r w:rsidR="002169C0">
        <w:t xml:space="preserve"> extent of this problem has not </w:t>
      </w:r>
      <w:r w:rsidR="00F36C87">
        <w:t>yet been</w:t>
      </w:r>
      <w:r w:rsidR="002169C0">
        <w:t xml:space="preserve"> quantified</w:t>
      </w:r>
      <w:r w:rsidR="00F36C87">
        <w:t>. However,</w:t>
      </w:r>
      <w:r w:rsidR="006E29D9">
        <w:t xml:space="preserve"> </w:t>
      </w:r>
      <w:r w:rsidR="002169C0">
        <w:t xml:space="preserve">qualitative </w:t>
      </w:r>
      <w:r w:rsidR="00F52AF3">
        <w:t>research by the Australian Housing and Urban Research Institute (AHURI)</w:t>
      </w:r>
      <w:r w:rsidR="002169C0">
        <w:t xml:space="preserve"> demonstrates that </w:t>
      </w:r>
      <w:r w:rsidR="00267AFF">
        <w:t xml:space="preserve">nationally, </w:t>
      </w:r>
      <w:r w:rsidR="00F36C87">
        <w:t xml:space="preserve">the competitiveness of multiple rental markets has resulted </w:t>
      </w:r>
      <w:r w:rsidR="00F5062B">
        <w:t xml:space="preserve">in </w:t>
      </w:r>
      <w:r w:rsidR="00F36C87">
        <w:t>renters paying</w:t>
      </w:r>
      <w:r w:rsidR="00267AFF">
        <w:t xml:space="preserve"> </w:t>
      </w:r>
      <w:r w:rsidR="009C7644">
        <w:t xml:space="preserve">double rent </w:t>
      </w:r>
      <w:r w:rsidR="00F36C87">
        <w:t>to secure housing, often causing financial stress</w:t>
      </w:r>
      <w:r w:rsidR="006E29D9">
        <w:t>.</w:t>
      </w:r>
      <w:r w:rsidR="006E29D9">
        <w:rPr>
          <w:rStyle w:val="FootnoteReference"/>
        </w:rPr>
        <w:footnoteReference w:id="35"/>
      </w:r>
      <w:r w:rsidR="006E29D9">
        <w:t xml:space="preserve"> </w:t>
      </w:r>
    </w:p>
    <w:p w14:paraId="7AA3A30C" w14:textId="789A6D41" w:rsidR="00A26C3F" w:rsidRDefault="00A26C3F" w:rsidP="00A26C3F">
      <w:pPr>
        <w:pStyle w:val="Body"/>
      </w:pPr>
      <w:r>
        <w:t>The financial burden associated with paying a double bond is exacerbated for renters navigating bond disputes</w:t>
      </w:r>
      <w:r w:rsidRPr="005A3A21">
        <w:t xml:space="preserve">. </w:t>
      </w:r>
      <w:r>
        <w:t xml:space="preserve">Following the end of a </w:t>
      </w:r>
      <w:r w:rsidR="003A35A9">
        <w:t xml:space="preserve">rental </w:t>
      </w:r>
      <w:r>
        <w:t>agreement,</w:t>
      </w:r>
      <w:r w:rsidRPr="005A3A21">
        <w:t xml:space="preserve"> a bond refund can only proceed once all parties </w:t>
      </w:r>
      <w:r>
        <w:t>have</w:t>
      </w:r>
      <w:r w:rsidRPr="005A3A21">
        <w:t xml:space="preserve"> agree</w:t>
      </w:r>
      <w:r>
        <w:t>d</w:t>
      </w:r>
      <w:r w:rsidRPr="005A3A21">
        <w:t xml:space="preserve"> </w:t>
      </w:r>
      <w:r>
        <w:t>on</w:t>
      </w:r>
      <w:r w:rsidRPr="005A3A21">
        <w:t xml:space="preserve"> how the bond is divided. </w:t>
      </w:r>
      <w:r>
        <w:t>Any disputes</w:t>
      </w:r>
      <w:r w:rsidRPr="005A3A21">
        <w:t xml:space="preserve"> need to </w:t>
      </w:r>
      <w:r>
        <w:t xml:space="preserve">be made </w:t>
      </w:r>
      <w:r w:rsidRPr="005A3A21">
        <w:t xml:space="preserve">to </w:t>
      </w:r>
      <w:r w:rsidR="00E747BC">
        <w:t>Rental Dispute Resolution Victoria (</w:t>
      </w:r>
      <w:r w:rsidRPr="005A3A21">
        <w:t>RDRV</w:t>
      </w:r>
      <w:r w:rsidR="00E747BC">
        <w:t>)</w:t>
      </w:r>
      <w:r w:rsidR="00354CF1" w:rsidRPr="005A3A21">
        <w:t xml:space="preserve"> </w:t>
      </w:r>
      <w:r w:rsidRPr="005A3A21">
        <w:t xml:space="preserve">or </w:t>
      </w:r>
      <w:r>
        <w:t xml:space="preserve">be </w:t>
      </w:r>
      <w:r w:rsidRPr="005A3A21">
        <w:t xml:space="preserve">escalated to VCAT, </w:t>
      </w:r>
      <w:r>
        <w:t>which can delay</w:t>
      </w:r>
      <w:r w:rsidRPr="005A3A21">
        <w:t xml:space="preserve"> the </w:t>
      </w:r>
      <w:r>
        <w:t>refund of</w:t>
      </w:r>
      <w:r w:rsidRPr="005A3A21">
        <w:t xml:space="preserve"> the </w:t>
      </w:r>
      <w:r>
        <w:t xml:space="preserve">bond to the </w:t>
      </w:r>
      <w:r w:rsidRPr="005A3A21">
        <w:t xml:space="preserve">renter. </w:t>
      </w:r>
      <w:r>
        <w:t>While r</w:t>
      </w:r>
      <w:r w:rsidRPr="005A3A21">
        <w:t>enters can make a claim on the bond themselves, C</w:t>
      </w:r>
      <w:r>
        <w:t xml:space="preserve">onsumer </w:t>
      </w:r>
      <w:r w:rsidRPr="005A3A21">
        <w:t>A</w:t>
      </w:r>
      <w:r>
        <w:t xml:space="preserve">ffairs </w:t>
      </w:r>
      <w:r w:rsidRPr="005A3A21">
        <w:t>V</w:t>
      </w:r>
      <w:r>
        <w:t>ictoria</w:t>
      </w:r>
      <w:r w:rsidRPr="005A3A21">
        <w:t xml:space="preserve"> </w:t>
      </w:r>
      <w:r>
        <w:t>notes that</w:t>
      </w:r>
      <w:r w:rsidRPr="005A3A21">
        <w:t xml:space="preserve"> this route result</w:t>
      </w:r>
      <w:r>
        <w:t>s</w:t>
      </w:r>
      <w:r w:rsidRPr="005A3A21">
        <w:t xml:space="preserve"> in a longer </w:t>
      </w:r>
      <w:r>
        <w:t>refund timeframe</w:t>
      </w:r>
      <w:r w:rsidRPr="005A3A21">
        <w:t>, often between 14</w:t>
      </w:r>
      <w:r>
        <w:t xml:space="preserve"> and </w:t>
      </w:r>
      <w:r w:rsidRPr="005A3A21">
        <w:t>20 business days</w:t>
      </w:r>
      <w:r>
        <w:t>,</w:t>
      </w:r>
      <w:r w:rsidRPr="005A3A21">
        <w:t xml:space="preserve"> to allow for necessary notice and dispute periods.</w:t>
      </w:r>
      <w:r w:rsidRPr="005A3A21">
        <w:rPr>
          <w:rStyle w:val="FootnoteReference"/>
        </w:rPr>
        <w:footnoteReference w:id="36"/>
      </w:r>
      <w:r>
        <w:t xml:space="preserve"> </w:t>
      </w:r>
    </w:p>
    <w:p w14:paraId="481458B6" w14:textId="71E45974" w:rsidR="0028294F" w:rsidRDefault="00A26C3F" w:rsidP="00A26C3F">
      <w:pPr>
        <w:pStyle w:val="Body"/>
      </w:pPr>
      <w:r>
        <w:t xml:space="preserve">The financial strain associated with a double bond payment affects all </w:t>
      </w:r>
      <w:r w:rsidRPr="00AA7233">
        <w:t>renters</w:t>
      </w:r>
      <w:r>
        <w:t xml:space="preserve"> who move between rental properties. It is understood </w:t>
      </w:r>
      <w:r w:rsidR="000C2886">
        <w:t>that</w:t>
      </w:r>
      <w:r>
        <w:t xml:space="preserve"> a small proportion of renters who move out of a rent</w:t>
      </w:r>
      <w:r w:rsidR="000C2886">
        <w:t>ed premises</w:t>
      </w:r>
      <w:r>
        <w:t xml:space="preserve"> transition out of the rental market</w:t>
      </w:r>
      <w:r w:rsidR="000C2886">
        <w:t xml:space="preserve">. For </w:t>
      </w:r>
      <w:r>
        <w:t xml:space="preserve">example, </w:t>
      </w:r>
      <w:r w:rsidR="0028294F">
        <w:t xml:space="preserve">each year </w:t>
      </w:r>
      <w:r>
        <w:t xml:space="preserve">approximately </w:t>
      </w:r>
      <w:r w:rsidRPr="005917BE">
        <w:t>10% of renter</w:t>
      </w:r>
      <w:r>
        <w:t>s aged 18 to 32 years old transition into</w:t>
      </w:r>
      <w:r w:rsidRPr="005917BE">
        <w:t xml:space="preserve"> </w:t>
      </w:r>
      <w:r>
        <w:t>another form of accommodation</w:t>
      </w:r>
      <w:r w:rsidR="000C2886">
        <w:t xml:space="preserve">, </w:t>
      </w:r>
      <w:r>
        <w:t>such as home ownership or moving back in</w:t>
      </w:r>
      <w:r w:rsidR="000C2886">
        <w:t xml:space="preserve">to their </w:t>
      </w:r>
      <w:r>
        <w:t>parents</w:t>
      </w:r>
      <w:r w:rsidR="000C2886">
        <w:t xml:space="preserve">’ </w:t>
      </w:r>
      <w:r w:rsidR="000C2886">
        <w:lastRenderedPageBreak/>
        <w:t>home</w:t>
      </w:r>
      <w:r>
        <w:t>.</w:t>
      </w:r>
      <w:r>
        <w:rPr>
          <w:rStyle w:val="FootnoteReference"/>
        </w:rPr>
        <w:footnoteReference w:id="37"/>
      </w:r>
      <w:r>
        <w:t xml:space="preserve"> The average bond amount lodged with the RTBA in 202</w:t>
      </w:r>
      <w:r w:rsidR="006B5FF4">
        <w:t>5</w:t>
      </w:r>
      <w:r>
        <w:t xml:space="preserve"> was </w:t>
      </w:r>
      <w:r w:rsidRPr="005B51B6">
        <w:t>$2,</w:t>
      </w:r>
      <w:r w:rsidR="00B51086">
        <w:t>57</w:t>
      </w:r>
      <w:r w:rsidRPr="005B51B6">
        <w:t>0</w:t>
      </w:r>
      <w:r>
        <w:t>,</w:t>
      </w:r>
      <w:r>
        <w:rPr>
          <w:rStyle w:val="FootnoteReference"/>
        </w:rPr>
        <w:footnoteReference w:id="38"/>
      </w:r>
      <w:r>
        <w:t xml:space="preserve"> meaning that a renter paying a double bond (while awaiting a bond refund) would need to fund, on average, an additional </w:t>
      </w:r>
      <w:r w:rsidRPr="00F043F3">
        <w:t>~</w:t>
      </w:r>
      <w:r>
        <w:t>$2,</w:t>
      </w:r>
      <w:r w:rsidR="00B51086">
        <w:t>60</w:t>
      </w:r>
      <w:r>
        <w:t xml:space="preserve">0. </w:t>
      </w:r>
    </w:p>
    <w:p w14:paraId="0F0291BC" w14:textId="1E381A3C" w:rsidR="0028294F" w:rsidRDefault="00A26C3F" w:rsidP="00A26C3F">
      <w:pPr>
        <w:pStyle w:val="Body"/>
      </w:pPr>
      <w:r>
        <w:t>Each year, the burden of paying a double bond is expected to cost renters in Victoria approximately $</w:t>
      </w:r>
      <w:r w:rsidR="007540B0">
        <w:t>0.</w:t>
      </w:r>
      <w:r w:rsidR="0099265C">
        <w:t>7</w:t>
      </w:r>
      <w:r>
        <w:t>m (in 2025-26 dollars) in lost interest that otherwise could have accrued.</w:t>
      </w:r>
      <w:r>
        <w:rPr>
          <w:rStyle w:val="FootnoteReference"/>
        </w:rPr>
        <w:footnoteReference w:id="39"/>
      </w:r>
      <w:r>
        <w:t xml:space="preserve"> This substantial cost is currently shouldered by a significant portion of renters finalising </w:t>
      </w:r>
      <w:r w:rsidR="000C2886">
        <w:t>claims</w:t>
      </w:r>
      <w:r>
        <w:t xml:space="preserve"> against </w:t>
      </w:r>
      <w:r w:rsidR="000C2886">
        <w:t>bonds</w:t>
      </w:r>
      <w:r>
        <w:t xml:space="preserve"> or awaiting the resolution of a bond dispute. As per</w:t>
      </w:r>
      <w:r w:rsidRPr="00E71F58">
        <w:t xml:space="preserve"> </w:t>
      </w:r>
      <w:r>
        <w:t xml:space="preserve">the </w:t>
      </w:r>
      <w:r w:rsidRPr="00E71F58">
        <w:t xml:space="preserve">RTBA </w:t>
      </w:r>
      <w:r>
        <w:t xml:space="preserve">Annual Report for </w:t>
      </w:r>
      <w:r w:rsidRPr="00E71F58">
        <w:t>202</w:t>
      </w:r>
      <w:r w:rsidR="00EC06FA">
        <w:t>4</w:t>
      </w:r>
      <w:r w:rsidRPr="00E71F58">
        <w:t>-2</w:t>
      </w:r>
      <w:r w:rsidR="00EC06FA">
        <w:t>5</w:t>
      </w:r>
      <w:r w:rsidRPr="00E71F58">
        <w:t>, 3</w:t>
      </w:r>
      <w:r w:rsidR="00EC06FA">
        <w:t>5</w:t>
      </w:r>
      <w:r w:rsidRPr="00E71F58">
        <w:t>% of bonds returned in 202</w:t>
      </w:r>
      <w:r w:rsidR="00EC06FA">
        <w:t>4</w:t>
      </w:r>
      <w:r w:rsidRPr="00E71F58">
        <w:t>-2</w:t>
      </w:r>
      <w:r w:rsidR="00EC06FA">
        <w:t>5</w:t>
      </w:r>
      <w:r w:rsidRPr="00E71F58">
        <w:t xml:space="preserve"> had </w:t>
      </w:r>
      <w:r>
        <w:t xml:space="preserve">a </w:t>
      </w:r>
      <w:r w:rsidRPr="00E71F58">
        <w:t xml:space="preserve">claim made against them, meaning </w:t>
      </w:r>
      <w:r>
        <w:t>that for up to 3</w:t>
      </w:r>
      <w:r w:rsidR="00EC06FA">
        <w:t>5</w:t>
      </w:r>
      <w:r>
        <w:t xml:space="preserve">% of </w:t>
      </w:r>
      <w:r w:rsidR="003A35A9">
        <w:t xml:space="preserve">rental </w:t>
      </w:r>
      <w:r>
        <w:t>agreements that ended that year,</w:t>
      </w:r>
      <w:r>
        <w:rPr>
          <w:rStyle w:val="FootnoteReference"/>
        </w:rPr>
        <w:footnoteReference w:id="40"/>
      </w:r>
      <w:r>
        <w:t xml:space="preserve"> bond refunds to renters may have experienced some additional delay while the claim amount was agreed between parties. </w:t>
      </w:r>
    </w:p>
    <w:p w14:paraId="72B2F639" w14:textId="29919D49" w:rsidR="00A26C3F" w:rsidRDefault="00A26C3F" w:rsidP="00A26C3F">
      <w:pPr>
        <w:pStyle w:val="Body"/>
      </w:pPr>
      <w:r>
        <w:t xml:space="preserve">In addition to this, </w:t>
      </w:r>
      <w:r w:rsidR="006D4145">
        <w:t>4</w:t>
      </w:r>
      <w:r>
        <w:t>% of bond claims made in 2024 were escalated to VCAT, further extending the delay of bond refunds and thus the period of double bond payment for renters.</w:t>
      </w:r>
      <w:r>
        <w:rPr>
          <w:rStyle w:val="FootnoteReference"/>
        </w:rPr>
        <w:footnoteReference w:id="41"/>
      </w:r>
      <w:r>
        <w:t xml:space="preserve"> If the bond claim is disputed, it takes on average about 13 days to resolve through RDRV</w:t>
      </w:r>
      <w:r w:rsidR="000C2886">
        <w:t>,</w:t>
      </w:r>
      <w:r>
        <w:rPr>
          <w:rStyle w:val="FootnoteReference"/>
        </w:rPr>
        <w:footnoteReference w:id="42"/>
      </w:r>
      <w:r>
        <w:t xml:space="preserve"> or about 6 weeks at VCAT</w:t>
      </w:r>
      <w:r w:rsidR="000C2886">
        <w:t>,</w:t>
      </w:r>
      <w:r>
        <w:rPr>
          <w:rStyle w:val="FootnoteReference"/>
        </w:rPr>
        <w:footnoteReference w:id="43"/>
      </w:r>
      <w:r>
        <w:t xml:space="preserve"> but can take several months in some cases. </w:t>
      </w:r>
      <w:r w:rsidR="005A6015">
        <w:t xml:space="preserve"> </w:t>
      </w:r>
    </w:p>
    <w:p w14:paraId="569CD414" w14:textId="77777777" w:rsidR="00A26C3F" w:rsidRDefault="00A26C3F" w:rsidP="00A26C3F">
      <w:pPr>
        <w:pStyle w:val="Heading4"/>
        <w:ind w:left="0"/>
      </w:pPr>
      <w:r>
        <w:t>Both renters and rental providers face administrative burdens through the current rental bond process</w:t>
      </w:r>
    </w:p>
    <w:p w14:paraId="2C10B52A" w14:textId="4009D857" w:rsidR="0047159D" w:rsidRDefault="00B46119" w:rsidP="00A26C3F">
      <w:pPr>
        <w:pStyle w:val="Body"/>
      </w:pPr>
      <w:r>
        <w:t>The current</w:t>
      </w:r>
      <w:r w:rsidR="00560C67">
        <w:t xml:space="preserve"> rental bond</w:t>
      </w:r>
      <w:r>
        <w:t xml:space="preserve"> process</w:t>
      </w:r>
      <w:r w:rsidR="00560C67">
        <w:t xml:space="preserve"> </w:t>
      </w:r>
      <w:r w:rsidR="00EA74C3">
        <w:t>involve</w:t>
      </w:r>
      <w:r w:rsidR="00560C67">
        <w:t>s</w:t>
      </w:r>
      <w:r w:rsidR="00EA74C3">
        <w:t xml:space="preserve"> double handling of </w:t>
      </w:r>
      <w:r w:rsidR="00E7028A">
        <w:t xml:space="preserve">bond amounts </w:t>
      </w:r>
      <w:r w:rsidR="00560C67">
        <w:t xml:space="preserve">by rental providers </w:t>
      </w:r>
      <w:r w:rsidR="007F181B">
        <w:t xml:space="preserve">and </w:t>
      </w:r>
      <w:r w:rsidR="0057166C">
        <w:t>additional</w:t>
      </w:r>
      <w:r w:rsidR="0090738F">
        <w:t xml:space="preserve"> steps </w:t>
      </w:r>
      <w:r w:rsidR="00F13521">
        <w:t>between renter</w:t>
      </w:r>
      <w:r w:rsidR="009642BD">
        <w:t>s</w:t>
      </w:r>
      <w:r w:rsidR="00F13521">
        <w:t xml:space="preserve"> and rental providers</w:t>
      </w:r>
      <w:r w:rsidR="009642BD">
        <w:t xml:space="preserve"> </w:t>
      </w:r>
      <w:r w:rsidR="00071852">
        <w:t xml:space="preserve">to </w:t>
      </w:r>
      <w:r w:rsidR="001A1A18">
        <w:t xml:space="preserve">request </w:t>
      </w:r>
      <w:r w:rsidR="00A10B38">
        <w:t xml:space="preserve">a bond </w:t>
      </w:r>
      <w:r w:rsidR="00BE2DF1">
        <w:t>refund</w:t>
      </w:r>
      <w:r w:rsidR="003211A4">
        <w:t>. This creates</w:t>
      </w:r>
      <w:r w:rsidR="001F5497">
        <w:t xml:space="preserve"> administrative burden </w:t>
      </w:r>
      <w:r w:rsidR="00071852">
        <w:t xml:space="preserve">and </w:t>
      </w:r>
      <w:r w:rsidR="00706F6E">
        <w:t xml:space="preserve">can </w:t>
      </w:r>
      <w:r w:rsidR="00071852">
        <w:t xml:space="preserve">introduce time delays for renters and </w:t>
      </w:r>
      <w:r w:rsidR="003211A4">
        <w:t>rental providers</w:t>
      </w:r>
      <w:r w:rsidR="001F5497">
        <w:t>.</w:t>
      </w:r>
      <w:r w:rsidR="00F13521">
        <w:t xml:space="preserve"> </w:t>
      </w:r>
    </w:p>
    <w:p w14:paraId="415E5315" w14:textId="53B63E30" w:rsidR="00A26C3F" w:rsidRPr="000F65FE" w:rsidRDefault="0047159D" w:rsidP="00A26C3F">
      <w:pPr>
        <w:pStyle w:val="Body"/>
      </w:pPr>
      <w:r w:rsidRPr="0047159D">
        <w:t>Under the existing model, renters can pay the bond amount to a rental provider, who then lodges the bond with the RTBA</w:t>
      </w:r>
      <w:r w:rsidR="00862DAB">
        <w:t xml:space="preserve"> or</w:t>
      </w:r>
      <w:r w:rsidR="00704852">
        <w:t>,</w:t>
      </w:r>
      <w:r w:rsidRPr="0047159D">
        <w:t xml:space="preserve"> after the rental provider lodges the bond</w:t>
      </w:r>
      <w:r w:rsidR="00345435">
        <w:t xml:space="preserve"> lodgement form</w:t>
      </w:r>
      <w:r w:rsidR="00D47E86">
        <w:t>, the renter can then pay the bond directly to the RTBA</w:t>
      </w:r>
      <w:r w:rsidRPr="0047159D">
        <w:t xml:space="preserve">. At the end of a </w:t>
      </w:r>
      <w:r w:rsidR="003A35A9">
        <w:t>rental</w:t>
      </w:r>
      <w:r w:rsidRPr="0047159D">
        <w:t xml:space="preserve"> agreement, the renter will vacate the rental </w:t>
      </w:r>
      <w:r w:rsidR="00BE3799">
        <w:t>property</w:t>
      </w:r>
      <w:r w:rsidRPr="0047159D">
        <w:t xml:space="preserve"> and the rental provider will undertake a final inspection</w:t>
      </w:r>
      <w:r w:rsidR="009E78FE">
        <w:t xml:space="preserve">, </w:t>
      </w:r>
      <w:r w:rsidRPr="0047159D">
        <w:t>which will inform the bond claim amount. Rental providers typically start the bond claim process</w:t>
      </w:r>
      <w:r w:rsidR="00CC4171">
        <w:t xml:space="preserve"> on behalf of the renter</w:t>
      </w:r>
      <w:r w:rsidR="00B34D76">
        <w:t xml:space="preserve"> </w:t>
      </w:r>
      <w:r w:rsidRPr="0047159D">
        <w:t>through RTBA Online,</w:t>
      </w:r>
      <w:r w:rsidRPr="00862DAB">
        <w:rPr>
          <w:rStyle w:val="FootnoteReference"/>
        </w:rPr>
        <w:t xml:space="preserve"> </w:t>
      </w:r>
      <w:r w:rsidRPr="0047159D">
        <w:t>once the parties have agreed on the repayment of the bond.</w:t>
      </w:r>
      <w:r w:rsidR="00CC4171">
        <w:rPr>
          <w:rStyle w:val="FootnoteReference"/>
        </w:rPr>
        <w:footnoteReference w:id="44"/>
      </w:r>
      <w:r w:rsidR="00CC4171" w:rsidRPr="0047159D">
        <w:t xml:space="preserve"> </w:t>
      </w:r>
      <w:r w:rsidR="001A7A74">
        <w:t>U</w:t>
      </w:r>
      <w:r w:rsidRPr="0047159D">
        <w:t xml:space="preserve">nder the PRBS, the transfer of bond process will be completed by the renter after the rental provider has submitted the bond lodgement form through RTBA </w:t>
      </w:r>
      <w:r w:rsidR="00352640">
        <w:t>O</w:t>
      </w:r>
      <w:r w:rsidRPr="0047159D">
        <w:t>nline. This will reduce administrative processes.</w:t>
      </w:r>
      <w:r w:rsidR="00A26C3F">
        <w:t xml:space="preserve"> </w:t>
      </w:r>
    </w:p>
    <w:p w14:paraId="27446F6E" w14:textId="296B5D59" w:rsidR="002F6963" w:rsidRDefault="002F6963" w:rsidP="002F6963">
      <w:pPr>
        <w:pStyle w:val="Heading2"/>
      </w:pPr>
      <w:bookmarkStart w:id="22" w:name="_Toc221890892"/>
      <w:r>
        <w:lastRenderedPageBreak/>
        <w:t>Defining the base case</w:t>
      </w:r>
      <w:bookmarkEnd w:id="22"/>
    </w:p>
    <w:p w14:paraId="4212B0AE" w14:textId="5FAC8B17" w:rsidR="00857E89" w:rsidRDefault="0068546F" w:rsidP="0016356A">
      <w:pPr>
        <w:pStyle w:val="Body"/>
      </w:pPr>
      <w:r>
        <w:t xml:space="preserve">In this RIS, </w:t>
      </w:r>
      <w:r w:rsidR="007234B0">
        <w:t>the</w:t>
      </w:r>
      <w:r w:rsidR="00E54A9D">
        <w:t xml:space="preserve"> </w:t>
      </w:r>
      <w:r w:rsidR="006865EB">
        <w:t>base case</w:t>
      </w:r>
      <w:r>
        <w:t xml:space="preserve"> is defined as the scenario where</w:t>
      </w:r>
      <w:r w:rsidR="008343E1">
        <w:t xml:space="preserve"> the</w:t>
      </w:r>
      <w:r w:rsidR="00BC17A2">
        <w:t xml:space="preserve"> </w:t>
      </w:r>
      <w:r w:rsidR="008343E1">
        <w:t xml:space="preserve">Regulations </w:t>
      </w:r>
      <w:r w:rsidR="00BC17A2">
        <w:t xml:space="preserve">are </w:t>
      </w:r>
      <w:r w:rsidR="008343E1">
        <w:t xml:space="preserve">not </w:t>
      </w:r>
      <w:r w:rsidR="00D71AFC">
        <w:t>introduced</w:t>
      </w:r>
      <w:r w:rsidR="008343E1">
        <w:t>, but</w:t>
      </w:r>
      <w:r w:rsidR="000C50A5">
        <w:t xml:space="preserve"> where</w:t>
      </w:r>
      <w:r w:rsidR="007234B0">
        <w:t xml:space="preserve"> the PRBS would operate </w:t>
      </w:r>
      <w:r w:rsidR="00645FB5">
        <w:t>as outlined in the amendments to the RT Act</w:t>
      </w:r>
      <w:r w:rsidR="008343E1">
        <w:t xml:space="preserve">. In this scenario, </w:t>
      </w:r>
      <w:r w:rsidR="003A4554">
        <w:t>and as outlined in the</w:t>
      </w:r>
      <w:r w:rsidR="00857E89">
        <w:t xml:space="preserve"> new </w:t>
      </w:r>
      <w:r w:rsidR="00F92C49">
        <w:t>Section</w:t>
      </w:r>
      <w:r w:rsidR="00857E89">
        <w:t xml:space="preserve"> 423A of the</w:t>
      </w:r>
      <w:r w:rsidR="003A4554">
        <w:t xml:space="preserve"> amended RT Act, </w:t>
      </w:r>
      <w:r w:rsidR="008343E1">
        <w:t xml:space="preserve">the </w:t>
      </w:r>
      <w:r w:rsidR="003A4554">
        <w:t>Secretary would have administrative power to</w:t>
      </w:r>
      <w:r w:rsidR="00857E89">
        <w:t>:</w:t>
      </w:r>
    </w:p>
    <w:p w14:paraId="432D162E" w14:textId="4CB788EC" w:rsidR="00857E89" w:rsidRDefault="003A4554" w:rsidP="00857E89">
      <w:pPr>
        <w:pStyle w:val="Body"/>
        <w:numPr>
          <w:ilvl w:val="0"/>
          <w:numId w:val="130"/>
        </w:numPr>
        <w:tabs>
          <w:tab w:val="num" w:pos="1597"/>
        </w:tabs>
      </w:pPr>
      <w:r>
        <w:t>administer the transfer of bonds</w:t>
      </w:r>
      <w:r w:rsidR="00B37DE2">
        <w:t>,</w:t>
      </w:r>
    </w:p>
    <w:p w14:paraId="4D5E8B1D" w14:textId="380C94DC" w:rsidR="00857E89" w:rsidRDefault="003A4554" w:rsidP="00857E89">
      <w:pPr>
        <w:pStyle w:val="Body"/>
        <w:numPr>
          <w:ilvl w:val="0"/>
          <w:numId w:val="130"/>
        </w:numPr>
        <w:tabs>
          <w:tab w:val="num" w:pos="1597"/>
        </w:tabs>
      </w:pPr>
      <w:r>
        <w:t>assess renters’ eligibility for the scheme</w:t>
      </w:r>
      <w:r w:rsidR="00B37DE2">
        <w:t>,</w:t>
      </w:r>
    </w:p>
    <w:p w14:paraId="035E9495" w14:textId="55B78E91" w:rsidR="00EE7249" w:rsidRDefault="003B6FE4" w:rsidP="00857E89">
      <w:pPr>
        <w:pStyle w:val="Body"/>
        <w:numPr>
          <w:ilvl w:val="0"/>
          <w:numId w:val="130"/>
        </w:numPr>
        <w:tabs>
          <w:tab w:val="num" w:pos="1597"/>
        </w:tabs>
      </w:pPr>
      <w:r>
        <w:t xml:space="preserve">direct the RTBA to transfer bonds held to certain rental agreements to </w:t>
      </w:r>
      <w:r w:rsidR="00EE7249">
        <w:t>other rental agreements</w:t>
      </w:r>
      <w:r w:rsidR="00B37DE2">
        <w:t>,</w:t>
      </w:r>
    </w:p>
    <w:p w14:paraId="44498FFC" w14:textId="03419E48" w:rsidR="00147E06" w:rsidRDefault="006C7502" w:rsidP="00FC64F5">
      <w:pPr>
        <w:pStyle w:val="Body"/>
        <w:numPr>
          <w:ilvl w:val="0"/>
          <w:numId w:val="130"/>
        </w:numPr>
        <w:tabs>
          <w:tab w:val="num" w:pos="1597"/>
        </w:tabs>
      </w:pPr>
      <w:r>
        <w:t xml:space="preserve">direct the RTBA to </w:t>
      </w:r>
      <w:r w:rsidR="00687A40">
        <w:t>pay claims for repayments of bonds in relation to rental agreements after the bonds have been transferred</w:t>
      </w:r>
      <w:r w:rsidR="00B37DE2">
        <w:t>,</w:t>
      </w:r>
      <w:r w:rsidR="00E37E61">
        <w:t xml:space="preserve"> </w:t>
      </w:r>
      <w:r w:rsidR="001F135A">
        <w:t>and</w:t>
      </w:r>
    </w:p>
    <w:p w14:paraId="0B6D0435" w14:textId="23DF2CA6" w:rsidR="00FC64F5" w:rsidRDefault="00FC64F5" w:rsidP="00FC64F5">
      <w:pPr>
        <w:pStyle w:val="Body"/>
        <w:numPr>
          <w:ilvl w:val="0"/>
          <w:numId w:val="130"/>
        </w:numPr>
        <w:tabs>
          <w:tab w:val="num" w:pos="1597"/>
        </w:tabs>
      </w:pPr>
      <w:r>
        <w:t xml:space="preserve">issue </w:t>
      </w:r>
      <w:r w:rsidR="00605FE6">
        <w:t xml:space="preserve">the </w:t>
      </w:r>
      <w:r>
        <w:t>Guidelines for the operationalisation of the PRBS</w:t>
      </w:r>
      <w:r w:rsidR="00C762D7">
        <w:t>.</w:t>
      </w:r>
    </w:p>
    <w:p w14:paraId="733441D4" w14:textId="03E26676" w:rsidR="00514C38" w:rsidRDefault="00E713E6">
      <w:pPr>
        <w:pStyle w:val="Body"/>
        <w:tabs>
          <w:tab w:val="num" w:pos="1597"/>
        </w:tabs>
      </w:pPr>
      <w:r>
        <w:t>T</w:t>
      </w:r>
      <w:r w:rsidR="00DC2853">
        <w:t>he absence of</w:t>
      </w:r>
      <w:r>
        <w:t xml:space="preserve"> the </w:t>
      </w:r>
      <w:r w:rsidR="00DC2853">
        <w:t xml:space="preserve">Regulations in this scenario would </w:t>
      </w:r>
      <w:r w:rsidR="007A5FDC">
        <w:t>prevent any</w:t>
      </w:r>
      <w:r w:rsidR="00552C93">
        <w:t xml:space="preserve"> fee</w:t>
      </w:r>
      <w:r w:rsidR="002A2221">
        <w:t>s</w:t>
      </w:r>
      <w:r w:rsidR="00552C93">
        <w:t xml:space="preserve"> </w:t>
      </w:r>
      <w:r w:rsidR="00F544FD">
        <w:t xml:space="preserve">from being </w:t>
      </w:r>
      <w:r w:rsidR="001F7B69">
        <w:t xml:space="preserve">charged </w:t>
      </w:r>
      <w:r w:rsidR="00F544FD">
        <w:t xml:space="preserve">in relation to </w:t>
      </w:r>
      <w:r w:rsidR="0010791F">
        <w:t>the</w:t>
      </w:r>
      <w:r w:rsidR="00552C93">
        <w:t xml:space="preserve"> PRB</w:t>
      </w:r>
      <w:r w:rsidR="0016356A">
        <w:t>S</w:t>
      </w:r>
      <w:r w:rsidR="00F544FD">
        <w:t xml:space="preserve">, and </w:t>
      </w:r>
      <w:r w:rsidR="0064012C">
        <w:t xml:space="preserve">prevent the Government from </w:t>
      </w:r>
      <w:r w:rsidR="003F3562">
        <w:t xml:space="preserve">taking </w:t>
      </w:r>
      <w:r w:rsidR="0064012C">
        <w:t>defined actions to recover unpaid debts established through the PRBS</w:t>
      </w:r>
      <w:r w:rsidR="007A5FDC">
        <w:t>.</w:t>
      </w:r>
      <w:r w:rsidR="00DE6367">
        <w:t xml:space="preserve"> </w:t>
      </w:r>
      <w:r w:rsidR="003F3562">
        <w:t xml:space="preserve">Specifically, this means: </w:t>
      </w:r>
    </w:p>
    <w:p w14:paraId="26B7A162" w14:textId="5D9F6479" w:rsidR="003F3562" w:rsidRDefault="001126E2" w:rsidP="003F3562">
      <w:pPr>
        <w:pStyle w:val="Body"/>
        <w:numPr>
          <w:ilvl w:val="0"/>
          <w:numId w:val="156"/>
        </w:numPr>
      </w:pPr>
      <w:r>
        <w:t>t</w:t>
      </w:r>
      <w:r w:rsidR="003F3562">
        <w:t xml:space="preserve">he application fee for the </w:t>
      </w:r>
      <w:r w:rsidR="008B588F">
        <w:t>PRBS would be set to $0</w:t>
      </w:r>
      <w:r w:rsidR="00B37DE2">
        <w:t>,</w:t>
      </w:r>
    </w:p>
    <w:p w14:paraId="5E8224D7" w14:textId="504E9C40" w:rsidR="008B588F" w:rsidRDefault="001126E2" w:rsidP="003F3562">
      <w:pPr>
        <w:pStyle w:val="Body"/>
        <w:numPr>
          <w:ilvl w:val="0"/>
          <w:numId w:val="156"/>
        </w:numPr>
      </w:pPr>
      <w:r>
        <w:t>t</w:t>
      </w:r>
      <w:r w:rsidR="008B588F">
        <w:t>he debt recovery fee for overdue debts would be set to $0</w:t>
      </w:r>
      <w:r>
        <w:t>, and</w:t>
      </w:r>
      <w:r w:rsidR="008B588F">
        <w:t xml:space="preserve"> </w:t>
      </w:r>
    </w:p>
    <w:p w14:paraId="3E199447" w14:textId="6BA1B0ED" w:rsidR="008B588F" w:rsidRDefault="001126E2" w:rsidP="001F576E">
      <w:pPr>
        <w:pStyle w:val="Body"/>
        <w:numPr>
          <w:ilvl w:val="0"/>
          <w:numId w:val="156"/>
        </w:numPr>
      </w:pPr>
      <w:r>
        <w:t>t</w:t>
      </w:r>
      <w:r w:rsidR="008B588F">
        <w:t>here would be no prescribed</w:t>
      </w:r>
      <w:r w:rsidR="00B55107">
        <w:t xml:space="preserve"> administrative processes, manner or conduct </w:t>
      </w:r>
      <w:r w:rsidR="00E94022">
        <w:t xml:space="preserve">for the recovery of debts </w:t>
      </w:r>
      <w:r w:rsidR="00F520A0">
        <w:t>due</w:t>
      </w:r>
      <w:r w:rsidR="00E94022">
        <w:t xml:space="preserve"> to the State</w:t>
      </w:r>
      <w:r w:rsidR="00F520A0">
        <w:t xml:space="preserve">. (Note that </w:t>
      </w:r>
      <w:r w:rsidR="00B4696D">
        <w:t xml:space="preserve">new Section 7 of the amended RT Act states that the Regulations are to </w:t>
      </w:r>
      <w:r w:rsidR="0000738B">
        <w:t>prescribe debt recovery actions such as notices of debt, reminder notices, final reminder notices or notices of final demand).</w:t>
      </w:r>
    </w:p>
    <w:p w14:paraId="76440ED7" w14:textId="0740CE88" w:rsidR="00A84801" w:rsidRDefault="006F5A1C">
      <w:pPr>
        <w:pStyle w:val="Body"/>
        <w:tabs>
          <w:tab w:val="num" w:pos="1597"/>
        </w:tabs>
      </w:pPr>
      <w:r>
        <w:t>Without fees, the Government would not be able to recover the costs of operating the PRBS</w:t>
      </w:r>
      <w:r w:rsidR="0042750F">
        <w:t>. Instead, these costs would</w:t>
      </w:r>
      <w:r w:rsidR="00C462AA">
        <w:t xml:space="preserve"> be paid for through general tax revenue</w:t>
      </w:r>
      <w:r>
        <w:t xml:space="preserve">. </w:t>
      </w:r>
      <w:r w:rsidR="00C462AA">
        <w:t xml:space="preserve">The cost of operating the PRBS </w:t>
      </w:r>
      <w:r>
        <w:t>is estimated at approximately $2.</w:t>
      </w:r>
      <w:r w:rsidR="00547EB7">
        <w:t>9</w:t>
      </w:r>
      <w:r w:rsidR="007738C2">
        <w:t xml:space="preserve"> </w:t>
      </w:r>
      <w:r>
        <w:t>m</w:t>
      </w:r>
      <w:r w:rsidR="007738C2">
        <w:t>illion</w:t>
      </w:r>
      <w:r>
        <w:t xml:space="preserve"> </w:t>
      </w:r>
      <w:r w:rsidR="00C462AA">
        <w:t>for 202</w:t>
      </w:r>
      <w:r w:rsidR="00547EB7">
        <w:t>6</w:t>
      </w:r>
      <w:r w:rsidR="00C462AA">
        <w:t>-</w:t>
      </w:r>
      <w:r w:rsidR="00547EB7">
        <w:t>35 on average per year</w:t>
      </w:r>
      <w:r w:rsidR="00DF14FC">
        <w:t xml:space="preserve">, </w:t>
      </w:r>
      <w:r>
        <w:t xml:space="preserve">plus </w:t>
      </w:r>
      <w:r w:rsidR="00C462AA">
        <w:t xml:space="preserve">a level of </w:t>
      </w:r>
      <w:r>
        <w:t>debt write off, as outlined in Chapter 5</w:t>
      </w:r>
      <w:r w:rsidR="009D20DB">
        <w:t>.</w:t>
      </w:r>
      <w:r>
        <w:t xml:space="preserve"> </w:t>
      </w:r>
    </w:p>
    <w:p w14:paraId="6959DC8D" w14:textId="27821408" w:rsidR="00F73506" w:rsidRDefault="00DF646D" w:rsidP="001F576E">
      <w:pPr>
        <w:pStyle w:val="Body"/>
        <w:tabs>
          <w:tab w:val="num" w:pos="1597"/>
        </w:tabs>
      </w:pPr>
      <w:r w:rsidRPr="00DF646D">
        <w:t xml:space="preserve">Debt collection action and fees are intended to be prescribed in </w:t>
      </w:r>
      <w:r w:rsidR="005B6036">
        <w:t>the</w:t>
      </w:r>
      <w:r w:rsidRPr="00DF646D">
        <w:t xml:space="preserve"> Regulations. If </w:t>
      </w:r>
      <w:r w:rsidR="005B6036">
        <w:t>the</w:t>
      </w:r>
      <w:r w:rsidRPr="00DF646D">
        <w:t xml:space="preserve"> Regulations are not made</w:t>
      </w:r>
      <w:r w:rsidR="00F1148A" w:rsidRPr="00DF646D">
        <w:t>,</w:t>
      </w:r>
      <w:r w:rsidRPr="00DF646D">
        <w:t xml:space="preserve"> then actions by the Secretary which are outlined in the </w:t>
      </w:r>
      <w:r w:rsidR="00F1148A">
        <w:t xml:space="preserve">amended RT </w:t>
      </w:r>
      <w:r w:rsidRPr="00DF646D">
        <w:t xml:space="preserve">Act as </w:t>
      </w:r>
      <w:r w:rsidR="00F1148A">
        <w:t>‘</w:t>
      </w:r>
      <w:r w:rsidRPr="00DF646D">
        <w:t xml:space="preserve">being </w:t>
      </w:r>
      <w:r w:rsidR="00F1148A">
        <w:t>prescribed’</w:t>
      </w:r>
      <w:r w:rsidRPr="00DF646D">
        <w:t xml:space="preserve"> cannot be taken</w:t>
      </w:r>
      <w:r w:rsidR="00EC1D9D">
        <w:t xml:space="preserve"> by</w:t>
      </w:r>
      <w:r w:rsidRPr="00DF646D">
        <w:t xml:space="preserve"> Government</w:t>
      </w:r>
      <w:r w:rsidR="0073653D">
        <w:t xml:space="preserve"> to recover unpaid debts. </w:t>
      </w:r>
      <w:r w:rsidR="00B54C85">
        <w:t>T</w:t>
      </w:r>
      <w:r w:rsidR="003E7412">
        <w:t>here would also be a lack of clarit</w:t>
      </w:r>
      <w:r w:rsidR="00EA5927">
        <w:t xml:space="preserve">y about the arrangements for when and how the </w:t>
      </w:r>
      <w:r w:rsidR="00485F6E">
        <w:t xml:space="preserve">Government </w:t>
      </w:r>
      <w:r w:rsidR="00EA5927">
        <w:t>c</w:t>
      </w:r>
      <w:r w:rsidR="00485F6E">
        <w:t xml:space="preserve">ould refer </w:t>
      </w:r>
      <w:r w:rsidR="003B3CB9">
        <w:t xml:space="preserve">debts to a </w:t>
      </w:r>
      <w:r w:rsidR="00265D08">
        <w:t>DCA</w:t>
      </w:r>
      <w:r w:rsidR="009713E6">
        <w:t xml:space="preserve">. </w:t>
      </w:r>
      <w:r w:rsidR="005D7206">
        <w:t>This</w:t>
      </w:r>
      <w:r w:rsidR="00943461">
        <w:t xml:space="preserve"> scenario would </w:t>
      </w:r>
      <w:r w:rsidR="000816E2">
        <w:t xml:space="preserve">result in uncertainty for renters and limit the effective administration of the scheme. </w:t>
      </w:r>
    </w:p>
    <w:p w14:paraId="264898A6" w14:textId="095B4382" w:rsidR="00047276" w:rsidRDefault="00E53271" w:rsidP="001F7D9A">
      <w:pPr>
        <w:pStyle w:val="Heading3"/>
      </w:pPr>
      <w:r>
        <w:t>Rental</w:t>
      </w:r>
      <w:r w:rsidR="00CB1A5D">
        <w:t xml:space="preserve"> bond </w:t>
      </w:r>
      <w:r>
        <w:t>reform</w:t>
      </w:r>
      <w:r w:rsidR="00CB1A5D">
        <w:t xml:space="preserve"> outside of the Regulations</w:t>
      </w:r>
    </w:p>
    <w:p w14:paraId="16A84CA3" w14:textId="64A3800F" w:rsidR="00047276" w:rsidRDefault="00FA1D55" w:rsidP="00047276">
      <w:pPr>
        <w:pStyle w:val="Body"/>
      </w:pPr>
      <w:r>
        <w:t xml:space="preserve">Beyond the absence of </w:t>
      </w:r>
      <w:r w:rsidR="003B0E54">
        <w:t>the</w:t>
      </w:r>
      <w:r>
        <w:t xml:space="preserve"> Regulations, the base case </w:t>
      </w:r>
      <w:r w:rsidR="00C30A9A">
        <w:t>is</w:t>
      </w:r>
      <w:r>
        <w:t xml:space="preserve"> characterised by </w:t>
      </w:r>
      <w:r w:rsidR="003D5F61">
        <w:t xml:space="preserve">other </w:t>
      </w:r>
      <w:r w:rsidR="003B0E54">
        <w:t xml:space="preserve">recently legislated </w:t>
      </w:r>
      <w:r w:rsidR="00544F3E">
        <w:t xml:space="preserve">rental </w:t>
      </w:r>
      <w:r w:rsidR="003D5F61">
        <w:t>reforms</w:t>
      </w:r>
      <w:r w:rsidR="009731E8">
        <w:t>, such as</w:t>
      </w:r>
      <w:r w:rsidR="00CB1A5D">
        <w:t xml:space="preserve"> reforms to the evidence requirements for bond claims</w:t>
      </w:r>
      <w:r w:rsidR="007B0952">
        <w:t>.</w:t>
      </w:r>
      <w:r w:rsidR="009731E8">
        <w:t xml:space="preserve"> </w:t>
      </w:r>
      <w:r w:rsidR="00142938">
        <w:t>The amended</w:t>
      </w:r>
      <w:r w:rsidR="009731E8">
        <w:t xml:space="preserve"> RT Act </w:t>
      </w:r>
      <w:r w:rsidR="00142938">
        <w:t xml:space="preserve">will deliver </w:t>
      </w:r>
      <w:r w:rsidR="00047276">
        <w:t xml:space="preserve">renter protection reforms, announced on 30 October 2024, that will complement the PRBS </w:t>
      </w:r>
      <w:r w:rsidR="00E921E7">
        <w:t>by introducing</w:t>
      </w:r>
      <w:r w:rsidR="00047276">
        <w:t xml:space="preserve"> documentary evidence requirements for bond claims made by rental providers or their agents. </w:t>
      </w:r>
    </w:p>
    <w:p w14:paraId="72BDDC45" w14:textId="738AD7C9" w:rsidR="00047276" w:rsidRDefault="00E921E7" w:rsidP="00047276">
      <w:pPr>
        <w:pStyle w:val="Body"/>
      </w:pPr>
      <w:r>
        <w:t xml:space="preserve">The aim of this reform is to address </w:t>
      </w:r>
      <w:r w:rsidR="00964ED0">
        <w:t>renters’</w:t>
      </w:r>
      <w:r w:rsidR="00554523" w:rsidRPr="00554523">
        <w:t xml:space="preserve"> </w:t>
      </w:r>
      <w:r w:rsidR="00964ED0">
        <w:t>vulnerability</w:t>
      </w:r>
      <w:r w:rsidR="00554523" w:rsidRPr="00554523">
        <w:t xml:space="preserve"> to baseless or inflated bond claims, which can create financial stress</w:t>
      </w:r>
      <w:r w:rsidR="00503EBA">
        <w:t xml:space="preserve">, particularly on top of other </w:t>
      </w:r>
      <w:r w:rsidR="00554523" w:rsidRPr="00554523">
        <w:t>cost</w:t>
      </w:r>
      <w:r w:rsidR="00C14CBA">
        <w:t xml:space="preserve"> </w:t>
      </w:r>
      <w:r w:rsidR="00554523" w:rsidRPr="00554523">
        <w:t>of</w:t>
      </w:r>
      <w:r w:rsidR="00C14CBA">
        <w:t xml:space="preserve"> </w:t>
      </w:r>
      <w:r w:rsidR="00554523" w:rsidRPr="00554523">
        <w:t xml:space="preserve">living </w:t>
      </w:r>
      <w:r w:rsidR="00503EBA">
        <w:t>pressures</w:t>
      </w:r>
      <w:r w:rsidR="00554523" w:rsidRPr="00554523">
        <w:t xml:space="preserve">. </w:t>
      </w:r>
      <w:r w:rsidR="00047276">
        <w:t xml:space="preserve">Under the new requirements, rental providers or their agents will need to provide supporting documentary evidence to a renter </w:t>
      </w:r>
      <w:r w:rsidR="00C14CBA">
        <w:t>three</w:t>
      </w:r>
      <w:r w:rsidR="00047276">
        <w:t xml:space="preserve"> days before </w:t>
      </w:r>
      <w:r w:rsidR="00047276">
        <w:lastRenderedPageBreak/>
        <w:t>a bond claim is made to reduce the practice of lodging baseless bond claims.</w:t>
      </w:r>
      <w:r w:rsidR="00BD0547">
        <w:rPr>
          <w:rStyle w:val="FootnoteReference"/>
        </w:rPr>
        <w:footnoteReference w:id="45"/>
      </w:r>
      <w:r w:rsidR="00047276">
        <w:t xml:space="preserve"> Documentary evidence will include an invoice, receipt, quote, photograph or any other evidence prescribed in</w:t>
      </w:r>
      <w:r w:rsidR="00746F14">
        <w:t xml:space="preserve"> the relevant regulations</w:t>
      </w:r>
      <w:r w:rsidR="00047276">
        <w:t xml:space="preserve">. </w:t>
      </w:r>
    </w:p>
    <w:p w14:paraId="4919E13D" w14:textId="77777777" w:rsidR="002A4888" w:rsidRDefault="005A1C14">
      <w:pPr>
        <w:pStyle w:val="Body"/>
      </w:pPr>
      <w:r>
        <w:t>Amendments to the RT Act also</w:t>
      </w:r>
      <w:r w:rsidR="00047276">
        <w:t xml:space="preserve"> introduce an offence with penalties </w:t>
      </w:r>
      <w:r w:rsidR="00045A28">
        <w:t>to</w:t>
      </w:r>
      <w:r w:rsidR="00047276">
        <w:t xml:space="preserve"> rental provider</w:t>
      </w:r>
      <w:r w:rsidR="00045A28">
        <w:t>s</w:t>
      </w:r>
      <w:r w:rsidR="00047276">
        <w:t xml:space="preserve"> or agent</w:t>
      </w:r>
      <w:r w:rsidR="00045A28">
        <w:t xml:space="preserve">s who </w:t>
      </w:r>
      <w:r w:rsidR="00047276">
        <w:t xml:space="preserve">make an application to VCAT without supporting documentary evidence or if the supporting documentary evidence conflicts with a statement in a condition report. </w:t>
      </w:r>
    </w:p>
    <w:p w14:paraId="61420286" w14:textId="308527CA" w:rsidR="00503EBA" w:rsidRDefault="00B6529A">
      <w:pPr>
        <w:pStyle w:val="Body"/>
      </w:pPr>
      <w:r>
        <w:t>This reform</w:t>
      </w:r>
      <w:r w:rsidR="00D47810">
        <w:t xml:space="preserve"> </w:t>
      </w:r>
      <w:r w:rsidR="00982F84">
        <w:t xml:space="preserve">is expected to reduce the number and value of bond claims by rental providers, especially spurious claims, </w:t>
      </w:r>
      <w:r w:rsidR="00C4563E">
        <w:t>and will support</w:t>
      </w:r>
      <w:r w:rsidR="00982F84">
        <w:t xml:space="preserve"> renters who wish to negotiate the claim amount</w:t>
      </w:r>
      <w:r w:rsidR="00982F84" w:rsidRPr="008578E3">
        <w:t>.</w:t>
      </w:r>
      <w:r w:rsidR="009B2313">
        <w:t xml:space="preserve"> </w:t>
      </w:r>
      <w:r w:rsidR="00BE73F3">
        <w:t>Evidence requirements</w:t>
      </w:r>
      <w:r>
        <w:t xml:space="preserve"> for bond claims</w:t>
      </w:r>
      <w:r w:rsidR="00D47810">
        <w:t xml:space="preserve"> </w:t>
      </w:r>
      <w:r w:rsidR="009B2313" w:rsidRPr="009B2313">
        <w:t>may alter the base case for the PRBS over time</w:t>
      </w:r>
      <w:r w:rsidR="009B2313">
        <w:t>. This would occur if the reform resulted in fewer</w:t>
      </w:r>
      <w:r w:rsidR="009B2313" w:rsidRPr="009B2313">
        <w:t xml:space="preserve"> bond claims</w:t>
      </w:r>
      <w:r w:rsidR="009B2313">
        <w:t xml:space="preserve"> being placed via the PRBS</w:t>
      </w:r>
      <w:r w:rsidR="009B2313" w:rsidRPr="009B2313">
        <w:t xml:space="preserve">, and the value of bond claims </w:t>
      </w:r>
      <w:r w:rsidR="009B2313">
        <w:t>possibly being</w:t>
      </w:r>
      <w:r w:rsidR="009B2313" w:rsidRPr="009B2313">
        <w:t xml:space="preserve"> lower. </w:t>
      </w:r>
      <w:r w:rsidR="009B2313">
        <w:t xml:space="preserve">Consequently, this may reduce the level of debt established by the Government via the PRBS </w:t>
      </w:r>
      <w:r w:rsidR="009B2313" w:rsidRPr="009B2313">
        <w:t xml:space="preserve">and </w:t>
      </w:r>
      <w:r w:rsidR="002A4888">
        <w:t xml:space="preserve">thus </w:t>
      </w:r>
      <w:r w:rsidR="009B2313">
        <w:t>reduce the</w:t>
      </w:r>
      <w:r w:rsidR="009B2313" w:rsidRPr="009B2313">
        <w:t xml:space="preserve"> </w:t>
      </w:r>
      <w:r w:rsidR="009B2313">
        <w:t xml:space="preserve">balance of </w:t>
      </w:r>
      <w:r w:rsidR="00033CCE">
        <w:t>unrecovered</w:t>
      </w:r>
      <w:r w:rsidR="009B2313">
        <w:t xml:space="preserve"> debt</w:t>
      </w:r>
      <w:r w:rsidR="009B2313" w:rsidRPr="009B2313">
        <w:t xml:space="preserve">. </w:t>
      </w:r>
    </w:p>
    <w:p w14:paraId="2C8AF326" w14:textId="619054ED" w:rsidR="00982F84" w:rsidRPr="00BE5ED9" w:rsidRDefault="00C27234" w:rsidP="00BE5ED9">
      <w:pPr>
        <w:pStyle w:val="Body"/>
        <w:rPr>
          <w:rFonts w:ascii="Arial" w:eastAsia="Times" w:hAnsi="Arial"/>
        </w:rPr>
      </w:pPr>
      <w:r>
        <w:t xml:space="preserve">The amendments to the RT Act that give effect to this reform can be found in </w:t>
      </w:r>
      <w:r w:rsidR="00047276">
        <w:t xml:space="preserve">Part 2 Division 2 of the </w:t>
      </w:r>
      <w:r w:rsidR="00047276" w:rsidRPr="79E303FA">
        <w:rPr>
          <w:i/>
          <w:iCs/>
        </w:rPr>
        <w:t>Consumer Legislation Amendment Act 2026</w:t>
      </w:r>
      <w:r w:rsidR="00047276">
        <w:t xml:space="preserve">. </w:t>
      </w:r>
      <w:r w:rsidR="009D7B63">
        <w:t>These amendments will commence on 13 October 2026 or earlier on a day or days to be proclaimed.</w:t>
      </w:r>
    </w:p>
    <w:p w14:paraId="3E96A76A" w14:textId="25053027" w:rsidR="008B044E" w:rsidRPr="00EE3D8B" w:rsidRDefault="008B044E" w:rsidP="008B044E">
      <w:pPr>
        <w:pStyle w:val="Heading2"/>
      </w:pPr>
      <w:bookmarkStart w:id="23" w:name="_Toc221890893"/>
      <w:r>
        <w:t>Problems</w:t>
      </w:r>
      <w:r w:rsidRPr="000F65FE">
        <w:t xml:space="preserve"> to be addressed</w:t>
      </w:r>
      <w:r>
        <w:t xml:space="preserve"> in this RIS</w:t>
      </w:r>
      <w:bookmarkEnd w:id="23"/>
    </w:p>
    <w:p w14:paraId="3266A38B" w14:textId="77777777" w:rsidR="00A26C3F" w:rsidRDefault="00A26C3F" w:rsidP="00A26C3F">
      <w:pPr>
        <w:pStyle w:val="Body"/>
      </w:pPr>
      <w:r w:rsidRPr="00716108">
        <w:t>The central problem</w:t>
      </w:r>
      <w:r>
        <w:t>s</w:t>
      </w:r>
      <w:r w:rsidRPr="00716108">
        <w:t xml:space="preserve"> addressed in this RIS </w:t>
      </w:r>
      <w:r>
        <w:t>include:</w:t>
      </w:r>
      <w:r w:rsidRPr="00716108">
        <w:t xml:space="preserve"> </w:t>
      </w:r>
    </w:p>
    <w:p w14:paraId="269CE018" w14:textId="7C75CCE4" w:rsidR="00A26C3F" w:rsidRDefault="00A26C3F" w:rsidP="00A26C3F">
      <w:pPr>
        <w:pStyle w:val="Body"/>
        <w:numPr>
          <w:ilvl w:val="0"/>
          <w:numId w:val="52"/>
        </w:numPr>
      </w:pPr>
      <w:r w:rsidRPr="00716108">
        <w:t xml:space="preserve">the need </w:t>
      </w:r>
      <w:r>
        <w:t xml:space="preserve">for </w:t>
      </w:r>
      <w:r w:rsidRPr="00716108">
        <w:t xml:space="preserve">fees </w:t>
      </w:r>
      <w:r>
        <w:t xml:space="preserve">to be charged to recover the </w:t>
      </w:r>
      <w:r w:rsidR="00953D7A">
        <w:t xml:space="preserve">Government’s </w:t>
      </w:r>
      <w:r>
        <w:t>costs of operating the PRBS</w:t>
      </w:r>
      <w:r w:rsidRPr="00716108">
        <w:t xml:space="preserve">, and </w:t>
      </w:r>
    </w:p>
    <w:p w14:paraId="6B4DAEF7" w14:textId="5D190787" w:rsidR="00A26C3F" w:rsidRPr="00716108" w:rsidRDefault="00A26C3F" w:rsidP="00A26C3F">
      <w:pPr>
        <w:pStyle w:val="Body"/>
        <w:numPr>
          <w:ilvl w:val="0"/>
          <w:numId w:val="52"/>
        </w:numPr>
      </w:pPr>
      <w:r>
        <w:t xml:space="preserve">the need </w:t>
      </w:r>
      <w:r w:rsidR="00ED52A0">
        <w:t xml:space="preserve">for </w:t>
      </w:r>
      <w:r w:rsidR="004E7C75">
        <w:t>prescribed debt recovery actions</w:t>
      </w:r>
      <w:r>
        <w:t xml:space="preserve"> </w:t>
      </w:r>
      <w:r w:rsidR="0084122A">
        <w:t xml:space="preserve">and </w:t>
      </w:r>
      <w:r w:rsidR="00BA20BF">
        <w:t>notices</w:t>
      </w:r>
      <w:r w:rsidR="00E03F9D">
        <w:t>, to be outlined in the Regulations,</w:t>
      </w:r>
      <w:r w:rsidR="006D2A56">
        <w:t xml:space="preserve"> </w:t>
      </w:r>
      <w:r>
        <w:t xml:space="preserve">that </w:t>
      </w:r>
      <w:r w:rsidR="00953D7A">
        <w:t xml:space="preserve">Government </w:t>
      </w:r>
      <w:r>
        <w:t xml:space="preserve">can take </w:t>
      </w:r>
      <w:r w:rsidR="00BA20BF">
        <w:t xml:space="preserve">and issue </w:t>
      </w:r>
      <w:r>
        <w:t xml:space="preserve">to recover unpaid debts established through the PRBS. </w:t>
      </w:r>
    </w:p>
    <w:p w14:paraId="1E3E270E" w14:textId="38E16B8A" w:rsidR="00A26C3F" w:rsidRDefault="00A26C3F" w:rsidP="00A26C3F">
      <w:pPr>
        <w:pStyle w:val="Body"/>
      </w:pPr>
      <w:r>
        <w:t xml:space="preserve">It is anticipated that the provisions establishing the PRBS will be operational </w:t>
      </w:r>
      <w:r w:rsidR="002F52C9">
        <w:t xml:space="preserve">in </w:t>
      </w:r>
      <w:r w:rsidR="00817D38">
        <w:t>mid</w:t>
      </w:r>
      <w:r w:rsidR="00AB42B2">
        <w:t>-</w:t>
      </w:r>
      <w:r>
        <w:t xml:space="preserve">2026. Without </w:t>
      </w:r>
      <w:r w:rsidR="000A5817">
        <w:t>the</w:t>
      </w:r>
      <w:r>
        <w:t xml:space="preserve"> Regulations, there will be no ability for </w:t>
      </w:r>
      <w:r w:rsidR="00953D7A">
        <w:t>Government</w:t>
      </w:r>
      <w:r>
        <w:t xml:space="preserve"> to charge fees associated with a renter’s participation in the PRBS, no </w:t>
      </w:r>
      <w:r w:rsidR="00B62030">
        <w:t xml:space="preserve">prescribed </w:t>
      </w:r>
      <w:r>
        <w:t xml:space="preserve">actions </w:t>
      </w:r>
      <w:r w:rsidR="00C820CB">
        <w:t xml:space="preserve">in regulations </w:t>
      </w:r>
      <w:r>
        <w:t>to support the Government to recover debt</w:t>
      </w:r>
      <w:r w:rsidR="00F01557">
        <w:t xml:space="preserve"> </w:t>
      </w:r>
      <w:r>
        <w:t>and no ability to charge fees to recover the costs of these debt recovery actions. In this scenario, the PRBS’s operational costs would not be recovered</w:t>
      </w:r>
      <w:r w:rsidR="00F01557">
        <w:t xml:space="preserve"> </w:t>
      </w:r>
      <w:r>
        <w:t>and the debt write off for the Government is likely to be substantial.</w:t>
      </w:r>
    </w:p>
    <w:p w14:paraId="07CF3096" w14:textId="77777777" w:rsidR="006F4724" w:rsidRPr="00045769" w:rsidRDefault="006F4724" w:rsidP="006F4724">
      <w:pPr>
        <w:pStyle w:val="Heading3"/>
      </w:pPr>
      <w:r w:rsidRPr="00045769">
        <w:t xml:space="preserve">Absence of PRBS fees </w:t>
      </w:r>
    </w:p>
    <w:p w14:paraId="328793B4" w14:textId="77777777" w:rsidR="006F4724" w:rsidRDefault="006F4724" w:rsidP="006F4724">
      <w:pPr>
        <w:pStyle w:val="Body"/>
      </w:pPr>
      <w:r>
        <w:t xml:space="preserve">The amendments to the RT Act provide the ability for the Government to prescribe certain fees related to the PRBS. </w:t>
      </w:r>
      <w:r w:rsidRPr="00C26C34">
        <w:t>This includes a fee associated with a renter’s application to transfer a bond under the PRBS (an application fee)</w:t>
      </w:r>
      <w:r>
        <w:t xml:space="preserve"> and</w:t>
      </w:r>
      <w:r w:rsidRPr="00C26C34">
        <w:t xml:space="preserve"> a fee associated with debt recovery actions taken by the </w:t>
      </w:r>
      <w:r>
        <w:t>Government</w:t>
      </w:r>
      <w:r w:rsidRPr="00C26C34">
        <w:t xml:space="preserve"> (a debt recovery fee)</w:t>
      </w:r>
      <w:r>
        <w:t xml:space="preserve">. </w:t>
      </w:r>
      <w:r w:rsidRPr="00222C10">
        <w:t xml:space="preserve">Although </w:t>
      </w:r>
      <w:r>
        <w:t>this</w:t>
      </w:r>
      <w:r w:rsidRPr="00222C10">
        <w:t xml:space="preserve"> legislative framework for charging fees for the PRBS exists, </w:t>
      </w:r>
      <w:r>
        <w:t xml:space="preserve">in the base case </w:t>
      </w:r>
      <w:r w:rsidRPr="00222C10">
        <w:t xml:space="preserve">there are no regulations prescribing these fees. </w:t>
      </w:r>
      <w:r>
        <w:t xml:space="preserve">The Regulations will provide the legal and administrative basis for Government to charge fees at a level that supports cost recovery for the PRBS. </w:t>
      </w:r>
    </w:p>
    <w:p w14:paraId="163A367C" w14:textId="2E569D8C" w:rsidR="006F4724" w:rsidRDefault="006F4724" w:rsidP="006F4724">
      <w:pPr>
        <w:pStyle w:val="Body"/>
      </w:pPr>
      <w:r>
        <w:t xml:space="preserve">In the base case scenario, without the Regulations, the PRBS application fee would be set to $0. </w:t>
      </w:r>
      <w:r w:rsidRPr="00186F20">
        <w:t xml:space="preserve">Victorian taxpayers </w:t>
      </w:r>
      <w:r>
        <w:t>would</w:t>
      </w:r>
      <w:r w:rsidRPr="00186F20">
        <w:t xml:space="preserve"> effectively </w:t>
      </w:r>
      <w:r>
        <w:t>bear the burden of funding the PRBS (estimated for 202</w:t>
      </w:r>
      <w:r w:rsidR="0098515C">
        <w:t>6</w:t>
      </w:r>
      <w:r>
        <w:t>-</w:t>
      </w:r>
      <w:r w:rsidR="0098515C">
        <w:t>35</w:t>
      </w:r>
      <w:r>
        <w:t xml:space="preserve"> at approximately </w:t>
      </w:r>
      <w:r w:rsidRPr="00B11F5C">
        <w:t>$2.</w:t>
      </w:r>
      <w:r w:rsidR="0098515C">
        <w:t>9</w:t>
      </w:r>
      <w:r w:rsidRPr="00B11F5C">
        <w:t>m per year</w:t>
      </w:r>
      <w:r w:rsidR="0098515C">
        <w:t xml:space="preserve"> on average</w:t>
      </w:r>
      <w:r>
        <w:t xml:space="preserve">, plus any debt write off, as outlined in Chapter 5) rather than PRBS users. </w:t>
      </w:r>
      <w:r w:rsidRPr="00186F20">
        <w:t xml:space="preserve">This is inconsistent with the principles </w:t>
      </w:r>
      <w:r>
        <w:t>contained in</w:t>
      </w:r>
      <w:r w:rsidRPr="00186F20">
        <w:t xml:space="preserve"> the </w:t>
      </w:r>
      <w:r w:rsidRPr="00186F20">
        <w:rPr>
          <w:i/>
          <w:iCs/>
        </w:rPr>
        <w:t>Pricing for Value</w:t>
      </w:r>
      <w:r w:rsidRPr="00186F20">
        <w:t xml:space="preserve"> </w:t>
      </w:r>
      <w:r w:rsidRPr="00657C42">
        <w:rPr>
          <w:i/>
          <w:iCs/>
        </w:rPr>
        <w:t>Guide</w:t>
      </w:r>
      <w:r>
        <w:t xml:space="preserve"> </w:t>
      </w:r>
      <w:r w:rsidRPr="00186F20">
        <w:t xml:space="preserve">established by the </w:t>
      </w:r>
      <w:r>
        <w:t>Department of Treasury and Finance</w:t>
      </w:r>
      <w:r w:rsidRPr="00186F20">
        <w:t xml:space="preserve">. Principle 1 notes the </w:t>
      </w:r>
      <w:r>
        <w:t>PRBS</w:t>
      </w:r>
      <w:r w:rsidRPr="00186F20">
        <w:t xml:space="preserve"> should operate with the aim to recover the full costs of services provided to ensure efficient resource allocation</w:t>
      </w:r>
      <w:r>
        <w:t xml:space="preserve">. </w:t>
      </w:r>
      <w:r w:rsidRPr="00186F20">
        <w:t xml:space="preserve">Principle 2 notes participants in the </w:t>
      </w:r>
      <w:r>
        <w:t>PRBS</w:t>
      </w:r>
      <w:r w:rsidRPr="00186F20">
        <w:t xml:space="preserve"> should be required to pay </w:t>
      </w:r>
      <w:r>
        <w:t xml:space="preserve">associated costs. </w:t>
      </w:r>
    </w:p>
    <w:p w14:paraId="52490192" w14:textId="77777777" w:rsidR="006F4724" w:rsidRDefault="006F4724" w:rsidP="006F4724">
      <w:pPr>
        <w:pStyle w:val="Body"/>
      </w:pPr>
      <w:r>
        <w:lastRenderedPageBreak/>
        <w:t xml:space="preserve">Prescribing fees is also a mechanism for Government to limit the potential level of debt (and subsequent debt write off) established via the PRBS. </w:t>
      </w:r>
      <w:r w:rsidRPr="00222C10">
        <w:t xml:space="preserve">Without a </w:t>
      </w:r>
      <w:r>
        <w:t xml:space="preserve">debt recovery </w:t>
      </w:r>
      <w:r w:rsidRPr="00222C10">
        <w:t xml:space="preserve">fee, renters may </w:t>
      </w:r>
      <w:r w:rsidRPr="00222C10" w:rsidDel="00A37C56">
        <w:t xml:space="preserve">not </w:t>
      </w:r>
      <w:r>
        <w:t xml:space="preserve">have a strong incentive to pay a debt on time, and the Government would not be able to recoup the costs of debt recovery activities. This would result in other PRBS users or general taxpayers having to absorb these costs, even if they did not generate them. </w:t>
      </w:r>
    </w:p>
    <w:p w14:paraId="55CE25AA" w14:textId="4BE6DFB9" w:rsidR="006F4724" w:rsidRDefault="006F4724" w:rsidP="006F4724">
      <w:pPr>
        <w:pStyle w:val="Body"/>
      </w:pPr>
      <w:r>
        <w:t xml:space="preserve">Similarly to the lack of application fees in the base case, the lack of debt recovery fees is inconsistent with Principle 1 and 2 of the principles in the </w:t>
      </w:r>
      <w:r w:rsidRPr="79E303FA">
        <w:rPr>
          <w:i/>
          <w:iCs/>
        </w:rPr>
        <w:t>Pricing for Value</w:t>
      </w:r>
      <w:r>
        <w:t xml:space="preserve"> </w:t>
      </w:r>
      <w:r w:rsidRPr="79E303FA">
        <w:rPr>
          <w:i/>
          <w:iCs/>
        </w:rPr>
        <w:t>Guide</w:t>
      </w:r>
      <w:r>
        <w:t xml:space="preserve">. Without debt recovery fees, the cost of debt recovery actions is not recovered by government (failing to fulfil Principle 1) and there is no process to ensure that renters with outstanding debts pay the costs associated with debt recovery (failing to fulfil Principle 2). The absence of debt recovery fees also does not align with Principle 8 in the </w:t>
      </w:r>
      <w:r w:rsidRPr="79E303FA">
        <w:rPr>
          <w:i/>
          <w:iCs/>
        </w:rPr>
        <w:t>Pricing for Value Guide</w:t>
      </w:r>
      <w:r>
        <w:t xml:space="preserve">, which states that pricing should support positive behaviours. Prescribing a debt recovery fee supports Government to manage its risk and exposure to </w:t>
      </w:r>
      <w:r w:rsidR="00033CCE">
        <w:t>unrecovered</w:t>
      </w:r>
      <w:r>
        <w:t xml:space="preserve"> debt and therefore supports the sustainability of the PRBS. </w:t>
      </w:r>
    </w:p>
    <w:p w14:paraId="6087CC9D" w14:textId="77777777" w:rsidR="006F4724" w:rsidRPr="00A170BE" w:rsidRDefault="006F4724" w:rsidP="006F4724">
      <w:pPr>
        <w:pStyle w:val="Heading3"/>
      </w:pPr>
      <w:r w:rsidRPr="00A170BE">
        <w:t xml:space="preserve">Absence of PRBS debt recovery processes </w:t>
      </w:r>
    </w:p>
    <w:p w14:paraId="54C1856A" w14:textId="77777777" w:rsidR="006F4724" w:rsidRPr="00203B7F" w:rsidRDefault="006F4724" w:rsidP="006F4724">
      <w:pPr>
        <w:pStyle w:val="Body"/>
      </w:pPr>
      <w:r>
        <w:t xml:space="preserve">As stated, though the amended RT Act outlines the debt recovery actions that are to be prescribed in the Regulations, without the Regulations being made, none of these actions can be taken by Government. </w:t>
      </w:r>
      <w:r w:rsidRPr="00203B7F">
        <w:t xml:space="preserve">The absence of </w:t>
      </w:r>
      <w:r>
        <w:t>a debt management and recovery process, including</w:t>
      </w:r>
      <w:r w:rsidRPr="00203B7F">
        <w:t xml:space="preserve"> debt recovery </w:t>
      </w:r>
      <w:r>
        <w:t xml:space="preserve">actions, </w:t>
      </w:r>
      <w:r w:rsidRPr="00203B7F">
        <w:t xml:space="preserve">inhibits the Government’s ability to recover </w:t>
      </w:r>
      <w:r>
        <w:t xml:space="preserve">unpaid debts under </w:t>
      </w:r>
      <w:r w:rsidRPr="00203B7F">
        <w:t xml:space="preserve">the </w:t>
      </w:r>
      <w:r>
        <w:t>PRBS and may lead to high levels of written-off debt.</w:t>
      </w:r>
      <w:r w:rsidRPr="00203B7F">
        <w:t xml:space="preserve"> </w:t>
      </w:r>
    </w:p>
    <w:p w14:paraId="1F28204E" w14:textId="77777777" w:rsidR="006F4724" w:rsidRDefault="006F4724" w:rsidP="006F4724">
      <w:pPr>
        <w:pStyle w:val="Body"/>
      </w:pPr>
      <w:r>
        <w:t xml:space="preserve">As outlined in Subchapter 1.1, a renter may have a debt established with the Government if a claim is paid </w:t>
      </w:r>
      <w:r w:rsidRPr="00203B7F">
        <w:t xml:space="preserve">against </w:t>
      </w:r>
      <w:r>
        <w:t>the original rental agreement bond</w:t>
      </w:r>
      <w:r w:rsidRPr="00203B7F">
        <w:t>.</w:t>
      </w:r>
      <w:r>
        <w:t xml:space="preserve"> If renters have not paid their debt </w:t>
      </w:r>
      <w:r w:rsidRPr="002D06CD">
        <w:t>within the required timeframe</w:t>
      </w:r>
      <w:r>
        <w:t xml:space="preserve"> of 8 weeks, the amended RT Act enables the Secretary to take prescribed debt recovery actions to recover debts before referring that debt to a DCA. These prescribed debt recovery actions will be stated in the Regulations, to ensure they are set out transparently and are publicly available.  </w:t>
      </w:r>
    </w:p>
    <w:p w14:paraId="616C2048" w14:textId="77777777" w:rsidR="006F4724" w:rsidRDefault="006F4724" w:rsidP="006F4724">
      <w:pPr>
        <w:pStyle w:val="Body"/>
      </w:pPr>
      <w:r>
        <w:t xml:space="preserve">Without the Regulations outlining the Government’s actions for recovering debt, the following problems may arise: </w:t>
      </w:r>
    </w:p>
    <w:p w14:paraId="0C1F6318" w14:textId="77777777" w:rsidR="006F4724" w:rsidRPr="001F576E" w:rsidRDefault="006F4724" w:rsidP="006F4724">
      <w:pPr>
        <w:pStyle w:val="Body"/>
        <w:numPr>
          <w:ilvl w:val="0"/>
          <w:numId w:val="75"/>
        </w:numPr>
        <w:rPr>
          <w:rFonts w:ascii="Arial" w:eastAsia="Times" w:hAnsi="Arial"/>
        </w:rPr>
      </w:pPr>
      <w:r>
        <w:t xml:space="preserve">there would be significant uncertainty amongst renters associated with the debt recovery processes and the degree of enforcement taken by the Government related to the payment of debt and </w:t>
      </w:r>
    </w:p>
    <w:p w14:paraId="2B2949A4" w14:textId="77777777" w:rsidR="006F4724" w:rsidRPr="001F576E" w:rsidRDefault="006F4724" w:rsidP="006F4724">
      <w:pPr>
        <w:pStyle w:val="Body"/>
        <w:numPr>
          <w:ilvl w:val="0"/>
          <w:numId w:val="75"/>
        </w:numPr>
        <w:rPr>
          <w:rFonts w:ascii="Arial" w:eastAsia="Times" w:hAnsi="Arial"/>
        </w:rPr>
      </w:pPr>
      <w:r>
        <w:t xml:space="preserve">the Government would not be able to take a standardised approach to debt recovery, which could risk varied or inequitable treatment of unrecovered debt. </w:t>
      </w:r>
    </w:p>
    <w:p w14:paraId="69FADBB6" w14:textId="212C6A62" w:rsidR="006F4724" w:rsidRDefault="006F4724" w:rsidP="006F4724">
      <w:pPr>
        <w:pStyle w:val="Body"/>
      </w:pPr>
      <w:r>
        <w:t xml:space="preserve">These issues may limit the Government’s ability to recover unpaid debts and could lead to higher levels of written-off debt, directly impacting the financial viability of the PRBS.  </w:t>
      </w:r>
    </w:p>
    <w:p w14:paraId="08154677" w14:textId="77777777" w:rsidR="006F4724" w:rsidRDefault="006F4724" w:rsidP="00A26C3F">
      <w:pPr>
        <w:pStyle w:val="Body"/>
      </w:pPr>
    </w:p>
    <w:p w14:paraId="5024C197" w14:textId="77777777" w:rsidR="00A170BE" w:rsidRDefault="00A170BE">
      <w:pPr>
        <w:rPr>
          <w:rFonts w:ascii="Arial" w:eastAsia="MS Gothic" w:hAnsi="Arial" w:cs="Arial"/>
          <w:b/>
          <w:bCs/>
          <w:color w:val="16145F" w:themeColor="accent3"/>
          <w:kern w:val="32"/>
          <w:sz w:val="32"/>
          <w:szCs w:val="40"/>
        </w:rPr>
      </w:pPr>
      <w:r>
        <w:br w:type="page"/>
      </w:r>
    </w:p>
    <w:p w14:paraId="6F4295DA" w14:textId="77777777" w:rsidR="00A26C3F" w:rsidRPr="000F65FE" w:rsidRDefault="00A26C3F" w:rsidP="00A26C3F">
      <w:pPr>
        <w:pStyle w:val="Heading1"/>
        <w:ind w:left="340"/>
      </w:pPr>
      <w:bookmarkStart w:id="24" w:name="_Toc221890894"/>
      <w:r w:rsidRPr="000F65FE">
        <w:lastRenderedPageBreak/>
        <w:t>Objectives</w:t>
      </w:r>
      <w:bookmarkEnd w:id="24"/>
    </w:p>
    <w:p w14:paraId="687BCF78" w14:textId="7BB59C84" w:rsidR="00A26C3F" w:rsidRPr="00A46A8C" w:rsidRDefault="00A26C3F" w:rsidP="00A26C3F">
      <w:pPr>
        <w:pStyle w:val="Body"/>
      </w:pPr>
      <w:r w:rsidRPr="00A46A8C">
        <w:t xml:space="preserve">This </w:t>
      </w:r>
      <w:r w:rsidR="00A24674">
        <w:t>c</w:t>
      </w:r>
      <w:r w:rsidRPr="00A46A8C">
        <w:t>hapter outlines the broad objectives of rental bond</w:t>
      </w:r>
      <w:r>
        <w:t xml:space="preserve"> reform </w:t>
      </w:r>
      <w:r w:rsidRPr="00A46A8C">
        <w:t>in Victoria</w:t>
      </w:r>
      <w:r>
        <w:t xml:space="preserve"> and </w:t>
      </w:r>
      <w:r w:rsidRPr="00A46A8C">
        <w:t>the</w:t>
      </w:r>
      <w:r>
        <w:t xml:space="preserve"> policy objectives for prescribing </w:t>
      </w:r>
      <w:r w:rsidRPr="00716108">
        <w:t xml:space="preserve">fees and debt recovery </w:t>
      </w:r>
      <w:r>
        <w:t>actions</w:t>
      </w:r>
      <w:r w:rsidRPr="00716108">
        <w:t xml:space="preserve"> </w:t>
      </w:r>
      <w:r>
        <w:t>to support</w:t>
      </w:r>
      <w:r w:rsidRPr="00716108">
        <w:t xml:space="preserve"> the PRBS.</w:t>
      </w:r>
      <w:r w:rsidRPr="00A46A8C">
        <w:t xml:space="preserve"> In recognition of the fee setting</w:t>
      </w:r>
      <w:r>
        <w:t>-</w:t>
      </w:r>
      <w:r w:rsidRPr="00A46A8C">
        <w:t xml:space="preserve">element of this RIS, the Government’s </w:t>
      </w:r>
      <w:r w:rsidRPr="00716108">
        <w:t>Pricing for Value</w:t>
      </w:r>
      <w:r w:rsidRPr="00A46A8C">
        <w:t xml:space="preserve"> Pricing Principles are also </w:t>
      </w:r>
      <w:r>
        <w:t>outlined</w:t>
      </w:r>
      <w:r w:rsidRPr="00A46A8C">
        <w:t xml:space="preserve">. </w:t>
      </w:r>
    </w:p>
    <w:p w14:paraId="70D3116C" w14:textId="77777777" w:rsidR="00A26C3F" w:rsidRDefault="00A26C3F" w:rsidP="00A26C3F">
      <w:pPr>
        <w:pStyle w:val="Heading2"/>
        <w:ind w:left="340"/>
        <w:jc w:val="both"/>
      </w:pPr>
      <w:bookmarkStart w:id="25" w:name="_Toc221890895"/>
      <w:r>
        <w:t>Government’s broader policy objectives</w:t>
      </w:r>
      <w:bookmarkEnd w:id="25"/>
    </w:p>
    <w:p w14:paraId="6C504C79" w14:textId="6DC25073" w:rsidR="00A26C3F" w:rsidRDefault="00A26C3F" w:rsidP="00A26C3F">
      <w:pPr>
        <w:pStyle w:val="Body"/>
      </w:pPr>
      <w:r w:rsidRPr="00BA5860">
        <w:t>Victoria’s Housing Stateme</w:t>
      </w:r>
      <w:r>
        <w:t>nt recognises that housing affordability in Victoria and across Australia is at its lowest in decades and articulates its central objective of improv</w:t>
      </w:r>
      <w:r w:rsidR="00D6726A">
        <w:t>ing</w:t>
      </w:r>
      <w:r>
        <w:t xml:space="preserve"> housing affordability and supply across the state. To do this, the Statement sets a </w:t>
      </w:r>
      <w:r w:rsidRPr="00282512">
        <w:t>target to build 800,000 homes in Victoria over the next decad</w:t>
      </w:r>
      <w:r>
        <w:t>e and to build the supporting infrastructure needed to accommodate this increased housing supply. In support of this target, the Government plans to undertake activities such as reforming the State’s planning system to accelerate the delivery of housing projects, foster community in housing developments that are proximate to places of work, strengthening protections for renters and building more social and affordable housing. At a high level, the Statement identifies five objectives to address housing supply and affordability in Victoria, which are:</w:t>
      </w:r>
    </w:p>
    <w:p w14:paraId="5F92C20E" w14:textId="1E460923" w:rsidR="00A26C3F" w:rsidRDefault="00A26C3F" w:rsidP="00A26C3F">
      <w:pPr>
        <w:pStyle w:val="DJCSbody"/>
        <w:numPr>
          <w:ilvl w:val="0"/>
          <w:numId w:val="45"/>
        </w:numPr>
        <w:tabs>
          <w:tab w:val="clear" w:pos="340"/>
        </w:tabs>
      </w:pPr>
      <w:r w:rsidRPr="00827A7D">
        <w:t>Good decisions, made faster</w:t>
      </w:r>
      <w:r w:rsidR="00BE3635">
        <w:t xml:space="preserve">, </w:t>
      </w:r>
    </w:p>
    <w:p w14:paraId="1C2B75EB" w14:textId="1940CBF2" w:rsidR="00A26C3F" w:rsidRDefault="00A26C3F" w:rsidP="00A26C3F">
      <w:pPr>
        <w:pStyle w:val="DJCSbody"/>
        <w:numPr>
          <w:ilvl w:val="0"/>
          <w:numId w:val="45"/>
        </w:numPr>
        <w:tabs>
          <w:tab w:val="clear" w:pos="340"/>
        </w:tabs>
      </w:pPr>
      <w:r w:rsidRPr="00FB2F3E">
        <w:t>Cheaper housing, closer to</w:t>
      </w:r>
      <w:r>
        <w:t xml:space="preserve"> places of </w:t>
      </w:r>
      <w:r w:rsidRPr="00FB2F3E">
        <w:t>work</w:t>
      </w:r>
      <w:r w:rsidR="00BE3635">
        <w:t xml:space="preserve">, </w:t>
      </w:r>
    </w:p>
    <w:p w14:paraId="4A578240" w14:textId="62840703" w:rsidR="00A26C3F" w:rsidRDefault="00A26C3F" w:rsidP="00A26C3F">
      <w:pPr>
        <w:pStyle w:val="DJCSbody"/>
        <w:numPr>
          <w:ilvl w:val="0"/>
          <w:numId w:val="45"/>
        </w:numPr>
        <w:tabs>
          <w:tab w:val="clear" w:pos="340"/>
        </w:tabs>
      </w:pPr>
      <w:r>
        <w:t>Protecting renters’ rights</w:t>
      </w:r>
      <w:r w:rsidR="00BE3635">
        <w:t xml:space="preserve">, </w:t>
      </w:r>
    </w:p>
    <w:p w14:paraId="1A2CAED7" w14:textId="424477D7" w:rsidR="00A26C3F" w:rsidRDefault="00A26C3F" w:rsidP="00A26C3F">
      <w:pPr>
        <w:pStyle w:val="DJCSbody"/>
        <w:numPr>
          <w:ilvl w:val="0"/>
          <w:numId w:val="45"/>
        </w:numPr>
        <w:tabs>
          <w:tab w:val="clear" w:pos="340"/>
        </w:tabs>
      </w:pPr>
      <w:r>
        <w:t>More social housing</w:t>
      </w:r>
      <w:r w:rsidR="00BE3635">
        <w:t xml:space="preserve"> and </w:t>
      </w:r>
    </w:p>
    <w:p w14:paraId="3F3C1C90" w14:textId="57B63A10" w:rsidR="00A26C3F" w:rsidRDefault="00A26C3F" w:rsidP="00A26C3F">
      <w:pPr>
        <w:pStyle w:val="DJCSbody"/>
        <w:numPr>
          <w:ilvl w:val="0"/>
          <w:numId w:val="45"/>
        </w:numPr>
        <w:tabs>
          <w:tab w:val="clear" w:pos="340"/>
        </w:tabs>
      </w:pPr>
      <w:r>
        <w:t>A long-term housing plan</w:t>
      </w:r>
      <w:r w:rsidR="00BE3635">
        <w:t>.</w:t>
      </w:r>
    </w:p>
    <w:p w14:paraId="00208B78" w14:textId="448C4A11" w:rsidR="00A26C3F" w:rsidRDefault="00A26C3F" w:rsidP="00A26C3F">
      <w:pPr>
        <w:pStyle w:val="Body"/>
      </w:pPr>
      <w:r>
        <w:t xml:space="preserve">Additionally, the Government’s </w:t>
      </w:r>
      <w:r w:rsidRPr="79E303FA">
        <w:rPr>
          <w:i/>
          <w:iCs/>
        </w:rPr>
        <w:t>Pricing for Value</w:t>
      </w:r>
      <w:r>
        <w:t xml:space="preserve"> Pricing Principles should also be considered in relation to any pricing options. Of the </w:t>
      </w:r>
      <w:r w:rsidR="0017483B">
        <w:t xml:space="preserve">12 </w:t>
      </w:r>
      <w:r>
        <w:t xml:space="preserve">principles outlined in </w:t>
      </w:r>
      <w:r w:rsidRPr="79E303FA">
        <w:rPr>
          <w:i/>
          <w:iCs/>
        </w:rPr>
        <w:t>Pricing for Value</w:t>
      </w:r>
      <w:r>
        <w:t xml:space="preserve">, </w:t>
      </w:r>
      <w:r w:rsidR="0017483B">
        <w:t xml:space="preserve">8 </w:t>
      </w:r>
      <w:r>
        <w:t>key principles have been identified as relevant to the establishment of fees and debt recovery arrangements for the PRBS:</w:t>
      </w:r>
    </w:p>
    <w:p w14:paraId="7B93352F" w14:textId="7C868022" w:rsidR="00A26C3F" w:rsidRPr="00716108" w:rsidRDefault="00DA13F9" w:rsidP="00A26C3F">
      <w:pPr>
        <w:pStyle w:val="DJCSbody"/>
        <w:numPr>
          <w:ilvl w:val="0"/>
          <w:numId w:val="46"/>
        </w:numPr>
        <w:tabs>
          <w:tab w:val="num" w:pos="2388"/>
        </w:tabs>
      </w:pPr>
      <w:r>
        <w:t xml:space="preserve">Principle 1: </w:t>
      </w:r>
      <w:r w:rsidR="00A26C3F" w:rsidRPr="00716108">
        <w:t>Agencies should aim to recover the full costs of service provision to promote efficient consumption</w:t>
      </w:r>
      <w:r w:rsidR="00A26C3F">
        <w:t>.</w:t>
      </w:r>
    </w:p>
    <w:p w14:paraId="596C4DED" w14:textId="7A50257B" w:rsidR="00A26C3F" w:rsidRPr="00716108" w:rsidRDefault="003E168F" w:rsidP="00A26C3F">
      <w:pPr>
        <w:pStyle w:val="DJCSbody"/>
        <w:numPr>
          <w:ilvl w:val="0"/>
          <w:numId w:val="46"/>
        </w:numPr>
        <w:tabs>
          <w:tab w:val="clear" w:pos="340"/>
        </w:tabs>
      </w:pPr>
      <w:r>
        <w:t xml:space="preserve">Principle 2: </w:t>
      </w:r>
      <w:r w:rsidR="00A26C3F" w:rsidRPr="005103FB">
        <w:t xml:space="preserve">The </w:t>
      </w:r>
      <w:r w:rsidR="00BE3635" w:rsidRPr="005103FB">
        <w:t>cost</w:t>
      </w:r>
      <w:r w:rsidR="00092690">
        <w:t xml:space="preserve"> </w:t>
      </w:r>
      <w:r w:rsidR="00BE3635" w:rsidRPr="005103FB">
        <w:t>of</w:t>
      </w:r>
      <w:r w:rsidR="00092690">
        <w:t xml:space="preserve"> </w:t>
      </w:r>
      <w:r w:rsidR="00BE3635" w:rsidRPr="005103FB">
        <w:t>service</w:t>
      </w:r>
      <w:r w:rsidR="00A26C3F" w:rsidRPr="005103FB">
        <w:t xml:space="preserve"> provision should be borne by those who benefit from the service</w:t>
      </w:r>
      <w:r w:rsidR="00A26C3F">
        <w:t>.</w:t>
      </w:r>
    </w:p>
    <w:p w14:paraId="2AF65D15" w14:textId="51BB9DD5" w:rsidR="00A26C3F" w:rsidRPr="00716108" w:rsidRDefault="003E168F" w:rsidP="00A26C3F">
      <w:pPr>
        <w:pStyle w:val="DJCSbody"/>
        <w:numPr>
          <w:ilvl w:val="0"/>
          <w:numId w:val="46"/>
        </w:numPr>
        <w:tabs>
          <w:tab w:val="num" w:pos="2388"/>
        </w:tabs>
      </w:pPr>
      <w:r>
        <w:t xml:space="preserve">Principle 3: </w:t>
      </w:r>
      <w:r w:rsidR="00A26C3F" w:rsidRPr="00716108">
        <w:t>Services creating broad benefits for the community should be priced to support efficient consumption</w:t>
      </w:r>
      <w:r w:rsidR="00A26C3F">
        <w:t>.</w:t>
      </w:r>
    </w:p>
    <w:p w14:paraId="485DBC41" w14:textId="08E8955E" w:rsidR="00A26C3F" w:rsidRPr="00716108" w:rsidRDefault="003E168F" w:rsidP="00A26C3F">
      <w:pPr>
        <w:pStyle w:val="DJCSbody"/>
        <w:numPr>
          <w:ilvl w:val="0"/>
          <w:numId w:val="46"/>
        </w:numPr>
        <w:tabs>
          <w:tab w:val="num" w:pos="2388"/>
        </w:tabs>
      </w:pPr>
      <w:r>
        <w:t xml:space="preserve">Principle 5: </w:t>
      </w:r>
      <w:r w:rsidR="00A26C3F" w:rsidRPr="00716108">
        <w:t>The price of services should not limit access to those with a lower ability to pay</w:t>
      </w:r>
      <w:r w:rsidR="00A26C3F">
        <w:t>.</w:t>
      </w:r>
    </w:p>
    <w:p w14:paraId="4F0BEA58" w14:textId="236BC018" w:rsidR="00A26C3F" w:rsidRPr="00716108" w:rsidRDefault="003E168F" w:rsidP="00A26C3F">
      <w:pPr>
        <w:pStyle w:val="DJCSbody"/>
        <w:numPr>
          <w:ilvl w:val="0"/>
          <w:numId w:val="46"/>
        </w:numPr>
        <w:tabs>
          <w:tab w:val="num" w:pos="2388"/>
        </w:tabs>
      </w:pPr>
      <w:r>
        <w:t xml:space="preserve">Principle 8: </w:t>
      </w:r>
      <w:r w:rsidR="00A26C3F" w:rsidRPr="00716108">
        <w:t>Pricing should support positive behaviours</w:t>
      </w:r>
      <w:r w:rsidR="00A26C3F">
        <w:t>.</w:t>
      </w:r>
    </w:p>
    <w:p w14:paraId="172A1EEB" w14:textId="4CFA9D19" w:rsidR="00A26C3F" w:rsidRDefault="003E168F" w:rsidP="00A26C3F">
      <w:pPr>
        <w:pStyle w:val="DJCSbody"/>
        <w:numPr>
          <w:ilvl w:val="0"/>
          <w:numId w:val="46"/>
        </w:numPr>
        <w:tabs>
          <w:tab w:val="clear" w:pos="340"/>
        </w:tabs>
      </w:pPr>
      <w:r>
        <w:t xml:space="preserve">Principle 9: </w:t>
      </w:r>
      <w:r w:rsidR="00A26C3F" w:rsidRPr="00A16693">
        <w:t>Pricing should ensure sustainable usage of public services and reflect the value of natural resources</w:t>
      </w:r>
      <w:r w:rsidR="00A26C3F">
        <w:t>.</w:t>
      </w:r>
    </w:p>
    <w:p w14:paraId="353A962C" w14:textId="4A1D63B0" w:rsidR="00317116" w:rsidRPr="00716108" w:rsidRDefault="00317116" w:rsidP="00A26C3F">
      <w:pPr>
        <w:pStyle w:val="DJCSbody"/>
        <w:numPr>
          <w:ilvl w:val="0"/>
          <w:numId w:val="46"/>
        </w:numPr>
        <w:tabs>
          <w:tab w:val="clear" w:pos="340"/>
        </w:tabs>
      </w:pPr>
      <w:r>
        <w:t xml:space="preserve">Principle 10: </w:t>
      </w:r>
      <w:r w:rsidRPr="000F65FE">
        <w:t>Where services are in competition with the private sector, pricing should be relative to market prices</w:t>
      </w:r>
      <w:r>
        <w:t>.</w:t>
      </w:r>
    </w:p>
    <w:p w14:paraId="45F0D4E5" w14:textId="6090A02D" w:rsidR="00A26C3F" w:rsidRDefault="003E168F" w:rsidP="00A26C3F">
      <w:pPr>
        <w:pStyle w:val="DJCSbody"/>
        <w:numPr>
          <w:ilvl w:val="0"/>
          <w:numId w:val="46"/>
        </w:numPr>
        <w:tabs>
          <w:tab w:val="num" w:pos="2388"/>
        </w:tabs>
      </w:pPr>
      <w:r>
        <w:t xml:space="preserve">Principle 11: </w:t>
      </w:r>
      <w:r w:rsidR="00A26C3F" w:rsidRPr="00716108">
        <w:t>Pricing structures should be easy to understand and simple to administer.</w:t>
      </w:r>
    </w:p>
    <w:p w14:paraId="09EF4DEB" w14:textId="0EF387A1" w:rsidR="00BB2CEF" w:rsidRPr="000F65FE" w:rsidRDefault="00BB2CEF" w:rsidP="00BB2CEF">
      <w:pPr>
        <w:pStyle w:val="DJCSbody"/>
        <w:tabs>
          <w:tab w:val="num" w:pos="2388"/>
        </w:tabs>
        <w:ind w:left="0"/>
      </w:pPr>
      <w:r>
        <w:t xml:space="preserve">Further detail is provided in Appendix C. </w:t>
      </w:r>
    </w:p>
    <w:p w14:paraId="43241F85" w14:textId="77777777" w:rsidR="00A26C3F" w:rsidRPr="001C5A21" w:rsidRDefault="00A26C3F" w:rsidP="00A26C3F">
      <w:pPr>
        <w:pStyle w:val="Heading2"/>
      </w:pPr>
      <w:bookmarkStart w:id="26" w:name="_Toc221890896"/>
      <w:r w:rsidRPr="000F65FE">
        <w:lastRenderedPageBreak/>
        <w:t>Objectives of these Regulations</w:t>
      </w:r>
      <w:bookmarkEnd w:id="26"/>
    </w:p>
    <w:p w14:paraId="5BDA1259" w14:textId="77777777" w:rsidR="00A26C3F" w:rsidRDefault="00A26C3F" w:rsidP="00A26C3F">
      <w:pPr>
        <w:pStyle w:val="Heading3"/>
      </w:pPr>
      <w:r w:rsidRPr="0094184F">
        <w:t xml:space="preserve">Objectives of </w:t>
      </w:r>
      <w:r>
        <w:t>fees</w:t>
      </w:r>
      <w:r w:rsidRPr="0094184F">
        <w:t xml:space="preserve"> </w:t>
      </w:r>
      <w:r>
        <w:t xml:space="preserve">for </w:t>
      </w:r>
      <w:r w:rsidRPr="0094184F">
        <w:t>the PRBS</w:t>
      </w:r>
    </w:p>
    <w:p w14:paraId="57FEC2C9" w14:textId="6FC7123A" w:rsidR="00A26C3F" w:rsidRPr="00E067FA" w:rsidRDefault="00A26C3F" w:rsidP="00A26C3F">
      <w:pPr>
        <w:pStyle w:val="Body"/>
      </w:pPr>
      <w:r w:rsidRPr="00AF44B8">
        <w:t>The table below describes the</w:t>
      </w:r>
      <w:r>
        <w:t xml:space="preserve"> </w:t>
      </w:r>
      <w:r w:rsidR="002F5609">
        <w:t>Government’s</w:t>
      </w:r>
      <w:r w:rsidR="002F5609" w:rsidRPr="00AF44B8">
        <w:t xml:space="preserve"> </w:t>
      </w:r>
      <w:r>
        <w:t xml:space="preserve">policy </w:t>
      </w:r>
      <w:r w:rsidRPr="00AF44B8">
        <w:t xml:space="preserve">objectives for </w:t>
      </w:r>
      <w:r>
        <w:t xml:space="preserve">any </w:t>
      </w:r>
      <w:r w:rsidRPr="00AF44B8">
        <w:t>fees</w:t>
      </w:r>
      <w:r>
        <w:t xml:space="preserve"> that may be prescribed through the Regulations. </w:t>
      </w:r>
    </w:p>
    <w:p w14:paraId="63838CC8" w14:textId="129E609E" w:rsidR="00A26C3F" w:rsidRPr="000F65FE" w:rsidRDefault="00A26C3F" w:rsidP="00A26C3F">
      <w:pPr>
        <w:pStyle w:val="Caption"/>
      </w:pPr>
      <w:r w:rsidRPr="000F65FE">
        <w:t>Table</w:t>
      </w:r>
      <w:r>
        <w:t xml:space="preserve"> </w:t>
      </w:r>
      <w:r>
        <w:fldChar w:fldCharType="begin"/>
      </w:r>
      <w:r>
        <w:instrText>SEQ Table \* ARABIC</w:instrText>
      </w:r>
      <w:r>
        <w:fldChar w:fldCharType="separate"/>
      </w:r>
      <w:r w:rsidR="00A50199">
        <w:rPr>
          <w:noProof/>
        </w:rPr>
        <w:t>6</w:t>
      </w:r>
      <w:r>
        <w:fldChar w:fldCharType="end"/>
      </w:r>
      <w:r w:rsidRPr="000F65FE">
        <w:t xml:space="preserve">: Policy objectives for </w:t>
      </w:r>
      <w:r>
        <w:t>fees to be prescribed for the PRBS</w:t>
      </w:r>
    </w:p>
    <w:tbl>
      <w:tblPr>
        <w:tblStyle w:val="DJRReporttablestyleNav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727"/>
      </w:tblGrid>
      <w:tr w:rsidR="00A26C3F" w:rsidRPr="000F65FE" w14:paraId="69F2C00D" w14:textId="77777777">
        <w:trPr>
          <w:cnfStyle w:val="100000000000" w:firstRow="1" w:lastRow="0" w:firstColumn="0" w:lastColumn="0" w:oddVBand="0" w:evenVBand="0" w:oddHBand="0" w:evenHBand="0" w:firstRowFirstColumn="0" w:firstRowLastColumn="0" w:lastRowFirstColumn="0" w:lastRowLastColumn="0"/>
          <w:tblHeader/>
        </w:trPr>
        <w:tc>
          <w:tcPr>
            <w:tcW w:w="2474" w:type="dxa"/>
            <w:shd w:val="clear" w:color="auto" w:fill="00529B" w:themeFill="accent2"/>
          </w:tcPr>
          <w:p w14:paraId="48BCC6D9" w14:textId="77777777" w:rsidR="00A26C3F" w:rsidRPr="003624BE" w:rsidRDefault="00A26C3F">
            <w:pPr>
              <w:pStyle w:val="Body"/>
              <w:rPr>
                <w:color w:val="FFFFFF" w:themeColor="background1"/>
              </w:rPr>
            </w:pPr>
            <w:r w:rsidRPr="003624BE">
              <w:rPr>
                <w:color w:val="FFFFFF" w:themeColor="background1"/>
              </w:rPr>
              <w:t>Objective</w:t>
            </w:r>
          </w:p>
        </w:tc>
        <w:tc>
          <w:tcPr>
            <w:tcW w:w="7727" w:type="dxa"/>
            <w:shd w:val="clear" w:color="auto" w:fill="00529B" w:themeFill="accent2"/>
          </w:tcPr>
          <w:p w14:paraId="0D2545C8" w14:textId="77777777" w:rsidR="00A26C3F" w:rsidRPr="003624BE" w:rsidRDefault="00A26C3F">
            <w:pPr>
              <w:pStyle w:val="Body"/>
              <w:rPr>
                <w:color w:val="FFFFFF" w:themeColor="background1"/>
              </w:rPr>
            </w:pPr>
            <w:r w:rsidRPr="003624BE">
              <w:rPr>
                <w:color w:val="FFFFFF" w:themeColor="background1"/>
              </w:rPr>
              <w:t>Description</w:t>
            </w:r>
          </w:p>
        </w:tc>
      </w:tr>
      <w:tr w:rsidR="00A26C3F" w:rsidRPr="000F65FE" w14:paraId="0753B52D" w14:textId="77777777">
        <w:tc>
          <w:tcPr>
            <w:tcW w:w="2474" w:type="dxa"/>
          </w:tcPr>
          <w:p w14:paraId="20BEADFB" w14:textId="77777777" w:rsidR="00A26C3F" w:rsidRDefault="00A26C3F">
            <w:pPr>
              <w:pStyle w:val="Body"/>
              <w:jc w:val="left"/>
              <w:rPr>
                <w:b/>
                <w:bCs/>
              </w:rPr>
            </w:pPr>
            <w:r>
              <w:rPr>
                <w:b/>
                <w:bCs/>
              </w:rPr>
              <w:t>Effectiveness</w:t>
            </w:r>
          </w:p>
        </w:tc>
        <w:tc>
          <w:tcPr>
            <w:tcW w:w="7727" w:type="dxa"/>
          </w:tcPr>
          <w:p w14:paraId="4E25484E" w14:textId="77777777" w:rsidR="00A26C3F" w:rsidRPr="007978FC" w:rsidRDefault="00A26C3F">
            <w:pPr>
              <w:pStyle w:val="Body"/>
              <w:rPr>
                <w:rFonts w:ascii="Arial" w:hAnsi="Arial" w:cs="Arial"/>
                <w:color w:val="000000" w:themeColor="text1"/>
                <w:kern w:val="24"/>
              </w:rPr>
            </w:pPr>
            <w:r w:rsidRPr="007978FC">
              <w:rPr>
                <w:rFonts w:ascii="Arial" w:hAnsi="Arial" w:cs="Arial"/>
                <w:color w:val="000000" w:themeColor="text1"/>
                <w:kern w:val="24"/>
              </w:rPr>
              <w:t>The fee</w:t>
            </w:r>
            <w:r>
              <w:rPr>
                <w:rFonts w:ascii="Arial" w:hAnsi="Arial" w:cs="Arial"/>
                <w:color w:val="000000" w:themeColor="text1"/>
                <w:kern w:val="24"/>
              </w:rPr>
              <w:t>s</w:t>
            </w:r>
            <w:r w:rsidRPr="007978FC">
              <w:rPr>
                <w:rFonts w:ascii="Arial" w:hAnsi="Arial" w:cs="Arial"/>
                <w:color w:val="000000" w:themeColor="text1"/>
                <w:kern w:val="24"/>
              </w:rPr>
              <w:t xml:space="preserve"> should encourage participation in the PRBS.</w:t>
            </w:r>
          </w:p>
        </w:tc>
      </w:tr>
      <w:tr w:rsidR="00A26C3F" w:rsidRPr="000F65FE" w14:paraId="59066697" w14:textId="77777777">
        <w:tc>
          <w:tcPr>
            <w:tcW w:w="2474" w:type="dxa"/>
          </w:tcPr>
          <w:p w14:paraId="315A34D9" w14:textId="77777777" w:rsidR="00A26C3F" w:rsidRDefault="00A26C3F">
            <w:pPr>
              <w:pStyle w:val="Body"/>
              <w:jc w:val="left"/>
              <w:rPr>
                <w:b/>
                <w:bCs/>
              </w:rPr>
            </w:pPr>
            <w:r>
              <w:rPr>
                <w:b/>
                <w:bCs/>
              </w:rPr>
              <w:t>Efficiency</w:t>
            </w:r>
          </w:p>
        </w:tc>
        <w:tc>
          <w:tcPr>
            <w:tcW w:w="7727" w:type="dxa"/>
          </w:tcPr>
          <w:p w14:paraId="6CAA36D4" w14:textId="43132325" w:rsidR="00A26C3F" w:rsidRDefault="00A26C3F">
            <w:pPr>
              <w:pStyle w:val="Body"/>
              <w:rPr>
                <w:rFonts w:ascii="Arial" w:hAnsi="Arial" w:cs="Arial"/>
                <w:color w:val="000000" w:themeColor="text1"/>
                <w:kern w:val="24"/>
              </w:rPr>
            </w:pPr>
            <w:r w:rsidRPr="007978FC">
              <w:rPr>
                <w:rFonts w:ascii="Arial" w:hAnsi="Arial" w:cs="Arial"/>
                <w:color w:val="000000" w:themeColor="text1"/>
                <w:kern w:val="24"/>
              </w:rPr>
              <w:t>The fe</w:t>
            </w:r>
            <w:r>
              <w:rPr>
                <w:rFonts w:ascii="Arial" w:hAnsi="Arial" w:cs="Arial"/>
                <w:color w:val="000000" w:themeColor="text1"/>
                <w:kern w:val="24"/>
              </w:rPr>
              <w:t>es</w:t>
            </w:r>
            <w:r w:rsidRPr="007978FC">
              <w:rPr>
                <w:rFonts w:ascii="Arial" w:hAnsi="Arial" w:cs="Arial"/>
                <w:color w:val="000000" w:themeColor="text1"/>
                <w:kern w:val="24"/>
              </w:rPr>
              <w:t xml:space="preserve"> should enable recovery of PRBS operating costs for the </w:t>
            </w:r>
            <w:r w:rsidR="00953D7A">
              <w:rPr>
                <w:rFonts w:ascii="Arial" w:hAnsi="Arial" w:cs="Arial"/>
                <w:color w:val="000000" w:themeColor="text1"/>
                <w:kern w:val="24"/>
              </w:rPr>
              <w:t>Government</w:t>
            </w:r>
            <w:r>
              <w:rPr>
                <w:rFonts w:ascii="Arial" w:hAnsi="Arial" w:cs="Arial"/>
                <w:color w:val="000000" w:themeColor="text1"/>
                <w:kern w:val="24"/>
              </w:rPr>
              <w:t>.</w:t>
            </w:r>
          </w:p>
        </w:tc>
      </w:tr>
      <w:tr w:rsidR="00A26C3F" w:rsidRPr="000F65FE" w14:paraId="0C6304D2" w14:textId="77777777">
        <w:tc>
          <w:tcPr>
            <w:tcW w:w="2474" w:type="dxa"/>
            <w:vAlign w:val="center"/>
          </w:tcPr>
          <w:p w14:paraId="659A8732" w14:textId="155C73EA" w:rsidR="00A26C3F" w:rsidRPr="000F65FE" w:rsidRDefault="00A26C3F">
            <w:pPr>
              <w:pStyle w:val="Body"/>
              <w:jc w:val="left"/>
              <w:rPr>
                <w:b/>
                <w:bCs/>
              </w:rPr>
            </w:pPr>
            <w:r>
              <w:rPr>
                <w:rFonts w:ascii="Arial" w:hAnsi="Arial" w:cs="Arial"/>
                <w:b/>
                <w:bCs/>
                <w:color w:val="000000" w:themeColor="text1"/>
                <w:kern w:val="24"/>
              </w:rPr>
              <w:t xml:space="preserve">User pays for </w:t>
            </w:r>
            <w:r w:rsidR="00984138">
              <w:rPr>
                <w:rFonts w:ascii="Arial" w:hAnsi="Arial" w:cs="Arial"/>
                <w:b/>
                <w:bCs/>
                <w:color w:val="000000" w:themeColor="text1"/>
                <w:kern w:val="24"/>
              </w:rPr>
              <w:t>costs</w:t>
            </w:r>
            <w:r>
              <w:rPr>
                <w:rFonts w:ascii="Arial" w:hAnsi="Arial" w:cs="Arial"/>
                <w:b/>
                <w:bCs/>
                <w:color w:val="000000" w:themeColor="text1"/>
                <w:kern w:val="24"/>
              </w:rPr>
              <w:t xml:space="preserve">  </w:t>
            </w:r>
          </w:p>
        </w:tc>
        <w:tc>
          <w:tcPr>
            <w:tcW w:w="7727" w:type="dxa"/>
            <w:vAlign w:val="center"/>
          </w:tcPr>
          <w:p w14:paraId="744168EB" w14:textId="16D79C92" w:rsidR="00A26C3F" w:rsidRPr="006A3CDE" w:rsidRDefault="00A26C3F">
            <w:pPr>
              <w:pStyle w:val="Body"/>
              <w:rPr>
                <w:color w:val="000000" w:themeColor="text1"/>
              </w:rPr>
            </w:pPr>
            <w:r>
              <w:rPr>
                <w:rFonts w:ascii="Arial" w:hAnsi="Arial" w:cs="Arial"/>
                <w:color w:val="000000"/>
                <w:kern w:val="24"/>
                <w:lang w:val="en-US"/>
              </w:rPr>
              <w:t xml:space="preserve">The fees should fairly reflect individuals’ participation in the PRBS. </w:t>
            </w:r>
          </w:p>
        </w:tc>
      </w:tr>
      <w:tr w:rsidR="00A26C3F" w:rsidRPr="000F65FE" w14:paraId="4B14698E" w14:textId="77777777">
        <w:tc>
          <w:tcPr>
            <w:tcW w:w="2474" w:type="dxa"/>
            <w:vAlign w:val="center"/>
          </w:tcPr>
          <w:p w14:paraId="4DBCB319" w14:textId="77777777" w:rsidR="00A26C3F" w:rsidRPr="000F65FE" w:rsidRDefault="00A26C3F">
            <w:pPr>
              <w:pStyle w:val="Body"/>
              <w:jc w:val="left"/>
              <w:rPr>
                <w:b/>
                <w:bCs/>
              </w:rPr>
            </w:pPr>
            <w:r>
              <w:rPr>
                <w:rFonts w:ascii="Arial" w:hAnsi="Arial" w:cs="Arial"/>
                <w:b/>
                <w:bCs/>
                <w:color w:val="000000" w:themeColor="text1"/>
                <w:kern w:val="24"/>
              </w:rPr>
              <w:t xml:space="preserve">Equity and fairness </w:t>
            </w:r>
          </w:p>
        </w:tc>
        <w:tc>
          <w:tcPr>
            <w:tcW w:w="7727" w:type="dxa"/>
            <w:vAlign w:val="center"/>
          </w:tcPr>
          <w:p w14:paraId="5B2F9282" w14:textId="1D27DEDA" w:rsidR="00A26C3F" w:rsidRPr="007978FC" w:rsidRDefault="00A26C3F">
            <w:pPr>
              <w:pStyle w:val="Body"/>
              <w:rPr>
                <w:rFonts w:ascii="Arial" w:hAnsi="Arial" w:cs="Arial"/>
                <w:color w:val="000000" w:themeColor="text1"/>
                <w:kern w:val="24"/>
                <w:lang w:val="en-US"/>
              </w:rPr>
            </w:pPr>
            <w:r>
              <w:rPr>
                <w:rFonts w:ascii="Arial" w:hAnsi="Arial" w:cs="Arial"/>
                <w:color w:val="000000"/>
                <w:kern w:val="24"/>
                <w:lang w:val="en-US"/>
              </w:rPr>
              <w:t>The fees do not disproportionately</w:t>
            </w:r>
            <w:r w:rsidR="007D26F5">
              <w:rPr>
                <w:rFonts w:ascii="Arial" w:hAnsi="Arial" w:cs="Arial"/>
                <w:color w:val="000000"/>
                <w:kern w:val="24"/>
                <w:lang w:val="en-US"/>
              </w:rPr>
              <w:t xml:space="preserve"> or unfairly</w:t>
            </w:r>
            <w:r>
              <w:rPr>
                <w:rFonts w:ascii="Arial" w:hAnsi="Arial" w:cs="Arial"/>
                <w:color w:val="000000"/>
                <w:kern w:val="24"/>
                <w:lang w:val="en-US"/>
              </w:rPr>
              <w:t xml:space="preserve"> limit access to those with a lower ability to pay.</w:t>
            </w:r>
          </w:p>
        </w:tc>
      </w:tr>
    </w:tbl>
    <w:p w14:paraId="69224EBD" w14:textId="77777777" w:rsidR="00A26C3F" w:rsidRDefault="00A26C3F" w:rsidP="00A26C3F">
      <w:pPr>
        <w:pStyle w:val="Heading3"/>
      </w:pPr>
      <w:r w:rsidRPr="0094184F">
        <w:t xml:space="preserve">Objectives of debt recovery </w:t>
      </w:r>
      <w:r>
        <w:t>actions</w:t>
      </w:r>
      <w:r w:rsidRPr="0094184F">
        <w:t xml:space="preserve"> </w:t>
      </w:r>
      <w:r>
        <w:t>for</w:t>
      </w:r>
      <w:r w:rsidRPr="0094184F">
        <w:t xml:space="preserve"> the PRBS</w:t>
      </w:r>
    </w:p>
    <w:p w14:paraId="6433A6EA" w14:textId="689E483B" w:rsidR="00A26C3F" w:rsidRDefault="00A26C3F" w:rsidP="00A26C3F">
      <w:pPr>
        <w:pStyle w:val="Body"/>
      </w:pPr>
      <w:r>
        <w:t xml:space="preserve">The table below describes the </w:t>
      </w:r>
      <w:r w:rsidR="002F5609">
        <w:t xml:space="preserve">Government’s </w:t>
      </w:r>
      <w:r>
        <w:t>policy objectives for any debt recovery actions prescribed through the Regulations.</w:t>
      </w:r>
    </w:p>
    <w:p w14:paraId="2C973B52" w14:textId="60ED44FE" w:rsidR="00A26C3F" w:rsidRPr="00441CC5" w:rsidRDefault="00A26C3F" w:rsidP="00A26C3F">
      <w:pPr>
        <w:pStyle w:val="Caption"/>
      </w:pPr>
      <w:r w:rsidRPr="000F65FE">
        <w:t>Table</w:t>
      </w:r>
      <w:r>
        <w:t xml:space="preserve"> </w:t>
      </w:r>
      <w:r>
        <w:fldChar w:fldCharType="begin"/>
      </w:r>
      <w:r>
        <w:instrText>SEQ Table \* ARABIC</w:instrText>
      </w:r>
      <w:r>
        <w:fldChar w:fldCharType="separate"/>
      </w:r>
      <w:r w:rsidR="00A50199">
        <w:rPr>
          <w:noProof/>
        </w:rPr>
        <w:t>7</w:t>
      </w:r>
      <w:r>
        <w:fldChar w:fldCharType="end"/>
      </w:r>
      <w:r w:rsidRPr="000F65FE">
        <w:t xml:space="preserve">: Policy objectives for </w:t>
      </w:r>
      <w:r>
        <w:t>debt recovery actions to be prescribed to support the</w:t>
      </w:r>
      <w:r w:rsidRPr="000F65FE">
        <w:t xml:space="preserve"> </w:t>
      </w:r>
      <w:r>
        <w:t>PRBS</w:t>
      </w:r>
    </w:p>
    <w:tbl>
      <w:tblPr>
        <w:tblStyle w:val="DJRReporttablestyleNavy"/>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DA5844" w:rsidRPr="000F65FE" w14:paraId="4D3C3687" w14:textId="77777777">
        <w:trPr>
          <w:cnfStyle w:val="100000000000" w:firstRow="1" w:lastRow="0" w:firstColumn="0" w:lastColumn="0" w:oddVBand="0" w:evenVBand="0" w:oddHBand="0" w:evenHBand="0" w:firstRowFirstColumn="0" w:firstRowLastColumn="0" w:lastRowFirstColumn="0" w:lastRowLastColumn="0"/>
          <w:tblHeader/>
        </w:trPr>
        <w:tc>
          <w:tcPr>
            <w:tcW w:w="3261" w:type="dxa"/>
            <w:shd w:val="clear" w:color="auto" w:fill="00529B" w:themeFill="accent2"/>
          </w:tcPr>
          <w:p w14:paraId="40CB8A3D" w14:textId="77777777" w:rsidR="00A26C3F" w:rsidRPr="003624BE" w:rsidRDefault="00A26C3F">
            <w:pPr>
              <w:pStyle w:val="Body"/>
              <w:rPr>
                <w:color w:val="FFFFFF" w:themeColor="background1"/>
              </w:rPr>
            </w:pPr>
            <w:r w:rsidRPr="003624BE">
              <w:rPr>
                <w:color w:val="FFFFFF" w:themeColor="background1"/>
              </w:rPr>
              <w:t>Objective</w:t>
            </w:r>
          </w:p>
        </w:tc>
        <w:tc>
          <w:tcPr>
            <w:tcW w:w="6804" w:type="dxa"/>
            <w:shd w:val="clear" w:color="auto" w:fill="00529B" w:themeFill="accent2"/>
          </w:tcPr>
          <w:p w14:paraId="5B830AA5" w14:textId="77777777" w:rsidR="00A26C3F" w:rsidRPr="003624BE" w:rsidRDefault="00A26C3F">
            <w:pPr>
              <w:pStyle w:val="Body"/>
              <w:rPr>
                <w:color w:val="FFFFFF" w:themeColor="background1"/>
              </w:rPr>
            </w:pPr>
            <w:r w:rsidRPr="003624BE">
              <w:rPr>
                <w:color w:val="FFFFFF" w:themeColor="background1"/>
              </w:rPr>
              <w:t>Description</w:t>
            </w:r>
          </w:p>
        </w:tc>
      </w:tr>
      <w:tr w:rsidR="00A26C3F" w:rsidRPr="006A3CDE" w14:paraId="3731AA89" w14:textId="77777777">
        <w:tc>
          <w:tcPr>
            <w:tcW w:w="3261" w:type="dxa"/>
          </w:tcPr>
          <w:p w14:paraId="1A04CA0A" w14:textId="77777777" w:rsidR="00A26C3F" w:rsidRPr="000F65FE" w:rsidRDefault="00A26C3F">
            <w:pPr>
              <w:pStyle w:val="Body"/>
              <w:jc w:val="left"/>
              <w:rPr>
                <w:b/>
                <w:bCs/>
              </w:rPr>
            </w:pPr>
            <w:r>
              <w:rPr>
                <w:b/>
                <w:bCs/>
              </w:rPr>
              <w:t xml:space="preserve">Efficient and effective debt recovery arrangements </w:t>
            </w:r>
          </w:p>
        </w:tc>
        <w:tc>
          <w:tcPr>
            <w:tcW w:w="6804" w:type="dxa"/>
          </w:tcPr>
          <w:p w14:paraId="44C791D0" w14:textId="77777777" w:rsidR="00A26C3F" w:rsidRPr="006A3CDE" w:rsidRDefault="00A26C3F">
            <w:pPr>
              <w:pStyle w:val="Body"/>
              <w:jc w:val="left"/>
              <w:rPr>
                <w:color w:val="000000" w:themeColor="text1"/>
              </w:rPr>
            </w:pPr>
            <w:r>
              <w:rPr>
                <w:rFonts w:ascii="Arial" w:hAnsi="Arial" w:cs="Arial"/>
                <w:color w:val="000000" w:themeColor="text1"/>
                <w:kern w:val="24"/>
              </w:rPr>
              <w:t>Debt</w:t>
            </w:r>
            <w:r w:rsidRPr="006A3CDE">
              <w:rPr>
                <w:rFonts w:ascii="Arial" w:hAnsi="Arial" w:cs="Arial"/>
                <w:color w:val="000000" w:themeColor="text1"/>
                <w:kern w:val="24"/>
              </w:rPr>
              <w:t xml:space="preserve"> recovery </w:t>
            </w:r>
            <w:r>
              <w:rPr>
                <w:rFonts w:ascii="Arial" w:hAnsi="Arial" w:cs="Arial"/>
                <w:color w:val="000000" w:themeColor="text1"/>
                <w:kern w:val="24"/>
              </w:rPr>
              <w:t>actions</w:t>
            </w:r>
            <w:r w:rsidRPr="006A3CDE">
              <w:rPr>
                <w:rFonts w:ascii="Arial" w:hAnsi="Arial" w:cs="Arial"/>
                <w:color w:val="000000" w:themeColor="text1"/>
                <w:kern w:val="24"/>
              </w:rPr>
              <w:t xml:space="preserve"> should be designed to encourage </w:t>
            </w:r>
            <w:r>
              <w:rPr>
                <w:rFonts w:ascii="Arial" w:hAnsi="Arial" w:cs="Arial"/>
                <w:color w:val="000000" w:themeColor="text1"/>
                <w:kern w:val="24"/>
              </w:rPr>
              <w:t xml:space="preserve">timely repayment of bond claims, as well as to recover any unpaid debt.  </w:t>
            </w:r>
          </w:p>
        </w:tc>
      </w:tr>
      <w:tr w:rsidR="00A26C3F" w:rsidRPr="006A3CDE" w14:paraId="421E4A52" w14:textId="77777777">
        <w:tc>
          <w:tcPr>
            <w:tcW w:w="3261" w:type="dxa"/>
          </w:tcPr>
          <w:p w14:paraId="076818AC" w14:textId="1B45EC4F" w:rsidR="00A26C3F" w:rsidRDefault="00A26C3F">
            <w:pPr>
              <w:pStyle w:val="Body"/>
              <w:jc w:val="left"/>
              <w:rPr>
                <w:b/>
                <w:bCs/>
              </w:rPr>
            </w:pPr>
            <w:r>
              <w:rPr>
                <w:b/>
                <w:bCs/>
              </w:rPr>
              <w:t xml:space="preserve">Minimise impost to </w:t>
            </w:r>
            <w:r w:rsidR="00953D7A">
              <w:rPr>
                <w:b/>
                <w:bCs/>
              </w:rPr>
              <w:t>Government</w:t>
            </w:r>
            <w:r>
              <w:rPr>
                <w:b/>
                <w:bCs/>
              </w:rPr>
              <w:t xml:space="preserve"> </w:t>
            </w:r>
          </w:p>
        </w:tc>
        <w:tc>
          <w:tcPr>
            <w:tcW w:w="6804" w:type="dxa"/>
          </w:tcPr>
          <w:p w14:paraId="3F873C3A" w14:textId="64874340" w:rsidR="00A26C3F" w:rsidRPr="006A3CDE" w:rsidRDefault="00A26C3F">
            <w:pPr>
              <w:pStyle w:val="Body"/>
              <w:jc w:val="left"/>
              <w:rPr>
                <w:color w:val="000000" w:themeColor="text1"/>
              </w:rPr>
            </w:pPr>
            <w:r w:rsidRPr="00FC32E3">
              <w:rPr>
                <w:rFonts w:ascii="Arial" w:hAnsi="Arial" w:cs="Arial"/>
                <w:color w:val="000000" w:themeColor="text1"/>
                <w:kern w:val="24"/>
              </w:rPr>
              <w:t xml:space="preserve">Debt recovery </w:t>
            </w:r>
            <w:r>
              <w:rPr>
                <w:rFonts w:ascii="Arial" w:hAnsi="Arial" w:cs="Arial"/>
                <w:color w:val="000000" w:themeColor="text1"/>
                <w:kern w:val="24"/>
              </w:rPr>
              <w:t>actions</w:t>
            </w:r>
            <w:r w:rsidRPr="00FC32E3">
              <w:rPr>
                <w:rFonts w:ascii="Arial" w:hAnsi="Arial" w:cs="Arial"/>
                <w:color w:val="000000" w:themeColor="text1"/>
                <w:kern w:val="24"/>
              </w:rPr>
              <w:t xml:space="preserve"> should be designed to </w:t>
            </w:r>
            <w:r w:rsidRPr="00FC32E3">
              <w:rPr>
                <w:rFonts w:ascii="Arial" w:hAnsi="Arial" w:cs="Arial"/>
                <w:color w:val="000000" w:themeColor="text1"/>
                <w:kern w:val="24"/>
                <w:lang w:val="en-US"/>
              </w:rPr>
              <w:t>minimise the administrative and cost impost to the Government as the guarantor of the ported bonds</w:t>
            </w:r>
            <w:r>
              <w:rPr>
                <w:rFonts w:ascii="Arial" w:hAnsi="Arial" w:cs="Arial"/>
                <w:color w:val="000000" w:themeColor="text1"/>
                <w:kern w:val="24"/>
                <w:lang w:val="en-US"/>
              </w:rPr>
              <w:t>.</w:t>
            </w:r>
            <w:r w:rsidRPr="006A3CDE">
              <w:rPr>
                <w:rFonts w:ascii="Arial" w:hAnsi="Arial" w:cs="Arial"/>
                <w:color w:val="000000" w:themeColor="text1"/>
                <w:kern w:val="24"/>
                <w:lang w:val="en-US"/>
              </w:rPr>
              <w:t xml:space="preserve"> </w:t>
            </w:r>
          </w:p>
        </w:tc>
      </w:tr>
      <w:tr w:rsidR="00A26C3F" w:rsidRPr="006A3CDE" w14:paraId="38A15416" w14:textId="77777777">
        <w:tc>
          <w:tcPr>
            <w:tcW w:w="3261" w:type="dxa"/>
          </w:tcPr>
          <w:p w14:paraId="1F16100C" w14:textId="77777777" w:rsidR="00A26C3F" w:rsidRPr="000F65FE" w:rsidRDefault="00A26C3F">
            <w:pPr>
              <w:pStyle w:val="Body"/>
              <w:jc w:val="left"/>
              <w:rPr>
                <w:b/>
                <w:bCs/>
              </w:rPr>
            </w:pPr>
            <w:r>
              <w:rPr>
                <w:b/>
                <w:bCs/>
              </w:rPr>
              <w:t xml:space="preserve">Fairness </w:t>
            </w:r>
          </w:p>
        </w:tc>
        <w:tc>
          <w:tcPr>
            <w:tcW w:w="6804" w:type="dxa"/>
          </w:tcPr>
          <w:p w14:paraId="2C72512F" w14:textId="77777777" w:rsidR="00A26C3F" w:rsidRPr="003E15C2" w:rsidRDefault="00A26C3F">
            <w:pPr>
              <w:pStyle w:val="Body"/>
              <w:jc w:val="left"/>
              <w:rPr>
                <w:rFonts w:ascii="Arial" w:hAnsi="Arial" w:cs="Arial"/>
                <w:color w:val="000000" w:themeColor="text1"/>
                <w:kern w:val="24"/>
              </w:rPr>
            </w:pPr>
            <w:r>
              <w:rPr>
                <w:rFonts w:ascii="Arial" w:hAnsi="Arial" w:cs="Arial"/>
                <w:color w:val="000000" w:themeColor="text1"/>
                <w:kern w:val="24"/>
              </w:rPr>
              <w:t>Debt</w:t>
            </w:r>
            <w:r w:rsidRPr="006A3CDE">
              <w:rPr>
                <w:rFonts w:ascii="Arial" w:hAnsi="Arial" w:cs="Arial"/>
                <w:color w:val="000000" w:themeColor="text1"/>
                <w:kern w:val="24"/>
              </w:rPr>
              <w:t xml:space="preserve"> recovery </w:t>
            </w:r>
            <w:r>
              <w:rPr>
                <w:rFonts w:ascii="Arial" w:hAnsi="Arial" w:cs="Arial"/>
                <w:color w:val="000000" w:themeColor="text1"/>
                <w:kern w:val="24"/>
              </w:rPr>
              <w:t>actions</w:t>
            </w:r>
            <w:r w:rsidRPr="006A3CDE">
              <w:rPr>
                <w:rFonts w:ascii="Arial" w:hAnsi="Arial" w:cs="Arial"/>
                <w:color w:val="000000" w:themeColor="text1"/>
                <w:kern w:val="24"/>
              </w:rPr>
              <w:t xml:space="preserve"> should </w:t>
            </w:r>
            <w:r>
              <w:rPr>
                <w:rFonts w:ascii="Arial" w:hAnsi="Arial" w:cs="Arial"/>
                <w:color w:val="000000" w:themeColor="text1"/>
                <w:kern w:val="24"/>
              </w:rPr>
              <w:t>offer renters a reasonable amount of time for repayment and account for individual circumstances and hardship.</w:t>
            </w:r>
          </w:p>
        </w:tc>
      </w:tr>
      <w:tr w:rsidR="00E804DF" w:rsidRPr="006A3CDE" w14:paraId="4394C30B" w14:textId="77777777">
        <w:tc>
          <w:tcPr>
            <w:tcW w:w="3261" w:type="dxa"/>
          </w:tcPr>
          <w:p w14:paraId="3CCC97DE" w14:textId="782C76D7" w:rsidR="00E804DF" w:rsidRDefault="00E804DF">
            <w:pPr>
              <w:pStyle w:val="Body"/>
              <w:jc w:val="left"/>
              <w:rPr>
                <w:b/>
                <w:bCs/>
              </w:rPr>
            </w:pPr>
            <w:r>
              <w:rPr>
                <w:b/>
                <w:bCs/>
              </w:rPr>
              <w:t>Simplicity</w:t>
            </w:r>
          </w:p>
        </w:tc>
        <w:tc>
          <w:tcPr>
            <w:tcW w:w="6804" w:type="dxa"/>
          </w:tcPr>
          <w:p w14:paraId="0FEAF3B9" w14:textId="71CEB55F" w:rsidR="00E804DF" w:rsidRDefault="00D05D3F">
            <w:pPr>
              <w:pStyle w:val="Body"/>
              <w:jc w:val="left"/>
              <w:rPr>
                <w:rFonts w:ascii="Arial" w:hAnsi="Arial" w:cs="Arial"/>
                <w:color w:val="000000" w:themeColor="text1"/>
                <w:kern w:val="24"/>
              </w:rPr>
            </w:pPr>
            <w:r>
              <w:rPr>
                <w:rFonts w:ascii="Arial" w:hAnsi="Arial" w:cs="Arial"/>
                <w:color w:val="000000" w:themeColor="text1"/>
                <w:kern w:val="24"/>
              </w:rPr>
              <w:t>Debt recovery actions should be easy to understand and simple to administer.</w:t>
            </w:r>
          </w:p>
        </w:tc>
      </w:tr>
    </w:tbl>
    <w:p w14:paraId="5F2DE378" w14:textId="77777777" w:rsidR="001555CF" w:rsidRDefault="001555CF" w:rsidP="001555CF">
      <w:pPr>
        <w:pStyle w:val="Body"/>
      </w:pPr>
      <w:r>
        <w:br w:type="page"/>
      </w:r>
    </w:p>
    <w:p w14:paraId="55E2299D" w14:textId="62123A16" w:rsidR="00E73CA0" w:rsidRPr="001E6CF1" w:rsidRDefault="00E73CA0" w:rsidP="00E73CA0">
      <w:pPr>
        <w:pStyle w:val="Heading1"/>
      </w:pPr>
      <w:bookmarkStart w:id="27" w:name="_Toc221890897"/>
      <w:r w:rsidRPr="001E6CF1">
        <w:lastRenderedPageBreak/>
        <w:t>Options</w:t>
      </w:r>
      <w:bookmarkEnd w:id="27"/>
      <w:r w:rsidRPr="001E6CF1">
        <w:t xml:space="preserve"> </w:t>
      </w:r>
    </w:p>
    <w:p w14:paraId="0F0B1740" w14:textId="319E31CD" w:rsidR="00945F11" w:rsidRPr="00945F11" w:rsidRDefault="003F573C" w:rsidP="00945F11">
      <w:pPr>
        <w:pStyle w:val="DJCSbody"/>
        <w:ind w:left="0"/>
      </w:pPr>
      <w:r>
        <w:t>The</w:t>
      </w:r>
      <w:r w:rsidR="00C25810">
        <w:t xml:space="preserve"> </w:t>
      </w:r>
      <w:r w:rsidR="003B3316">
        <w:t xml:space="preserve">Government </w:t>
      </w:r>
      <w:r w:rsidR="00C25810">
        <w:t>has</w:t>
      </w:r>
      <w:r w:rsidR="003E68CD">
        <w:t xml:space="preserve"> </w:t>
      </w:r>
      <w:r w:rsidR="00505379">
        <w:t>identified</w:t>
      </w:r>
      <w:r w:rsidR="00C25810">
        <w:t xml:space="preserve"> a range of options</w:t>
      </w:r>
      <w:r w:rsidR="00382C20">
        <w:t xml:space="preserve"> </w:t>
      </w:r>
      <w:r w:rsidR="00032823">
        <w:t xml:space="preserve">as part of developing </w:t>
      </w:r>
      <w:r w:rsidR="008D00C8">
        <w:t>the Regulations</w:t>
      </w:r>
      <w:r w:rsidR="00032823">
        <w:t xml:space="preserve"> that will support the operation of the PRBS</w:t>
      </w:r>
      <w:r w:rsidR="008D00C8">
        <w:t>.</w:t>
      </w:r>
      <w:r w:rsidR="003E68CD">
        <w:t xml:space="preserve"> </w:t>
      </w:r>
      <w:r w:rsidR="005002B0">
        <w:t xml:space="preserve">This chapter </w:t>
      </w:r>
      <w:r w:rsidR="00453551">
        <w:t>outlines</w:t>
      </w:r>
      <w:r w:rsidR="005002B0">
        <w:t xml:space="preserve"> </w:t>
      </w:r>
      <w:r w:rsidR="00C15A21" w:rsidRPr="00C15A21">
        <w:t xml:space="preserve">the options considered for analysis in this RIS. </w:t>
      </w:r>
    </w:p>
    <w:p w14:paraId="3787A1D5" w14:textId="77777777" w:rsidR="002330CA" w:rsidRDefault="00385EDA" w:rsidP="00CA3C50">
      <w:pPr>
        <w:pStyle w:val="Heading2"/>
      </w:pPr>
      <w:bookmarkStart w:id="28" w:name="_Toc221890898"/>
      <w:r>
        <w:t xml:space="preserve">Approach to </w:t>
      </w:r>
      <w:r w:rsidR="003E68CD">
        <w:t>developing</w:t>
      </w:r>
      <w:r w:rsidR="00F97A4D" w:rsidRPr="000F65FE">
        <w:t xml:space="preserve"> options</w:t>
      </w:r>
      <w:bookmarkEnd w:id="28"/>
      <w:r w:rsidR="00F97A4D" w:rsidRPr="000F65FE">
        <w:t xml:space="preserve"> </w:t>
      </w:r>
      <w:bookmarkStart w:id="29" w:name="_Ref189049944"/>
      <w:bookmarkStart w:id="30" w:name="_Toc189234426"/>
    </w:p>
    <w:p w14:paraId="20FE107F" w14:textId="6BF46BC4" w:rsidR="00995E13" w:rsidRDefault="00995E13" w:rsidP="001F576E">
      <w:pPr>
        <w:pStyle w:val="DJCSbody"/>
        <w:tabs>
          <w:tab w:val="num" w:pos="2388"/>
        </w:tabs>
        <w:ind w:left="0"/>
      </w:pPr>
      <w:r>
        <w:t xml:space="preserve">As outlined in </w:t>
      </w:r>
      <w:r w:rsidR="00A24674">
        <w:t>Subchapter</w:t>
      </w:r>
      <w:r>
        <w:t xml:space="preserve"> 2.2, </w:t>
      </w:r>
      <w:r w:rsidR="0046616F">
        <w:t xml:space="preserve">this RIS seeks to address </w:t>
      </w:r>
      <w:r>
        <w:t xml:space="preserve">two problems </w:t>
      </w:r>
      <w:r w:rsidR="0046616F">
        <w:t>that would otherwise occur in the base case</w:t>
      </w:r>
      <w:r>
        <w:t xml:space="preserve">: </w:t>
      </w:r>
    </w:p>
    <w:p w14:paraId="5D41338D" w14:textId="4DCA9949" w:rsidR="00036008" w:rsidRDefault="00995E13" w:rsidP="001A5AEF">
      <w:pPr>
        <w:pStyle w:val="Body"/>
        <w:numPr>
          <w:ilvl w:val="0"/>
          <w:numId w:val="114"/>
        </w:numPr>
      </w:pPr>
      <w:r w:rsidRPr="00230882">
        <w:t>The absence of any fees related to the PRBS inhibits the cost recovery and sustainability of the scheme</w:t>
      </w:r>
      <w:r w:rsidR="00036008">
        <w:t>.</w:t>
      </w:r>
    </w:p>
    <w:p w14:paraId="0DE1DF2E" w14:textId="4F148702" w:rsidR="00036008" w:rsidRDefault="00036008" w:rsidP="001F576E">
      <w:pPr>
        <w:pStyle w:val="Body"/>
        <w:numPr>
          <w:ilvl w:val="0"/>
          <w:numId w:val="114"/>
        </w:numPr>
      </w:pPr>
      <w:r w:rsidRPr="00036008">
        <w:t xml:space="preserve">The absence of a debt management and recovery process, including debt recovery actions, inhibits the Government’s ability to recover unpaid debts under the PRBS and may lead to high levels of </w:t>
      </w:r>
      <w:r w:rsidR="000F655B">
        <w:t>written-off debt.</w:t>
      </w:r>
    </w:p>
    <w:p w14:paraId="00308939" w14:textId="52DED5C0" w:rsidR="00945F11" w:rsidRDefault="00C9038B" w:rsidP="001F576E">
      <w:pPr>
        <w:pStyle w:val="Body"/>
      </w:pPr>
      <w:r>
        <w:t>In accordance with t</w:t>
      </w:r>
      <w:r w:rsidR="00854CCA">
        <w:t>he</w:t>
      </w:r>
      <w:r w:rsidR="000C256A">
        <w:t xml:space="preserve"> </w:t>
      </w:r>
      <w:r w:rsidR="00945F11" w:rsidRPr="79E303FA">
        <w:rPr>
          <w:i/>
          <w:iCs/>
        </w:rPr>
        <w:t>Subordinate Legislation Act 1994</w:t>
      </w:r>
      <w:r w:rsidR="00945F11">
        <w:t xml:space="preserve"> (the SL Act</w:t>
      </w:r>
      <w:r w:rsidR="00D84688">
        <w:t>)</w:t>
      </w:r>
      <w:r>
        <w:t>, which</w:t>
      </w:r>
      <w:r w:rsidR="00945F11">
        <w:t xml:space="preserve"> governs the development and establishment of statutory rules and legislative instruments in Victoria</w:t>
      </w:r>
      <w:r w:rsidR="001A5AEF">
        <w:t xml:space="preserve">, and </w:t>
      </w:r>
      <w:r>
        <w:t>t</w:t>
      </w:r>
      <w:r w:rsidR="00CE6162">
        <w:t>he Victorian Guide to Regulation</w:t>
      </w:r>
      <w:r>
        <w:t xml:space="preserve">, the Government has </w:t>
      </w:r>
      <w:r w:rsidR="005A5354">
        <w:t xml:space="preserve">considered </w:t>
      </w:r>
      <w:r w:rsidR="00E76E79">
        <w:t xml:space="preserve">a range of options to address the identified problems. This has included </w:t>
      </w:r>
      <w:r w:rsidR="008759A2">
        <w:t>considering</w:t>
      </w:r>
      <w:r w:rsidR="00CE6162">
        <w:t xml:space="preserve"> co-regulation, non-regulatory approaches, and strategies that reduce the burden on both industry and/or the community. </w:t>
      </w:r>
    </w:p>
    <w:p w14:paraId="610CF58B" w14:textId="27F55CCD" w:rsidR="00945F11" w:rsidRDefault="00945F11" w:rsidP="00945F11">
      <w:pPr>
        <w:pStyle w:val="DJCSbody"/>
        <w:ind w:left="0"/>
      </w:pPr>
      <w:r>
        <w:t xml:space="preserve">The following processes were conducted to identify feasible options </w:t>
      </w:r>
      <w:r w:rsidR="0027764F">
        <w:t xml:space="preserve">to address the two problems identified in </w:t>
      </w:r>
      <w:r>
        <w:t>this RIS:</w:t>
      </w:r>
    </w:p>
    <w:p w14:paraId="69BDEECC" w14:textId="19D3D89E" w:rsidR="00713124" w:rsidRPr="005B5C93" w:rsidRDefault="00713124" w:rsidP="001F576E">
      <w:pPr>
        <w:pStyle w:val="Body"/>
        <w:numPr>
          <w:ilvl w:val="0"/>
          <w:numId w:val="111"/>
        </w:numPr>
        <w:rPr>
          <w:rFonts w:eastAsia="Times"/>
        </w:rPr>
      </w:pPr>
      <w:r>
        <w:t xml:space="preserve">considering which design elements of the PRBS are most suited to being included in the Regulations or </w:t>
      </w:r>
      <w:r w:rsidRPr="005B5C93">
        <w:t xml:space="preserve">Guidelines and the </w:t>
      </w:r>
      <w:r>
        <w:t xml:space="preserve">appropriate </w:t>
      </w:r>
      <w:r w:rsidRPr="005B5C93">
        <w:t xml:space="preserve">level of detail </w:t>
      </w:r>
      <w:r>
        <w:t xml:space="preserve">to include </w:t>
      </w:r>
      <w:r w:rsidR="0004272B">
        <w:t>in these instruments</w:t>
      </w:r>
      <w:r w:rsidR="00D37C95">
        <w:t>,</w:t>
      </w:r>
    </w:p>
    <w:p w14:paraId="4934CB49" w14:textId="6F29E0F7" w:rsidR="00945F11" w:rsidRDefault="00945F11" w:rsidP="007822A5">
      <w:pPr>
        <w:pStyle w:val="DJCSbody"/>
        <w:numPr>
          <w:ilvl w:val="0"/>
          <w:numId w:val="28"/>
        </w:numPr>
        <w:tabs>
          <w:tab w:val="num" w:pos="2388"/>
        </w:tabs>
      </w:pPr>
      <w:r>
        <w:t>performing a comprehensive analysis of the cost base of the operational expenses related to the function and regulation of the proposed PRBS</w:t>
      </w:r>
      <w:r w:rsidR="00D37C95">
        <w:t>,</w:t>
      </w:r>
    </w:p>
    <w:p w14:paraId="09678611" w14:textId="34A84D15" w:rsidR="00945F11" w:rsidRDefault="00945F11" w:rsidP="007822A5">
      <w:pPr>
        <w:pStyle w:val="DJCSbody"/>
        <w:numPr>
          <w:ilvl w:val="0"/>
          <w:numId w:val="28"/>
        </w:numPr>
        <w:tabs>
          <w:tab w:val="num" w:pos="2388"/>
        </w:tabs>
      </w:pPr>
      <w:r>
        <w:t xml:space="preserve">comparing rental bond loan schemes and </w:t>
      </w:r>
      <w:r w:rsidR="00803DF1">
        <w:t xml:space="preserve">proposed </w:t>
      </w:r>
      <w:r>
        <w:t>portable rental bond schemes in other jurisdictions</w:t>
      </w:r>
      <w:r w:rsidR="00D37C95">
        <w:t>,</w:t>
      </w:r>
    </w:p>
    <w:p w14:paraId="654E1875" w14:textId="6C282D34" w:rsidR="00187DED" w:rsidRDefault="00945F11" w:rsidP="007822A5">
      <w:pPr>
        <w:pStyle w:val="DJCSbody"/>
        <w:numPr>
          <w:ilvl w:val="0"/>
          <w:numId w:val="28"/>
        </w:numPr>
        <w:tabs>
          <w:tab w:val="num" w:pos="2388"/>
        </w:tabs>
      </w:pPr>
      <w:r>
        <w:t xml:space="preserve">engaging with various </w:t>
      </w:r>
      <w:r w:rsidR="00953D7A">
        <w:t>Government</w:t>
      </w:r>
      <w:r>
        <w:t xml:space="preserve"> agencies and departments on the design of comparative debt recovery mechanisms</w:t>
      </w:r>
      <w:r w:rsidR="00427C45">
        <w:t>, and</w:t>
      </w:r>
    </w:p>
    <w:p w14:paraId="7C121EEA" w14:textId="69939BC6" w:rsidR="00BC6955" w:rsidRDefault="00945F11" w:rsidP="007822A5">
      <w:pPr>
        <w:pStyle w:val="DJCSbody"/>
        <w:numPr>
          <w:ilvl w:val="0"/>
          <w:numId w:val="28"/>
        </w:numPr>
        <w:tabs>
          <w:tab w:val="num" w:pos="2388"/>
        </w:tabs>
      </w:pPr>
      <w:r>
        <w:t>utilising this information to review a broad spectrum of options, followed by proposing several options for detailed analysis.</w:t>
      </w:r>
    </w:p>
    <w:p w14:paraId="61AB2E56" w14:textId="6DCFB636" w:rsidR="0043534C" w:rsidRDefault="00D2465A" w:rsidP="009C6AD9">
      <w:pPr>
        <w:pStyle w:val="DJCSbody"/>
        <w:ind w:left="0"/>
      </w:pPr>
      <w:r>
        <w:t>T</w:t>
      </w:r>
      <w:r w:rsidR="00C461F1">
        <w:t>h</w:t>
      </w:r>
      <w:r>
        <w:t xml:space="preserve">is chapter </w:t>
      </w:r>
      <w:r w:rsidR="005F2089">
        <w:t xml:space="preserve">of the RIS </w:t>
      </w:r>
      <w:r>
        <w:t>outlines</w:t>
      </w:r>
      <w:r w:rsidR="0043534C">
        <w:t xml:space="preserve">: </w:t>
      </w:r>
    </w:p>
    <w:p w14:paraId="727C5C5E" w14:textId="548E2410" w:rsidR="0066030E" w:rsidRDefault="005F2089" w:rsidP="0043534C">
      <w:pPr>
        <w:pStyle w:val="DJCSbody"/>
        <w:numPr>
          <w:ilvl w:val="0"/>
          <w:numId w:val="112"/>
        </w:numPr>
        <w:tabs>
          <w:tab w:val="num" w:pos="1597"/>
        </w:tabs>
      </w:pPr>
      <w:r>
        <w:t>The proposed d</w:t>
      </w:r>
      <w:r w:rsidR="0043534C">
        <w:t xml:space="preserve">ebt </w:t>
      </w:r>
      <w:r w:rsidR="00F319CD">
        <w:t xml:space="preserve">management and </w:t>
      </w:r>
      <w:r w:rsidR="0043534C">
        <w:t xml:space="preserve">recovery </w:t>
      </w:r>
      <w:r w:rsidR="00F319CD">
        <w:t>process for the PRBS</w:t>
      </w:r>
      <w:r w:rsidR="00CA657C">
        <w:t>, including</w:t>
      </w:r>
      <w:r w:rsidR="0066030E">
        <w:t xml:space="preserve"> </w:t>
      </w:r>
      <w:r w:rsidR="004C7524">
        <w:t xml:space="preserve">the aspects which are proposed to be set out in the Regulations and </w:t>
      </w:r>
      <w:r w:rsidR="00D37C95">
        <w:t xml:space="preserve">the </w:t>
      </w:r>
      <w:r w:rsidR="004C7524">
        <w:t xml:space="preserve">Guidelines, </w:t>
      </w:r>
      <w:r w:rsidR="0066030E">
        <w:t xml:space="preserve">and the considerations which informed the </w:t>
      </w:r>
      <w:r w:rsidR="00E33348">
        <w:t xml:space="preserve">design of the </w:t>
      </w:r>
      <w:r w:rsidR="004C7524">
        <w:t>proposed process</w:t>
      </w:r>
      <w:r w:rsidR="00355624">
        <w:t>.</w:t>
      </w:r>
    </w:p>
    <w:p w14:paraId="675A58F1" w14:textId="3D1E7DE8" w:rsidR="001E1307" w:rsidRDefault="004202E9" w:rsidP="001F576E">
      <w:pPr>
        <w:pStyle w:val="DJCSbody"/>
        <w:numPr>
          <w:ilvl w:val="0"/>
          <w:numId w:val="112"/>
        </w:numPr>
        <w:tabs>
          <w:tab w:val="num" w:pos="1597"/>
        </w:tabs>
      </w:pPr>
      <w:r>
        <w:t>Options for</w:t>
      </w:r>
      <w:r w:rsidR="00E71D33">
        <w:t xml:space="preserve"> prescribing fees</w:t>
      </w:r>
      <w:r w:rsidR="00A86C03">
        <w:t xml:space="preserve"> in the Regulations to support the PRBS</w:t>
      </w:r>
      <w:r w:rsidR="00272AA7">
        <w:t>, which are further analysed and assessed in this RIS</w:t>
      </w:r>
      <w:r w:rsidR="004300E9">
        <w:t xml:space="preserve">. These </w:t>
      </w:r>
      <w:r w:rsidR="00796C33">
        <w:t xml:space="preserve">options </w:t>
      </w:r>
      <w:r w:rsidR="00CE2C6B">
        <w:t>include</w:t>
      </w:r>
      <w:r w:rsidR="001E1307">
        <w:t>:</w:t>
      </w:r>
    </w:p>
    <w:p w14:paraId="77EBB60F" w14:textId="1C51AA34" w:rsidR="001E1307" w:rsidRDefault="001E1307" w:rsidP="001E1307">
      <w:pPr>
        <w:pStyle w:val="DJCSbody"/>
        <w:numPr>
          <w:ilvl w:val="0"/>
          <w:numId w:val="62"/>
        </w:numPr>
      </w:pPr>
      <w:r>
        <w:t>O</w:t>
      </w:r>
      <w:r w:rsidR="00F73289">
        <w:t xml:space="preserve">ptions for </w:t>
      </w:r>
      <w:r w:rsidR="008755D3">
        <w:t>a</w:t>
      </w:r>
      <w:r w:rsidR="00BC62FA">
        <w:t xml:space="preserve">n application </w:t>
      </w:r>
      <w:r w:rsidR="008755D3">
        <w:t>fee</w:t>
      </w:r>
    </w:p>
    <w:p w14:paraId="487B8ECF" w14:textId="03FB5653" w:rsidR="001E1307" w:rsidRDefault="00F85E12" w:rsidP="001E1307">
      <w:pPr>
        <w:pStyle w:val="DJCSbody"/>
        <w:numPr>
          <w:ilvl w:val="0"/>
          <w:numId w:val="62"/>
        </w:numPr>
      </w:pPr>
      <w:r>
        <w:t>Options</w:t>
      </w:r>
      <w:r w:rsidR="00F73289">
        <w:t xml:space="preserve"> for</w:t>
      </w:r>
      <w:r w:rsidR="00BC62FA">
        <w:t xml:space="preserve"> a debt recovery</w:t>
      </w:r>
      <w:r w:rsidR="00F73289">
        <w:t xml:space="preserve"> </w:t>
      </w:r>
      <w:r w:rsidR="0065327D">
        <w:t>fee</w:t>
      </w:r>
      <w:r w:rsidR="004300E9">
        <w:t xml:space="preserve">. </w:t>
      </w:r>
    </w:p>
    <w:p w14:paraId="2A8CFDF4" w14:textId="351D8A46" w:rsidR="000D1660" w:rsidRDefault="00DD354A" w:rsidP="001F576E">
      <w:pPr>
        <w:pStyle w:val="Heading2"/>
      </w:pPr>
      <w:bookmarkStart w:id="31" w:name="_Toc220522653"/>
      <w:bookmarkStart w:id="32" w:name="_Toc221890899"/>
      <w:bookmarkEnd w:id="31"/>
      <w:r>
        <w:t>D</w:t>
      </w:r>
      <w:r w:rsidR="000D1660">
        <w:t>ebt management and recovery process</w:t>
      </w:r>
      <w:bookmarkEnd w:id="32"/>
    </w:p>
    <w:p w14:paraId="3D33678A" w14:textId="440D918E" w:rsidR="00713B0C" w:rsidRDefault="004D4CE3" w:rsidP="00713B0C">
      <w:pPr>
        <w:pStyle w:val="Body"/>
        <w:rPr>
          <w:rFonts w:ascii="Arial" w:hAnsi="Arial" w:cs="Arial"/>
          <w:color w:val="000000" w:themeColor="text1"/>
          <w:kern w:val="24"/>
        </w:rPr>
      </w:pPr>
      <w:r>
        <w:t>A</w:t>
      </w:r>
      <w:r w:rsidR="00AC30D3">
        <w:t xml:space="preserve"> </w:t>
      </w:r>
      <w:r w:rsidR="007812F7">
        <w:t>debt management and recovery process</w:t>
      </w:r>
      <w:r w:rsidR="00AC30D3">
        <w:t xml:space="preserve"> </w:t>
      </w:r>
      <w:r w:rsidR="004F74EC">
        <w:t>for the PRBS</w:t>
      </w:r>
      <w:r w:rsidR="007812F7">
        <w:t xml:space="preserve"> </w:t>
      </w:r>
      <w:r w:rsidR="00AC30D3">
        <w:t xml:space="preserve">is an important </w:t>
      </w:r>
      <w:r w:rsidR="00F8429D">
        <w:t>mechanism</w:t>
      </w:r>
      <w:r w:rsidR="00AC30D3">
        <w:t xml:space="preserve"> to ensure the </w:t>
      </w:r>
      <w:r w:rsidR="00861CD2">
        <w:t>Government can</w:t>
      </w:r>
      <w:r w:rsidR="00AC30D3">
        <w:t xml:space="preserve"> </w:t>
      </w:r>
      <w:r w:rsidR="00092C05">
        <w:t xml:space="preserve">recover </w:t>
      </w:r>
      <w:r w:rsidR="004F74EC">
        <w:t xml:space="preserve">any </w:t>
      </w:r>
      <w:r w:rsidR="005069C4">
        <w:t>unpaid debts</w:t>
      </w:r>
      <w:r w:rsidR="00092C05">
        <w:t xml:space="preserve"> </w:t>
      </w:r>
      <w:r w:rsidR="00733095">
        <w:t xml:space="preserve">that </w:t>
      </w:r>
      <w:r w:rsidR="004F74EC">
        <w:t>are</w:t>
      </w:r>
      <w:r w:rsidR="00733095">
        <w:t xml:space="preserve"> established </w:t>
      </w:r>
      <w:r w:rsidR="00ED39D1">
        <w:t xml:space="preserve">through </w:t>
      </w:r>
      <w:r w:rsidR="00AC30D3">
        <w:t>the PRBS</w:t>
      </w:r>
      <w:r w:rsidR="00F16905">
        <w:t>,</w:t>
      </w:r>
      <w:r w:rsidR="001D4F58">
        <w:t xml:space="preserve"> </w:t>
      </w:r>
      <w:r w:rsidR="00AD0335">
        <w:t xml:space="preserve">thereby </w:t>
      </w:r>
      <w:r w:rsidR="001D4F58">
        <w:t>ensur</w:t>
      </w:r>
      <w:r w:rsidR="00F16905">
        <w:t>ing</w:t>
      </w:r>
      <w:r w:rsidR="001D4F58">
        <w:t xml:space="preserve"> the PRBS</w:t>
      </w:r>
      <w:r w:rsidR="00F16905">
        <w:t xml:space="preserve"> is </w:t>
      </w:r>
      <w:r w:rsidR="001D4F58">
        <w:t>financial</w:t>
      </w:r>
      <w:r w:rsidR="00F16905">
        <w:t>ly</w:t>
      </w:r>
      <w:r w:rsidR="001D4F58">
        <w:t xml:space="preserve"> sustainab</w:t>
      </w:r>
      <w:r w:rsidR="00F16905">
        <w:t xml:space="preserve">le. </w:t>
      </w:r>
      <w:r w:rsidR="00713B0C">
        <w:t xml:space="preserve">This is balanced against the </w:t>
      </w:r>
      <w:r w:rsidR="00173289">
        <w:t>need to ensure</w:t>
      </w:r>
      <w:r w:rsidR="00713B0C">
        <w:t xml:space="preserve"> fairness, by </w:t>
      </w:r>
      <w:r w:rsidR="00713B0C">
        <w:rPr>
          <w:rFonts w:ascii="Arial" w:hAnsi="Arial" w:cs="Arial"/>
          <w:color w:val="000000" w:themeColor="text1"/>
          <w:kern w:val="24"/>
        </w:rPr>
        <w:t>offering renters a reasonable amount of time for repayment, accounting for individual circumstances and hardship.</w:t>
      </w:r>
    </w:p>
    <w:p w14:paraId="62687119" w14:textId="7FFE9C60" w:rsidR="00355624" w:rsidRDefault="004F74EC" w:rsidP="001F576E">
      <w:pPr>
        <w:pStyle w:val="Body"/>
      </w:pPr>
      <w:r>
        <w:lastRenderedPageBreak/>
        <w:t xml:space="preserve">The </w:t>
      </w:r>
      <w:r w:rsidR="005E527A">
        <w:t xml:space="preserve">amendments to the </w:t>
      </w:r>
      <w:r w:rsidR="008F3B7D">
        <w:t>RT</w:t>
      </w:r>
      <w:r>
        <w:t xml:space="preserve"> Act provide </w:t>
      </w:r>
      <w:r w:rsidR="00C31938" w:rsidRPr="002C654F">
        <w:rPr>
          <w:rFonts w:eastAsia="MS Gothic" w:cstheme="majorBidi"/>
          <w:szCs w:val="24"/>
        </w:rPr>
        <w:t>a high-level framework</w:t>
      </w:r>
      <w:r w:rsidR="00062AA9">
        <w:t xml:space="preserve"> to support</w:t>
      </w:r>
      <w:r>
        <w:t xml:space="preserve"> Government to </w:t>
      </w:r>
      <w:r w:rsidR="00062AA9">
        <w:t xml:space="preserve">recover unpaid debts, </w:t>
      </w:r>
      <w:r w:rsidR="006F0E6D">
        <w:t xml:space="preserve">but </w:t>
      </w:r>
      <w:r w:rsidR="00826716">
        <w:t>do</w:t>
      </w:r>
      <w:r w:rsidR="006F0E6D">
        <w:t xml:space="preserve"> not define the process or timing for how the</w:t>
      </w:r>
      <w:r w:rsidR="00C31938">
        <w:t xml:space="preserve"> various</w:t>
      </w:r>
      <w:r w:rsidR="006F0E6D">
        <w:t xml:space="preserve"> mechanisms will operate. </w:t>
      </w:r>
      <w:r w:rsidR="00C31938" w:rsidRPr="002C654F">
        <w:rPr>
          <w:rFonts w:eastAsia="MS Gothic" w:cstheme="majorBidi"/>
          <w:szCs w:val="24"/>
        </w:rPr>
        <w:t xml:space="preserve">As outlined in Chapter 1, </w:t>
      </w:r>
      <w:r w:rsidR="000D0ADC">
        <w:rPr>
          <w:rFonts w:eastAsia="MS Gothic" w:cstheme="majorBidi"/>
          <w:szCs w:val="24"/>
        </w:rPr>
        <w:t>this</w:t>
      </w:r>
      <w:r w:rsidR="00C31938" w:rsidRPr="002C654F">
        <w:rPr>
          <w:rFonts w:eastAsia="MS Gothic" w:cstheme="majorBidi"/>
          <w:szCs w:val="24"/>
        </w:rPr>
        <w:t xml:space="preserve"> framework </w:t>
      </w:r>
      <w:r w:rsidR="00D53670">
        <w:rPr>
          <w:rFonts w:eastAsia="MS Gothic" w:cstheme="majorBidi"/>
          <w:szCs w:val="24"/>
        </w:rPr>
        <w:t>includes</w:t>
      </w:r>
      <w:r w:rsidR="00C31938" w:rsidRPr="002C654F">
        <w:rPr>
          <w:rFonts w:eastAsia="MS Gothic" w:cstheme="majorBidi"/>
          <w:szCs w:val="24"/>
        </w:rPr>
        <w:t xml:space="preserve"> </w:t>
      </w:r>
      <w:r w:rsidR="00D53670">
        <w:rPr>
          <w:rFonts w:eastAsia="MS Gothic" w:cstheme="majorBidi"/>
          <w:szCs w:val="24"/>
        </w:rPr>
        <w:t xml:space="preserve">four </w:t>
      </w:r>
      <w:r w:rsidR="00C31938" w:rsidRPr="002C654F">
        <w:rPr>
          <w:rFonts w:eastAsia="MS Gothic" w:cstheme="majorBidi"/>
          <w:szCs w:val="24"/>
        </w:rPr>
        <w:t>key stages</w:t>
      </w:r>
      <w:r w:rsidR="00826716">
        <w:rPr>
          <w:rFonts w:eastAsia="MS Gothic" w:cstheme="majorBidi"/>
          <w:szCs w:val="24"/>
        </w:rPr>
        <w:t xml:space="preserve">: </w:t>
      </w:r>
      <w:r w:rsidR="009022CC">
        <w:rPr>
          <w:rFonts w:eastAsia="MS Gothic" w:cstheme="majorBidi"/>
          <w:szCs w:val="24"/>
        </w:rPr>
        <w:t>issuing an invoice,</w:t>
      </w:r>
      <w:r w:rsidR="00C31938" w:rsidRPr="002C654F">
        <w:rPr>
          <w:rFonts w:eastAsia="MS Gothic" w:cstheme="majorBidi"/>
          <w:szCs w:val="24"/>
        </w:rPr>
        <w:t xml:space="preserve"> debt recovery actions undertaken by the </w:t>
      </w:r>
      <w:r w:rsidR="00C31938">
        <w:rPr>
          <w:rFonts w:eastAsia="MS Gothic" w:cstheme="majorBidi"/>
          <w:szCs w:val="24"/>
        </w:rPr>
        <w:t>Government</w:t>
      </w:r>
      <w:r w:rsidR="00C31938" w:rsidRPr="002C654F">
        <w:rPr>
          <w:rFonts w:eastAsia="MS Gothic" w:cstheme="majorBidi"/>
          <w:szCs w:val="24"/>
        </w:rPr>
        <w:t xml:space="preserve">, referral of debt to a </w:t>
      </w:r>
      <w:r w:rsidR="00265D08">
        <w:rPr>
          <w:rFonts w:eastAsia="MS Gothic" w:cstheme="majorBidi"/>
          <w:szCs w:val="24"/>
        </w:rPr>
        <w:t>DCA</w:t>
      </w:r>
      <w:r w:rsidR="00C31938" w:rsidRPr="002C654F">
        <w:rPr>
          <w:rFonts w:eastAsia="MS Gothic" w:cstheme="majorBidi"/>
          <w:szCs w:val="24"/>
        </w:rPr>
        <w:t xml:space="preserve"> and</w:t>
      </w:r>
      <w:r w:rsidR="002C43C7">
        <w:rPr>
          <w:rFonts w:eastAsia="MS Gothic" w:cstheme="majorBidi"/>
          <w:szCs w:val="24"/>
        </w:rPr>
        <w:t xml:space="preserve">, if the debt is not recovered by the DCA, </w:t>
      </w:r>
      <w:r w:rsidR="00801396">
        <w:rPr>
          <w:rFonts w:eastAsia="MS Gothic" w:cstheme="majorBidi"/>
          <w:szCs w:val="24"/>
        </w:rPr>
        <w:t xml:space="preserve">the management of the debt will be completed by </w:t>
      </w:r>
      <w:r w:rsidR="00D76A40">
        <w:rPr>
          <w:rFonts w:eastAsia="MS Gothic" w:cstheme="majorBidi"/>
          <w:szCs w:val="24"/>
        </w:rPr>
        <w:t xml:space="preserve">the </w:t>
      </w:r>
      <w:r w:rsidR="001E77A5">
        <w:rPr>
          <w:rFonts w:eastAsia="MS Gothic" w:cstheme="majorBidi"/>
          <w:szCs w:val="24"/>
        </w:rPr>
        <w:t>Government with</w:t>
      </w:r>
      <w:r w:rsidR="00C5368F">
        <w:rPr>
          <w:rFonts w:eastAsia="MS Gothic" w:cstheme="majorBidi"/>
          <w:szCs w:val="24"/>
        </w:rPr>
        <w:t xml:space="preserve"> </w:t>
      </w:r>
      <w:r w:rsidR="00C31938" w:rsidRPr="002C654F">
        <w:rPr>
          <w:rFonts w:eastAsia="MS Gothic" w:cstheme="majorBidi"/>
          <w:szCs w:val="24"/>
        </w:rPr>
        <w:t xml:space="preserve">a mechanism to recover any outstanding debts from a renter’s second bond. </w:t>
      </w:r>
      <w:r w:rsidR="009022CC">
        <w:t xml:space="preserve">The </w:t>
      </w:r>
      <w:r w:rsidR="00826716">
        <w:t>amended</w:t>
      </w:r>
      <w:r w:rsidR="009022CC">
        <w:t xml:space="preserve"> </w:t>
      </w:r>
      <w:r w:rsidR="008F3B7D">
        <w:t>RT</w:t>
      </w:r>
      <w:r w:rsidR="000D33C6">
        <w:t xml:space="preserve"> Act also provides for</w:t>
      </w:r>
      <w:r w:rsidR="00643F4C">
        <w:t xml:space="preserve"> </w:t>
      </w:r>
      <w:r w:rsidR="00582A27">
        <w:t xml:space="preserve">payment </w:t>
      </w:r>
      <w:r w:rsidR="000D33C6">
        <w:t>plans</w:t>
      </w:r>
      <w:r w:rsidR="005D414F">
        <w:t>, which are to be further outlined in the Guidelines</w:t>
      </w:r>
      <w:r w:rsidR="00D10701">
        <w:t xml:space="preserve">. </w:t>
      </w:r>
      <w:r w:rsidR="00A7429C">
        <w:t>This RIS does not include</w:t>
      </w:r>
      <w:r w:rsidR="00EF4719">
        <w:t xml:space="preserve"> options</w:t>
      </w:r>
      <w:r w:rsidR="00D12894">
        <w:t xml:space="preserve"> for further impact analysis, however</w:t>
      </w:r>
      <w:r w:rsidR="00B77278">
        <w:t xml:space="preserve"> the </w:t>
      </w:r>
      <w:r w:rsidR="00206571">
        <w:t xml:space="preserve">rationale for the </w:t>
      </w:r>
      <w:r w:rsidR="00D12894">
        <w:t xml:space="preserve">proposed </w:t>
      </w:r>
      <w:r w:rsidR="00971D7E">
        <w:t>process</w:t>
      </w:r>
      <w:r w:rsidR="00D12894">
        <w:t xml:space="preserve"> has been </w:t>
      </w:r>
      <w:r w:rsidR="008767EA">
        <w:t xml:space="preserve">detailed </w:t>
      </w:r>
      <w:r w:rsidR="00911B23">
        <w:t xml:space="preserve">as part of this </w:t>
      </w:r>
      <w:r w:rsidR="00F06A3B">
        <w:t>chapter</w:t>
      </w:r>
      <w:r w:rsidR="00D12894">
        <w:t>.</w:t>
      </w:r>
      <w:r w:rsidR="00EF4719">
        <w:t xml:space="preserve"> </w:t>
      </w:r>
      <w:r w:rsidR="00245B3E">
        <w:t>A</w:t>
      </w:r>
      <w:r w:rsidR="00355624">
        <w:t xml:space="preserve"> sensitivity analysis is undertaken to understand how variations to the </w:t>
      </w:r>
      <w:r w:rsidR="00B15AC0">
        <w:t>proposed</w:t>
      </w:r>
      <w:r w:rsidR="00355624">
        <w:t xml:space="preserve"> debt recovery </w:t>
      </w:r>
      <w:r w:rsidR="00B15AC0">
        <w:t>process</w:t>
      </w:r>
      <w:r w:rsidR="00355624">
        <w:t xml:space="preserve"> impact the overall effectiveness of debt recovery </w:t>
      </w:r>
      <w:r w:rsidR="000B1CD6">
        <w:t xml:space="preserve">and the projected cash flows </w:t>
      </w:r>
      <w:r w:rsidR="00355624">
        <w:t>of the PRBS</w:t>
      </w:r>
      <w:r w:rsidR="00B15AC0">
        <w:t xml:space="preserve"> (see </w:t>
      </w:r>
      <w:r w:rsidR="00A24674">
        <w:t>Subchapter</w:t>
      </w:r>
      <w:r w:rsidR="00B15AC0">
        <w:t xml:space="preserve"> </w:t>
      </w:r>
      <w:r w:rsidR="00B15AC0">
        <w:fldChar w:fldCharType="begin"/>
      </w:r>
      <w:r w:rsidR="00B15AC0">
        <w:instrText xml:space="preserve"> REF _Ref219723297 \r \h </w:instrText>
      </w:r>
      <w:r w:rsidR="00971D7E">
        <w:instrText xml:space="preserve"> \* MERGEFORMAT </w:instrText>
      </w:r>
      <w:r w:rsidR="00B15AC0">
        <w:fldChar w:fldCharType="separate"/>
      </w:r>
      <w:r w:rsidR="00A50199">
        <w:t>6.3</w:t>
      </w:r>
      <w:r w:rsidR="00B15AC0">
        <w:fldChar w:fldCharType="end"/>
      </w:r>
      <w:r w:rsidR="00B15AC0">
        <w:t>)</w:t>
      </w:r>
      <w:r w:rsidR="00355624">
        <w:t xml:space="preserve">. </w:t>
      </w:r>
    </w:p>
    <w:p w14:paraId="6B8D4902" w14:textId="1A1E6C03" w:rsidR="00D13DE4" w:rsidRDefault="00DF1184" w:rsidP="001F576E">
      <w:pPr>
        <w:pStyle w:val="Heading3"/>
      </w:pPr>
      <w:r>
        <w:t>Outline of the proposed d</w:t>
      </w:r>
      <w:r w:rsidR="00031243">
        <w:t>ebt management and recovery process</w:t>
      </w:r>
    </w:p>
    <w:p w14:paraId="7DF74C22" w14:textId="65C20662" w:rsidR="000D1660" w:rsidRDefault="00DD3FD4" w:rsidP="000D1660">
      <w:pPr>
        <w:pStyle w:val="DJCSbody"/>
        <w:ind w:left="0"/>
      </w:pPr>
      <w:r>
        <w:t xml:space="preserve">Based on the </w:t>
      </w:r>
      <w:r w:rsidR="004D4CE3">
        <w:t>requirements</w:t>
      </w:r>
      <w:r w:rsidR="0016169C">
        <w:t xml:space="preserve"> </w:t>
      </w:r>
      <w:r>
        <w:t xml:space="preserve">set out </w:t>
      </w:r>
      <w:r w:rsidR="0016169C">
        <w:t xml:space="preserve">in the </w:t>
      </w:r>
      <w:r w:rsidR="00EE0A29">
        <w:t xml:space="preserve">amended </w:t>
      </w:r>
      <w:r w:rsidR="008F3B7D">
        <w:t>RT</w:t>
      </w:r>
      <w:r>
        <w:t xml:space="preserve"> Act, </w:t>
      </w:r>
      <w:r w:rsidR="00B833C3">
        <w:t>the Government has defined</w:t>
      </w:r>
      <w:r w:rsidR="000D1660">
        <w:t xml:space="preserve"> the following key stages in the debt management and recovery process </w:t>
      </w:r>
      <w:r w:rsidR="00B833C3">
        <w:t>as being</w:t>
      </w:r>
      <w:r w:rsidR="000D1660">
        <w:t>:</w:t>
      </w:r>
    </w:p>
    <w:p w14:paraId="1330B408" w14:textId="20F920BF" w:rsidR="000D1660" w:rsidRDefault="000D1660" w:rsidP="001F576E">
      <w:pPr>
        <w:pStyle w:val="DJCSbody"/>
        <w:numPr>
          <w:ilvl w:val="0"/>
          <w:numId w:val="116"/>
        </w:numPr>
      </w:pPr>
      <w:r>
        <w:t xml:space="preserve">Stage 1A: Invoice for payment issued to renter </w:t>
      </w:r>
      <w:r w:rsidR="00DA3CD0">
        <w:t xml:space="preserve">for payment </w:t>
      </w:r>
      <w:r>
        <w:t>with</w:t>
      </w:r>
      <w:r w:rsidR="00B36625">
        <w:t>in</w:t>
      </w:r>
      <w:r>
        <w:t xml:space="preserve"> </w:t>
      </w:r>
      <w:r w:rsidR="00BF7AA1">
        <w:t>8</w:t>
      </w:r>
      <w:r w:rsidR="00DE36F0">
        <w:t xml:space="preserve"> </w:t>
      </w:r>
      <w:r w:rsidR="00BF7AA1">
        <w:t>wee</w:t>
      </w:r>
      <w:r w:rsidR="00DA3CD0">
        <w:t>ks</w:t>
      </w:r>
      <w:r>
        <w:t xml:space="preserve">. New </w:t>
      </w:r>
      <w:r w:rsidR="00F06A3B">
        <w:t>Section</w:t>
      </w:r>
      <w:r>
        <w:t xml:space="preserve"> 423Z (5)(a) of the </w:t>
      </w:r>
      <w:r w:rsidR="00EE0A29">
        <w:t xml:space="preserve">amended </w:t>
      </w:r>
      <w:r>
        <w:t>RT</w:t>
      </w:r>
      <w:r w:rsidR="00570D65">
        <w:t xml:space="preserve"> </w:t>
      </w:r>
      <w:r>
        <w:t>A</w:t>
      </w:r>
      <w:r w:rsidR="00570D65">
        <w:t>ct</w:t>
      </w:r>
      <w:r>
        <w:t xml:space="preserve"> outlines that no debt recovery action can be taken within the first 8 weeks of the renter receiving the notice for payment.</w:t>
      </w:r>
    </w:p>
    <w:p w14:paraId="4E775E2A" w14:textId="4B7CFB1F" w:rsidR="000D1660" w:rsidRDefault="000D1660" w:rsidP="001F576E">
      <w:pPr>
        <w:pStyle w:val="DJCSbody"/>
        <w:numPr>
          <w:ilvl w:val="0"/>
          <w:numId w:val="116"/>
        </w:numPr>
      </w:pPr>
      <w:r>
        <w:t xml:space="preserve">Stage 1B: Internal debt recovery process </w:t>
      </w:r>
      <w:r w:rsidR="00BF7AA1">
        <w:t>by Government</w:t>
      </w:r>
      <w:r>
        <w:t xml:space="preserve"> for over</w:t>
      </w:r>
      <w:r w:rsidR="00936C24">
        <w:t>due</w:t>
      </w:r>
      <w:r>
        <w:t xml:space="preserve"> debts. New </w:t>
      </w:r>
      <w:r w:rsidR="00F06A3B">
        <w:t>Section</w:t>
      </w:r>
      <w:r>
        <w:t xml:space="preserve"> 423Z (3) of the </w:t>
      </w:r>
      <w:r w:rsidR="00EE0A29">
        <w:t>amended</w:t>
      </w:r>
      <w:r>
        <w:t xml:space="preserve"> RT</w:t>
      </w:r>
      <w:r w:rsidR="00570D65">
        <w:t xml:space="preserve"> </w:t>
      </w:r>
      <w:r>
        <w:t>A</w:t>
      </w:r>
      <w:r w:rsidR="00570D65">
        <w:t>ct</w:t>
      </w:r>
      <w:r>
        <w:t xml:space="preserve"> outlines that the Secretary may take prescribed debt recovery actions. </w:t>
      </w:r>
    </w:p>
    <w:p w14:paraId="07C22E28" w14:textId="4383BB21" w:rsidR="003527D7" w:rsidRDefault="000D1660" w:rsidP="001F576E">
      <w:pPr>
        <w:pStyle w:val="DJCSbody"/>
        <w:numPr>
          <w:ilvl w:val="0"/>
          <w:numId w:val="116"/>
        </w:numPr>
      </w:pPr>
      <w:r>
        <w:t xml:space="preserve">Stage 2: External debt recovery if debt remains unpaid. New </w:t>
      </w:r>
      <w:r w:rsidR="00F06A3B">
        <w:t>Section</w:t>
      </w:r>
      <w:r>
        <w:t xml:space="preserve"> 423</w:t>
      </w:r>
      <w:r w:rsidR="00BF7AA1">
        <w:t>ZA (</w:t>
      </w:r>
      <w:r>
        <w:t xml:space="preserve">1) of the </w:t>
      </w:r>
      <w:r w:rsidR="00EE0A29">
        <w:t>amended</w:t>
      </w:r>
      <w:r>
        <w:t xml:space="preserve"> RT</w:t>
      </w:r>
      <w:r w:rsidR="00570D65">
        <w:t xml:space="preserve"> Act</w:t>
      </w:r>
      <w:r>
        <w:t xml:space="preserve"> outlines that the Secretary may refer a debt due to the State by a renter to a </w:t>
      </w:r>
      <w:r w:rsidR="00265D08">
        <w:t>DCA</w:t>
      </w:r>
      <w:r>
        <w:t xml:space="preserve"> for recovery.</w:t>
      </w:r>
    </w:p>
    <w:p w14:paraId="74B996B1" w14:textId="343E70A9" w:rsidR="003527D7" w:rsidRDefault="000D1660" w:rsidP="008E7AE6">
      <w:pPr>
        <w:pStyle w:val="DJCSbody"/>
        <w:numPr>
          <w:ilvl w:val="0"/>
          <w:numId w:val="116"/>
        </w:numPr>
        <w:rPr>
          <w:lang w:eastAsia="en-AU"/>
        </w:rPr>
      </w:pPr>
      <w:r w:rsidRPr="009E1E10">
        <w:t xml:space="preserve">Stage 3: The </w:t>
      </w:r>
      <w:r>
        <w:t>Government</w:t>
      </w:r>
      <w:r w:rsidRPr="009E1E10">
        <w:t xml:space="preserve"> takes over the debt management process if the debt remains unpaid</w:t>
      </w:r>
      <w:r>
        <w:t xml:space="preserve">. </w:t>
      </w:r>
      <w:r w:rsidRPr="00F96D5A">
        <w:t xml:space="preserve">New </w:t>
      </w:r>
      <w:r w:rsidR="00F06A3B">
        <w:t>Section</w:t>
      </w:r>
      <w:r w:rsidRPr="00F96D5A">
        <w:t xml:space="preserve"> 423ZB of the</w:t>
      </w:r>
      <w:r w:rsidR="00EE0A29">
        <w:t xml:space="preserve"> amended</w:t>
      </w:r>
      <w:r w:rsidRPr="00F96D5A">
        <w:t xml:space="preserve"> RT</w:t>
      </w:r>
      <w:r w:rsidR="00570D65">
        <w:t xml:space="preserve"> </w:t>
      </w:r>
      <w:r w:rsidRPr="00F96D5A">
        <w:t>A</w:t>
      </w:r>
      <w:r w:rsidR="00570D65">
        <w:t>ct</w:t>
      </w:r>
      <w:r w:rsidRPr="00F96D5A">
        <w:t xml:space="preserve"> outlines that the unrecovered debt </w:t>
      </w:r>
      <w:r w:rsidR="00D030A4">
        <w:t>(including any fees</w:t>
      </w:r>
      <w:r w:rsidR="00007DF2">
        <w:t xml:space="preserve"> that have been added to the debt)</w:t>
      </w:r>
      <w:r w:rsidRPr="00F96D5A">
        <w:t xml:space="preserve"> may be recovered from the bond of the second </w:t>
      </w:r>
      <w:r>
        <w:t>rented premises</w:t>
      </w:r>
      <w:r w:rsidRPr="00F96D5A">
        <w:t xml:space="preserve"> once the second rental agreement has terminated and if there are no outstanding bond claims in relation to that agreement.</w:t>
      </w:r>
      <w:r w:rsidR="008638C3">
        <w:t xml:space="preserve"> This </w:t>
      </w:r>
      <w:r w:rsidR="00804B89">
        <w:t xml:space="preserve">recovery mechanism </w:t>
      </w:r>
      <w:r w:rsidR="008C4926">
        <w:t>can occur during stages 1B, 2 or 3, depending on when the renter’s second rental agreement has terminated.</w:t>
      </w:r>
    </w:p>
    <w:p w14:paraId="31C3901F" w14:textId="0AC48150" w:rsidR="000D1660" w:rsidRDefault="000D1660" w:rsidP="003527D7">
      <w:pPr>
        <w:pStyle w:val="Body"/>
        <w:rPr>
          <w:lang w:eastAsia="en-AU"/>
        </w:rPr>
      </w:pPr>
      <w:r>
        <w:rPr>
          <w:lang w:eastAsia="en-AU"/>
        </w:rPr>
        <w:t xml:space="preserve">This is illustrated in </w:t>
      </w:r>
      <w:r w:rsidR="004D23E0">
        <w:rPr>
          <w:lang w:eastAsia="en-AU"/>
        </w:rPr>
        <w:t>Figure 3</w:t>
      </w:r>
      <w:r>
        <w:rPr>
          <w:lang w:eastAsia="en-AU"/>
        </w:rPr>
        <w:t xml:space="preserve"> </w:t>
      </w:r>
      <w:r w:rsidR="000957E4">
        <w:rPr>
          <w:lang w:eastAsia="en-AU"/>
        </w:rPr>
        <w:t>below</w:t>
      </w:r>
      <w:r>
        <w:rPr>
          <w:lang w:eastAsia="en-AU"/>
        </w:rPr>
        <w:t xml:space="preserve">, with further detail </w:t>
      </w:r>
      <w:r w:rsidR="00031243">
        <w:rPr>
          <w:lang w:eastAsia="en-AU"/>
        </w:rPr>
        <w:t xml:space="preserve">on the </w:t>
      </w:r>
      <w:r w:rsidR="00542C98">
        <w:rPr>
          <w:lang w:eastAsia="en-AU"/>
        </w:rPr>
        <w:t xml:space="preserve">proposed process </w:t>
      </w:r>
      <w:r>
        <w:rPr>
          <w:lang w:eastAsia="en-AU"/>
        </w:rPr>
        <w:t xml:space="preserve">provided in the remainder of this </w:t>
      </w:r>
      <w:r w:rsidR="00F06A3B">
        <w:rPr>
          <w:lang w:eastAsia="en-AU"/>
        </w:rPr>
        <w:t>chapter</w:t>
      </w:r>
      <w:r>
        <w:rPr>
          <w:lang w:eastAsia="en-AU"/>
        </w:rPr>
        <w:t xml:space="preserve">. </w:t>
      </w:r>
    </w:p>
    <w:p w14:paraId="40722559" w14:textId="2A92C0F3" w:rsidR="003527D7" w:rsidRDefault="003527D7" w:rsidP="008E7AE6">
      <w:pPr>
        <w:pStyle w:val="Caption"/>
        <w:keepNext/>
      </w:pPr>
      <w:r>
        <w:t xml:space="preserve">Figure </w:t>
      </w:r>
      <w:r>
        <w:fldChar w:fldCharType="begin"/>
      </w:r>
      <w:r>
        <w:instrText xml:space="preserve"> SEQ Figure \* ARABIC </w:instrText>
      </w:r>
      <w:r>
        <w:fldChar w:fldCharType="separate"/>
      </w:r>
      <w:r w:rsidR="00A50199">
        <w:rPr>
          <w:noProof/>
        </w:rPr>
        <w:t>3</w:t>
      </w:r>
      <w:r>
        <w:fldChar w:fldCharType="end"/>
      </w:r>
      <w:r w:rsidRPr="00B95952">
        <w:t>: Stages in the debt management and recovery process for the PRBS</w:t>
      </w:r>
    </w:p>
    <w:p w14:paraId="68BFCEC2" w14:textId="0641C276" w:rsidR="003527D7" w:rsidRDefault="007D7DBA" w:rsidP="00127F5C">
      <w:r w:rsidRPr="007D7DBA">
        <w:rPr>
          <w:noProof/>
        </w:rPr>
        <w:drawing>
          <wp:inline distT="0" distB="0" distL="0" distR="0" wp14:anchorId="48989899" wp14:editId="44EE2BFB">
            <wp:extent cx="6759415" cy="2779344"/>
            <wp:effectExtent l="0" t="0" r="3810" b="2540"/>
            <wp:docPr id="1893106906" name="Picture 1" descr="This diagram shows the 3 stages of the debt recove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06906" name="Picture 1" descr="This diagram shows the 3 stages of the debt recovery process"/>
                    <pic:cNvPicPr/>
                  </pic:nvPicPr>
                  <pic:blipFill>
                    <a:blip r:embed="rId25"/>
                    <a:stretch>
                      <a:fillRect/>
                    </a:stretch>
                  </pic:blipFill>
                  <pic:spPr>
                    <a:xfrm>
                      <a:off x="0" y="0"/>
                      <a:ext cx="6759415" cy="2779344"/>
                    </a:xfrm>
                    <a:prstGeom prst="rect">
                      <a:avLst/>
                    </a:prstGeom>
                  </pic:spPr>
                </pic:pic>
              </a:graphicData>
            </a:graphic>
          </wp:inline>
        </w:drawing>
      </w:r>
    </w:p>
    <w:p w14:paraId="64D7D924" w14:textId="13636FAC" w:rsidR="000D1660" w:rsidRPr="004E4180" w:rsidRDefault="000D1660" w:rsidP="00BE5ED9">
      <w:pPr>
        <w:pStyle w:val="Body"/>
        <w:rPr>
          <w:b/>
        </w:rPr>
      </w:pPr>
      <w:r w:rsidRPr="004E4180">
        <w:rPr>
          <w:b/>
          <w:i/>
        </w:rPr>
        <w:lastRenderedPageBreak/>
        <w:t xml:space="preserve">Stage 1A: Invoice issued to renter </w:t>
      </w:r>
    </w:p>
    <w:p w14:paraId="47B236AF" w14:textId="4A3D7513" w:rsidR="000D1660" w:rsidRPr="00B95AA9" w:rsidRDefault="000D1660" w:rsidP="000D1660">
      <w:pPr>
        <w:pStyle w:val="DJCSbody"/>
        <w:ind w:left="0"/>
      </w:pPr>
      <w:r>
        <w:t>Once a claim has been made against a renter’s bond, an i</w:t>
      </w:r>
      <w:r w:rsidRPr="00B95AA9">
        <w:t xml:space="preserve">nvoice </w:t>
      </w:r>
      <w:r>
        <w:t xml:space="preserve">will be issued to the renter </w:t>
      </w:r>
      <w:r w:rsidRPr="00B95AA9">
        <w:t xml:space="preserve">that outlines: </w:t>
      </w:r>
    </w:p>
    <w:p w14:paraId="1AE8B40A" w14:textId="5269834B" w:rsidR="000D1660" w:rsidRPr="00B95AA9" w:rsidRDefault="002C01BE" w:rsidP="000D1660">
      <w:pPr>
        <w:pStyle w:val="DJCSbody"/>
        <w:numPr>
          <w:ilvl w:val="0"/>
          <w:numId w:val="37"/>
        </w:numPr>
      </w:pPr>
      <w:r>
        <w:t>A</w:t>
      </w:r>
      <w:r w:rsidR="000D1660" w:rsidRPr="00B95AA9">
        <w:t xml:space="preserve"> bond claim has been paid</w:t>
      </w:r>
      <w:r w:rsidR="000D1660">
        <w:t xml:space="preserve"> by the </w:t>
      </w:r>
      <w:r w:rsidR="00497415">
        <w:t>Government</w:t>
      </w:r>
      <w:r w:rsidR="000D1660">
        <w:t xml:space="preserve"> on behalf of the renter, and that a debt has been established for the renter</w:t>
      </w:r>
    </w:p>
    <w:p w14:paraId="6C4F9CA7" w14:textId="625328D4" w:rsidR="000D1660" w:rsidRPr="00B95AA9" w:rsidRDefault="002C01BE" w:rsidP="000D1660">
      <w:pPr>
        <w:pStyle w:val="DJCSbody"/>
        <w:numPr>
          <w:ilvl w:val="0"/>
          <w:numId w:val="37"/>
        </w:numPr>
      </w:pPr>
      <w:r>
        <w:t>T</w:t>
      </w:r>
      <w:r w:rsidR="000D1660" w:rsidRPr="00B95AA9">
        <w:t>he amount due to the State with a due date at the end of</w:t>
      </w:r>
      <w:r w:rsidR="000D1660" w:rsidRPr="00B95AA9">
        <w:rPr>
          <w:b/>
          <w:bCs/>
        </w:rPr>
        <w:t xml:space="preserve"> </w:t>
      </w:r>
      <w:r w:rsidR="000D1660" w:rsidRPr="00B95AA9">
        <w:t>8 weeks from the issuing of the invoice (or a date specified in a payment plan)</w:t>
      </w:r>
    </w:p>
    <w:p w14:paraId="45399546" w14:textId="365DF032" w:rsidR="000D1660" w:rsidRDefault="002C01BE" w:rsidP="000D1660">
      <w:pPr>
        <w:pStyle w:val="DJCSbody"/>
        <w:numPr>
          <w:ilvl w:val="0"/>
          <w:numId w:val="37"/>
        </w:numPr>
      </w:pPr>
      <w:r>
        <w:t>T</w:t>
      </w:r>
      <w:r w:rsidR="000D1660" w:rsidRPr="00B95AA9">
        <w:t>he processes for debt management and recovery that will take place</w:t>
      </w:r>
      <w:r w:rsidR="000D1660">
        <w:t xml:space="preserve">. This includes the </w:t>
      </w:r>
      <w:r w:rsidR="000D1660" w:rsidRPr="00B95AA9">
        <w:t>option</w:t>
      </w:r>
      <w:r w:rsidR="00E02DCF">
        <w:t>s for payment plans</w:t>
      </w:r>
      <w:r w:rsidR="005F1B7E">
        <w:t>.</w:t>
      </w:r>
      <w:r w:rsidR="000D1660" w:rsidRPr="00B95AA9">
        <w:t xml:space="preserve"> </w:t>
      </w:r>
    </w:p>
    <w:p w14:paraId="0F1931DE" w14:textId="4028E64A" w:rsidR="000D1660" w:rsidRPr="006867AA" w:rsidRDefault="000D1660" w:rsidP="001F576E">
      <w:pPr>
        <w:pStyle w:val="DJCSbody"/>
        <w:ind w:left="0"/>
        <w:rPr>
          <w:lang w:val="en-US"/>
        </w:rPr>
      </w:pPr>
      <w:r w:rsidRPr="006867AA">
        <w:rPr>
          <w:lang w:val="en-US"/>
        </w:rPr>
        <w:t xml:space="preserve">The Guidelines will set out the criteria and processes </w:t>
      </w:r>
      <w:r>
        <w:rPr>
          <w:lang w:val="en-US"/>
        </w:rPr>
        <w:t xml:space="preserve">and timeframes </w:t>
      </w:r>
      <w:r w:rsidRPr="006867AA">
        <w:rPr>
          <w:lang w:val="en-US"/>
        </w:rPr>
        <w:t>for payment plans.</w:t>
      </w:r>
    </w:p>
    <w:p w14:paraId="549AC114" w14:textId="77777777" w:rsidR="000D1660" w:rsidRPr="00AC7977" w:rsidRDefault="000D1660" w:rsidP="000D1660">
      <w:pPr>
        <w:pStyle w:val="DJCSbody"/>
        <w:ind w:left="0"/>
        <w:rPr>
          <w:b/>
          <w:bCs/>
          <w:i/>
          <w:iCs/>
        </w:rPr>
      </w:pPr>
      <w:r w:rsidRPr="00AC7977">
        <w:rPr>
          <w:b/>
          <w:bCs/>
          <w:i/>
          <w:iCs/>
        </w:rPr>
        <w:t xml:space="preserve">Stage 1B: Government action to recover debt </w:t>
      </w:r>
    </w:p>
    <w:p w14:paraId="6B1CC9CA" w14:textId="5BBD7D1A" w:rsidR="00D6585F" w:rsidRDefault="000D1660" w:rsidP="000D1660">
      <w:pPr>
        <w:pStyle w:val="DJCSbody"/>
        <w:ind w:left="0"/>
      </w:pPr>
      <w:r>
        <w:t xml:space="preserve">If a debt is not repaid by the renter after 8 weeks of receiving the invoice, or a renter has failed to comply with the terms of their payment plan, the </w:t>
      </w:r>
      <w:r w:rsidR="00570D65">
        <w:t>amendments to the</w:t>
      </w:r>
      <w:r>
        <w:t xml:space="preserve"> </w:t>
      </w:r>
      <w:r w:rsidR="00F544B5">
        <w:t>RT</w:t>
      </w:r>
      <w:r>
        <w:t xml:space="preserve"> Act states that the Government may take </w:t>
      </w:r>
      <w:r w:rsidR="000E68A1">
        <w:t xml:space="preserve">prescribed debt recovery </w:t>
      </w:r>
      <w:r>
        <w:t>action</w:t>
      </w:r>
      <w:r w:rsidR="000E68A1">
        <w:t>s</w:t>
      </w:r>
      <w:r>
        <w:t xml:space="preserve"> to recover the debt from the renter. </w:t>
      </w:r>
    </w:p>
    <w:p w14:paraId="4FEDF548" w14:textId="599F9DE7" w:rsidR="000D1660" w:rsidRDefault="000523DC" w:rsidP="000D1660">
      <w:pPr>
        <w:pStyle w:val="DJCSbody"/>
        <w:ind w:left="0"/>
      </w:pPr>
      <w:r>
        <w:t xml:space="preserve">In </w:t>
      </w:r>
      <w:r w:rsidR="001C1CE5">
        <w:t xml:space="preserve">designing the </w:t>
      </w:r>
      <w:r w:rsidR="00C22AB3">
        <w:t xml:space="preserve">internal </w:t>
      </w:r>
      <w:r w:rsidR="0055323F">
        <w:t xml:space="preserve">debt recovery </w:t>
      </w:r>
      <w:r w:rsidR="001C1CE5">
        <w:t xml:space="preserve">process and considering which aspects of this process should be prescribed within the Regulations, the Government has </w:t>
      </w:r>
      <w:r w:rsidR="00085DF9">
        <w:t xml:space="preserve">considered </w:t>
      </w:r>
      <w:r w:rsidR="00053384">
        <w:t>t</w:t>
      </w:r>
      <w:r w:rsidR="00441BAE">
        <w:t xml:space="preserve">he new </w:t>
      </w:r>
      <w:r w:rsidR="00C41A39">
        <w:t>Section</w:t>
      </w:r>
      <w:r w:rsidR="008C30C8">
        <w:t xml:space="preserve"> 511(</w:t>
      </w:r>
      <w:r w:rsidR="00265D08">
        <w:t>1) (</w:t>
      </w:r>
      <w:r w:rsidR="008C30C8">
        <w:t>fh) of the</w:t>
      </w:r>
      <w:r w:rsidR="00265D08">
        <w:t xml:space="preserve"> amended </w:t>
      </w:r>
      <w:r w:rsidR="008C30C8">
        <w:t>RT Act</w:t>
      </w:r>
      <w:r w:rsidR="00053384">
        <w:t>, which</w:t>
      </w:r>
      <w:r w:rsidR="008C30C8">
        <w:t xml:space="preserve"> makes direct reference to </w:t>
      </w:r>
      <w:r>
        <w:t xml:space="preserve">the issue of notices to be included as part of </w:t>
      </w:r>
      <w:r w:rsidR="00961D81">
        <w:t xml:space="preserve">the administrative process, manner and conduct for the </w:t>
      </w:r>
      <w:r w:rsidR="00947DCB">
        <w:t>recovery of debts</w:t>
      </w:r>
      <w:r w:rsidR="00D6585F">
        <w:t>.</w:t>
      </w:r>
      <w:r w:rsidR="00401D8E">
        <w:t xml:space="preserve"> As such, t</w:t>
      </w:r>
      <w:r w:rsidR="000D1660">
        <w:t xml:space="preserve">he Government is planning to </w:t>
      </w:r>
      <w:r w:rsidR="003B68D9">
        <w:t>prescribe</w:t>
      </w:r>
      <w:r w:rsidR="000D1660">
        <w:t xml:space="preserve"> the following in the Regulations: </w:t>
      </w:r>
    </w:p>
    <w:p w14:paraId="6666094E" w14:textId="3138BE9A" w:rsidR="00B72277" w:rsidRPr="0032358F" w:rsidRDefault="00B72277" w:rsidP="00B72277">
      <w:pPr>
        <w:pStyle w:val="DJCSbody"/>
        <w:numPr>
          <w:ilvl w:val="0"/>
          <w:numId w:val="36"/>
        </w:numPr>
      </w:pPr>
      <w:r>
        <w:t>A</w:t>
      </w:r>
      <w:r w:rsidRPr="0032358F">
        <w:t xml:space="preserve"> </w:t>
      </w:r>
      <w:r w:rsidR="00301D0A" w:rsidRPr="001F576E">
        <w:rPr>
          <w:b/>
          <w:bCs/>
        </w:rPr>
        <w:t>reminder</w:t>
      </w:r>
      <w:r w:rsidR="00301D0A">
        <w:t xml:space="preserve"> </w:t>
      </w:r>
      <w:r w:rsidRPr="0032358F">
        <w:rPr>
          <w:b/>
          <w:bCs/>
        </w:rPr>
        <w:t>notice of debt</w:t>
      </w:r>
      <w:r>
        <w:t>.</w:t>
      </w:r>
      <w:r w:rsidRPr="0032358F">
        <w:t xml:space="preserve"> </w:t>
      </w:r>
    </w:p>
    <w:p w14:paraId="4611B00C" w14:textId="2109FD36" w:rsidR="000D1660" w:rsidRPr="0032358F" w:rsidRDefault="000D1660" w:rsidP="000D1660">
      <w:pPr>
        <w:pStyle w:val="DJCSbody"/>
        <w:numPr>
          <w:ilvl w:val="0"/>
          <w:numId w:val="36"/>
        </w:numPr>
      </w:pPr>
      <w:r w:rsidRPr="0032358F">
        <w:t>If payment is still outstanding</w:t>
      </w:r>
      <w:r>
        <w:t xml:space="preserve">, </w:t>
      </w:r>
      <w:r w:rsidRPr="0032358F">
        <w:t xml:space="preserve">a </w:t>
      </w:r>
      <w:r w:rsidRPr="0032358F">
        <w:rPr>
          <w:b/>
          <w:bCs/>
        </w:rPr>
        <w:t>final reminder notice</w:t>
      </w:r>
      <w:r>
        <w:rPr>
          <w:b/>
          <w:bCs/>
        </w:rPr>
        <w:t xml:space="preserve">. </w:t>
      </w:r>
      <w:r w:rsidR="003824BA">
        <w:t>This</w:t>
      </w:r>
      <w:r w:rsidR="003824BA" w:rsidRPr="0032358F">
        <w:t xml:space="preserve"> </w:t>
      </w:r>
      <w:r w:rsidR="003824BA" w:rsidRPr="009249EE">
        <w:t xml:space="preserve">will not be issued within 7 days of </w:t>
      </w:r>
      <w:r w:rsidR="003824BA">
        <w:t>the reminder notice of debt.</w:t>
      </w:r>
    </w:p>
    <w:p w14:paraId="2F9B966D" w14:textId="22B017E6" w:rsidR="000D1660" w:rsidRPr="0032358F" w:rsidRDefault="000D1660" w:rsidP="000D1660">
      <w:pPr>
        <w:pStyle w:val="DJCSbody"/>
        <w:numPr>
          <w:ilvl w:val="0"/>
          <w:numId w:val="36"/>
        </w:numPr>
      </w:pPr>
      <w:r w:rsidRPr="0032358F">
        <w:t xml:space="preserve">If the debt is still not paid, no payment plan has been entered into and no write-off exception has been approved, a </w:t>
      </w:r>
      <w:r w:rsidRPr="0032358F">
        <w:rPr>
          <w:b/>
          <w:bCs/>
        </w:rPr>
        <w:t>notice of final demand</w:t>
      </w:r>
      <w:r>
        <w:rPr>
          <w:b/>
          <w:bCs/>
        </w:rPr>
        <w:t xml:space="preserve">. </w:t>
      </w:r>
      <w:r>
        <w:t>This</w:t>
      </w:r>
      <w:r w:rsidRPr="0032358F">
        <w:t xml:space="preserve"> </w:t>
      </w:r>
      <w:r w:rsidR="009249EE" w:rsidRPr="009249EE">
        <w:t xml:space="preserve">will not be issued within 7 days of </w:t>
      </w:r>
      <w:r w:rsidR="009249EE">
        <w:t>the final re</w:t>
      </w:r>
      <w:r w:rsidR="003824BA">
        <w:t>minder</w:t>
      </w:r>
      <w:r w:rsidR="009249EE" w:rsidRPr="009249EE">
        <w:t xml:space="preserve"> notice</w:t>
      </w:r>
      <w:r w:rsidRPr="0032358F">
        <w:t xml:space="preserve">. </w:t>
      </w:r>
    </w:p>
    <w:p w14:paraId="7EA9FBED" w14:textId="63791F70" w:rsidR="00355FC3" w:rsidRDefault="00BB7CDB" w:rsidP="000D1660">
      <w:pPr>
        <w:pStyle w:val="DJCSbody"/>
        <w:ind w:left="0"/>
      </w:pPr>
      <w:r>
        <w:t xml:space="preserve">It is proposed that the Regulations outline </w:t>
      </w:r>
      <w:r w:rsidR="00E56851">
        <w:t>that notices cannot be issued within 7 days of each other</w:t>
      </w:r>
      <w:r>
        <w:t xml:space="preserve"> to ensure there is clarity for Government and the public for how and when these notices may be issued. </w:t>
      </w:r>
    </w:p>
    <w:p w14:paraId="03EF0FF0" w14:textId="38B7E8F9" w:rsidR="00355FC3" w:rsidRDefault="000D1660" w:rsidP="000D1660">
      <w:pPr>
        <w:pStyle w:val="DJCSbody"/>
        <w:ind w:left="0"/>
      </w:pPr>
      <w:r>
        <w:t xml:space="preserve">The notices above are expected to be issued predominantly via email. For notices issued via email, the </w:t>
      </w:r>
      <w:r w:rsidR="00953D7A">
        <w:t>Government</w:t>
      </w:r>
      <w:r w:rsidR="002601AD">
        <w:t xml:space="preserve">’s period of </w:t>
      </w:r>
      <w:r>
        <w:t xml:space="preserve">internal debt recovery </w:t>
      </w:r>
      <w:r w:rsidR="002601AD">
        <w:t xml:space="preserve">will </w:t>
      </w:r>
      <w:r>
        <w:t xml:space="preserve">take a minimum of approximately </w:t>
      </w:r>
      <w:r w:rsidR="00401D8E">
        <w:t xml:space="preserve">three to </w:t>
      </w:r>
      <w:r>
        <w:t>four weeks if all notices are issued via email</w:t>
      </w:r>
      <w:r w:rsidR="002601AD">
        <w:t xml:space="preserve">. </w:t>
      </w:r>
      <w:r w:rsidR="00355FC3">
        <w:t>Timeframes between notices issued via post will be longer to meet legislative requirements.</w:t>
      </w:r>
    </w:p>
    <w:p w14:paraId="040AAEE7" w14:textId="37119891" w:rsidR="00144AE5" w:rsidRDefault="00533D5E" w:rsidP="000D1660">
      <w:pPr>
        <w:pStyle w:val="DJCSbody"/>
        <w:ind w:left="0"/>
      </w:pPr>
      <w:r>
        <w:t xml:space="preserve">The Government considers </w:t>
      </w:r>
      <w:r w:rsidR="00265D08">
        <w:t xml:space="preserve">that </w:t>
      </w:r>
      <w:r w:rsidR="00A62269">
        <w:t>this 7</w:t>
      </w:r>
      <w:r w:rsidR="00CC5F46">
        <w:t>-</w:t>
      </w:r>
      <w:r w:rsidR="00A62269">
        <w:t>day specification</w:t>
      </w:r>
      <w:r w:rsidR="006F4C34">
        <w:t xml:space="preserve"> between reminder notices</w:t>
      </w:r>
      <w:r w:rsidR="000D1660">
        <w:t xml:space="preserve"> </w:t>
      </w:r>
      <w:r w:rsidR="00355FC3">
        <w:t>strike</w:t>
      </w:r>
      <w:r w:rsidR="00401D8E">
        <w:t>s</w:t>
      </w:r>
      <w:r w:rsidR="00355FC3">
        <w:t xml:space="preserve"> a reasonable</w:t>
      </w:r>
      <w:r w:rsidR="000D1660">
        <w:t xml:space="preserve"> balance between recovering debts and providing sufficient time for renters to pay their outstanding debts or enter a payment plan</w:t>
      </w:r>
      <w:r w:rsidR="00CA2492">
        <w:t>.</w:t>
      </w:r>
      <w:r w:rsidR="00FA7530">
        <w:t xml:space="preserve"> </w:t>
      </w:r>
      <w:r w:rsidR="00070764">
        <w:t>In determining the appropriate timeframe between notices, the Government has considered</w:t>
      </w:r>
      <w:r w:rsidR="00144AE5">
        <w:t xml:space="preserve">: </w:t>
      </w:r>
    </w:p>
    <w:p w14:paraId="15797E75" w14:textId="4F94A5F8" w:rsidR="00352DBD" w:rsidRDefault="00C51C84" w:rsidP="00144AE5">
      <w:pPr>
        <w:pStyle w:val="DJCSbody"/>
        <w:numPr>
          <w:ilvl w:val="0"/>
          <w:numId w:val="125"/>
        </w:numPr>
      </w:pPr>
      <w:r>
        <w:t xml:space="preserve">Notices not being issued within </w:t>
      </w:r>
      <w:r w:rsidR="00352DBD">
        <w:t>7 days</w:t>
      </w:r>
      <w:r>
        <w:t xml:space="preserve"> of each other</w:t>
      </w:r>
      <w:r w:rsidR="00352DBD">
        <w:t xml:space="preserve"> allows for flexibility in the process, to account for individual circumstances </w:t>
      </w:r>
      <w:r w:rsidR="007852A1">
        <w:t>or notices by mail</w:t>
      </w:r>
      <w:r w:rsidR="00B63C5A">
        <w:t>.</w:t>
      </w:r>
    </w:p>
    <w:p w14:paraId="457FBD20" w14:textId="3BDE974F" w:rsidR="003A049B" w:rsidRDefault="00783476" w:rsidP="003A049B">
      <w:pPr>
        <w:pStyle w:val="DJCSbody"/>
        <w:numPr>
          <w:ilvl w:val="0"/>
          <w:numId w:val="125"/>
        </w:numPr>
      </w:pPr>
      <w:r>
        <w:t>T</w:t>
      </w:r>
      <w:r w:rsidR="00F8563B">
        <w:t xml:space="preserve">he </w:t>
      </w:r>
      <w:r w:rsidR="001D05D1">
        <w:t>renter</w:t>
      </w:r>
      <w:r>
        <w:t xml:space="preserve"> </w:t>
      </w:r>
      <w:r w:rsidR="007852A1">
        <w:t xml:space="preserve">has </w:t>
      </w:r>
      <w:r w:rsidR="00CA7A28">
        <w:t xml:space="preserve">already had 8 weeks to pay their debt </w:t>
      </w:r>
      <w:r w:rsidR="003B5857">
        <w:t xml:space="preserve">(excluding those who have </w:t>
      </w:r>
      <w:r w:rsidR="003A049B">
        <w:t>sought a payment plan)</w:t>
      </w:r>
      <w:r w:rsidR="00B63C5A">
        <w:t>.</w:t>
      </w:r>
    </w:p>
    <w:p w14:paraId="0FAD0AB0" w14:textId="7C5DFFA5" w:rsidR="00783476" w:rsidRPr="009347CF" w:rsidRDefault="0048537E" w:rsidP="00783476">
      <w:pPr>
        <w:pStyle w:val="DJCSbody"/>
        <w:numPr>
          <w:ilvl w:val="0"/>
          <w:numId w:val="125"/>
        </w:numPr>
      </w:pPr>
      <w:r>
        <w:t>Payment plans will be available</w:t>
      </w:r>
      <w:r w:rsidR="006D54C6">
        <w:t>. The process for these will be set out in the Guidelines</w:t>
      </w:r>
      <w:r w:rsidR="00783476" w:rsidRPr="009347CF">
        <w:t xml:space="preserve">. </w:t>
      </w:r>
    </w:p>
    <w:p w14:paraId="7EE693CF" w14:textId="742B77E4" w:rsidR="000D1660" w:rsidRDefault="00783476" w:rsidP="0094333E">
      <w:pPr>
        <w:pStyle w:val="DJCSbody"/>
        <w:numPr>
          <w:ilvl w:val="0"/>
          <w:numId w:val="125"/>
        </w:numPr>
      </w:pPr>
      <w:r>
        <w:t>A</w:t>
      </w:r>
      <w:r w:rsidR="000D1660">
        <w:t xml:space="preserve"> </w:t>
      </w:r>
      <w:r w:rsidR="003A049B">
        <w:t xml:space="preserve">longer </w:t>
      </w:r>
      <w:r w:rsidR="00B1593B">
        <w:t xml:space="preserve">minimum </w:t>
      </w:r>
      <w:r w:rsidR="003A049B">
        <w:t xml:space="preserve">period </w:t>
      </w:r>
      <w:r w:rsidR="00B1593B">
        <w:t xml:space="preserve">between notices </w:t>
      </w:r>
      <w:r w:rsidR="00FA5DED">
        <w:t xml:space="preserve">will not meaningfully </w:t>
      </w:r>
      <w:r w:rsidR="000156E3">
        <w:t xml:space="preserve">improve </w:t>
      </w:r>
      <w:r w:rsidR="00FA5DED">
        <w:t xml:space="preserve">the effectiveness of </w:t>
      </w:r>
      <w:r w:rsidR="0098110A">
        <w:t xml:space="preserve">overall </w:t>
      </w:r>
      <w:r w:rsidR="00FA5DED">
        <w:t>debt recovery</w:t>
      </w:r>
      <w:r w:rsidR="000156E3">
        <w:t xml:space="preserve"> when considered alongside </w:t>
      </w:r>
      <w:r w:rsidR="00A8055D">
        <w:t xml:space="preserve">other debt recovery </w:t>
      </w:r>
      <w:r w:rsidR="006F4C34">
        <w:t>mechanisms but</w:t>
      </w:r>
      <w:r w:rsidR="00A8055D">
        <w:t xml:space="preserve"> will prolong the duration (and potentially</w:t>
      </w:r>
      <w:r w:rsidR="00657539">
        <w:t xml:space="preserve"> the</w:t>
      </w:r>
      <w:r w:rsidR="00A8055D">
        <w:t xml:space="preserve"> cost) of internal debt recovery</w:t>
      </w:r>
      <w:r w:rsidR="000D1660">
        <w:t xml:space="preserve">. Sensitivity analysis performed in </w:t>
      </w:r>
      <w:r w:rsidR="00A24674">
        <w:t>Subchapter</w:t>
      </w:r>
      <w:r w:rsidR="000D1660">
        <w:t xml:space="preserve"> 6.3 highlights that</w:t>
      </w:r>
      <w:r w:rsidR="00C50A31">
        <w:t xml:space="preserve"> the difference between</w:t>
      </w:r>
      <w:r w:rsidR="00FA1A44">
        <w:t xml:space="preserve"> </w:t>
      </w:r>
      <w:r w:rsidR="006A1BD8">
        <w:t xml:space="preserve">allowing </w:t>
      </w:r>
      <w:r w:rsidR="00343193">
        <w:t xml:space="preserve">7 days </w:t>
      </w:r>
      <w:r w:rsidR="006A1BD8">
        <w:t xml:space="preserve">to pass </w:t>
      </w:r>
      <w:r w:rsidR="00343193">
        <w:t>between</w:t>
      </w:r>
      <w:r w:rsidR="00FA1A44">
        <w:t xml:space="preserve"> </w:t>
      </w:r>
      <w:r w:rsidR="00343193">
        <w:t>notices</w:t>
      </w:r>
      <w:r w:rsidR="00C50A31">
        <w:t xml:space="preserve"> </w:t>
      </w:r>
      <w:r w:rsidR="006A1BD8">
        <w:t>and longer time periods (such as 14 days)</w:t>
      </w:r>
      <w:r w:rsidR="00FA1A44">
        <w:t xml:space="preserve"> has a minimal impact on the overall debt recovery rate</w:t>
      </w:r>
      <w:r w:rsidR="000D1660">
        <w:t>.</w:t>
      </w:r>
    </w:p>
    <w:p w14:paraId="75248EF2" w14:textId="77777777" w:rsidR="00BA3052" w:rsidRDefault="00BA3052" w:rsidP="79E303FA">
      <w:pPr>
        <w:pStyle w:val="DJCSbody"/>
        <w:ind w:left="0"/>
        <w:rPr>
          <w:b/>
          <w:bCs/>
          <w:i/>
          <w:iCs/>
        </w:rPr>
      </w:pPr>
    </w:p>
    <w:p w14:paraId="0B7CF335" w14:textId="635CAB4D" w:rsidR="000D1660" w:rsidRPr="00AC7977" w:rsidRDefault="000D1660" w:rsidP="000D1660">
      <w:pPr>
        <w:pStyle w:val="DJCSbody"/>
        <w:ind w:left="0"/>
        <w:rPr>
          <w:b/>
          <w:bCs/>
          <w:i/>
          <w:iCs/>
        </w:rPr>
      </w:pPr>
      <w:r>
        <w:rPr>
          <w:b/>
          <w:bCs/>
          <w:i/>
          <w:iCs/>
        </w:rPr>
        <w:lastRenderedPageBreak/>
        <w:t xml:space="preserve">Stage 2: </w:t>
      </w:r>
      <w:r w:rsidRPr="00AC7977">
        <w:rPr>
          <w:b/>
          <w:bCs/>
          <w:i/>
          <w:iCs/>
        </w:rPr>
        <w:t xml:space="preserve">Referral of debt to a </w:t>
      </w:r>
      <w:r w:rsidR="003E50D7">
        <w:rPr>
          <w:b/>
          <w:bCs/>
          <w:i/>
          <w:iCs/>
        </w:rPr>
        <w:t>DCA</w:t>
      </w:r>
      <w:r w:rsidRPr="00AC7977">
        <w:rPr>
          <w:b/>
          <w:bCs/>
          <w:i/>
          <w:iCs/>
        </w:rPr>
        <w:t xml:space="preserve"> </w:t>
      </w:r>
    </w:p>
    <w:p w14:paraId="538AF984" w14:textId="7D8BBC0B" w:rsidR="000D1660" w:rsidRDefault="000D1660" w:rsidP="000D1660">
      <w:pPr>
        <w:pStyle w:val="DJCSbody"/>
        <w:ind w:left="0"/>
      </w:pPr>
      <w:r>
        <w:t xml:space="preserve">If the debt is still unpaid after all notices listed under stage 1B have been issued, the </w:t>
      </w:r>
      <w:r w:rsidR="00762313">
        <w:t>G</w:t>
      </w:r>
      <w:r>
        <w:t xml:space="preserve">overnment may refer the unrecovered debts to a </w:t>
      </w:r>
      <w:r w:rsidR="00265D08">
        <w:t>DCA</w:t>
      </w:r>
      <w:r>
        <w:t xml:space="preserve"> who </w:t>
      </w:r>
      <w:r w:rsidRPr="000F0133">
        <w:t xml:space="preserve">will further pursue this </w:t>
      </w:r>
      <w:r>
        <w:t xml:space="preserve">debt on behalf of </w:t>
      </w:r>
      <w:r w:rsidR="00953D7A">
        <w:t>Government</w:t>
      </w:r>
      <w:r>
        <w:t xml:space="preserve"> for an anticipated period of </w:t>
      </w:r>
      <w:r w:rsidRPr="001F576E">
        <w:t>12 months</w:t>
      </w:r>
      <w:r w:rsidRPr="000F0133">
        <w:t xml:space="preserve">. </w:t>
      </w:r>
      <w:r w:rsidR="0002410A">
        <w:t>Further detail on this process will be outlined in the Guidelines.</w:t>
      </w:r>
    </w:p>
    <w:p w14:paraId="75C819A4" w14:textId="118FE7E9" w:rsidR="006A76BF" w:rsidRDefault="000D1660" w:rsidP="000D1660">
      <w:pPr>
        <w:pStyle w:val="DJCSbody"/>
        <w:ind w:left="0"/>
      </w:pPr>
      <w:r w:rsidRPr="009347CF">
        <w:t xml:space="preserve">In designing the </w:t>
      </w:r>
      <w:r w:rsidR="00CB6E03">
        <w:t>proposed process</w:t>
      </w:r>
      <w:r w:rsidR="00894C05">
        <w:t xml:space="preserve"> for this stage</w:t>
      </w:r>
      <w:r w:rsidRPr="009347CF">
        <w:t xml:space="preserve">, the </w:t>
      </w:r>
      <w:r w:rsidR="00BA07B5">
        <w:t xml:space="preserve">main consideration was </w:t>
      </w:r>
      <w:r w:rsidRPr="009347CF">
        <w:t xml:space="preserve">the period </w:t>
      </w:r>
      <w:r w:rsidR="00BA07B5">
        <w:t xml:space="preserve">of time </w:t>
      </w:r>
      <w:r w:rsidRPr="009347CF">
        <w:t xml:space="preserve">a </w:t>
      </w:r>
      <w:r w:rsidR="003E50D7">
        <w:t>DCA</w:t>
      </w:r>
      <w:r w:rsidR="003E50D7" w:rsidRPr="009347CF">
        <w:t xml:space="preserve"> </w:t>
      </w:r>
      <w:r w:rsidRPr="009347CF">
        <w:t xml:space="preserve">would be </w:t>
      </w:r>
      <w:r w:rsidR="00426C79">
        <w:t>engaged</w:t>
      </w:r>
      <w:r w:rsidRPr="009347CF">
        <w:t xml:space="preserve"> to recover a debt on behalf of </w:t>
      </w:r>
      <w:r w:rsidR="00953D7A">
        <w:t>Government</w:t>
      </w:r>
      <w:r w:rsidR="00BA07B5">
        <w:t xml:space="preserve">. This </w:t>
      </w:r>
      <w:r w:rsidR="00161906">
        <w:t xml:space="preserve">detail </w:t>
      </w:r>
      <w:r w:rsidR="00BA07B5">
        <w:t>is not proposed to be prescribed in the</w:t>
      </w:r>
      <w:r w:rsidR="007510AF">
        <w:t xml:space="preserve"> </w:t>
      </w:r>
      <w:r w:rsidR="00BA07B5">
        <w:t xml:space="preserve">Regulations but </w:t>
      </w:r>
      <w:r w:rsidR="00161906">
        <w:t xml:space="preserve">was </w:t>
      </w:r>
      <w:r w:rsidR="00BA07B5">
        <w:t xml:space="preserve">a key consideration </w:t>
      </w:r>
      <w:r w:rsidR="00161906">
        <w:t xml:space="preserve">in the design of the </w:t>
      </w:r>
      <w:r w:rsidR="009E2B8D">
        <w:t xml:space="preserve">debt recovery </w:t>
      </w:r>
      <w:r w:rsidR="00161906">
        <w:t>process</w:t>
      </w:r>
      <w:r w:rsidRPr="009347CF">
        <w:t xml:space="preserve"> and </w:t>
      </w:r>
      <w:r w:rsidR="00E122CF">
        <w:t xml:space="preserve">may impact </w:t>
      </w:r>
      <w:r w:rsidR="00B92417">
        <w:t>the overall debt recovery rate for the PRBS</w:t>
      </w:r>
      <w:r w:rsidR="00BA07B5">
        <w:t xml:space="preserve">. </w:t>
      </w:r>
    </w:p>
    <w:p w14:paraId="451E77FB" w14:textId="22DFA66D" w:rsidR="00DE088A" w:rsidDel="00783182" w:rsidRDefault="00B92417" w:rsidP="001F576E">
      <w:pPr>
        <w:pStyle w:val="DJCSbody"/>
        <w:ind w:left="0"/>
      </w:pPr>
      <w:r w:rsidRPr="009347CF">
        <w:t xml:space="preserve">12 months was considered </w:t>
      </w:r>
      <w:r w:rsidR="00BC1BDA">
        <w:t xml:space="preserve">as the preferred approach </w:t>
      </w:r>
      <w:r w:rsidR="00105A7E">
        <w:t>as it</w:t>
      </w:r>
      <w:r w:rsidR="001E36C9">
        <w:t xml:space="preserve">, is similar to other </w:t>
      </w:r>
      <w:r w:rsidR="004535EC">
        <w:t>schemes,</w:t>
      </w:r>
      <w:r w:rsidR="00105A7E">
        <w:t xml:space="preserve"> </w:t>
      </w:r>
      <w:r w:rsidR="00105A7E" w:rsidRPr="009347CF">
        <w:t>provide</w:t>
      </w:r>
      <w:r w:rsidR="00105A7E">
        <w:t>s</w:t>
      </w:r>
      <w:r w:rsidR="00105A7E" w:rsidRPr="009347CF">
        <w:t xml:space="preserve"> a proportionate and balanced approach that recover</w:t>
      </w:r>
      <w:r w:rsidR="00105A7E">
        <w:t>s</w:t>
      </w:r>
      <w:r w:rsidR="00105A7E" w:rsidRPr="009347CF">
        <w:t xml:space="preserve"> </w:t>
      </w:r>
      <w:r w:rsidR="00105A7E">
        <w:t xml:space="preserve">a reasonable level of </w:t>
      </w:r>
      <w:r w:rsidR="00105A7E" w:rsidRPr="009347CF">
        <w:t>debt</w:t>
      </w:r>
      <w:r w:rsidR="009A462A">
        <w:t>, while</w:t>
      </w:r>
      <w:r w:rsidR="00CE7B05">
        <w:t xml:space="preserve"> </w:t>
      </w:r>
      <w:r w:rsidR="00EB528B">
        <w:t xml:space="preserve">supporting </w:t>
      </w:r>
      <w:r w:rsidR="00467B2B">
        <w:t>the objectives of equity and fairness</w:t>
      </w:r>
      <w:r w:rsidR="00105A7E">
        <w:t xml:space="preserve">. </w:t>
      </w:r>
      <w:r w:rsidR="002C2BF2">
        <w:t>This</w:t>
      </w:r>
      <w:r w:rsidR="00F75A5C">
        <w:t xml:space="preserve"> length of time will be evaluated and tested as part of the </w:t>
      </w:r>
      <w:r w:rsidR="00D90C3B">
        <w:t>PRBS</w:t>
      </w:r>
      <w:r w:rsidR="002C2BF2">
        <w:t xml:space="preserve"> </w:t>
      </w:r>
      <w:r w:rsidR="00923999">
        <w:t>evaluation and review process.</w:t>
      </w:r>
    </w:p>
    <w:p w14:paraId="3D298E71" w14:textId="26684A16" w:rsidR="00783182" w:rsidRDefault="00783182" w:rsidP="00783182">
      <w:pPr>
        <w:pStyle w:val="DJCSbody"/>
        <w:numPr>
          <w:ilvl w:val="0"/>
          <w:numId w:val="126"/>
        </w:numPr>
      </w:pPr>
      <w:r>
        <w:t>A longer period of debt collection by an external agency may be an overly punitive approach, noting those who have overdue debts are likely to be experiencing financial stress.</w:t>
      </w:r>
      <w:r w:rsidRPr="009A462A">
        <w:t xml:space="preserve"> </w:t>
      </w:r>
      <w:r w:rsidR="00601D31">
        <w:t>It was also considered that the probability of debt recovery beyond 12 months remains low.</w:t>
      </w:r>
      <w:r w:rsidR="00601D31">
        <w:rPr>
          <w:rStyle w:val="FootnoteReference"/>
        </w:rPr>
        <w:footnoteReference w:id="46"/>
      </w:r>
      <w:r w:rsidR="00601D31">
        <w:t xml:space="preserve"> </w:t>
      </w:r>
    </w:p>
    <w:p w14:paraId="33E5DA81" w14:textId="45DBB95F" w:rsidR="00060922" w:rsidRDefault="009A462A" w:rsidP="009063A1">
      <w:pPr>
        <w:pStyle w:val="DJCSbody"/>
        <w:numPr>
          <w:ilvl w:val="0"/>
          <w:numId w:val="128"/>
        </w:numPr>
      </w:pPr>
      <w:r>
        <w:t>A</w:t>
      </w:r>
      <w:r w:rsidR="000D1660">
        <w:t xml:space="preserve"> shorter recovery timeframe </w:t>
      </w:r>
      <w:r w:rsidR="007D47F4">
        <w:t>(e.g.</w:t>
      </w:r>
      <w:r w:rsidR="000D1660">
        <w:t xml:space="preserve"> 6 months</w:t>
      </w:r>
      <w:r w:rsidR="007D47F4">
        <w:t>)</w:t>
      </w:r>
      <w:r w:rsidR="000D1660">
        <w:t xml:space="preserve"> may lead to lower debt recovery, which would require a higher application fee to remain cost neutral (albeit to a small extent). </w:t>
      </w:r>
    </w:p>
    <w:p w14:paraId="15931ED0" w14:textId="19635C5D" w:rsidR="000D1660" w:rsidRPr="009347CF" w:rsidRDefault="000D1660" w:rsidP="007D47F4">
      <w:pPr>
        <w:pStyle w:val="DJCSbody"/>
        <w:numPr>
          <w:ilvl w:val="0"/>
          <w:numId w:val="128"/>
        </w:numPr>
      </w:pPr>
      <w:r w:rsidRPr="009347CF">
        <w:t xml:space="preserve">Sensitivity analysis performed in </w:t>
      </w:r>
      <w:r w:rsidR="00A24674">
        <w:t>Subchapter</w:t>
      </w:r>
      <w:r w:rsidRPr="009347CF">
        <w:t xml:space="preserve"> 6.3 below highlights that the selection of 12 months relative to other options</w:t>
      </w:r>
      <w:r w:rsidR="009A462A">
        <w:t>, alongside the other debt recovery mechanisms,</w:t>
      </w:r>
      <w:r w:rsidRPr="009347CF">
        <w:t xml:space="preserve"> has minimal impact on the overall debt recovery rate of the </w:t>
      </w:r>
      <w:r>
        <w:t>PRBS</w:t>
      </w:r>
      <w:r w:rsidRPr="009347CF">
        <w:t xml:space="preserve">. </w:t>
      </w:r>
    </w:p>
    <w:p w14:paraId="59FCBB88" w14:textId="3BF0192C" w:rsidR="0049751D" w:rsidRPr="009347CF" w:rsidRDefault="0049751D" w:rsidP="001F576E">
      <w:pPr>
        <w:pStyle w:val="DJCSbody"/>
        <w:numPr>
          <w:ilvl w:val="0"/>
          <w:numId w:val="128"/>
        </w:numPr>
      </w:pPr>
      <w:r>
        <w:t xml:space="preserve">The debt may still be able </w:t>
      </w:r>
      <w:r w:rsidR="009354E2">
        <w:t xml:space="preserve">to be recouped through the second rental bond (stage 3, below). </w:t>
      </w:r>
    </w:p>
    <w:p w14:paraId="65D754D0" w14:textId="434968F5" w:rsidR="003C5716" w:rsidRPr="001F576E" w:rsidRDefault="003C5716" w:rsidP="001F576E">
      <w:pPr>
        <w:pStyle w:val="DJCSbody"/>
        <w:ind w:left="0"/>
      </w:pPr>
      <w:r>
        <w:t xml:space="preserve">As outlined in </w:t>
      </w:r>
      <w:r w:rsidR="00A24674">
        <w:t>Subchapter</w:t>
      </w:r>
      <w:r>
        <w:t xml:space="preserve"> 4.</w:t>
      </w:r>
      <w:r w:rsidR="00DC4874">
        <w:t>3</w:t>
      </w:r>
      <w:r>
        <w:t xml:space="preserve">, </w:t>
      </w:r>
      <w:r w:rsidR="00B11E91">
        <w:t>a</w:t>
      </w:r>
      <w:r>
        <w:t xml:space="preserve">ny fees associated with </w:t>
      </w:r>
      <w:r w:rsidR="007A114A">
        <w:t xml:space="preserve">external debt collection </w:t>
      </w:r>
      <w:r>
        <w:t>will be determined through commercial arrangement</w:t>
      </w:r>
      <w:r w:rsidR="3EF99D7A">
        <w:t>s</w:t>
      </w:r>
      <w:r>
        <w:t xml:space="preserve"> </w:t>
      </w:r>
      <w:r w:rsidR="28BAB170">
        <w:t>with the external debt collector</w:t>
      </w:r>
      <w:r>
        <w:t xml:space="preserve"> and are expected to be borne directly by </w:t>
      </w:r>
      <w:r w:rsidR="001D05D1">
        <w:t>renters</w:t>
      </w:r>
      <w:r w:rsidR="007A114A">
        <w:t xml:space="preserve"> </w:t>
      </w:r>
      <w:r w:rsidR="00A30C1A">
        <w:t>with outstanding debt</w:t>
      </w:r>
      <w:r w:rsidR="007A114A">
        <w:t xml:space="preserve"> </w:t>
      </w:r>
      <w:r>
        <w:t xml:space="preserve">(not </w:t>
      </w:r>
      <w:r w:rsidR="00EA7238">
        <w:t>Government</w:t>
      </w:r>
      <w:r>
        <w:t>).</w:t>
      </w:r>
      <w:r w:rsidR="43F2F7D8">
        <w:t xml:space="preserve"> External debt collection fees will be outlined in the terms of use for the PRBS</w:t>
      </w:r>
      <w:r w:rsidR="00BC261D">
        <w:t>.</w:t>
      </w:r>
    </w:p>
    <w:p w14:paraId="6E08938F" w14:textId="41E9907E" w:rsidR="000D1660" w:rsidRDefault="000D1660" w:rsidP="000D1660">
      <w:pPr>
        <w:pStyle w:val="Body"/>
      </w:pPr>
      <w:r w:rsidRPr="00381C3B">
        <w:rPr>
          <w:b/>
          <w:bCs/>
          <w:i/>
          <w:iCs/>
        </w:rPr>
        <w:t>Stage 3: Debt</w:t>
      </w:r>
      <w:r w:rsidR="005D5BB7">
        <w:rPr>
          <w:b/>
          <w:bCs/>
          <w:i/>
          <w:iCs/>
        </w:rPr>
        <w:t xml:space="preserve"> management </w:t>
      </w:r>
      <w:r w:rsidR="002C26E7">
        <w:rPr>
          <w:b/>
          <w:bCs/>
          <w:i/>
          <w:iCs/>
        </w:rPr>
        <w:t>by Government</w:t>
      </w:r>
      <w:r w:rsidRPr="00381C3B">
        <w:rPr>
          <w:b/>
          <w:bCs/>
          <w:i/>
          <w:iCs/>
        </w:rPr>
        <w:t xml:space="preserve"> </w:t>
      </w:r>
    </w:p>
    <w:p w14:paraId="5A11CB42" w14:textId="58A6694B" w:rsidR="000D1660" w:rsidRDefault="00256B7B" w:rsidP="000D1660">
      <w:pPr>
        <w:pStyle w:val="Body"/>
      </w:pPr>
      <w:r>
        <w:t xml:space="preserve">If the </w:t>
      </w:r>
      <w:r w:rsidR="003E50D7">
        <w:t>DCA</w:t>
      </w:r>
      <w:r>
        <w:t xml:space="preserve"> advises the Government that the debt cannot be recovered, </w:t>
      </w:r>
      <w:r w:rsidR="00724B70">
        <w:t>the Department of Government Services</w:t>
      </w:r>
      <w:r w:rsidRPr="00595A4F">
        <w:t xml:space="preserve"> </w:t>
      </w:r>
      <w:r w:rsidR="002C26E7">
        <w:t xml:space="preserve">will take over management of the debt and </w:t>
      </w:r>
      <w:r>
        <w:t>can</w:t>
      </w:r>
      <w:r w:rsidRPr="00595A4F">
        <w:t xml:space="preserve"> recover the debt from the</w:t>
      </w:r>
      <w:r>
        <w:t xml:space="preserve"> renter’s second</w:t>
      </w:r>
      <w:r w:rsidRPr="00595A4F">
        <w:t xml:space="preserve"> bond when the renter moves out of </w:t>
      </w:r>
      <w:r>
        <w:t>their next rental,</w:t>
      </w:r>
      <w:r w:rsidRPr="00595A4F">
        <w:t xml:space="preserve"> </w:t>
      </w:r>
      <w:r w:rsidR="000D1660" w:rsidRPr="00595A4F">
        <w:t xml:space="preserve">if there is no outstanding claim on the bond. </w:t>
      </w:r>
    </w:p>
    <w:p w14:paraId="77AF9BFC" w14:textId="4AEA6F0F" w:rsidR="000D1660" w:rsidRDefault="000D1660" w:rsidP="000D1660">
      <w:pPr>
        <w:pStyle w:val="Body"/>
      </w:pPr>
      <w:r>
        <w:t xml:space="preserve">This mechanism provides an additional avenue for recovering outstanding debts. However, this deduction cannot occur immediately, as the bond continues to serve as security for the renter’s ongoing tenancy. The deduction can only be made when the renter moves to a new rented premises and a new bond is required - at that point, the bond from the previous rented premises can be used to offset any unpaid claims from the former tenancy. As a result, the full potential of debt recovered from this mechanism will likely only be achieved after 5 years, based on the tenancy duration distribution observed by the RTBA. However, this mechanism can be activated at any stage throughout the debt recovery process when the indebted renter moves again, regardless of whether they are in </w:t>
      </w:r>
      <w:r w:rsidR="0090637B">
        <w:t>s</w:t>
      </w:r>
      <w:r>
        <w:t>tage 1B, 2 or 3.</w:t>
      </w:r>
    </w:p>
    <w:p w14:paraId="5E390179" w14:textId="1A7CBF86" w:rsidR="004A50F1" w:rsidRPr="004A50F1" w:rsidRDefault="00606524" w:rsidP="00CA3C50">
      <w:pPr>
        <w:pStyle w:val="Heading2"/>
      </w:pPr>
      <w:bookmarkStart w:id="33" w:name="_Toc221890900"/>
      <w:r>
        <w:t xml:space="preserve">Overview of </w:t>
      </w:r>
      <w:r w:rsidR="005907C6">
        <w:t xml:space="preserve">fee </w:t>
      </w:r>
      <w:r>
        <w:t>options</w:t>
      </w:r>
      <w:bookmarkEnd w:id="33"/>
    </w:p>
    <w:p w14:paraId="620A2F4B" w14:textId="31004F50" w:rsidR="005F361F" w:rsidRDefault="005F361F" w:rsidP="009701C8">
      <w:pPr>
        <w:pStyle w:val="Body"/>
      </w:pPr>
      <w:r>
        <w:t>The introduction of the PRBS circumvents the need for the renter to pay for a dual bond and thus alleviates financial burden from households</w:t>
      </w:r>
      <w:r w:rsidR="00B53366">
        <w:t>,</w:t>
      </w:r>
      <w:r>
        <w:t xml:space="preserve"> but </w:t>
      </w:r>
      <w:r w:rsidR="00B53366">
        <w:t xml:space="preserve">it </w:t>
      </w:r>
      <w:r>
        <w:t xml:space="preserve">does operate at a cost to the </w:t>
      </w:r>
      <w:r w:rsidR="004B5630">
        <w:t>Government</w:t>
      </w:r>
      <w:r>
        <w:t xml:space="preserve">. As a mechanism to </w:t>
      </w:r>
      <w:r w:rsidR="004450A4">
        <w:t xml:space="preserve">recover </w:t>
      </w:r>
      <w:r w:rsidR="004450A4">
        <w:lastRenderedPageBreak/>
        <w:t xml:space="preserve">the costs associated with the PRBS and </w:t>
      </w:r>
      <w:r>
        <w:t xml:space="preserve">ensure </w:t>
      </w:r>
      <w:r w:rsidR="001277D9">
        <w:t xml:space="preserve">its </w:t>
      </w:r>
      <w:r>
        <w:t xml:space="preserve">long-term financial </w:t>
      </w:r>
      <w:r w:rsidR="007A18A9">
        <w:t>sustainability</w:t>
      </w:r>
      <w:r>
        <w:t xml:space="preserve">, </w:t>
      </w:r>
      <w:r w:rsidR="003550CB">
        <w:t xml:space="preserve">the </w:t>
      </w:r>
      <w:r w:rsidR="004B5630">
        <w:t xml:space="preserve">amended </w:t>
      </w:r>
      <w:r w:rsidR="00F544B5">
        <w:t xml:space="preserve">RT </w:t>
      </w:r>
      <w:r w:rsidR="00DE6270">
        <w:t>Act</w:t>
      </w:r>
      <w:r w:rsidR="00CA3C50">
        <w:t xml:space="preserve"> provides the ability for the Government to prescribe fees associated with the PRBS.</w:t>
      </w:r>
      <w:r w:rsidR="0068429C">
        <w:t xml:space="preserve"> </w:t>
      </w:r>
      <w:r w:rsidR="00137A84">
        <w:t>T</w:t>
      </w:r>
      <w:r w:rsidR="008C1ED2">
        <w:t xml:space="preserve">he </w:t>
      </w:r>
      <w:r w:rsidR="001577D6">
        <w:t xml:space="preserve">design of </w:t>
      </w:r>
      <w:r w:rsidR="00137A84">
        <w:t>any prescribed</w:t>
      </w:r>
      <w:r w:rsidR="008C1ED2">
        <w:t xml:space="preserve"> </w:t>
      </w:r>
      <w:r w:rsidR="001577D6">
        <w:t xml:space="preserve">fees is </w:t>
      </w:r>
      <w:r w:rsidR="00150F86">
        <w:t xml:space="preserve">an </w:t>
      </w:r>
      <w:r w:rsidR="004450A4">
        <w:t>important</w:t>
      </w:r>
      <w:r w:rsidR="00150F86">
        <w:t xml:space="preserve"> </w:t>
      </w:r>
      <w:r>
        <w:t xml:space="preserve">lever for </w:t>
      </w:r>
      <w:r w:rsidR="004B5630">
        <w:t xml:space="preserve">Government </w:t>
      </w:r>
      <w:r>
        <w:t>to ensure the effectiveness of the PRBS, aiming to strike a balance between facilitating renter participation while</w:t>
      </w:r>
      <w:r w:rsidR="000F1CA2">
        <w:t xml:space="preserve"> also</w:t>
      </w:r>
      <w:r>
        <w:t xml:space="preserve"> maintaining </w:t>
      </w:r>
      <w:r w:rsidR="001277D9">
        <w:t xml:space="preserve">its </w:t>
      </w:r>
      <w:r>
        <w:t xml:space="preserve">financial sustainability. </w:t>
      </w:r>
    </w:p>
    <w:p w14:paraId="732B9BED" w14:textId="46E65BF6" w:rsidR="002201AB" w:rsidRDefault="002201AB" w:rsidP="002201AB">
      <w:pPr>
        <w:pStyle w:val="Body"/>
      </w:pPr>
      <w:r>
        <w:t xml:space="preserve">The fees the </w:t>
      </w:r>
      <w:r w:rsidR="00A27F60">
        <w:t>Government</w:t>
      </w:r>
      <w:r w:rsidDel="00AF64ED">
        <w:t xml:space="preserve"> </w:t>
      </w:r>
      <w:r w:rsidR="006E1E89">
        <w:t xml:space="preserve">is considering </w:t>
      </w:r>
      <w:r>
        <w:t xml:space="preserve">prescribing include: </w:t>
      </w:r>
    </w:p>
    <w:p w14:paraId="6B09BB2C" w14:textId="0E62CA8E" w:rsidR="002201AB" w:rsidRDefault="002201AB" w:rsidP="002201AB">
      <w:pPr>
        <w:pStyle w:val="Body"/>
        <w:numPr>
          <w:ilvl w:val="0"/>
          <w:numId w:val="34"/>
        </w:numPr>
      </w:pPr>
      <w:r>
        <w:t xml:space="preserve">Application fee – An upfront fee </w:t>
      </w:r>
      <w:r w:rsidRPr="003C406E">
        <w:t xml:space="preserve">paid by renters </w:t>
      </w:r>
      <w:r>
        <w:t xml:space="preserve">when they apply to have an existing </w:t>
      </w:r>
      <w:r w:rsidRPr="003C406E">
        <w:t xml:space="preserve">bond transferred to </w:t>
      </w:r>
      <w:r>
        <w:t xml:space="preserve">a </w:t>
      </w:r>
      <w:r w:rsidRPr="003C406E">
        <w:t xml:space="preserve">new </w:t>
      </w:r>
      <w:r w:rsidR="00532E31">
        <w:t>rental agreement</w:t>
      </w:r>
      <w:r>
        <w:t xml:space="preserve">. </w:t>
      </w:r>
    </w:p>
    <w:p w14:paraId="2C4F242D" w14:textId="7F01696C" w:rsidR="002201AB" w:rsidRDefault="00B709B1" w:rsidP="009701C8">
      <w:pPr>
        <w:pStyle w:val="Body"/>
        <w:numPr>
          <w:ilvl w:val="0"/>
          <w:numId w:val="34"/>
        </w:numPr>
      </w:pPr>
      <w:r>
        <w:t xml:space="preserve">Debt recovery fee – A fee charged if renters have an overdue debt, to recover the costs of any action taken by </w:t>
      </w:r>
      <w:r w:rsidR="00953D7A">
        <w:t>Government</w:t>
      </w:r>
      <w:r>
        <w:t xml:space="preserve"> to recover that debt.</w:t>
      </w:r>
      <w:r w:rsidR="00A27F60">
        <w:t xml:space="preserve"> </w:t>
      </w:r>
    </w:p>
    <w:p w14:paraId="6909CC54" w14:textId="25975423" w:rsidR="00BB0E17" w:rsidRDefault="00BB0E17" w:rsidP="00BB0E17">
      <w:pPr>
        <w:pStyle w:val="DJCSbody"/>
        <w:ind w:left="0"/>
      </w:pPr>
      <w:r>
        <w:t>The Government’s main considerations in the identification of fee</w:t>
      </w:r>
      <w:r w:rsidRPr="008B315B">
        <w:t xml:space="preserve"> </w:t>
      </w:r>
      <w:r>
        <w:t xml:space="preserve">options included: </w:t>
      </w:r>
    </w:p>
    <w:p w14:paraId="5BC6949E" w14:textId="4B3EFA03" w:rsidR="008F1F80" w:rsidRDefault="008F1F80" w:rsidP="00BB0E17">
      <w:pPr>
        <w:pStyle w:val="DJCSbody"/>
        <w:numPr>
          <w:ilvl w:val="0"/>
          <w:numId w:val="22"/>
        </w:numPr>
      </w:pPr>
      <w:r>
        <w:t>the appropriate structure of the fee (a flat fee or a percentage-based fee)</w:t>
      </w:r>
      <w:r w:rsidR="004B5630">
        <w:t>,</w:t>
      </w:r>
      <w:r w:rsidR="00E1271D">
        <w:t xml:space="preserve"> </w:t>
      </w:r>
    </w:p>
    <w:p w14:paraId="6C404D1C" w14:textId="31F02DB0" w:rsidR="008F1F80" w:rsidRDefault="008F1F80" w:rsidP="008F1F80">
      <w:pPr>
        <w:pStyle w:val="DJCSbody"/>
        <w:numPr>
          <w:ilvl w:val="0"/>
          <w:numId w:val="22"/>
        </w:numPr>
      </w:pPr>
      <w:r>
        <w:t xml:space="preserve">the appropriate time in the debt recovery process at which the fee is charged (for any debt recovery fee) </w:t>
      </w:r>
      <w:r w:rsidR="004B5630">
        <w:t>and</w:t>
      </w:r>
    </w:p>
    <w:p w14:paraId="578BE604" w14:textId="5859ADBF" w:rsidR="008209CF" w:rsidRDefault="008F1F80" w:rsidP="001F576E">
      <w:pPr>
        <w:pStyle w:val="DJCSbody"/>
        <w:numPr>
          <w:ilvl w:val="0"/>
          <w:numId w:val="22"/>
        </w:numPr>
      </w:pPr>
      <w:r>
        <w:t xml:space="preserve">the amount at which the fee (or fees) is set to support cost recovery.  </w:t>
      </w:r>
    </w:p>
    <w:p w14:paraId="7CCF91EF" w14:textId="036B675C" w:rsidR="00604132" w:rsidRDefault="00C62ABB" w:rsidP="001F576E">
      <w:pPr>
        <w:pStyle w:val="DJCSbody"/>
        <w:ind w:left="0"/>
      </w:pPr>
      <w:r>
        <w:t xml:space="preserve">Note that under all options, the prescribed debt recovery fee does not include </w:t>
      </w:r>
      <w:r w:rsidR="00CF61A6">
        <w:t xml:space="preserve">fees to engage a DCA. </w:t>
      </w:r>
      <w:r w:rsidR="008209CF">
        <w:t xml:space="preserve">If a DCA </w:t>
      </w:r>
      <w:r w:rsidR="009C3654">
        <w:t xml:space="preserve">under stage 2 </w:t>
      </w:r>
      <w:r w:rsidR="008209CF">
        <w:t xml:space="preserve">is </w:t>
      </w:r>
      <w:r w:rsidR="0089283F">
        <w:t>required to recover a debt, there will be an additional fee</w:t>
      </w:r>
      <w:r w:rsidR="00FA6F33">
        <w:t xml:space="preserve">. This fee will not be prescribed in the </w:t>
      </w:r>
      <w:r w:rsidR="007510AF">
        <w:t>R</w:t>
      </w:r>
      <w:r w:rsidR="00FA6F33">
        <w:t>egulations and</w:t>
      </w:r>
      <w:r w:rsidR="0089283F">
        <w:t xml:space="preserve"> will be subject to commercial agreements with the relevant DCA.</w:t>
      </w:r>
      <w:r w:rsidR="00661E50">
        <w:t xml:space="preserve"> This </w:t>
      </w:r>
      <w:r w:rsidR="00FA6F33">
        <w:t>will be clearly outlined in the terms of use for the PRB</w:t>
      </w:r>
      <w:r w:rsidR="003747C1">
        <w:t>S</w:t>
      </w:r>
      <w:r w:rsidR="00FA6F33">
        <w:t>.</w:t>
      </w:r>
    </w:p>
    <w:p w14:paraId="643F001C" w14:textId="77777777" w:rsidR="008F1F80" w:rsidRPr="00EA589D" w:rsidRDefault="008F1F80" w:rsidP="008F1F80">
      <w:pPr>
        <w:pStyle w:val="Heading4"/>
        <w:ind w:left="0"/>
      </w:pPr>
      <w:r>
        <w:t>Further detail on the consideration of cost recovery</w:t>
      </w:r>
    </w:p>
    <w:p w14:paraId="5FF410CE" w14:textId="35A39395" w:rsidR="008F1F80" w:rsidRDefault="008F1F80" w:rsidP="008F1F80">
      <w:pPr>
        <w:pStyle w:val="Body"/>
      </w:pPr>
      <w:r>
        <w:t>As outlined in Chapter 2, t</w:t>
      </w:r>
      <w:r w:rsidRPr="00186F20">
        <w:t xml:space="preserve">he absence of </w:t>
      </w:r>
      <w:r>
        <w:t>any prescribed fees</w:t>
      </w:r>
      <w:r w:rsidRPr="00186F20">
        <w:t xml:space="preserve"> </w:t>
      </w:r>
      <w:r>
        <w:t xml:space="preserve">inhibits the </w:t>
      </w:r>
      <w:r w:rsidRPr="00186F20">
        <w:t>cost recover</w:t>
      </w:r>
      <w:r>
        <w:t>y</w:t>
      </w:r>
      <w:r w:rsidRPr="00186F20">
        <w:t xml:space="preserve"> </w:t>
      </w:r>
      <w:r>
        <w:t>and sustainability</w:t>
      </w:r>
      <w:r w:rsidRPr="00186F20">
        <w:t xml:space="preserve"> </w:t>
      </w:r>
      <w:r>
        <w:t xml:space="preserve">of the </w:t>
      </w:r>
      <w:r w:rsidR="000F56FA">
        <w:t>PRBS</w:t>
      </w:r>
      <w:r w:rsidRPr="00186F20">
        <w:t>.</w:t>
      </w:r>
      <w:r>
        <w:t xml:space="preserve"> The Government has only considered options for prescribing these fees that would support full cost recovery of the PRBS. This is in line with t</w:t>
      </w:r>
      <w:r w:rsidRPr="00186F20">
        <w:t>he</w:t>
      </w:r>
      <w:r>
        <w:t xml:space="preserve"> Department of Treasury and Finance’s</w:t>
      </w:r>
      <w:r w:rsidRPr="00186F20">
        <w:t xml:space="preserve"> </w:t>
      </w:r>
      <w:r w:rsidRPr="00186F20">
        <w:rPr>
          <w:i/>
          <w:iCs/>
        </w:rPr>
        <w:t>Pricing for Value</w:t>
      </w:r>
      <w:r w:rsidRPr="00186F20">
        <w:t xml:space="preserve"> </w:t>
      </w:r>
      <w:r w:rsidRPr="00F05B35">
        <w:rPr>
          <w:i/>
          <w:iCs/>
        </w:rPr>
        <w:t>G</w:t>
      </w:r>
      <w:r w:rsidRPr="00F05B35">
        <w:rPr>
          <w:i/>
        </w:rPr>
        <w:t>uide</w:t>
      </w:r>
      <w:r>
        <w:t xml:space="preserve">. </w:t>
      </w:r>
    </w:p>
    <w:p w14:paraId="3135987C" w14:textId="77777777" w:rsidR="008F1F80" w:rsidRDefault="008F1F80" w:rsidP="008F1F80">
      <w:pPr>
        <w:pStyle w:val="Body"/>
      </w:pPr>
      <w:r>
        <w:t xml:space="preserve">To support the development of the options, the Government has defined the recoverable cost base as including: </w:t>
      </w:r>
    </w:p>
    <w:p w14:paraId="7027AB3B" w14:textId="5F617FE9" w:rsidR="008F1F80" w:rsidRDefault="008F1F80" w:rsidP="008F1F80">
      <w:pPr>
        <w:pStyle w:val="Body"/>
        <w:numPr>
          <w:ilvl w:val="0"/>
          <w:numId w:val="35"/>
        </w:numPr>
      </w:pPr>
      <w:r>
        <w:t xml:space="preserve">Ongoing costs related to the operation of the PRBS (including </w:t>
      </w:r>
      <w:r w:rsidR="000F56FA">
        <w:t xml:space="preserve">the </w:t>
      </w:r>
      <w:r>
        <w:t>overall management</w:t>
      </w:r>
      <w:r w:rsidR="000F56FA">
        <w:t xml:space="preserve"> of the PRBS</w:t>
      </w:r>
      <w:r>
        <w:t xml:space="preserve">, call centre operations, system licenses, bank fees and </w:t>
      </w:r>
      <w:r w:rsidR="00C02F91">
        <w:t>i</w:t>
      </w:r>
      <w:r>
        <w:t xml:space="preserve">nformation </w:t>
      </w:r>
      <w:r w:rsidR="00C02F91">
        <w:t>t</w:t>
      </w:r>
      <w:r>
        <w:t xml:space="preserve">echnology costs). </w:t>
      </w:r>
    </w:p>
    <w:p w14:paraId="3CE0DCA3" w14:textId="77777777" w:rsidR="008F1F80" w:rsidRDefault="008F1F80" w:rsidP="008F1F80">
      <w:pPr>
        <w:pStyle w:val="Body"/>
        <w:numPr>
          <w:ilvl w:val="0"/>
          <w:numId w:val="35"/>
        </w:numPr>
      </w:pPr>
      <w:r>
        <w:t xml:space="preserve">Costs associated with internal debt recovery activities (including issuing of reminders and notices). </w:t>
      </w:r>
    </w:p>
    <w:p w14:paraId="197D29C4" w14:textId="3A75041B" w:rsidR="008F1F80" w:rsidRDefault="008F1F80" w:rsidP="008F1F80">
      <w:pPr>
        <w:pStyle w:val="Body"/>
        <w:numPr>
          <w:ilvl w:val="0"/>
          <w:numId w:val="35"/>
        </w:numPr>
      </w:pPr>
      <w:r>
        <w:t xml:space="preserve">Estimated debt write-off (noting that the </w:t>
      </w:r>
      <w:r w:rsidR="00953D7A">
        <w:t>Government</w:t>
      </w:r>
      <w:r>
        <w:t xml:space="preserve"> can write off debt under certain circumstances). </w:t>
      </w:r>
    </w:p>
    <w:p w14:paraId="71B801CB" w14:textId="362B6051" w:rsidR="008F1F80" w:rsidRDefault="008F1F80" w:rsidP="008F1F80">
      <w:pPr>
        <w:pStyle w:val="Body"/>
      </w:pPr>
      <w:r>
        <w:t xml:space="preserve">The recoverable cost base does not include establishment costs. </w:t>
      </w:r>
      <w:r w:rsidR="00A24674">
        <w:t>Subchapter</w:t>
      </w:r>
      <w:r>
        <w:t xml:space="preserve"> 5</w:t>
      </w:r>
      <w:r w:rsidR="002D6EF1">
        <w:t>.2.3</w:t>
      </w:r>
      <w:r>
        <w:t xml:space="preserve"> provides further detail on the expected cost base of the PRBS. </w:t>
      </w:r>
    </w:p>
    <w:p w14:paraId="1ADC467F" w14:textId="28E43E49" w:rsidR="007D6EED" w:rsidRDefault="008F1F80" w:rsidP="008F1F80">
      <w:pPr>
        <w:pStyle w:val="Body"/>
      </w:pPr>
      <w:r>
        <w:t xml:space="preserve">The Government has explored the recovery of the recoverable cost base over different time horizons through the application fee level options presented below. </w:t>
      </w:r>
    </w:p>
    <w:p w14:paraId="7851A3EA" w14:textId="6DBDB5AF" w:rsidR="00772265" w:rsidRDefault="00ED05AB" w:rsidP="00772265">
      <w:pPr>
        <w:pStyle w:val="Heading2"/>
      </w:pPr>
      <w:bookmarkStart w:id="34" w:name="_Toc220522656"/>
      <w:bookmarkStart w:id="35" w:name="_Toc220522664"/>
      <w:bookmarkEnd w:id="34"/>
      <w:bookmarkEnd w:id="35"/>
      <w:r>
        <w:t xml:space="preserve"> </w:t>
      </w:r>
      <w:bookmarkStart w:id="36" w:name="_Toc220522669"/>
      <w:bookmarkStart w:id="37" w:name="_Toc220522670"/>
      <w:bookmarkStart w:id="38" w:name="_Toc220522671"/>
      <w:bookmarkStart w:id="39" w:name="_Toc220522672"/>
      <w:bookmarkStart w:id="40" w:name="_Toc220522673"/>
      <w:bookmarkStart w:id="41" w:name="_Toc220522674"/>
      <w:bookmarkStart w:id="42" w:name="_Toc220522675"/>
      <w:bookmarkStart w:id="43" w:name="_Toc220522676"/>
      <w:bookmarkStart w:id="44" w:name="_Toc220522677"/>
      <w:bookmarkStart w:id="45" w:name="_Toc221890901"/>
      <w:bookmarkEnd w:id="29"/>
      <w:bookmarkEnd w:id="30"/>
      <w:bookmarkEnd w:id="36"/>
      <w:bookmarkEnd w:id="37"/>
      <w:bookmarkEnd w:id="38"/>
      <w:bookmarkEnd w:id="39"/>
      <w:bookmarkEnd w:id="40"/>
      <w:bookmarkEnd w:id="41"/>
      <w:bookmarkEnd w:id="42"/>
      <w:bookmarkEnd w:id="43"/>
      <w:bookmarkEnd w:id="44"/>
      <w:r w:rsidR="00772265">
        <w:t>Application fee options</w:t>
      </w:r>
      <w:bookmarkEnd w:id="45"/>
    </w:p>
    <w:p w14:paraId="73FA8568" w14:textId="033E0BE9" w:rsidR="00CA24E7" w:rsidRPr="000F65FE" w:rsidRDefault="00CA24E7" w:rsidP="00CA24E7">
      <w:pPr>
        <w:pStyle w:val="Heading3"/>
      </w:pPr>
      <w:r>
        <w:t>Base case</w:t>
      </w:r>
    </w:p>
    <w:p w14:paraId="6CDCEA81" w14:textId="006394B8" w:rsidR="00CA24E7" w:rsidRDefault="00CA24E7" w:rsidP="00CA24E7">
      <w:pPr>
        <w:pStyle w:val="Body"/>
      </w:pPr>
      <w:r>
        <w:t>Under the base case, no</w:t>
      </w:r>
      <w:r w:rsidR="00304025">
        <w:t xml:space="preserve"> application</w:t>
      </w:r>
      <w:r>
        <w:t xml:space="preserve"> fee</w:t>
      </w:r>
      <w:r w:rsidR="00304025">
        <w:t xml:space="preserve"> </w:t>
      </w:r>
      <w:r>
        <w:t xml:space="preserve">would be prescribed </w:t>
      </w:r>
      <w:r w:rsidR="00811CC7">
        <w:t>for</w:t>
      </w:r>
      <w:r>
        <w:t xml:space="preserve"> the PRBS. </w:t>
      </w:r>
      <w:r w:rsidR="00E560E9">
        <w:t>Eligible renters would be able to apply to transfer a bond via the PRBS</w:t>
      </w:r>
      <w:r w:rsidR="00811CC7">
        <w:t>, and there would be no fee payable to participate</w:t>
      </w:r>
      <w:r w:rsidR="00E560E9">
        <w:t xml:space="preserve">. </w:t>
      </w:r>
      <w:r w:rsidR="00811CC7">
        <w:t>In this scenario,</w:t>
      </w:r>
      <w:r>
        <w:t xml:space="preserve"> </w:t>
      </w:r>
      <w:r w:rsidR="008C5B7D">
        <w:t xml:space="preserve">the Government </w:t>
      </w:r>
      <w:r w:rsidR="00786BC9">
        <w:t xml:space="preserve">has </w:t>
      </w:r>
      <w:r>
        <w:t xml:space="preserve">no ability to recover </w:t>
      </w:r>
      <w:r w:rsidR="00786BC9">
        <w:t xml:space="preserve">the </w:t>
      </w:r>
      <w:r>
        <w:t xml:space="preserve">costs associated with operating the </w:t>
      </w:r>
      <w:r w:rsidR="00A806EE">
        <w:t>PRBS</w:t>
      </w:r>
      <w:r>
        <w:t xml:space="preserve">. This is not in accordance </w:t>
      </w:r>
      <w:r>
        <w:lastRenderedPageBreak/>
        <w:t xml:space="preserve">with the Department of Treasury and Finance’s </w:t>
      </w:r>
      <w:r>
        <w:rPr>
          <w:i/>
          <w:iCs/>
        </w:rPr>
        <w:t>Pricing for Value</w:t>
      </w:r>
      <w:r>
        <w:t xml:space="preserve"> </w:t>
      </w:r>
      <w:r>
        <w:rPr>
          <w:i/>
          <w:iCs/>
        </w:rPr>
        <w:t>Guide</w:t>
      </w:r>
      <w:r w:rsidR="00786BC9">
        <w:t xml:space="preserve"> and </w:t>
      </w:r>
      <w:r w:rsidR="00FA5C51">
        <w:t>does</w:t>
      </w:r>
      <w:r w:rsidR="00786BC9">
        <w:t xml:space="preserve"> not support</w:t>
      </w:r>
      <w:r>
        <w:t xml:space="preserve"> the ongoing sustainability of the PRBS.</w:t>
      </w:r>
    </w:p>
    <w:p w14:paraId="1A2BE966" w14:textId="3CCAE2D3" w:rsidR="00CA24E7" w:rsidRDefault="00CA24E7" w:rsidP="001F576E">
      <w:pPr>
        <w:pStyle w:val="Heading3"/>
      </w:pPr>
      <w:r>
        <w:t xml:space="preserve">Options </w:t>
      </w:r>
    </w:p>
    <w:p w14:paraId="4C9E97AF" w14:textId="751CA60A" w:rsidR="00C14B94" w:rsidRDefault="00C14B94" w:rsidP="00F5498D">
      <w:pPr>
        <w:pStyle w:val="DJCSbody"/>
        <w:ind w:left="0"/>
      </w:pPr>
      <w:r>
        <w:t xml:space="preserve">In the options, </w:t>
      </w:r>
      <w:r w:rsidR="00EC2118">
        <w:t xml:space="preserve">the Government would prescribe </w:t>
      </w:r>
      <w:r>
        <w:t>a</w:t>
      </w:r>
      <w:r w:rsidR="00D96E74">
        <w:t>n application fee</w:t>
      </w:r>
      <w:r w:rsidR="008C2ADD">
        <w:t xml:space="preserve"> to </w:t>
      </w:r>
      <w:r w:rsidR="004C6C66">
        <w:t xml:space="preserve">be </w:t>
      </w:r>
      <w:r w:rsidR="00D96E74">
        <w:t xml:space="preserve">charged upfront to all renters participating in the PRBS. This </w:t>
      </w:r>
      <w:r w:rsidR="00F5498D">
        <w:t xml:space="preserve">fee </w:t>
      </w:r>
      <w:r w:rsidR="00D96E74">
        <w:t>would recover</w:t>
      </w:r>
      <w:r w:rsidR="00F5498D">
        <w:t xml:space="preserve"> the ongoing costs related to the operation of the PRBS </w:t>
      </w:r>
      <w:r w:rsidR="00D96E74">
        <w:t xml:space="preserve">plus the estimated amount of </w:t>
      </w:r>
      <w:r w:rsidR="00F5498D">
        <w:t>debt write-off</w:t>
      </w:r>
      <w:r w:rsidR="00D96E74">
        <w:t xml:space="preserve">. </w:t>
      </w:r>
      <w:r w:rsidR="00F5498D">
        <w:t xml:space="preserve">The cost base is detailed in </w:t>
      </w:r>
      <w:r w:rsidR="00A24674">
        <w:t>Subchapter</w:t>
      </w:r>
      <w:r w:rsidR="00F5498D">
        <w:t xml:space="preserve"> 5.2.</w:t>
      </w:r>
      <w:r w:rsidR="002D6EF1">
        <w:t>3</w:t>
      </w:r>
      <w:r w:rsidR="00F5498D">
        <w:t xml:space="preserve"> of this RIS. </w:t>
      </w:r>
    </w:p>
    <w:p w14:paraId="487710BC" w14:textId="45A18C8E" w:rsidR="001E7053" w:rsidRDefault="008452C5" w:rsidP="00772265">
      <w:pPr>
        <w:pStyle w:val="DJCSbody"/>
        <w:ind w:left="0"/>
      </w:pPr>
      <w:r>
        <w:t xml:space="preserve">In </w:t>
      </w:r>
      <w:r w:rsidR="00E77671">
        <w:t>identifying</w:t>
      </w:r>
      <w:r>
        <w:t xml:space="preserve"> options for an application fee, the Government considered </w:t>
      </w:r>
      <w:r w:rsidR="00E77671">
        <w:t>the appropriate structure for the</w:t>
      </w:r>
      <w:r w:rsidR="007804D6">
        <w:t xml:space="preserve"> application fee</w:t>
      </w:r>
      <w:r w:rsidR="00E77671">
        <w:t>, namely a flat fee for all renters or a percentage-based fee</w:t>
      </w:r>
      <w:r w:rsidR="00E77671" w:rsidRPr="00E77671">
        <w:t xml:space="preserve"> </w:t>
      </w:r>
      <w:r w:rsidR="00E77671">
        <w:t xml:space="preserve">that reflects the size of a renter’s bond. </w:t>
      </w:r>
      <w:r w:rsidR="00DE29BD">
        <w:t xml:space="preserve">As outlined below in </w:t>
      </w:r>
      <w:r w:rsidR="00D33D17">
        <w:t>S</w:t>
      </w:r>
      <w:r w:rsidR="00A9160E">
        <w:t>ub</w:t>
      </w:r>
      <w:r w:rsidR="00DE29BD">
        <w:t>chapter 4.4.3, a</w:t>
      </w:r>
      <w:r w:rsidR="006B78DA">
        <w:t xml:space="preserve"> flat fee was</w:t>
      </w:r>
      <w:r w:rsidR="00AB6FB3">
        <w:t xml:space="preserve"> </w:t>
      </w:r>
      <w:r w:rsidR="009B653B">
        <w:t xml:space="preserve">considered </w:t>
      </w:r>
      <w:r w:rsidR="00484703">
        <w:t>the most appropriate</w:t>
      </w:r>
      <w:r w:rsidR="00AD3082">
        <w:t xml:space="preserve"> way to recover the costs of the </w:t>
      </w:r>
      <w:r w:rsidR="004B3362">
        <w:t xml:space="preserve">PRBS </w:t>
      </w:r>
      <w:r w:rsidR="00AD3082">
        <w:t>as it is more</w:t>
      </w:r>
      <w:r w:rsidR="006B78DA">
        <w:t xml:space="preserve"> </w:t>
      </w:r>
      <w:r w:rsidR="00F3460D">
        <w:t xml:space="preserve">closely </w:t>
      </w:r>
      <w:r w:rsidR="00903E6F">
        <w:t>linked to the underlying cost</w:t>
      </w:r>
      <w:r w:rsidR="00A83FED">
        <w:t>s and activities</w:t>
      </w:r>
      <w:r w:rsidR="00903E6F">
        <w:t xml:space="preserve"> of the scheme.</w:t>
      </w:r>
      <w:r w:rsidR="00CD0A19">
        <w:t xml:space="preserve"> </w:t>
      </w:r>
    </w:p>
    <w:p w14:paraId="76FE4E44" w14:textId="435691F0" w:rsidR="00396F62" w:rsidRDefault="0021120F" w:rsidP="00396F62">
      <w:pPr>
        <w:pStyle w:val="DJCSbody"/>
        <w:ind w:left="0"/>
      </w:pPr>
      <w:r>
        <w:t>T</w:t>
      </w:r>
      <w:r w:rsidR="00A806EE">
        <w:t xml:space="preserve">he Government </w:t>
      </w:r>
      <w:r w:rsidR="00F90D3D">
        <w:t>also</w:t>
      </w:r>
      <w:r w:rsidR="00CF16A2">
        <w:t xml:space="preserve"> </w:t>
      </w:r>
      <w:r w:rsidR="00C770DD">
        <w:t xml:space="preserve">considered different fee levels </w:t>
      </w:r>
      <w:r w:rsidR="00DE4B72">
        <w:t xml:space="preserve">for the application fee. </w:t>
      </w:r>
      <w:r w:rsidR="00224532">
        <w:t xml:space="preserve">Given </w:t>
      </w:r>
      <w:r w:rsidR="0075492F">
        <w:t xml:space="preserve">the level of uncertainty associated with the </w:t>
      </w:r>
      <w:r w:rsidR="00224532">
        <w:t>effectiveness of</w:t>
      </w:r>
      <w:r w:rsidR="0075492F">
        <w:t xml:space="preserve"> the </w:t>
      </w:r>
      <w:r w:rsidR="00224532">
        <w:t>proposed debt management and recovery process</w:t>
      </w:r>
      <w:r w:rsidR="0075492F">
        <w:t xml:space="preserve">, and the </w:t>
      </w:r>
      <w:r w:rsidR="008458AA">
        <w:t>level of debt write off that is expected over the life of the Regulations,</w:t>
      </w:r>
      <w:r w:rsidR="00976645">
        <w:t xml:space="preserve"> different application fee levels </w:t>
      </w:r>
      <w:r w:rsidR="00396F62">
        <w:t xml:space="preserve">provide options for Government to recover the cost base in shorter periods of time, lessening the risk that costs remain unrecovered at the end of the 10-year duration of the Regulations. </w:t>
      </w:r>
    </w:p>
    <w:p w14:paraId="6F0A3374" w14:textId="619A0943" w:rsidR="00772265" w:rsidRDefault="007D1177" w:rsidP="00772265">
      <w:pPr>
        <w:pStyle w:val="DJCSbody"/>
        <w:ind w:left="0"/>
      </w:pPr>
      <w:r>
        <w:t xml:space="preserve">The options </w:t>
      </w:r>
      <w:r w:rsidR="00396F62">
        <w:t>outlined below all</w:t>
      </w:r>
      <w:r w:rsidR="0064733B">
        <w:t xml:space="preserve"> </w:t>
      </w:r>
      <w:r w:rsidR="00BF4414">
        <w:t xml:space="preserve">support the Government to recover </w:t>
      </w:r>
      <w:r w:rsidR="0024143C">
        <w:t>its</w:t>
      </w:r>
      <w:r w:rsidR="00BF4414">
        <w:t xml:space="preserve"> costs</w:t>
      </w:r>
      <w:r w:rsidR="002346D5">
        <w:t xml:space="preserve">, but over different </w:t>
      </w:r>
      <w:r w:rsidR="00B31295">
        <w:t>timeframe</w:t>
      </w:r>
      <w:r w:rsidR="002346D5">
        <w:t>s.</w:t>
      </w:r>
      <w:r w:rsidR="00B31295">
        <w:t xml:space="preserve"> </w:t>
      </w:r>
      <w:r w:rsidR="00772265">
        <w:t>Th</w:t>
      </w:r>
      <w:r w:rsidR="001B60A4">
        <w:t>is is referred to</w:t>
      </w:r>
      <w:r w:rsidR="006C0A50">
        <w:t xml:space="preserve"> as a</w:t>
      </w:r>
      <w:r w:rsidR="00772265">
        <w:t xml:space="preserve"> </w:t>
      </w:r>
      <w:r w:rsidR="006C0A50">
        <w:t>‘</w:t>
      </w:r>
      <w:r w:rsidR="00772265">
        <w:t>cost recovery time</w:t>
      </w:r>
      <w:r w:rsidR="00501C2F">
        <w:t xml:space="preserve"> horizon</w:t>
      </w:r>
      <w:r w:rsidR="006C0A50">
        <w:t>’</w:t>
      </w:r>
      <w:r w:rsidR="00571625">
        <w:t>,</w:t>
      </w:r>
      <w:r w:rsidR="005B02E9">
        <w:t xml:space="preserve"> </w:t>
      </w:r>
      <w:r w:rsidR="00571625">
        <w:t xml:space="preserve">which </w:t>
      </w:r>
      <w:r w:rsidR="00501C2F">
        <w:t>is</w:t>
      </w:r>
      <w:r w:rsidR="00571625">
        <w:t xml:space="preserve"> </w:t>
      </w:r>
      <w:r w:rsidR="00772265">
        <w:t xml:space="preserve">the length of time it would take for the fee revenue to recover the </w:t>
      </w:r>
      <w:r w:rsidR="00FE51FF">
        <w:t xml:space="preserve">identified </w:t>
      </w:r>
      <w:r w:rsidR="005815D0">
        <w:t>costs related to the PRBS</w:t>
      </w:r>
      <w:r w:rsidR="00745861">
        <w:t xml:space="preserve"> – the higher the fee, the shorter the time it will take for th</w:t>
      </w:r>
      <w:r w:rsidR="00213FDC">
        <w:t>ose</w:t>
      </w:r>
      <w:r w:rsidR="00745861">
        <w:t xml:space="preserve"> costs to be recovered</w:t>
      </w:r>
      <w:r w:rsidR="00501C2F">
        <w:t xml:space="preserve">. </w:t>
      </w:r>
      <w:r w:rsidR="00EB2C20">
        <w:t>The fee level will also have a direct impact on the rate of renter participation in the PRBS</w:t>
      </w:r>
      <w:r w:rsidR="00190A24">
        <w:t xml:space="preserve">, as </w:t>
      </w:r>
      <w:r w:rsidR="006D394A">
        <w:t>the higher the fee, the lower the expected level of participation in the scheme</w:t>
      </w:r>
      <w:r w:rsidR="00EB2C20">
        <w:t xml:space="preserve">. </w:t>
      </w:r>
    </w:p>
    <w:p w14:paraId="306DCF5E" w14:textId="3C06BB88" w:rsidR="0085206E" w:rsidRPr="001F576E" w:rsidRDefault="0085206E" w:rsidP="00772265">
      <w:pPr>
        <w:pStyle w:val="DJCSbody"/>
        <w:ind w:left="0"/>
        <w:rPr>
          <w:b/>
          <w:bCs/>
        </w:rPr>
      </w:pPr>
      <w:r>
        <w:rPr>
          <w:b/>
          <w:bCs/>
        </w:rPr>
        <w:t xml:space="preserve">Application fee options </w:t>
      </w:r>
    </w:p>
    <w:p w14:paraId="76AB9943" w14:textId="05514A65" w:rsidR="008F2916" w:rsidRPr="002E18D2" w:rsidRDefault="008F2916" w:rsidP="008E7AE6">
      <w:pPr>
        <w:pStyle w:val="DJCSbody"/>
        <w:ind w:left="0"/>
      </w:pPr>
      <w:r>
        <w:t xml:space="preserve">The options for application fee levels are outlined below. </w:t>
      </w:r>
    </w:p>
    <w:p w14:paraId="3A3E0DEB" w14:textId="77777777" w:rsidR="000847FE" w:rsidRPr="0030579C" w:rsidRDefault="000847FE" w:rsidP="000847FE">
      <w:pPr>
        <w:pStyle w:val="DJCSbody"/>
        <w:numPr>
          <w:ilvl w:val="0"/>
          <w:numId w:val="174"/>
        </w:numPr>
      </w:pPr>
      <w:r w:rsidRPr="0030579C">
        <w:t>$35 fee application fee </w:t>
      </w:r>
      <w:r w:rsidRPr="008E7AE6">
        <w:t>(2.08 fee units)</w:t>
      </w:r>
      <w:r w:rsidRPr="0030579C">
        <w:t> </w:t>
      </w:r>
    </w:p>
    <w:p w14:paraId="79A8D539" w14:textId="77777777" w:rsidR="000847FE" w:rsidRPr="0030579C" w:rsidRDefault="000847FE" w:rsidP="000847FE">
      <w:pPr>
        <w:pStyle w:val="DJCSbody"/>
        <w:numPr>
          <w:ilvl w:val="0"/>
          <w:numId w:val="175"/>
        </w:numPr>
      </w:pPr>
      <w:r w:rsidRPr="0030579C">
        <w:t>$40 application fee </w:t>
      </w:r>
      <w:r w:rsidRPr="008E7AE6">
        <w:t>(2.38 fee units)</w:t>
      </w:r>
      <w:r w:rsidRPr="0030579C">
        <w:t> </w:t>
      </w:r>
    </w:p>
    <w:p w14:paraId="5D08D847" w14:textId="77777777" w:rsidR="000847FE" w:rsidRPr="0030579C" w:rsidRDefault="000847FE" w:rsidP="000847FE">
      <w:pPr>
        <w:pStyle w:val="DJCSbody"/>
        <w:numPr>
          <w:ilvl w:val="0"/>
          <w:numId w:val="176"/>
        </w:numPr>
      </w:pPr>
      <w:r w:rsidRPr="0030579C">
        <w:t>$45 application fee </w:t>
      </w:r>
      <w:r w:rsidRPr="008E7AE6">
        <w:t>(2.68 fee units)</w:t>
      </w:r>
      <w:r w:rsidRPr="0030579C">
        <w:t> </w:t>
      </w:r>
    </w:p>
    <w:p w14:paraId="29CA7ABF" w14:textId="415D2B2A" w:rsidR="00772265" w:rsidRDefault="00A512D4" w:rsidP="00772265">
      <w:pPr>
        <w:pStyle w:val="DJCSbody"/>
        <w:ind w:left="0"/>
      </w:pPr>
      <w:r>
        <w:t xml:space="preserve">A preferred option will be selected from these fee levels and will be considered in conjunction with the preferred debt recovery fee option. </w:t>
      </w:r>
      <w:r w:rsidR="00E514EA" w:rsidRPr="00E514EA">
        <w:t xml:space="preserve">Note that in the Regulations, </w:t>
      </w:r>
      <w:r w:rsidR="00C4373B">
        <w:t xml:space="preserve">flat </w:t>
      </w:r>
      <w:r w:rsidR="00E514EA" w:rsidRPr="00E514EA">
        <w:t>fees will be expressed as fee units</w:t>
      </w:r>
      <w:r w:rsidR="00961178">
        <w:t xml:space="preserve"> </w:t>
      </w:r>
      <w:r w:rsidR="00961178" w:rsidRPr="00961178">
        <w:t>and will increase each year in line with the Treasurer’s annual update to the value of a fee unit</w:t>
      </w:r>
      <w:r w:rsidR="00E514EA" w:rsidRPr="00E514EA">
        <w:t xml:space="preserve">. </w:t>
      </w:r>
      <w:r w:rsidR="00B829E6">
        <w:t>However, f</w:t>
      </w:r>
      <w:r w:rsidR="00E514EA" w:rsidRPr="00E514EA">
        <w:t xml:space="preserve">or </w:t>
      </w:r>
      <w:r w:rsidR="00B829E6">
        <w:t xml:space="preserve">the purpose of this RIS the options </w:t>
      </w:r>
      <w:r w:rsidR="00C4373B">
        <w:t>with flat fees</w:t>
      </w:r>
      <w:r w:rsidR="00B829E6">
        <w:t xml:space="preserve"> are expressed as dollar figures for simplicity</w:t>
      </w:r>
      <w:r w:rsidR="001761F7">
        <w:t xml:space="preserve">, ease of stakeholder understanding and </w:t>
      </w:r>
      <w:r w:rsidR="005B38EB">
        <w:t xml:space="preserve">support </w:t>
      </w:r>
      <w:r w:rsidR="00986271">
        <w:t>determin</w:t>
      </w:r>
      <w:r w:rsidR="005B38EB">
        <w:t>ing</w:t>
      </w:r>
      <w:r w:rsidR="00986271">
        <w:t xml:space="preserve"> the number of fee units</w:t>
      </w:r>
      <w:r w:rsidR="005B38EB">
        <w:t xml:space="preserve"> prescribed</w:t>
      </w:r>
      <w:r w:rsidR="00EA431B">
        <w:t xml:space="preserve"> in the Regulations</w:t>
      </w:r>
      <w:r w:rsidR="00B829E6">
        <w:t xml:space="preserve">. </w:t>
      </w:r>
    </w:p>
    <w:p w14:paraId="473B53E8" w14:textId="5D4271F5" w:rsidR="0085206E" w:rsidRDefault="0085206E" w:rsidP="001F576E">
      <w:pPr>
        <w:pStyle w:val="Heading3"/>
      </w:pPr>
      <w:r>
        <w:t>Options considered but not progressed</w:t>
      </w:r>
    </w:p>
    <w:p w14:paraId="72F85E3E" w14:textId="71D64E8D" w:rsidR="00944B19" w:rsidRDefault="004D28FA" w:rsidP="008E7AE6">
      <w:pPr>
        <w:pStyle w:val="DJCSbody"/>
        <w:ind w:left="0"/>
      </w:pPr>
      <w:r w:rsidRPr="00944B19">
        <w:t xml:space="preserve">The application fee options outlined above represent those that have been advanced for assessment as part of this RIS. When developing these options, the Government also </w:t>
      </w:r>
      <w:r w:rsidR="006818F5" w:rsidRPr="00944B19">
        <w:t>considered</w:t>
      </w:r>
      <w:r w:rsidRPr="00944B19">
        <w:t xml:space="preserve"> several alternative approaches for the application fee; however, it ultimately decided not to proceed with these alternatives for reasons discussed below. </w:t>
      </w:r>
    </w:p>
    <w:p w14:paraId="6A833EF7" w14:textId="332A25C9" w:rsidR="00EB2C40" w:rsidRDefault="004D28FA" w:rsidP="00944B19">
      <w:pPr>
        <w:pStyle w:val="DJCSbody"/>
        <w:ind w:left="0"/>
      </w:pPr>
      <w:r w:rsidRPr="004D28FA">
        <w:t>The other application fee options considered but not progressed included:</w:t>
      </w:r>
    </w:p>
    <w:p w14:paraId="0C385C13" w14:textId="6AFE4D82" w:rsidR="00FA102B" w:rsidRDefault="00FA102B" w:rsidP="00FA102B">
      <w:pPr>
        <w:pStyle w:val="DJCSbody"/>
        <w:numPr>
          <w:ilvl w:val="0"/>
          <w:numId w:val="106"/>
        </w:numPr>
      </w:pPr>
      <w:r w:rsidRPr="0087570A">
        <w:t>A</w:t>
      </w:r>
      <w:r w:rsidR="005A1FA3">
        <w:t xml:space="preserve">n application </w:t>
      </w:r>
      <w:r w:rsidRPr="0087570A">
        <w:t xml:space="preserve">fee </w:t>
      </w:r>
      <w:r>
        <w:t xml:space="preserve">that </w:t>
      </w:r>
      <w:r w:rsidRPr="0087570A">
        <w:t>recover</w:t>
      </w:r>
      <w:r>
        <w:t>s</w:t>
      </w:r>
      <w:r w:rsidRPr="0087570A">
        <w:t xml:space="preserve"> all costs </w:t>
      </w:r>
      <w:r>
        <w:t xml:space="preserve">associated with the PRBS, including the costs of </w:t>
      </w:r>
      <w:r w:rsidR="00377B83">
        <w:t>Government’s</w:t>
      </w:r>
      <w:r>
        <w:t xml:space="preserve"> internal debt recovery fees – under this option, a separate debt recovery fee would not be required as all costs would be recovered through a single fee. However, under the </w:t>
      </w:r>
      <w:r w:rsidR="00377B83">
        <w:t>amended</w:t>
      </w:r>
      <w:r>
        <w:t xml:space="preserve"> </w:t>
      </w:r>
      <w:r w:rsidR="00F544B5">
        <w:t>RT</w:t>
      </w:r>
      <w:r>
        <w:t xml:space="preserve"> Act, recovering the costs of internal debt recovery fees through the application fee is </w:t>
      </w:r>
      <w:r w:rsidRPr="0087570A">
        <w:t>not legislatively feasible</w:t>
      </w:r>
      <w:r>
        <w:t xml:space="preserve">. This option is therefore not feasible. </w:t>
      </w:r>
    </w:p>
    <w:p w14:paraId="59E1D401" w14:textId="08F0FF11" w:rsidR="00ED4501" w:rsidRPr="00BE0B32" w:rsidRDefault="00132BB0" w:rsidP="00774B74">
      <w:pPr>
        <w:pStyle w:val="DJCSbody"/>
        <w:numPr>
          <w:ilvl w:val="0"/>
          <w:numId w:val="106"/>
        </w:numPr>
      </w:pPr>
      <w:r w:rsidRPr="00BE0B32">
        <w:t xml:space="preserve">A percentage-based fee structure – in this option, a percentage-based application fee would be calculated as a percentage of the value of the bond transferred under the PRBS. </w:t>
      </w:r>
      <w:r w:rsidR="00774B74" w:rsidRPr="008E7AE6">
        <w:rPr>
          <w:rFonts w:cs="Arial"/>
          <w:color w:val="000000"/>
        </w:rPr>
        <w:t xml:space="preserve">A percentage-based application </w:t>
      </w:r>
      <w:r w:rsidR="00774B74" w:rsidRPr="008E7AE6">
        <w:rPr>
          <w:rFonts w:cs="Arial"/>
          <w:color w:val="000000"/>
        </w:rPr>
        <w:lastRenderedPageBreak/>
        <w:t xml:space="preserve">fee allows those with smaller bond payments to pay less, promoting fair </w:t>
      </w:r>
      <w:r w:rsidR="00472A23" w:rsidRPr="00BE0B32">
        <w:rPr>
          <w:rFonts w:cs="Arial"/>
          <w:color w:val="000000"/>
        </w:rPr>
        <w:t xml:space="preserve">and equitable </w:t>
      </w:r>
      <w:r w:rsidR="00774B74" w:rsidRPr="008E7AE6">
        <w:rPr>
          <w:rFonts w:cs="Arial"/>
          <w:color w:val="000000"/>
        </w:rPr>
        <w:t>access to the PRBS</w:t>
      </w:r>
      <w:r w:rsidR="00636C23" w:rsidRPr="008E7AE6">
        <w:rPr>
          <w:rFonts w:cs="Arial"/>
          <w:color w:val="000000"/>
        </w:rPr>
        <w:t>,</w:t>
      </w:r>
      <w:r w:rsidR="0015454B" w:rsidRPr="00BE0B32">
        <w:rPr>
          <w:rFonts w:cs="Arial"/>
          <w:color w:val="000000"/>
        </w:rPr>
        <w:t xml:space="preserve"> </w:t>
      </w:r>
      <w:r w:rsidR="00636C23" w:rsidRPr="008E7AE6">
        <w:rPr>
          <w:rFonts w:cs="Arial"/>
          <w:color w:val="000000"/>
        </w:rPr>
        <w:t xml:space="preserve">particularly </w:t>
      </w:r>
      <w:r w:rsidR="0015454B" w:rsidRPr="00BE0B32">
        <w:rPr>
          <w:rFonts w:cs="Arial"/>
          <w:color w:val="000000"/>
        </w:rPr>
        <w:t>for those with a lower ability to pay</w:t>
      </w:r>
      <w:r w:rsidR="00774B74" w:rsidRPr="008E7AE6">
        <w:rPr>
          <w:rFonts w:cs="Arial"/>
          <w:color w:val="000000"/>
        </w:rPr>
        <w:t>.</w:t>
      </w:r>
      <w:r w:rsidR="00774B74" w:rsidRPr="00BE0B32">
        <w:rPr>
          <w:rFonts w:cs="Arial"/>
          <w:color w:val="000000"/>
        </w:rPr>
        <w:t xml:space="preserve"> </w:t>
      </w:r>
      <w:r w:rsidR="00472A23" w:rsidRPr="00BE0B32">
        <w:rPr>
          <w:rFonts w:cs="Arial"/>
          <w:color w:val="000000"/>
        </w:rPr>
        <w:t xml:space="preserve">However, </w:t>
      </w:r>
      <w:r w:rsidR="00EA38F7" w:rsidRPr="00BE0B32">
        <w:t>t</w:t>
      </w:r>
      <w:r w:rsidR="009B5026" w:rsidRPr="00BE0B32">
        <w:t xml:space="preserve">his option was not progressed </w:t>
      </w:r>
      <w:r w:rsidR="00ED4501" w:rsidRPr="00BE0B32">
        <w:t xml:space="preserve">for </w:t>
      </w:r>
      <w:r w:rsidR="00952B07" w:rsidRPr="00BE0B32">
        <w:t>the following</w:t>
      </w:r>
      <w:r w:rsidR="00ED4501" w:rsidRPr="00BE0B32">
        <w:t xml:space="preserve"> reasons: </w:t>
      </w:r>
    </w:p>
    <w:p w14:paraId="65D7C8BB" w14:textId="3058E56C" w:rsidR="00344EEF" w:rsidRPr="00BE0B32" w:rsidRDefault="00EA38F7" w:rsidP="00ED4501">
      <w:pPr>
        <w:pStyle w:val="DJCSbody"/>
        <w:numPr>
          <w:ilvl w:val="0"/>
          <w:numId w:val="106"/>
        </w:numPr>
        <w:tabs>
          <w:tab w:val="clear" w:pos="340"/>
          <w:tab w:val="num" w:pos="680"/>
        </w:tabs>
        <w:ind w:left="680"/>
      </w:pPr>
      <w:r w:rsidRPr="00BE0B32">
        <w:t xml:space="preserve">there would be significant </w:t>
      </w:r>
      <w:r w:rsidR="009B5026" w:rsidRPr="00BE0B32">
        <w:t>administrative challenges in applying a percentage-based application fee to everyone choosing to use the scheme</w:t>
      </w:r>
    </w:p>
    <w:p w14:paraId="0E8EF6CC" w14:textId="746E57FE" w:rsidR="009A705D" w:rsidRPr="00BE0B32" w:rsidRDefault="009A705D" w:rsidP="00952B07">
      <w:pPr>
        <w:pStyle w:val="DJCSbody"/>
        <w:numPr>
          <w:ilvl w:val="0"/>
          <w:numId w:val="106"/>
        </w:numPr>
        <w:tabs>
          <w:tab w:val="clear" w:pos="340"/>
          <w:tab w:val="num" w:pos="680"/>
        </w:tabs>
        <w:ind w:left="680"/>
      </w:pPr>
      <w:r w:rsidRPr="00BE0B32">
        <w:t>t</w:t>
      </w:r>
      <w:r w:rsidR="00596FE2" w:rsidRPr="00BE0B32">
        <w:t xml:space="preserve">he underlying costs of the activities involved in administering the PRBS do not vary based on the value of the bond transferred. This option is therefore not as closely aligned to </w:t>
      </w:r>
      <w:r w:rsidR="00480880" w:rsidRPr="008E7AE6">
        <w:t xml:space="preserve">principle </w:t>
      </w:r>
      <w:r w:rsidR="00BA3052">
        <w:t>2</w:t>
      </w:r>
      <w:r w:rsidR="00BA3052" w:rsidRPr="008E7AE6">
        <w:t xml:space="preserve"> </w:t>
      </w:r>
      <w:r w:rsidRPr="00BE0B32">
        <w:t xml:space="preserve">in the </w:t>
      </w:r>
      <w:r w:rsidR="00596FE2" w:rsidRPr="00BE0B32">
        <w:t xml:space="preserve">Department of Treasury and Finance’s </w:t>
      </w:r>
      <w:r w:rsidR="00596FE2" w:rsidRPr="79E303FA">
        <w:rPr>
          <w:i/>
          <w:iCs/>
        </w:rPr>
        <w:t>Pricing for Value Guide</w:t>
      </w:r>
      <w:r w:rsidR="0077617F" w:rsidRPr="00BE0B32">
        <w:t>.</w:t>
      </w:r>
      <w:r w:rsidR="0054414E" w:rsidRPr="008E7AE6">
        <w:rPr>
          <w:rStyle w:val="FootnoteReference"/>
        </w:rPr>
        <w:footnoteReference w:id="47"/>
      </w:r>
      <w:r w:rsidR="0077617F" w:rsidRPr="008E7AE6">
        <w:t xml:space="preserve"> </w:t>
      </w:r>
      <w:r w:rsidR="0077617F" w:rsidRPr="00BE0B32">
        <w:t xml:space="preserve">Given the </w:t>
      </w:r>
      <w:r w:rsidR="00215B0B" w:rsidRPr="00BE0B32">
        <w:t>application fee</w:t>
      </w:r>
      <w:r w:rsidR="00334E99" w:rsidRPr="00BE0B32">
        <w:t xml:space="preserve"> </w:t>
      </w:r>
      <w:r w:rsidR="00EF71C0" w:rsidRPr="00BE0B32">
        <w:t>is the primary mechanism to</w:t>
      </w:r>
      <w:r w:rsidR="00334E99" w:rsidRPr="00BE0B32">
        <w:t xml:space="preserve"> recover</w:t>
      </w:r>
      <w:r w:rsidR="00C97650" w:rsidRPr="00BE0B32">
        <w:t xml:space="preserve"> </w:t>
      </w:r>
      <w:r w:rsidR="00334E99" w:rsidRPr="00BE0B32">
        <w:t xml:space="preserve">the </w:t>
      </w:r>
      <w:r w:rsidR="00B657A2" w:rsidRPr="008E7AE6">
        <w:t xml:space="preserve">vast </w:t>
      </w:r>
      <w:r w:rsidR="00334E99" w:rsidRPr="00BE0B32">
        <w:t xml:space="preserve">majority of the PRBS costs, </w:t>
      </w:r>
      <w:r w:rsidR="002D5DE4" w:rsidRPr="00BE0B32">
        <w:t>there is a strong</w:t>
      </w:r>
      <w:r w:rsidR="00334E99" w:rsidRPr="00BE0B32">
        <w:t xml:space="preserve"> </w:t>
      </w:r>
      <w:r w:rsidR="002D5DE4" w:rsidRPr="00BE0B32">
        <w:t xml:space="preserve">incentive to ensure everyone pays </w:t>
      </w:r>
      <w:r w:rsidR="00157EFF" w:rsidRPr="00BE0B32">
        <w:t xml:space="preserve">equally for </w:t>
      </w:r>
      <w:r w:rsidR="00B657A2" w:rsidRPr="008E7AE6">
        <w:t>the ser</w:t>
      </w:r>
      <w:r w:rsidR="00680B44" w:rsidRPr="008E7AE6">
        <w:t xml:space="preserve">vice and </w:t>
      </w:r>
      <w:r w:rsidR="00157EFF" w:rsidRPr="00BE0B32">
        <w:t>costs incurred</w:t>
      </w:r>
      <w:r w:rsidR="000850E0" w:rsidRPr="79E303FA">
        <w:rPr>
          <w:i/>
          <w:iCs/>
        </w:rPr>
        <w:t>.</w:t>
      </w:r>
    </w:p>
    <w:p w14:paraId="0E435F97" w14:textId="3D69647C" w:rsidR="00EF61AA" w:rsidRDefault="00EF61AA" w:rsidP="00EF61AA">
      <w:pPr>
        <w:pStyle w:val="DJCSbody"/>
        <w:ind w:left="0"/>
      </w:pPr>
      <w:r>
        <w:t xml:space="preserve">Note that options for the debt recovery fee, including options considered but not progressed, are outlined in </w:t>
      </w:r>
      <w:r w:rsidR="00A24674">
        <w:t>Subchapter</w:t>
      </w:r>
      <w:r>
        <w:t xml:space="preserve"> 4.5 below. </w:t>
      </w:r>
    </w:p>
    <w:p w14:paraId="6748787C" w14:textId="6DC93714" w:rsidR="00D745D6" w:rsidRDefault="00772265" w:rsidP="00D745D6">
      <w:pPr>
        <w:pStyle w:val="Heading2"/>
      </w:pPr>
      <w:bookmarkStart w:id="46" w:name="_Toc220522679"/>
      <w:bookmarkStart w:id="47" w:name="_Toc221890902"/>
      <w:bookmarkEnd w:id="46"/>
      <w:r>
        <w:t>Debt recovery f</w:t>
      </w:r>
      <w:r w:rsidR="00D745D6">
        <w:t>ee options</w:t>
      </w:r>
      <w:bookmarkEnd w:id="47"/>
    </w:p>
    <w:p w14:paraId="35D02981" w14:textId="56AFF9AA" w:rsidR="004A5E9D" w:rsidRPr="000F65FE" w:rsidRDefault="004A5E9D" w:rsidP="004A5E9D">
      <w:pPr>
        <w:pStyle w:val="Heading3"/>
      </w:pPr>
      <w:r>
        <w:t>Base case</w:t>
      </w:r>
    </w:p>
    <w:p w14:paraId="40A8616C" w14:textId="3826E1DB" w:rsidR="00D745D6" w:rsidRDefault="00D745D6" w:rsidP="00D745D6">
      <w:pPr>
        <w:pStyle w:val="Body"/>
      </w:pPr>
      <w:r>
        <w:t xml:space="preserve">Under the base case, no </w:t>
      </w:r>
      <w:r w:rsidR="00784DAA">
        <w:t xml:space="preserve">debt recovery </w:t>
      </w:r>
      <w:r>
        <w:t xml:space="preserve">fee would be prescribed under the PRBS. This would mean that there is no ability to recover any costs associated with </w:t>
      </w:r>
      <w:r w:rsidR="00377B83">
        <w:t>the Government’s</w:t>
      </w:r>
      <w:r w:rsidR="00B078A3">
        <w:t xml:space="preserve"> effort to recover </w:t>
      </w:r>
      <w:r w:rsidR="007231ED">
        <w:t xml:space="preserve">overdue </w:t>
      </w:r>
      <w:r w:rsidR="00784DAA">
        <w:t>debt</w:t>
      </w:r>
      <w:r w:rsidR="007231ED">
        <w:t>s</w:t>
      </w:r>
      <w:r w:rsidR="00A732E7">
        <w:t xml:space="preserve"> </w:t>
      </w:r>
      <w:r w:rsidR="00871C17">
        <w:t>from renter</w:t>
      </w:r>
      <w:r w:rsidR="00FA5C51">
        <w:t>s</w:t>
      </w:r>
      <w:r w:rsidR="00871C17">
        <w:t xml:space="preserve"> </w:t>
      </w:r>
      <w:r w:rsidR="00EF314B">
        <w:t>who have</w:t>
      </w:r>
      <w:r w:rsidR="000C28B5">
        <w:t xml:space="preserve"> participated in </w:t>
      </w:r>
      <w:r w:rsidR="00871C17">
        <w:t>the PRBS</w:t>
      </w:r>
      <w:r>
        <w:t xml:space="preserve">. This is not in accordance with the Department of Treasury and Finance’s </w:t>
      </w:r>
      <w:r>
        <w:rPr>
          <w:i/>
          <w:iCs/>
        </w:rPr>
        <w:t>Pricing for Value</w:t>
      </w:r>
      <w:r>
        <w:t xml:space="preserve"> </w:t>
      </w:r>
      <w:r>
        <w:rPr>
          <w:i/>
          <w:iCs/>
        </w:rPr>
        <w:t>Guide</w:t>
      </w:r>
      <w:r>
        <w:t xml:space="preserve">, </w:t>
      </w:r>
      <w:r w:rsidR="00FA5C51">
        <w:t>and does not support the</w:t>
      </w:r>
      <w:r>
        <w:t xml:space="preserve"> ongoing </w:t>
      </w:r>
      <w:r w:rsidR="00EE5E93">
        <w:t>sustainability</w:t>
      </w:r>
      <w:r w:rsidR="00BC7AEA">
        <w:t xml:space="preserve"> </w:t>
      </w:r>
      <w:r>
        <w:t>of the PRBS</w:t>
      </w:r>
      <w:r w:rsidR="002C7122">
        <w:t>.</w:t>
      </w:r>
    </w:p>
    <w:p w14:paraId="5BE60A66" w14:textId="46B30E58" w:rsidR="001047B2" w:rsidRDefault="001047B2" w:rsidP="001047B2">
      <w:pPr>
        <w:pStyle w:val="Heading3"/>
      </w:pPr>
      <w:r>
        <w:t>Options</w:t>
      </w:r>
    </w:p>
    <w:p w14:paraId="6641EDE1" w14:textId="6993DB6D" w:rsidR="00713A8F" w:rsidRDefault="001047B2" w:rsidP="001047B2">
      <w:pPr>
        <w:pStyle w:val="DJCSbody"/>
        <w:ind w:left="0"/>
      </w:pPr>
      <w:r>
        <w:t xml:space="preserve">In the </w:t>
      </w:r>
      <w:r w:rsidR="007D4A0B">
        <w:t xml:space="preserve">following </w:t>
      </w:r>
      <w:r>
        <w:t>options, the Government would prescribe a debt recovery fee</w:t>
      </w:r>
      <w:r w:rsidR="008869E1">
        <w:t xml:space="preserve">. </w:t>
      </w:r>
      <w:r w:rsidR="003C697B">
        <w:t xml:space="preserve">This fee would be set at a level that would recover the costs of </w:t>
      </w:r>
      <w:r w:rsidR="00953D7A">
        <w:t>Government</w:t>
      </w:r>
      <w:r w:rsidR="003C697B">
        <w:t xml:space="preserve">’s internal debt recovery activities. </w:t>
      </w:r>
      <w:r w:rsidR="00713A8F">
        <w:t xml:space="preserve">The timeframe for cost recovery </w:t>
      </w:r>
      <w:r w:rsidR="004B63D4">
        <w:t xml:space="preserve">will be consistent with the preferred option for </w:t>
      </w:r>
      <w:r w:rsidR="00E37223">
        <w:t xml:space="preserve">the application fee (see </w:t>
      </w:r>
      <w:r w:rsidR="00A24674">
        <w:t>Subchapter</w:t>
      </w:r>
      <w:r w:rsidR="00E37223">
        <w:t xml:space="preserve"> 4.3 above). </w:t>
      </w:r>
    </w:p>
    <w:p w14:paraId="4E59B559" w14:textId="6855D1D7" w:rsidR="001047B2" w:rsidRDefault="006F640A" w:rsidP="001F576E">
      <w:pPr>
        <w:pStyle w:val="DJCSbody"/>
        <w:ind w:left="0"/>
      </w:pPr>
      <w:r>
        <w:t xml:space="preserve">In developing these options, the Government has considered different fee structures (flat fee or a percentage-based fee) and different </w:t>
      </w:r>
      <w:r w:rsidR="001D3FFD">
        <w:t>timing</w:t>
      </w:r>
      <w:r w:rsidR="00F21CD2">
        <w:t>s</w:t>
      </w:r>
      <w:r w:rsidR="001D3FFD">
        <w:t xml:space="preserve"> for when </w:t>
      </w:r>
      <w:r>
        <w:t>the fee is charged</w:t>
      </w:r>
      <w:r w:rsidR="001D3FFD">
        <w:t xml:space="preserve"> (</w:t>
      </w:r>
      <w:r w:rsidR="00954186">
        <w:t>i.e. at</w:t>
      </w:r>
      <w:r w:rsidR="00F21CD2">
        <w:t xml:space="preserve"> </w:t>
      </w:r>
      <w:r w:rsidR="00BE12B6">
        <w:t xml:space="preserve">different </w:t>
      </w:r>
      <w:r w:rsidR="001D3FFD">
        <w:t>stages in the debt management process)</w:t>
      </w:r>
      <w:r>
        <w:t xml:space="preserve">. </w:t>
      </w:r>
      <w:r w:rsidR="006B6F18">
        <w:t xml:space="preserve">Different fee structures and timings will </w:t>
      </w:r>
      <w:r w:rsidR="00EA2B76">
        <w:t xml:space="preserve">impact </w:t>
      </w:r>
      <w:r w:rsidR="006F71A6">
        <w:t xml:space="preserve">the fee amount and </w:t>
      </w:r>
      <w:r w:rsidR="00C269DA">
        <w:t xml:space="preserve">the number of overdue </w:t>
      </w:r>
      <w:r w:rsidR="001D05D1">
        <w:t>renters</w:t>
      </w:r>
      <w:r w:rsidR="00C269DA">
        <w:t xml:space="preserve"> who will be charged the fee</w:t>
      </w:r>
      <w:r>
        <w:t>.</w:t>
      </w:r>
      <w:r w:rsidR="00C269DA">
        <w:t xml:space="preserve"> </w:t>
      </w:r>
      <w:r w:rsidR="00C42168">
        <w:t xml:space="preserve">These design elements therefore have </w:t>
      </w:r>
      <w:r w:rsidR="00C269DA">
        <w:t>im</w:t>
      </w:r>
      <w:r w:rsidR="00A46432">
        <w:t xml:space="preserve">plications </w:t>
      </w:r>
      <w:r w:rsidR="00C42168">
        <w:t>o</w:t>
      </w:r>
      <w:r w:rsidR="00C1024D">
        <w:t xml:space="preserve">n </w:t>
      </w:r>
      <w:r w:rsidR="00A46432">
        <w:t>the equity and fairness of the fee</w:t>
      </w:r>
      <w:r w:rsidR="00C1024D">
        <w:t xml:space="preserve">, as well as </w:t>
      </w:r>
      <w:r w:rsidR="000A4726">
        <w:t>how it supports the principle of</w:t>
      </w:r>
      <w:r w:rsidR="00BE33D1">
        <w:t xml:space="preserve"> </w:t>
      </w:r>
      <w:r w:rsidR="00C1024D">
        <w:t>cost-reflective</w:t>
      </w:r>
      <w:r w:rsidR="00BE33D1">
        <w:t xml:space="preserve">ness. </w:t>
      </w:r>
    </w:p>
    <w:p w14:paraId="21C39076" w14:textId="13C2F8E4" w:rsidR="008707F5" w:rsidRPr="00BE0B32" w:rsidRDefault="008D7FA4" w:rsidP="001F576E">
      <w:pPr>
        <w:pStyle w:val="DJCSbody"/>
        <w:ind w:left="0"/>
      </w:pPr>
      <w:r w:rsidRPr="008E7AE6">
        <w:t xml:space="preserve">Although the costs of Government’s internal debt recovery activities do not vary with the value of debt being recovered, it was considered appropriate to </w:t>
      </w:r>
      <w:r w:rsidR="008707F5" w:rsidRPr="00BE0B32">
        <w:t>explor</w:t>
      </w:r>
      <w:r w:rsidRPr="008E7AE6">
        <w:t xml:space="preserve">e </w:t>
      </w:r>
      <w:r w:rsidR="008707F5" w:rsidRPr="00BE0B32">
        <w:t>a percentage-based structure for the debt recovery fee</w:t>
      </w:r>
      <w:r w:rsidR="00C838AE" w:rsidRPr="00BE0B32">
        <w:t xml:space="preserve"> for the following reasons:</w:t>
      </w:r>
    </w:p>
    <w:p w14:paraId="43552931" w14:textId="1BA46337" w:rsidR="00CB6887" w:rsidRPr="00BE0B32" w:rsidRDefault="00CB6887" w:rsidP="008707F5">
      <w:pPr>
        <w:pStyle w:val="DJCSbody"/>
        <w:numPr>
          <w:ilvl w:val="0"/>
          <w:numId w:val="177"/>
        </w:numPr>
      </w:pPr>
      <w:r w:rsidRPr="00BE0B32">
        <w:t>This is a common fee structure for debt collection in the private market</w:t>
      </w:r>
      <w:r w:rsidR="00CA4953" w:rsidRPr="00BE0B32">
        <w:t>.</w:t>
      </w:r>
    </w:p>
    <w:p w14:paraId="54F28112" w14:textId="4498EC28" w:rsidR="00C838AE" w:rsidRPr="00BE0B32" w:rsidRDefault="00C838AE" w:rsidP="008707F5">
      <w:pPr>
        <w:pStyle w:val="DJCSbody"/>
        <w:numPr>
          <w:ilvl w:val="0"/>
          <w:numId w:val="177"/>
        </w:numPr>
      </w:pPr>
      <w:r w:rsidRPr="00BE0B32">
        <w:t xml:space="preserve">It </w:t>
      </w:r>
      <w:r w:rsidR="006369D7" w:rsidRPr="008E7AE6">
        <w:t xml:space="preserve">may act as an </w:t>
      </w:r>
      <w:r w:rsidRPr="00BE0B32">
        <w:t>incentive for those with larger debts to repay prior to commencement of debt recover</w:t>
      </w:r>
      <w:r w:rsidR="00D34577" w:rsidRPr="008E7AE6">
        <w:t>y.</w:t>
      </w:r>
      <w:r w:rsidRPr="00BE0B32">
        <w:t xml:space="preserve"> </w:t>
      </w:r>
    </w:p>
    <w:p w14:paraId="614AB6EA" w14:textId="3F0EE373" w:rsidR="00EC5C55" w:rsidRPr="00BE0B32" w:rsidRDefault="009F681E" w:rsidP="008E7AE6">
      <w:pPr>
        <w:pStyle w:val="DJCSbody"/>
        <w:numPr>
          <w:ilvl w:val="0"/>
          <w:numId w:val="177"/>
        </w:numPr>
      </w:pPr>
      <w:r w:rsidRPr="00BE0B32">
        <w:t xml:space="preserve">While there will still be some administrative complexity </w:t>
      </w:r>
      <w:r w:rsidR="00FB6301" w:rsidRPr="00BE0B32">
        <w:t>for a</w:t>
      </w:r>
      <w:r w:rsidRPr="00BE0B32">
        <w:t xml:space="preserve"> percentage-based debt recovery fee, </w:t>
      </w:r>
      <w:r w:rsidR="00EC5C55" w:rsidRPr="00BE0B32">
        <w:t>the fee would only be applied to a very small cohort of renters with overdue debts</w:t>
      </w:r>
      <w:r w:rsidR="00F07861" w:rsidRPr="00BE0B32">
        <w:t xml:space="preserve"> </w:t>
      </w:r>
      <w:r w:rsidR="0087369B" w:rsidRPr="00BE0B32">
        <w:t>(</w:t>
      </w:r>
      <w:r w:rsidR="00E577B3" w:rsidRPr="00BE0B32">
        <w:t>~10</w:t>
      </w:r>
      <w:r w:rsidR="00CD7C8B" w:rsidRPr="00BE0B32">
        <w:t xml:space="preserve">% </w:t>
      </w:r>
      <w:r w:rsidR="00E577B3" w:rsidRPr="00BE0B32">
        <w:t>of debt</w:t>
      </w:r>
      <w:r w:rsidR="009C5648" w:rsidRPr="00BE0B32">
        <w:t>s will be overdue</w:t>
      </w:r>
      <w:r w:rsidR="00E53422" w:rsidRPr="00BE0B32">
        <w:t xml:space="preserve">, see section </w:t>
      </w:r>
      <w:r w:rsidR="00E53422" w:rsidRPr="00BE0B32">
        <w:fldChar w:fldCharType="begin"/>
      </w:r>
      <w:r w:rsidR="00E53422" w:rsidRPr="00BE0B32">
        <w:instrText xml:space="preserve"> REF _Ref222824984 \r \h </w:instrText>
      </w:r>
      <w:r w:rsidR="00C463AE" w:rsidRPr="008E7AE6">
        <w:instrText xml:space="preserve"> \* MERGEFORMAT </w:instrText>
      </w:r>
      <w:r w:rsidR="00E53422" w:rsidRPr="00BE0B32">
        <w:fldChar w:fldCharType="separate"/>
      </w:r>
      <w:r w:rsidR="00A50199">
        <w:t>6.2</w:t>
      </w:r>
      <w:r w:rsidR="00E53422" w:rsidRPr="00BE0B32">
        <w:fldChar w:fldCharType="end"/>
      </w:r>
      <w:r w:rsidR="00E53422" w:rsidRPr="00BE0B32">
        <w:t xml:space="preserve"> for further detail</w:t>
      </w:r>
      <w:r w:rsidR="009C5648" w:rsidRPr="00BE0B32">
        <w:t>)</w:t>
      </w:r>
      <w:r w:rsidR="0061164E" w:rsidRPr="00BE0B32">
        <w:t xml:space="preserve">. This is </w:t>
      </w:r>
      <w:r w:rsidR="00E53422" w:rsidRPr="00BE0B32">
        <w:t xml:space="preserve">significantly less complex than administering a percentage-based application fee for all renters participating in the scheme. </w:t>
      </w:r>
    </w:p>
    <w:p w14:paraId="5A8AC51F" w14:textId="412B7753" w:rsidR="008E3DC2" w:rsidRDefault="001402A9" w:rsidP="001F576E">
      <w:pPr>
        <w:pStyle w:val="DJCSbody"/>
        <w:ind w:left="0"/>
      </w:pPr>
      <w:r>
        <w:t>The debt recovery fee amount</w:t>
      </w:r>
      <w:r w:rsidR="007F434F">
        <w:t xml:space="preserve"> under </w:t>
      </w:r>
      <w:r>
        <w:t xml:space="preserve">each </w:t>
      </w:r>
      <w:r w:rsidR="004C1687">
        <w:t xml:space="preserve">option is </w:t>
      </w:r>
      <w:r>
        <w:t xml:space="preserve">dependent on the preferred </w:t>
      </w:r>
      <w:r w:rsidR="004C1687">
        <w:t>application fee amount</w:t>
      </w:r>
      <w:r w:rsidR="00D06F55">
        <w:t xml:space="preserve">. </w:t>
      </w:r>
      <w:r w:rsidR="00C85C90">
        <w:t xml:space="preserve">This is because the debt recovery fee will </w:t>
      </w:r>
      <w:r w:rsidR="001D6C5E">
        <w:t>need to recover costs over the same</w:t>
      </w:r>
      <w:r w:rsidR="00D06F55">
        <w:t xml:space="preserve"> </w:t>
      </w:r>
      <w:r w:rsidR="0000706D">
        <w:t xml:space="preserve">cost recovery </w:t>
      </w:r>
      <w:r w:rsidR="00D06F55">
        <w:t xml:space="preserve">timeframe </w:t>
      </w:r>
      <w:r w:rsidR="0000706D">
        <w:t>as</w:t>
      </w:r>
      <w:r w:rsidR="00D06F55">
        <w:t xml:space="preserve"> the preferred application fee</w:t>
      </w:r>
      <w:r w:rsidR="00303D1C">
        <w:t xml:space="preserve">. </w:t>
      </w:r>
      <w:r w:rsidR="004C1687">
        <w:t xml:space="preserve">Thus, for each debt recovery fee structure option, there are </w:t>
      </w:r>
      <w:r w:rsidR="00E67953">
        <w:t>3</w:t>
      </w:r>
      <w:r w:rsidR="00647EEB">
        <w:t xml:space="preserve"> </w:t>
      </w:r>
      <w:r w:rsidR="00052B78">
        <w:t xml:space="preserve">different potential fee </w:t>
      </w:r>
      <w:r w:rsidR="00052B78">
        <w:lastRenderedPageBreak/>
        <w:t xml:space="preserve">amounts that could occur under that fee structure. </w:t>
      </w:r>
      <w:r w:rsidR="0083359E">
        <w:t xml:space="preserve">The </w:t>
      </w:r>
      <w:r w:rsidR="00E67953">
        <w:t xml:space="preserve">4 </w:t>
      </w:r>
      <w:r w:rsidR="00130A4B">
        <w:t>debt recovery fee options and the</w:t>
      </w:r>
      <w:r w:rsidR="006936A9">
        <w:t xml:space="preserve">ir </w:t>
      </w:r>
      <w:r w:rsidR="00D74D04">
        <w:t xml:space="preserve">respective </w:t>
      </w:r>
      <w:r w:rsidR="006936A9">
        <w:t xml:space="preserve">fee </w:t>
      </w:r>
      <w:r w:rsidR="00130A4B">
        <w:t>amounts are summarised</w:t>
      </w:r>
      <w:r w:rsidR="006936A9">
        <w:t xml:space="preserve"> in table at the end of this subchapter</w:t>
      </w:r>
      <w:r w:rsidR="002C447E">
        <w:t>.</w:t>
      </w:r>
    </w:p>
    <w:p w14:paraId="3612064C" w14:textId="77994FAD" w:rsidR="002D1DC2" w:rsidRDefault="00263B8F" w:rsidP="001F576E">
      <w:pPr>
        <w:pStyle w:val="Heading4"/>
        <w:ind w:left="0"/>
      </w:pPr>
      <w:r>
        <w:t xml:space="preserve">Option </w:t>
      </w:r>
      <w:r w:rsidR="005C0891">
        <w:t>1</w:t>
      </w:r>
      <w:r w:rsidR="00E76061">
        <w:t xml:space="preserve">: </w:t>
      </w:r>
      <w:r w:rsidR="004C17E4">
        <w:t>Flat d</w:t>
      </w:r>
      <w:r w:rsidR="00C717E1">
        <w:t>ebt recovery fee for</w:t>
      </w:r>
      <w:r w:rsidR="00BB2044">
        <w:t xml:space="preserve"> all</w:t>
      </w:r>
      <w:r w:rsidR="00C717E1">
        <w:t xml:space="preserve"> </w:t>
      </w:r>
      <w:r w:rsidR="002224AA">
        <w:t>renter</w:t>
      </w:r>
      <w:r w:rsidR="00F94605">
        <w:t xml:space="preserve">s with overdue </w:t>
      </w:r>
      <w:r w:rsidR="0082425C">
        <w:t>debts</w:t>
      </w:r>
      <w:r w:rsidR="003E0BDE">
        <w:t xml:space="preserve"> </w:t>
      </w:r>
      <w:r w:rsidR="00AE2C5C">
        <w:t>(</w:t>
      </w:r>
      <w:r w:rsidR="00D42CD8">
        <w:t>start of stage</w:t>
      </w:r>
      <w:r w:rsidR="00AE2C5C">
        <w:t xml:space="preserve"> 1B)</w:t>
      </w:r>
    </w:p>
    <w:p w14:paraId="285D4F52" w14:textId="07BBB815" w:rsidR="00FA558C" w:rsidRDefault="00E76061" w:rsidP="001F576E">
      <w:pPr>
        <w:pStyle w:val="DJCSbody"/>
        <w:ind w:left="0"/>
      </w:pPr>
      <w:r>
        <w:t xml:space="preserve">Under </w:t>
      </w:r>
      <w:r w:rsidR="00265D8B">
        <w:t>this fee option</w:t>
      </w:r>
      <w:r>
        <w:t xml:space="preserve">, the </w:t>
      </w:r>
      <w:r w:rsidR="0039696E">
        <w:t>Government would prescribe</w:t>
      </w:r>
      <w:r w:rsidR="00ED7DC9">
        <w:t xml:space="preserve"> a</w:t>
      </w:r>
      <w:r w:rsidR="006F640A">
        <w:t xml:space="preserve"> flat</w:t>
      </w:r>
      <w:r w:rsidR="00ED7DC9">
        <w:t xml:space="preserve"> </w:t>
      </w:r>
      <w:r w:rsidR="00B45255">
        <w:t xml:space="preserve">debt recovery fee </w:t>
      </w:r>
      <w:r w:rsidR="00990DA8">
        <w:t>that is</w:t>
      </w:r>
      <w:r w:rsidR="002F06C3">
        <w:t xml:space="preserve"> </w:t>
      </w:r>
      <w:r w:rsidR="00FA558C" w:rsidRPr="00D858B3">
        <w:t xml:space="preserve">charged </w:t>
      </w:r>
      <w:r w:rsidR="0036526E">
        <w:t>to</w:t>
      </w:r>
      <w:r w:rsidR="00801F77">
        <w:t xml:space="preserve"> </w:t>
      </w:r>
      <w:r w:rsidR="00FA558C" w:rsidRPr="00D858B3">
        <w:t xml:space="preserve">renters </w:t>
      </w:r>
      <w:r w:rsidR="00FA558C">
        <w:t>who have an overdue debt</w:t>
      </w:r>
      <w:r w:rsidR="0040284A">
        <w:t xml:space="preserve">. </w:t>
      </w:r>
      <w:r w:rsidR="00377B83">
        <w:t>Specifically,</w:t>
      </w:r>
      <w:r w:rsidR="00FA558C">
        <w:t xml:space="preserve"> </w:t>
      </w:r>
      <w:r w:rsidR="0036526E">
        <w:t xml:space="preserve">the fee would be payable by </w:t>
      </w:r>
      <w:r w:rsidR="00FA558C" w:rsidRPr="006C1974">
        <w:t xml:space="preserve">those </w:t>
      </w:r>
      <w:r w:rsidR="00FA558C">
        <w:t>who</w:t>
      </w:r>
      <w:r w:rsidR="005A7D63">
        <w:t xml:space="preserve"> have not paid their debt</w:t>
      </w:r>
      <w:r w:rsidR="00801F77">
        <w:t xml:space="preserve"> by the due date</w:t>
      </w:r>
      <w:r w:rsidR="00021C2E">
        <w:t xml:space="preserve"> specified in their invoice</w:t>
      </w:r>
      <w:r w:rsidR="00224220">
        <w:t xml:space="preserve">. </w:t>
      </w:r>
      <w:r w:rsidR="0036526E">
        <w:t xml:space="preserve">This aligns with </w:t>
      </w:r>
      <w:r w:rsidR="00E4715C">
        <w:t>the start of the internal debt recovery period (</w:t>
      </w:r>
      <w:r w:rsidR="00E53F86">
        <w:t xml:space="preserve">start of </w:t>
      </w:r>
      <w:r w:rsidR="00021C2E">
        <w:t>s</w:t>
      </w:r>
      <w:r w:rsidR="00E4715C">
        <w:t>tage 1B)</w:t>
      </w:r>
      <w:r w:rsidR="0036526E">
        <w:t xml:space="preserve"> in the debt management process</w:t>
      </w:r>
      <w:r w:rsidR="00BF2DDF">
        <w:t xml:space="preserve">. </w:t>
      </w:r>
      <w:r w:rsidR="001A7126">
        <w:t xml:space="preserve">All renters </w:t>
      </w:r>
      <w:r w:rsidR="00602123">
        <w:t xml:space="preserve">owing an overdue debt </w:t>
      </w:r>
      <w:r w:rsidR="001A7126">
        <w:t>would be required to pay this fee</w:t>
      </w:r>
      <w:r w:rsidR="006F2190">
        <w:t xml:space="preserve">, regardless of whether </w:t>
      </w:r>
      <w:r w:rsidR="00602123">
        <w:t xml:space="preserve">they </w:t>
      </w:r>
      <w:r w:rsidR="00230630">
        <w:t>repay their</w:t>
      </w:r>
      <w:r w:rsidR="006F2190">
        <w:t xml:space="preserve"> debt </w:t>
      </w:r>
      <w:r w:rsidR="00BF2DDF">
        <w:t>with</w:t>
      </w:r>
      <w:r w:rsidR="006F2190">
        <w:t xml:space="preserve">in the internal debt recovery period </w:t>
      </w:r>
      <w:r w:rsidR="00BF2DDF">
        <w:t>(</w:t>
      </w:r>
      <w:r w:rsidR="00021C2E">
        <w:t>s</w:t>
      </w:r>
      <w:r w:rsidR="00BF2DDF">
        <w:t xml:space="preserve">tage 1B) </w:t>
      </w:r>
      <w:r w:rsidR="006F2190">
        <w:t xml:space="preserve">or </w:t>
      </w:r>
      <w:r w:rsidR="00230630">
        <w:t>whether</w:t>
      </w:r>
      <w:r w:rsidR="006F2190">
        <w:t xml:space="preserve"> it is referred to an external </w:t>
      </w:r>
      <w:r w:rsidR="003E50D7">
        <w:t>DCA</w:t>
      </w:r>
      <w:r w:rsidR="006F2190">
        <w:t>.</w:t>
      </w:r>
    </w:p>
    <w:p w14:paraId="0516F7A4" w14:textId="3C6F1D08" w:rsidR="00771001" w:rsidRDefault="001059B9" w:rsidP="001F576E">
      <w:pPr>
        <w:pStyle w:val="Heading4"/>
        <w:ind w:left="0"/>
      </w:pPr>
      <w:r>
        <w:t xml:space="preserve">Option </w:t>
      </w:r>
      <w:r w:rsidR="00BB2044">
        <w:t>2</w:t>
      </w:r>
      <w:r>
        <w:t xml:space="preserve">: </w:t>
      </w:r>
      <w:r w:rsidR="00E653DC">
        <w:t>P</w:t>
      </w:r>
      <w:r w:rsidR="00771001">
        <w:t>ercentage-based debt recovery fee for all renters with overdue debts (</w:t>
      </w:r>
      <w:r w:rsidR="00FE5EFD">
        <w:t>start of stage 1B)</w:t>
      </w:r>
    </w:p>
    <w:p w14:paraId="41EEBE0F" w14:textId="3473549A" w:rsidR="00EF27E4" w:rsidRPr="009374AB" w:rsidRDefault="009374AB" w:rsidP="001F576E">
      <w:pPr>
        <w:pStyle w:val="DJCSbody"/>
        <w:ind w:left="0"/>
      </w:pPr>
      <w:r>
        <w:t>Under this fee option, the Government would prescribe</w:t>
      </w:r>
      <w:r w:rsidR="0040284A">
        <w:t xml:space="preserve"> a</w:t>
      </w:r>
      <w:r w:rsidR="00BF2DDF">
        <w:t xml:space="preserve"> percentage-based</w:t>
      </w:r>
      <w:r w:rsidR="00EF27E4">
        <w:t xml:space="preserve"> debt recovery fee </w:t>
      </w:r>
      <w:r w:rsidR="00D25C3A">
        <w:t>that is calculated as a percentage of the outstanding debt ow</w:t>
      </w:r>
      <w:r w:rsidR="00B02287">
        <w:t>ing</w:t>
      </w:r>
      <w:r w:rsidR="00680441">
        <w:t xml:space="preserve"> </w:t>
      </w:r>
      <w:r w:rsidR="00D25C3A">
        <w:t xml:space="preserve">to the Government. As in Option 1, this fee would be charged to renters who have an overdue debt. The fee would be charged to </w:t>
      </w:r>
      <w:r w:rsidR="001D05D1">
        <w:t>renters</w:t>
      </w:r>
      <w:r w:rsidR="00D25C3A">
        <w:t xml:space="preserve"> at the start of the internal debt recovery period (start of </w:t>
      </w:r>
      <w:r w:rsidR="00021C2E">
        <w:t>s</w:t>
      </w:r>
      <w:r w:rsidR="00D25C3A">
        <w:t>tage 1B) and all renters owing an overdue debt would be required to pay this fee, regardless of when their debt is eventually paid.</w:t>
      </w:r>
    </w:p>
    <w:p w14:paraId="4C0B0E7B" w14:textId="6FAC820E" w:rsidR="00DA026F" w:rsidRDefault="001059B9" w:rsidP="001F576E">
      <w:pPr>
        <w:pStyle w:val="Heading4"/>
        <w:ind w:left="0"/>
      </w:pPr>
      <w:r>
        <w:t xml:space="preserve">Option </w:t>
      </w:r>
      <w:r w:rsidR="00771001">
        <w:t>3</w:t>
      </w:r>
      <w:r>
        <w:t xml:space="preserve">: </w:t>
      </w:r>
      <w:r w:rsidR="004C17E4">
        <w:t xml:space="preserve">Flat </w:t>
      </w:r>
      <w:r w:rsidR="00564E45">
        <w:t>d</w:t>
      </w:r>
      <w:r w:rsidR="003145C3">
        <w:t xml:space="preserve">ebt recovery </w:t>
      </w:r>
      <w:r w:rsidR="00C717E1">
        <w:t>fee for</w:t>
      </w:r>
      <w:r w:rsidR="003145C3">
        <w:t xml:space="preserve"> </w:t>
      </w:r>
      <w:r w:rsidR="0082425C">
        <w:t xml:space="preserve">renters </w:t>
      </w:r>
      <w:r w:rsidR="006A3E1B">
        <w:t xml:space="preserve">who have a debt </w:t>
      </w:r>
      <w:r w:rsidR="00295545">
        <w:t>referred to an externa</w:t>
      </w:r>
      <w:r w:rsidR="00D300C1">
        <w:t xml:space="preserve">l </w:t>
      </w:r>
      <w:r w:rsidR="003E50D7">
        <w:t>DCA</w:t>
      </w:r>
      <w:r w:rsidR="00AE2C5C">
        <w:t xml:space="preserve"> (</w:t>
      </w:r>
      <w:r w:rsidR="00954186">
        <w:t>end of stage 1B</w:t>
      </w:r>
      <w:r w:rsidR="00AE2C5C">
        <w:t>)</w:t>
      </w:r>
    </w:p>
    <w:p w14:paraId="3B25D70D" w14:textId="2D57D485" w:rsidR="00B8680E" w:rsidRDefault="00C23135" w:rsidP="001F576E">
      <w:pPr>
        <w:pStyle w:val="Body"/>
      </w:pPr>
      <w:r>
        <w:t xml:space="preserve">This option explores an alternative </w:t>
      </w:r>
      <w:r w:rsidR="00466FF2">
        <w:t xml:space="preserve">approach </w:t>
      </w:r>
      <w:r w:rsidR="00305CED">
        <w:t xml:space="preserve">for </w:t>
      </w:r>
      <w:r w:rsidR="009948CE">
        <w:t xml:space="preserve">the </w:t>
      </w:r>
      <w:r w:rsidR="00FC2C86">
        <w:t xml:space="preserve">timing of when a </w:t>
      </w:r>
      <w:r>
        <w:t>debt recovery fee</w:t>
      </w:r>
      <w:r w:rsidR="00FC2C86">
        <w:t xml:space="preserve"> would be payable.</w:t>
      </w:r>
      <w:r>
        <w:t xml:space="preserve"> </w:t>
      </w:r>
      <w:r w:rsidR="001059B9">
        <w:t>Under th</w:t>
      </w:r>
      <w:r w:rsidR="00E76CD4">
        <w:t>is</w:t>
      </w:r>
      <w:r w:rsidR="001059B9">
        <w:t xml:space="preserve"> </w:t>
      </w:r>
      <w:r w:rsidR="0066353D">
        <w:t xml:space="preserve">fee </w:t>
      </w:r>
      <w:r w:rsidR="00561F90">
        <w:t>option</w:t>
      </w:r>
      <w:r w:rsidR="001059B9">
        <w:t>, the Government would prescribe</w:t>
      </w:r>
      <w:r w:rsidR="00E37223">
        <w:t xml:space="preserve"> a flat </w:t>
      </w:r>
      <w:r w:rsidR="00743A7A">
        <w:t xml:space="preserve">debt recovery fee that is </w:t>
      </w:r>
      <w:r w:rsidR="00743A7A" w:rsidRPr="00D858B3">
        <w:t>charged o</w:t>
      </w:r>
      <w:r w:rsidR="00743A7A">
        <w:t>nly</w:t>
      </w:r>
      <w:r w:rsidR="00743A7A" w:rsidRPr="00D858B3">
        <w:t xml:space="preserve"> to </w:t>
      </w:r>
      <w:r w:rsidR="008F6798" w:rsidRPr="008F6798">
        <w:t xml:space="preserve">renters who have their debt referred to an external </w:t>
      </w:r>
      <w:r w:rsidR="003E50D7">
        <w:t>DCA</w:t>
      </w:r>
      <w:r w:rsidR="00532E88">
        <w:t xml:space="preserve"> (that is, </w:t>
      </w:r>
      <w:r w:rsidR="00E4715C">
        <w:t>at the end of the internal debt recovery period</w:t>
      </w:r>
      <w:r w:rsidR="00E45660">
        <w:t xml:space="preserve"> </w:t>
      </w:r>
      <w:r w:rsidR="00532E88">
        <w:t xml:space="preserve">or </w:t>
      </w:r>
      <w:r w:rsidR="00021C2E">
        <w:t>s</w:t>
      </w:r>
      <w:r w:rsidR="00E45660">
        <w:t>tage 1B</w:t>
      </w:r>
      <w:r w:rsidR="00532E88">
        <w:t>)</w:t>
      </w:r>
      <w:r w:rsidR="00B8680E">
        <w:t xml:space="preserve">. </w:t>
      </w:r>
      <w:r w:rsidR="004741DB">
        <w:t>R</w:t>
      </w:r>
      <w:r w:rsidR="00F07DE6">
        <w:t xml:space="preserve">enters who have outstanding debt </w:t>
      </w:r>
      <w:r w:rsidR="0073413D">
        <w:t xml:space="preserve">at the end of the internal debt recovery period would </w:t>
      </w:r>
      <w:r w:rsidR="00230630">
        <w:t xml:space="preserve">be required to pay this fee, </w:t>
      </w:r>
      <w:r w:rsidR="0073413D">
        <w:t xml:space="preserve">regardless of whether their debt is </w:t>
      </w:r>
      <w:r w:rsidR="00230630">
        <w:t xml:space="preserve">referred to an external </w:t>
      </w:r>
      <w:r w:rsidR="003E50D7">
        <w:t>DCA</w:t>
      </w:r>
      <w:r w:rsidR="00230630">
        <w:t xml:space="preserve">.  </w:t>
      </w:r>
    </w:p>
    <w:p w14:paraId="3ACEF2A6" w14:textId="5EC9F017" w:rsidR="00BB2044" w:rsidRDefault="00BB2044" w:rsidP="001F576E">
      <w:pPr>
        <w:pStyle w:val="Heading4"/>
        <w:ind w:left="0"/>
      </w:pPr>
      <w:r>
        <w:t xml:space="preserve">Option </w:t>
      </w:r>
      <w:r w:rsidR="00771001">
        <w:t>4</w:t>
      </w:r>
      <w:r>
        <w:t xml:space="preserve">: </w:t>
      </w:r>
      <w:r w:rsidR="00954186">
        <w:t>P</w:t>
      </w:r>
      <w:r w:rsidR="00B61358">
        <w:t xml:space="preserve">ercentage-based debt recovery fee for renters who have a debt referred to an external </w:t>
      </w:r>
      <w:r w:rsidR="003E50D7">
        <w:t xml:space="preserve">DCA </w:t>
      </w:r>
      <w:r w:rsidR="00B06B5D">
        <w:t>(</w:t>
      </w:r>
      <w:r w:rsidR="00954186">
        <w:t>end of stage 1B</w:t>
      </w:r>
      <w:r w:rsidR="00B06B5D">
        <w:t>)</w:t>
      </w:r>
    </w:p>
    <w:p w14:paraId="0EECD1CE" w14:textId="4C815373" w:rsidR="005211FE" w:rsidRDefault="00FB5D9E" w:rsidP="008E7AE6">
      <w:pPr>
        <w:pStyle w:val="DJCSbody"/>
        <w:ind w:left="0"/>
        <w:rPr>
          <w:rFonts w:eastAsia="MS Mincho" w:cstheme="majorBidi"/>
          <w:color w:val="16145F" w:themeColor="accent3"/>
        </w:rPr>
      </w:pPr>
      <w:r>
        <w:t>Under this fee option, the Government would prescribe</w:t>
      </w:r>
      <w:r w:rsidR="009C3ED1">
        <w:t xml:space="preserve"> a</w:t>
      </w:r>
      <w:r w:rsidR="001A4C82">
        <w:t xml:space="preserve"> </w:t>
      </w:r>
      <w:r w:rsidR="009C3ED1">
        <w:t xml:space="preserve">percentage-based </w:t>
      </w:r>
      <w:r w:rsidR="001A4C82">
        <w:t xml:space="preserve">debt recovery fee that is calculated as a percentage of the outstanding debt owing to the Government. As in Option </w:t>
      </w:r>
      <w:r w:rsidR="00D25C3A">
        <w:t>3</w:t>
      </w:r>
      <w:r w:rsidR="001A4C82">
        <w:t xml:space="preserve">, the fee would be charged only to renters who have their debt referred to an external </w:t>
      </w:r>
      <w:r w:rsidR="003E50D7">
        <w:t>DCA</w:t>
      </w:r>
      <w:r w:rsidR="00B06B5D">
        <w:t xml:space="preserve"> (</w:t>
      </w:r>
      <w:r w:rsidR="009C3ED1">
        <w:t xml:space="preserve">at the end of </w:t>
      </w:r>
      <w:r w:rsidR="00B06B5D">
        <w:t xml:space="preserve">Stage </w:t>
      </w:r>
      <w:r w:rsidR="009C3ED1">
        <w:t>1B</w:t>
      </w:r>
      <w:r w:rsidR="00B06B5D">
        <w:t>)</w:t>
      </w:r>
      <w:r w:rsidR="001A4C82">
        <w:t xml:space="preserve">. </w:t>
      </w:r>
    </w:p>
    <w:p w14:paraId="381C740D" w14:textId="77777777" w:rsidR="006736D1" w:rsidRPr="006736D1" w:rsidRDefault="002C447E" w:rsidP="006736D1">
      <w:pPr>
        <w:pStyle w:val="Heading4"/>
        <w:ind w:left="0"/>
      </w:pPr>
      <w:r>
        <w:t xml:space="preserve">Summary of </w:t>
      </w:r>
      <w:r w:rsidR="006736D1" w:rsidRPr="006736D1">
        <w:t xml:space="preserve">the fee amounts of </w:t>
      </w:r>
      <w:r>
        <w:t>debt recovery fee options</w:t>
      </w:r>
      <w:r w:rsidR="006736D1" w:rsidRPr="006736D1">
        <w:t>, according to application fee level</w:t>
      </w:r>
    </w:p>
    <w:p w14:paraId="495B6AB8" w14:textId="58128EE1" w:rsidR="001402A9" w:rsidRPr="001402A9" w:rsidRDefault="00D74D04" w:rsidP="00BE5ED9">
      <w:pPr>
        <w:pStyle w:val="DJCSbody"/>
        <w:ind w:left="0"/>
      </w:pPr>
      <w:r>
        <w:t xml:space="preserve">As discussed at the start of this subchapter, the below table outlines the different debt recovery fee amounts that could occur under each debt recovery fee structure option, depending on what the preferred application fee level is. </w:t>
      </w:r>
    </w:p>
    <w:p w14:paraId="6E2D09F7" w14:textId="01C20FC7" w:rsidR="00C60558" w:rsidRDefault="00C60558" w:rsidP="00BE5ED9">
      <w:pPr>
        <w:pStyle w:val="Caption"/>
        <w:keepNext/>
      </w:pPr>
      <w:r>
        <w:t xml:space="preserve">Table </w:t>
      </w:r>
      <w:r>
        <w:fldChar w:fldCharType="begin"/>
      </w:r>
      <w:r>
        <w:instrText xml:space="preserve"> SEQ Table \* ARABIC </w:instrText>
      </w:r>
      <w:r>
        <w:fldChar w:fldCharType="separate"/>
      </w:r>
      <w:r w:rsidR="00A50199">
        <w:rPr>
          <w:noProof/>
        </w:rPr>
        <w:t>8</w:t>
      </w:r>
      <w:r>
        <w:fldChar w:fldCharType="end"/>
      </w:r>
      <w:r w:rsidRPr="00496FAE">
        <w:t>: Summary of the fee amounts of debt recovery fee options, according to application fee level</w:t>
      </w:r>
    </w:p>
    <w:tbl>
      <w:tblPr>
        <w:tblStyle w:val="TableGridLight"/>
        <w:tblW w:w="10627" w:type="dxa"/>
        <w:tblLayout w:type="fixed"/>
        <w:tblLook w:val="04A0" w:firstRow="1" w:lastRow="0" w:firstColumn="1" w:lastColumn="0" w:noHBand="0" w:noVBand="1"/>
      </w:tblPr>
      <w:tblGrid>
        <w:gridCol w:w="1413"/>
        <w:gridCol w:w="1134"/>
        <w:gridCol w:w="1417"/>
        <w:gridCol w:w="1134"/>
        <w:gridCol w:w="1418"/>
        <w:gridCol w:w="1417"/>
        <w:gridCol w:w="1418"/>
        <w:gridCol w:w="1276"/>
      </w:tblGrid>
      <w:tr w:rsidR="0091519E" w14:paraId="61785FE8" w14:textId="77777777" w:rsidTr="00BE5ED9">
        <w:tc>
          <w:tcPr>
            <w:tcW w:w="2547" w:type="dxa"/>
            <w:gridSpan w:val="2"/>
            <w:shd w:val="clear" w:color="auto" w:fill="16145F" w:themeFill="text2"/>
          </w:tcPr>
          <w:p w14:paraId="71AA21E6" w14:textId="77777777" w:rsidR="001D666A" w:rsidRPr="00BE5ED9" w:rsidRDefault="001D666A" w:rsidP="001D666A">
            <w:pPr>
              <w:pStyle w:val="DJCSbody"/>
              <w:ind w:left="0"/>
              <w:jc w:val="center"/>
              <w:rPr>
                <w:b/>
              </w:rPr>
            </w:pPr>
            <w:r w:rsidRPr="00BE5ED9">
              <w:rPr>
                <w:b/>
              </w:rPr>
              <w:t xml:space="preserve">Option 1: </w:t>
            </w:r>
          </w:p>
          <w:p w14:paraId="1E5A25FC" w14:textId="65AE7ACE" w:rsidR="001D666A" w:rsidRPr="00BE5ED9" w:rsidRDefault="001D666A" w:rsidP="00BE5ED9">
            <w:pPr>
              <w:pStyle w:val="DJCSbody"/>
              <w:ind w:left="0"/>
              <w:jc w:val="center"/>
              <w:rPr>
                <w:b/>
              </w:rPr>
            </w:pPr>
            <w:r w:rsidRPr="00BE5ED9">
              <w:rPr>
                <w:b/>
              </w:rPr>
              <w:t>Flat debt recovery fee for all renters with overdue debts (start of stage 1B)</w:t>
            </w:r>
          </w:p>
        </w:tc>
        <w:tc>
          <w:tcPr>
            <w:tcW w:w="2551" w:type="dxa"/>
            <w:gridSpan w:val="2"/>
            <w:shd w:val="clear" w:color="auto" w:fill="16145F" w:themeFill="text2"/>
          </w:tcPr>
          <w:p w14:paraId="5C50DD1C" w14:textId="77777777" w:rsidR="001D666A" w:rsidRPr="00BE5ED9" w:rsidRDefault="001D666A" w:rsidP="001D666A">
            <w:pPr>
              <w:pStyle w:val="DJCSbody"/>
              <w:ind w:left="0"/>
              <w:jc w:val="center"/>
              <w:rPr>
                <w:b/>
              </w:rPr>
            </w:pPr>
            <w:r w:rsidRPr="00BE5ED9">
              <w:rPr>
                <w:b/>
              </w:rPr>
              <w:t xml:space="preserve">Option 2: </w:t>
            </w:r>
          </w:p>
          <w:p w14:paraId="79022A61" w14:textId="641BF4DF" w:rsidR="001D666A" w:rsidRPr="00BE5ED9" w:rsidRDefault="001D666A" w:rsidP="00BE5ED9">
            <w:pPr>
              <w:pStyle w:val="DJCSbody"/>
              <w:ind w:left="0"/>
              <w:jc w:val="center"/>
              <w:rPr>
                <w:b/>
              </w:rPr>
            </w:pPr>
            <w:r w:rsidRPr="00BE5ED9">
              <w:rPr>
                <w:b/>
              </w:rPr>
              <w:t>Percentage-based debt recovery fee for all renters with overdue debts (start of stage 1B)</w:t>
            </w:r>
          </w:p>
        </w:tc>
        <w:tc>
          <w:tcPr>
            <w:tcW w:w="2835" w:type="dxa"/>
            <w:gridSpan w:val="2"/>
            <w:shd w:val="clear" w:color="auto" w:fill="16145F" w:themeFill="text2"/>
          </w:tcPr>
          <w:p w14:paraId="50561BCD" w14:textId="77777777" w:rsidR="001D666A" w:rsidRPr="00BE5ED9" w:rsidRDefault="001D666A" w:rsidP="001D666A">
            <w:pPr>
              <w:pStyle w:val="DJCSbody"/>
              <w:ind w:left="0"/>
              <w:jc w:val="center"/>
              <w:rPr>
                <w:b/>
              </w:rPr>
            </w:pPr>
            <w:r w:rsidRPr="00BE5ED9">
              <w:rPr>
                <w:b/>
              </w:rPr>
              <w:t xml:space="preserve">Option 3: </w:t>
            </w:r>
          </w:p>
          <w:p w14:paraId="7D0F7573" w14:textId="075B303C" w:rsidR="001D666A" w:rsidRPr="00BE5ED9" w:rsidRDefault="001D666A" w:rsidP="00BE5ED9">
            <w:pPr>
              <w:pStyle w:val="DJCSbody"/>
              <w:ind w:left="0"/>
              <w:jc w:val="center"/>
              <w:rPr>
                <w:b/>
              </w:rPr>
            </w:pPr>
            <w:r w:rsidRPr="00BE5ED9">
              <w:rPr>
                <w:b/>
              </w:rPr>
              <w:t>Flat debt recovery fee for renters who have a debt referred to an external DCA (end of stage 1B)</w:t>
            </w:r>
          </w:p>
        </w:tc>
        <w:tc>
          <w:tcPr>
            <w:tcW w:w="2694" w:type="dxa"/>
            <w:gridSpan w:val="2"/>
            <w:shd w:val="clear" w:color="auto" w:fill="16145F" w:themeFill="text2"/>
          </w:tcPr>
          <w:p w14:paraId="04D09506" w14:textId="77777777" w:rsidR="001D666A" w:rsidRPr="00BE5ED9" w:rsidRDefault="001D666A" w:rsidP="001D666A">
            <w:pPr>
              <w:pStyle w:val="DJCSbody"/>
              <w:ind w:left="0"/>
              <w:jc w:val="center"/>
              <w:rPr>
                <w:b/>
              </w:rPr>
            </w:pPr>
            <w:r w:rsidRPr="00BE5ED9">
              <w:rPr>
                <w:b/>
              </w:rPr>
              <w:t xml:space="preserve">Option 4: </w:t>
            </w:r>
          </w:p>
          <w:p w14:paraId="5503F711" w14:textId="31AE3FC1" w:rsidR="001D666A" w:rsidRPr="00BE5ED9" w:rsidRDefault="001D666A" w:rsidP="00BE5ED9">
            <w:pPr>
              <w:pStyle w:val="DJCSbody"/>
              <w:ind w:left="0"/>
              <w:jc w:val="center"/>
              <w:rPr>
                <w:b/>
              </w:rPr>
            </w:pPr>
            <w:r w:rsidRPr="00BE5ED9">
              <w:rPr>
                <w:b/>
              </w:rPr>
              <w:t>Percentage-based debt recovery fee for renters who have a debt referred to an external DCA (end of stage 1B)</w:t>
            </w:r>
          </w:p>
        </w:tc>
      </w:tr>
      <w:tr w:rsidR="0091519E" w14:paraId="15790E80" w14:textId="77777777" w:rsidTr="0091519E">
        <w:tc>
          <w:tcPr>
            <w:tcW w:w="1413" w:type="dxa"/>
            <w:shd w:val="clear" w:color="auto" w:fill="F2F2F2" w:themeFill="background1" w:themeFillShade="F2"/>
            <w:vAlign w:val="center"/>
          </w:tcPr>
          <w:p w14:paraId="330FDC49" w14:textId="186B5220" w:rsidR="001D666A" w:rsidRDefault="005211FE" w:rsidP="00BE5ED9">
            <w:pPr>
              <w:pStyle w:val="DJCSbody"/>
              <w:ind w:left="0"/>
              <w:jc w:val="center"/>
            </w:pPr>
            <w:r>
              <w:t xml:space="preserve">Application fee </w:t>
            </w:r>
          </w:p>
        </w:tc>
        <w:tc>
          <w:tcPr>
            <w:tcW w:w="1134" w:type="dxa"/>
            <w:shd w:val="clear" w:color="auto" w:fill="F2F2F2" w:themeFill="background1" w:themeFillShade="F2"/>
            <w:vAlign w:val="center"/>
          </w:tcPr>
          <w:p w14:paraId="0282A5F4" w14:textId="683A45F4" w:rsidR="001D666A" w:rsidRDefault="005211FE" w:rsidP="00BE5ED9">
            <w:pPr>
              <w:pStyle w:val="DJCSbody"/>
              <w:ind w:left="0"/>
              <w:jc w:val="center"/>
            </w:pPr>
            <w:r>
              <w:t xml:space="preserve">Debt recovery fee </w:t>
            </w:r>
          </w:p>
        </w:tc>
        <w:tc>
          <w:tcPr>
            <w:tcW w:w="1417" w:type="dxa"/>
            <w:vAlign w:val="center"/>
          </w:tcPr>
          <w:p w14:paraId="6925356A" w14:textId="1E9A818D" w:rsidR="001D666A" w:rsidRDefault="005211FE" w:rsidP="00BE5ED9">
            <w:pPr>
              <w:pStyle w:val="DJCSbody"/>
              <w:ind w:left="0"/>
              <w:jc w:val="center"/>
            </w:pPr>
            <w:r>
              <w:t>Application fee</w:t>
            </w:r>
          </w:p>
        </w:tc>
        <w:tc>
          <w:tcPr>
            <w:tcW w:w="1134" w:type="dxa"/>
            <w:vAlign w:val="center"/>
          </w:tcPr>
          <w:p w14:paraId="537F110E" w14:textId="2868C4E2" w:rsidR="001D666A" w:rsidRDefault="005211FE" w:rsidP="00BE5ED9">
            <w:pPr>
              <w:pStyle w:val="DJCSbody"/>
              <w:ind w:left="0"/>
              <w:jc w:val="center"/>
            </w:pPr>
            <w:r>
              <w:t>Debt recovery fee</w:t>
            </w:r>
          </w:p>
        </w:tc>
        <w:tc>
          <w:tcPr>
            <w:tcW w:w="1418" w:type="dxa"/>
            <w:shd w:val="clear" w:color="auto" w:fill="F2F2F2" w:themeFill="background1" w:themeFillShade="F2"/>
            <w:vAlign w:val="center"/>
          </w:tcPr>
          <w:p w14:paraId="4CBE25FE" w14:textId="5655D097" w:rsidR="001D666A" w:rsidRDefault="005211FE" w:rsidP="00BE5ED9">
            <w:pPr>
              <w:pStyle w:val="DJCSbody"/>
              <w:ind w:left="0"/>
              <w:jc w:val="center"/>
            </w:pPr>
            <w:r>
              <w:t>Application fee</w:t>
            </w:r>
          </w:p>
        </w:tc>
        <w:tc>
          <w:tcPr>
            <w:tcW w:w="1417" w:type="dxa"/>
            <w:shd w:val="clear" w:color="auto" w:fill="F2F2F2" w:themeFill="background1" w:themeFillShade="F2"/>
            <w:vAlign w:val="center"/>
          </w:tcPr>
          <w:p w14:paraId="35C46E4C" w14:textId="35301D6D" w:rsidR="001D666A" w:rsidRDefault="005211FE" w:rsidP="00BE5ED9">
            <w:pPr>
              <w:pStyle w:val="DJCSbody"/>
              <w:ind w:left="0"/>
              <w:jc w:val="center"/>
            </w:pPr>
            <w:r>
              <w:t>Debt recovery fee</w:t>
            </w:r>
          </w:p>
        </w:tc>
        <w:tc>
          <w:tcPr>
            <w:tcW w:w="1418" w:type="dxa"/>
            <w:vAlign w:val="center"/>
          </w:tcPr>
          <w:p w14:paraId="4BC81819" w14:textId="11E5C002" w:rsidR="001D666A" w:rsidRDefault="005211FE" w:rsidP="00BE5ED9">
            <w:pPr>
              <w:pStyle w:val="DJCSbody"/>
              <w:ind w:left="0"/>
              <w:jc w:val="center"/>
            </w:pPr>
            <w:r>
              <w:t>Application fee</w:t>
            </w:r>
          </w:p>
        </w:tc>
        <w:tc>
          <w:tcPr>
            <w:tcW w:w="1276" w:type="dxa"/>
            <w:vAlign w:val="center"/>
          </w:tcPr>
          <w:p w14:paraId="565163A7" w14:textId="3603C54C" w:rsidR="001D666A" w:rsidRDefault="005211FE" w:rsidP="00BE5ED9">
            <w:pPr>
              <w:pStyle w:val="DJCSbody"/>
              <w:ind w:left="0"/>
              <w:jc w:val="center"/>
            </w:pPr>
            <w:r>
              <w:t>Debt recovery fee</w:t>
            </w:r>
          </w:p>
        </w:tc>
      </w:tr>
      <w:tr w:rsidR="0091519E" w14:paraId="486D6A04" w14:textId="77777777" w:rsidTr="0091519E">
        <w:tc>
          <w:tcPr>
            <w:tcW w:w="1413" w:type="dxa"/>
            <w:shd w:val="clear" w:color="auto" w:fill="F2F2F2" w:themeFill="background1" w:themeFillShade="F2"/>
          </w:tcPr>
          <w:p w14:paraId="5142BAD6" w14:textId="6101FD69" w:rsidR="001D666A" w:rsidRDefault="005211FE" w:rsidP="00BE5ED9">
            <w:pPr>
              <w:pStyle w:val="DJCSbody"/>
              <w:ind w:left="0"/>
              <w:jc w:val="center"/>
            </w:pPr>
            <w:r>
              <w:lastRenderedPageBreak/>
              <w:t>$35</w:t>
            </w:r>
          </w:p>
        </w:tc>
        <w:tc>
          <w:tcPr>
            <w:tcW w:w="1134" w:type="dxa"/>
            <w:shd w:val="clear" w:color="auto" w:fill="F2F2F2" w:themeFill="background1" w:themeFillShade="F2"/>
          </w:tcPr>
          <w:p w14:paraId="080682E8" w14:textId="49B4D3C5" w:rsidR="001D666A" w:rsidRDefault="005211FE" w:rsidP="00BE5ED9">
            <w:pPr>
              <w:pStyle w:val="DJCSbody"/>
              <w:ind w:left="0"/>
              <w:jc w:val="center"/>
            </w:pPr>
            <w:r>
              <w:t>$12.</w:t>
            </w:r>
            <w:r w:rsidR="00696B9E">
              <w:t>80</w:t>
            </w:r>
          </w:p>
        </w:tc>
        <w:tc>
          <w:tcPr>
            <w:tcW w:w="1417" w:type="dxa"/>
          </w:tcPr>
          <w:p w14:paraId="7CD8A59D" w14:textId="2AF07623" w:rsidR="001D666A" w:rsidRDefault="00133785" w:rsidP="00BE5ED9">
            <w:pPr>
              <w:pStyle w:val="DJCSbody"/>
              <w:ind w:left="0"/>
              <w:jc w:val="center"/>
            </w:pPr>
            <w:r>
              <w:t>$35</w:t>
            </w:r>
          </w:p>
        </w:tc>
        <w:tc>
          <w:tcPr>
            <w:tcW w:w="1134" w:type="dxa"/>
          </w:tcPr>
          <w:p w14:paraId="1E56861A" w14:textId="0D89EA68" w:rsidR="001D666A" w:rsidRDefault="00133785" w:rsidP="00BE5ED9">
            <w:pPr>
              <w:pStyle w:val="DJCSbody"/>
              <w:ind w:left="0"/>
              <w:jc w:val="center"/>
            </w:pPr>
            <w:r>
              <w:t>0.</w:t>
            </w:r>
            <w:r w:rsidR="00D25561">
              <w:t>96</w:t>
            </w:r>
            <w:r>
              <w:t>%</w:t>
            </w:r>
          </w:p>
        </w:tc>
        <w:tc>
          <w:tcPr>
            <w:tcW w:w="1418" w:type="dxa"/>
            <w:shd w:val="clear" w:color="auto" w:fill="F2F2F2" w:themeFill="background1" w:themeFillShade="F2"/>
          </w:tcPr>
          <w:p w14:paraId="786355E7" w14:textId="17244DB0" w:rsidR="001D666A" w:rsidRDefault="00133785" w:rsidP="00BE5ED9">
            <w:pPr>
              <w:pStyle w:val="DJCSbody"/>
              <w:ind w:left="0"/>
              <w:jc w:val="center"/>
            </w:pPr>
            <w:r>
              <w:t>$35</w:t>
            </w:r>
          </w:p>
        </w:tc>
        <w:tc>
          <w:tcPr>
            <w:tcW w:w="1417" w:type="dxa"/>
            <w:shd w:val="clear" w:color="auto" w:fill="F2F2F2" w:themeFill="background1" w:themeFillShade="F2"/>
          </w:tcPr>
          <w:p w14:paraId="15E3838B" w14:textId="7EF25A3D" w:rsidR="001D666A" w:rsidRDefault="00133785" w:rsidP="00BE5ED9">
            <w:pPr>
              <w:pStyle w:val="DJCSbody"/>
              <w:ind w:left="0"/>
              <w:jc w:val="center"/>
            </w:pPr>
            <w:r>
              <w:t>$13.</w:t>
            </w:r>
            <w:r w:rsidR="00326CCB">
              <w:t>46</w:t>
            </w:r>
          </w:p>
        </w:tc>
        <w:tc>
          <w:tcPr>
            <w:tcW w:w="1418" w:type="dxa"/>
          </w:tcPr>
          <w:p w14:paraId="543A3274" w14:textId="1C212BA5" w:rsidR="001D666A" w:rsidRDefault="00133785" w:rsidP="00BE5ED9">
            <w:pPr>
              <w:pStyle w:val="DJCSbody"/>
              <w:ind w:left="0"/>
              <w:jc w:val="center"/>
            </w:pPr>
            <w:r>
              <w:t>$35</w:t>
            </w:r>
          </w:p>
        </w:tc>
        <w:tc>
          <w:tcPr>
            <w:tcW w:w="1276" w:type="dxa"/>
          </w:tcPr>
          <w:p w14:paraId="57AE6681" w14:textId="7AE217F9" w:rsidR="001D666A" w:rsidRDefault="00BC195F" w:rsidP="00BE5ED9">
            <w:pPr>
              <w:pStyle w:val="DJCSbody"/>
              <w:ind w:left="0"/>
              <w:jc w:val="center"/>
            </w:pPr>
            <w:r>
              <w:t>1.03</w:t>
            </w:r>
            <w:r w:rsidR="00133785">
              <w:t>%</w:t>
            </w:r>
          </w:p>
        </w:tc>
      </w:tr>
      <w:tr w:rsidR="0091519E" w14:paraId="795DD745" w14:textId="77777777" w:rsidTr="0091519E">
        <w:tc>
          <w:tcPr>
            <w:tcW w:w="1413" w:type="dxa"/>
            <w:shd w:val="clear" w:color="auto" w:fill="F2F2F2" w:themeFill="background1" w:themeFillShade="F2"/>
          </w:tcPr>
          <w:p w14:paraId="703ED32E" w14:textId="7492563B" w:rsidR="001D666A" w:rsidRDefault="005211FE" w:rsidP="00BE5ED9">
            <w:pPr>
              <w:pStyle w:val="DJCSbody"/>
              <w:ind w:left="0"/>
              <w:jc w:val="center"/>
            </w:pPr>
            <w:r>
              <w:t>$40</w:t>
            </w:r>
          </w:p>
        </w:tc>
        <w:tc>
          <w:tcPr>
            <w:tcW w:w="1134" w:type="dxa"/>
            <w:shd w:val="clear" w:color="auto" w:fill="F2F2F2" w:themeFill="background1" w:themeFillShade="F2"/>
          </w:tcPr>
          <w:p w14:paraId="353882EC" w14:textId="4EBEAC2F" w:rsidR="001D666A" w:rsidRDefault="005211FE" w:rsidP="00BE5ED9">
            <w:pPr>
              <w:pStyle w:val="DJCSbody"/>
              <w:ind w:left="0"/>
              <w:jc w:val="center"/>
            </w:pPr>
            <w:r>
              <w:t>$16.</w:t>
            </w:r>
            <w:r w:rsidR="00264A82">
              <w:t>65</w:t>
            </w:r>
          </w:p>
        </w:tc>
        <w:tc>
          <w:tcPr>
            <w:tcW w:w="1417" w:type="dxa"/>
          </w:tcPr>
          <w:p w14:paraId="54037146" w14:textId="63FC67A0" w:rsidR="001D666A" w:rsidRDefault="00133785" w:rsidP="00BE5ED9">
            <w:pPr>
              <w:pStyle w:val="DJCSbody"/>
              <w:ind w:left="0"/>
              <w:jc w:val="center"/>
            </w:pPr>
            <w:r>
              <w:t>$40</w:t>
            </w:r>
          </w:p>
        </w:tc>
        <w:tc>
          <w:tcPr>
            <w:tcW w:w="1134" w:type="dxa"/>
          </w:tcPr>
          <w:p w14:paraId="231D6698" w14:textId="524EBE8A" w:rsidR="001D666A" w:rsidRDefault="00133785" w:rsidP="00BE5ED9">
            <w:pPr>
              <w:pStyle w:val="DJCSbody"/>
              <w:ind w:left="0"/>
              <w:jc w:val="center"/>
            </w:pPr>
            <w:r>
              <w:t>1.</w:t>
            </w:r>
            <w:r w:rsidR="00352D3A">
              <w:t>30</w:t>
            </w:r>
            <w:r>
              <w:t>%</w:t>
            </w:r>
          </w:p>
        </w:tc>
        <w:tc>
          <w:tcPr>
            <w:tcW w:w="1418" w:type="dxa"/>
            <w:shd w:val="clear" w:color="auto" w:fill="F2F2F2" w:themeFill="background1" w:themeFillShade="F2"/>
          </w:tcPr>
          <w:p w14:paraId="39F598BB" w14:textId="334B8FB8" w:rsidR="001D666A" w:rsidRDefault="00133785" w:rsidP="00BE5ED9">
            <w:pPr>
              <w:pStyle w:val="DJCSbody"/>
              <w:ind w:left="0"/>
              <w:jc w:val="center"/>
            </w:pPr>
            <w:r>
              <w:t>$40</w:t>
            </w:r>
          </w:p>
        </w:tc>
        <w:tc>
          <w:tcPr>
            <w:tcW w:w="1417" w:type="dxa"/>
            <w:shd w:val="clear" w:color="auto" w:fill="F2F2F2" w:themeFill="background1" w:themeFillShade="F2"/>
          </w:tcPr>
          <w:p w14:paraId="1DF10AAA" w14:textId="31F0A31A" w:rsidR="001D666A" w:rsidRDefault="00133785" w:rsidP="00BE5ED9">
            <w:pPr>
              <w:pStyle w:val="DJCSbody"/>
              <w:ind w:left="0"/>
              <w:jc w:val="center"/>
            </w:pPr>
            <w:r>
              <w:t>$17.</w:t>
            </w:r>
            <w:r w:rsidR="00326CCB">
              <w:t>94</w:t>
            </w:r>
          </w:p>
        </w:tc>
        <w:tc>
          <w:tcPr>
            <w:tcW w:w="1418" w:type="dxa"/>
          </w:tcPr>
          <w:p w14:paraId="4332CF3C" w14:textId="2D2BDC5D" w:rsidR="001D666A" w:rsidRDefault="00133785" w:rsidP="00BE5ED9">
            <w:pPr>
              <w:pStyle w:val="DJCSbody"/>
              <w:ind w:left="0"/>
              <w:jc w:val="center"/>
            </w:pPr>
            <w:r>
              <w:t>$40</w:t>
            </w:r>
          </w:p>
        </w:tc>
        <w:tc>
          <w:tcPr>
            <w:tcW w:w="1276" w:type="dxa"/>
          </w:tcPr>
          <w:p w14:paraId="0F450279" w14:textId="67DC7F8B" w:rsidR="001D666A" w:rsidRDefault="00133785" w:rsidP="00BE5ED9">
            <w:pPr>
              <w:pStyle w:val="DJCSbody"/>
              <w:ind w:left="0"/>
              <w:jc w:val="center"/>
            </w:pPr>
            <w:r>
              <w:t>1.</w:t>
            </w:r>
            <w:r w:rsidR="009E06BC">
              <w:t>40</w:t>
            </w:r>
            <w:r>
              <w:t>%</w:t>
            </w:r>
          </w:p>
        </w:tc>
      </w:tr>
      <w:tr w:rsidR="0091519E" w14:paraId="775009CE" w14:textId="77777777" w:rsidTr="0091519E">
        <w:tc>
          <w:tcPr>
            <w:tcW w:w="1413" w:type="dxa"/>
            <w:shd w:val="clear" w:color="auto" w:fill="F2F2F2" w:themeFill="background1" w:themeFillShade="F2"/>
          </w:tcPr>
          <w:p w14:paraId="768627C5" w14:textId="69EC0556" w:rsidR="001D666A" w:rsidRDefault="005211FE" w:rsidP="00BE5ED9">
            <w:pPr>
              <w:pStyle w:val="DJCSbody"/>
              <w:ind w:left="0"/>
              <w:jc w:val="center"/>
            </w:pPr>
            <w:r>
              <w:t>$45</w:t>
            </w:r>
          </w:p>
        </w:tc>
        <w:tc>
          <w:tcPr>
            <w:tcW w:w="1134" w:type="dxa"/>
            <w:shd w:val="clear" w:color="auto" w:fill="F2F2F2" w:themeFill="background1" w:themeFillShade="F2"/>
          </w:tcPr>
          <w:p w14:paraId="13B0A2AF" w14:textId="1115E2B9" w:rsidR="001D666A" w:rsidRDefault="005211FE" w:rsidP="00BE5ED9">
            <w:pPr>
              <w:pStyle w:val="DJCSbody"/>
              <w:ind w:left="0"/>
              <w:jc w:val="center"/>
            </w:pPr>
            <w:r>
              <w:t>$</w:t>
            </w:r>
            <w:r w:rsidR="00264A82">
              <w:t>21.26</w:t>
            </w:r>
          </w:p>
        </w:tc>
        <w:tc>
          <w:tcPr>
            <w:tcW w:w="1417" w:type="dxa"/>
          </w:tcPr>
          <w:p w14:paraId="7A5DDFA0" w14:textId="220DD08B" w:rsidR="001D666A" w:rsidRDefault="00133785" w:rsidP="00BE5ED9">
            <w:pPr>
              <w:pStyle w:val="DJCSbody"/>
              <w:ind w:left="0"/>
              <w:jc w:val="center"/>
            </w:pPr>
            <w:r>
              <w:t>$45</w:t>
            </w:r>
          </w:p>
        </w:tc>
        <w:tc>
          <w:tcPr>
            <w:tcW w:w="1134" w:type="dxa"/>
          </w:tcPr>
          <w:p w14:paraId="7E58E4F9" w14:textId="0FA783EA" w:rsidR="001D666A" w:rsidRDefault="00133785" w:rsidP="00BE5ED9">
            <w:pPr>
              <w:pStyle w:val="DJCSbody"/>
              <w:ind w:left="0"/>
              <w:jc w:val="center"/>
            </w:pPr>
            <w:r>
              <w:t>1.</w:t>
            </w:r>
            <w:r w:rsidR="003A0617">
              <w:t>6</w:t>
            </w:r>
            <w:r w:rsidR="00352D3A">
              <w:t>7</w:t>
            </w:r>
            <w:r>
              <w:t>%</w:t>
            </w:r>
          </w:p>
        </w:tc>
        <w:tc>
          <w:tcPr>
            <w:tcW w:w="1418" w:type="dxa"/>
            <w:shd w:val="clear" w:color="auto" w:fill="F2F2F2" w:themeFill="background1" w:themeFillShade="F2"/>
          </w:tcPr>
          <w:p w14:paraId="33551B5F" w14:textId="38E9EC91" w:rsidR="001D666A" w:rsidRDefault="00133785" w:rsidP="00BE5ED9">
            <w:pPr>
              <w:pStyle w:val="DJCSbody"/>
              <w:ind w:left="0"/>
              <w:jc w:val="center"/>
            </w:pPr>
            <w:r>
              <w:t>$45</w:t>
            </w:r>
          </w:p>
        </w:tc>
        <w:tc>
          <w:tcPr>
            <w:tcW w:w="1417" w:type="dxa"/>
            <w:shd w:val="clear" w:color="auto" w:fill="F2F2F2" w:themeFill="background1" w:themeFillShade="F2"/>
          </w:tcPr>
          <w:p w14:paraId="6307C92D" w14:textId="46303152" w:rsidR="001D666A" w:rsidRDefault="00133785" w:rsidP="00BE5ED9">
            <w:pPr>
              <w:pStyle w:val="DJCSbody"/>
              <w:ind w:left="0"/>
              <w:jc w:val="center"/>
            </w:pPr>
            <w:r>
              <w:t>$2</w:t>
            </w:r>
            <w:r w:rsidR="00326CCB">
              <w:t>3</w:t>
            </w:r>
            <w:r>
              <w:t>.0</w:t>
            </w:r>
            <w:r w:rsidR="00326CCB">
              <w:t>4</w:t>
            </w:r>
          </w:p>
        </w:tc>
        <w:tc>
          <w:tcPr>
            <w:tcW w:w="1418" w:type="dxa"/>
          </w:tcPr>
          <w:p w14:paraId="3CBDAFFF" w14:textId="698BF890" w:rsidR="001D666A" w:rsidRDefault="00133785" w:rsidP="00BE5ED9">
            <w:pPr>
              <w:pStyle w:val="DJCSbody"/>
              <w:ind w:left="0"/>
              <w:jc w:val="center"/>
            </w:pPr>
            <w:r>
              <w:t>$45</w:t>
            </w:r>
          </w:p>
        </w:tc>
        <w:tc>
          <w:tcPr>
            <w:tcW w:w="1276" w:type="dxa"/>
          </w:tcPr>
          <w:p w14:paraId="54158BA6" w14:textId="41E0FD84" w:rsidR="001D666A" w:rsidRDefault="00133785" w:rsidP="00BE5ED9">
            <w:pPr>
              <w:pStyle w:val="DJCSbody"/>
              <w:ind w:left="0"/>
              <w:jc w:val="center"/>
            </w:pPr>
            <w:r>
              <w:t>1.</w:t>
            </w:r>
            <w:r w:rsidR="009E06BC">
              <w:t>81</w:t>
            </w:r>
            <w:r>
              <w:t>%</w:t>
            </w:r>
          </w:p>
        </w:tc>
      </w:tr>
    </w:tbl>
    <w:p w14:paraId="69CA61C2" w14:textId="738899B1" w:rsidR="00485A28" w:rsidRDefault="00485A28" w:rsidP="008E7AE6">
      <w:pPr>
        <w:pStyle w:val="Body"/>
      </w:pPr>
      <w:r>
        <w:t xml:space="preserve">For options 1 and 3, which have flat fee levels, the </w:t>
      </w:r>
      <w:r w:rsidR="002A4F06">
        <w:t>fee units for the</w:t>
      </w:r>
      <w:r>
        <w:t xml:space="preserve"> debt recovery fee amounts are outlined below. </w:t>
      </w:r>
    </w:p>
    <w:p w14:paraId="0A2DEC30" w14:textId="212E4FF6" w:rsidR="00485A28" w:rsidRPr="008E7AE6" w:rsidRDefault="00485A28" w:rsidP="00485A28">
      <w:pPr>
        <w:pStyle w:val="Body"/>
        <w:rPr>
          <w:b/>
        </w:rPr>
      </w:pPr>
      <w:r w:rsidRPr="008E7AE6">
        <w:rPr>
          <w:b/>
        </w:rPr>
        <w:t>Option 1</w:t>
      </w:r>
    </w:p>
    <w:p w14:paraId="14D09340" w14:textId="624379A4" w:rsidR="00485A28" w:rsidRPr="0030579C" w:rsidRDefault="00B61407" w:rsidP="008E7AE6">
      <w:pPr>
        <w:pStyle w:val="DJCSbody"/>
        <w:numPr>
          <w:ilvl w:val="0"/>
          <w:numId w:val="181"/>
        </w:numPr>
      </w:pPr>
      <w:r>
        <w:t xml:space="preserve">For </w:t>
      </w:r>
      <w:r w:rsidR="00E84EED">
        <w:t>a</w:t>
      </w:r>
      <w:r>
        <w:t xml:space="preserve"> </w:t>
      </w:r>
      <w:r w:rsidR="00485A28" w:rsidRPr="0030579C">
        <w:t>$35 application fee</w:t>
      </w:r>
      <w:r w:rsidR="00485A28">
        <w:t>, the debt recovery fee is $12.80</w:t>
      </w:r>
      <w:r w:rsidR="00485A28" w:rsidRPr="0030579C">
        <w:t> </w:t>
      </w:r>
      <w:r w:rsidR="00485A28" w:rsidRPr="008A7889">
        <w:t>(</w:t>
      </w:r>
      <w:r>
        <w:t>0.76</w:t>
      </w:r>
      <w:r w:rsidR="00485A28" w:rsidRPr="008A7889">
        <w:t xml:space="preserve"> fee units)</w:t>
      </w:r>
      <w:r w:rsidR="00485A28" w:rsidRPr="0030579C">
        <w:t> </w:t>
      </w:r>
    </w:p>
    <w:p w14:paraId="46DA61A9" w14:textId="5403BB0D" w:rsidR="00B61407" w:rsidRPr="0030579C" w:rsidRDefault="00B61407" w:rsidP="008E7AE6">
      <w:pPr>
        <w:pStyle w:val="DJCSbody"/>
        <w:numPr>
          <w:ilvl w:val="0"/>
          <w:numId w:val="181"/>
        </w:numPr>
      </w:pPr>
      <w:r>
        <w:t xml:space="preserve">For </w:t>
      </w:r>
      <w:r w:rsidR="00E84EED">
        <w:t>a</w:t>
      </w:r>
      <w:r>
        <w:t xml:space="preserve"> </w:t>
      </w:r>
      <w:r w:rsidRPr="0030579C">
        <w:t>$</w:t>
      </w:r>
      <w:r>
        <w:t>40</w:t>
      </w:r>
      <w:r w:rsidRPr="0030579C">
        <w:t xml:space="preserve"> application fee</w:t>
      </w:r>
      <w:r>
        <w:t>, the debt recovery fee is $16.65</w:t>
      </w:r>
      <w:r w:rsidRPr="0030579C">
        <w:t> </w:t>
      </w:r>
      <w:r w:rsidRPr="008A7889">
        <w:t>(</w:t>
      </w:r>
      <w:r>
        <w:t xml:space="preserve">0.99 </w:t>
      </w:r>
      <w:r w:rsidRPr="008A7889">
        <w:t>fee units)</w:t>
      </w:r>
      <w:r w:rsidRPr="0030579C">
        <w:t> </w:t>
      </w:r>
    </w:p>
    <w:p w14:paraId="5C6D5655" w14:textId="24491598" w:rsidR="00B61407" w:rsidRPr="0030579C" w:rsidRDefault="00B61407" w:rsidP="008E7AE6">
      <w:pPr>
        <w:pStyle w:val="DJCSbody"/>
        <w:numPr>
          <w:ilvl w:val="0"/>
          <w:numId w:val="181"/>
        </w:numPr>
      </w:pPr>
      <w:r>
        <w:t xml:space="preserve">For </w:t>
      </w:r>
      <w:r w:rsidR="00E84EED">
        <w:t>a</w:t>
      </w:r>
      <w:r>
        <w:t xml:space="preserve"> </w:t>
      </w:r>
      <w:r w:rsidRPr="0030579C">
        <w:t>$</w:t>
      </w:r>
      <w:r>
        <w:t>45</w:t>
      </w:r>
      <w:r w:rsidRPr="0030579C">
        <w:t xml:space="preserve"> application fee</w:t>
      </w:r>
      <w:r>
        <w:t>, the debt recovery fee is $21.26</w:t>
      </w:r>
      <w:r w:rsidRPr="0030579C">
        <w:t> </w:t>
      </w:r>
      <w:r w:rsidRPr="008A7889">
        <w:t>(</w:t>
      </w:r>
      <w:r>
        <w:t xml:space="preserve">1.26 </w:t>
      </w:r>
      <w:r w:rsidRPr="008A7889">
        <w:t>fee units)</w:t>
      </w:r>
      <w:r w:rsidRPr="0030579C">
        <w:t> </w:t>
      </w:r>
    </w:p>
    <w:p w14:paraId="2760DDF2" w14:textId="65233A5F" w:rsidR="004D7A78" w:rsidRPr="008A7889" w:rsidRDefault="004D7A78" w:rsidP="004D7A78">
      <w:pPr>
        <w:pStyle w:val="Body"/>
        <w:rPr>
          <w:b/>
          <w:bCs/>
        </w:rPr>
      </w:pPr>
      <w:r w:rsidRPr="008A7889">
        <w:rPr>
          <w:b/>
          <w:bCs/>
        </w:rPr>
        <w:t xml:space="preserve">Option </w:t>
      </w:r>
      <w:r>
        <w:rPr>
          <w:b/>
          <w:bCs/>
        </w:rPr>
        <w:t>3</w:t>
      </w:r>
    </w:p>
    <w:p w14:paraId="4A2F4DBA" w14:textId="367E8530" w:rsidR="004D7A78" w:rsidRPr="0030579C" w:rsidRDefault="004D7A78" w:rsidP="004D7A78">
      <w:pPr>
        <w:pStyle w:val="DJCSbody"/>
        <w:numPr>
          <w:ilvl w:val="0"/>
          <w:numId w:val="180"/>
        </w:numPr>
      </w:pPr>
      <w:r>
        <w:t xml:space="preserve">For </w:t>
      </w:r>
      <w:r w:rsidR="00E84EED">
        <w:t>a</w:t>
      </w:r>
      <w:r>
        <w:t xml:space="preserve"> </w:t>
      </w:r>
      <w:r w:rsidRPr="0030579C">
        <w:t>$35 application fee</w:t>
      </w:r>
      <w:r>
        <w:t>, the debt recovery fee is $13.46</w:t>
      </w:r>
      <w:r w:rsidRPr="0030579C">
        <w:t> </w:t>
      </w:r>
      <w:r w:rsidRPr="008A7889">
        <w:t>(</w:t>
      </w:r>
      <w:r>
        <w:t xml:space="preserve">0.80 </w:t>
      </w:r>
      <w:r w:rsidRPr="008A7889">
        <w:t>fee units)</w:t>
      </w:r>
      <w:r w:rsidRPr="0030579C">
        <w:t> </w:t>
      </w:r>
    </w:p>
    <w:p w14:paraId="13C5B6FC" w14:textId="02A875FC" w:rsidR="004D7A78" w:rsidRPr="0030579C" w:rsidRDefault="004D7A78" w:rsidP="004D7A78">
      <w:pPr>
        <w:pStyle w:val="DJCSbody"/>
        <w:numPr>
          <w:ilvl w:val="0"/>
          <w:numId w:val="180"/>
        </w:numPr>
      </w:pPr>
      <w:r>
        <w:t xml:space="preserve">For </w:t>
      </w:r>
      <w:r w:rsidR="00E84EED">
        <w:t>a</w:t>
      </w:r>
      <w:r>
        <w:t xml:space="preserve"> </w:t>
      </w:r>
      <w:r w:rsidRPr="0030579C">
        <w:t>$</w:t>
      </w:r>
      <w:r>
        <w:t>40</w:t>
      </w:r>
      <w:r w:rsidRPr="0030579C">
        <w:t xml:space="preserve"> application fee</w:t>
      </w:r>
      <w:r>
        <w:t>, the debt recovery fee is $17.94</w:t>
      </w:r>
      <w:r w:rsidRPr="0030579C">
        <w:t> </w:t>
      </w:r>
      <w:r w:rsidRPr="008A7889">
        <w:t>(</w:t>
      </w:r>
      <w:r>
        <w:t xml:space="preserve">1.07 </w:t>
      </w:r>
      <w:r w:rsidRPr="008A7889">
        <w:t>fee units)</w:t>
      </w:r>
      <w:r w:rsidRPr="0030579C">
        <w:t> </w:t>
      </w:r>
    </w:p>
    <w:p w14:paraId="7A11DC04" w14:textId="4107C43E" w:rsidR="004D7A78" w:rsidRPr="0030579C" w:rsidRDefault="004D7A78" w:rsidP="008E7AE6">
      <w:pPr>
        <w:pStyle w:val="DJCSbody"/>
        <w:numPr>
          <w:ilvl w:val="0"/>
          <w:numId w:val="180"/>
        </w:numPr>
      </w:pPr>
      <w:r>
        <w:t xml:space="preserve">For </w:t>
      </w:r>
      <w:r w:rsidR="00E84EED">
        <w:t>a</w:t>
      </w:r>
      <w:r>
        <w:t xml:space="preserve"> </w:t>
      </w:r>
      <w:r w:rsidRPr="0030579C">
        <w:t>$</w:t>
      </w:r>
      <w:r>
        <w:t>45</w:t>
      </w:r>
      <w:r w:rsidRPr="0030579C">
        <w:t xml:space="preserve"> application fee</w:t>
      </w:r>
      <w:r>
        <w:t>, the debt recovery fee is $23.04</w:t>
      </w:r>
      <w:r w:rsidRPr="0030579C">
        <w:t> </w:t>
      </w:r>
      <w:r w:rsidRPr="008A7889">
        <w:t>(</w:t>
      </w:r>
      <w:r>
        <w:t xml:space="preserve">1.37 </w:t>
      </w:r>
      <w:r w:rsidRPr="008A7889">
        <w:t>fee units)</w:t>
      </w:r>
      <w:r w:rsidRPr="0030579C">
        <w:t> </w:t>
      </w:r>
    </w:p>
    <w:p w14:paraId="18F70249" w14:textId="43693C90" w:rsidR="006D02F5" w:rsidRDefault="006D02F5" w:rsidP="00CE370F">
      <w:pPr>
        <w:pStyle w:val="Heading3"/>
      </w:pPr>
      <w:r>
        <w:t>Options considered but not progressed</w:t>
      </w:r>
    </w:p>
    <w:p w14:paraId="58BC519C" w14:textId="77777777" w:rsidR="00457E92" w:rsidRDefault="00CE370F" w:rsidP="00CE370F">
      <w:pPr>
        <w:pStyle w:val="DJCSbody"/>
        <w:ind w:left="0"/>
      </w:pPr>
      <w:r>
        <w:t>The options above are those that have been progressed for assessment as part of this RIS. In developing these options, the Government also considered other alternative approaches for the debt recovery fee, but it was decided not to progress these options for various reasons</w:t>
      </w:r>
      <w:r w:rsidR="00457E92">
        <w:t xml:space="preserve"> discussed below</w:t>
      </w:r>
      <w:r>
        <w:t xml:space="preserve">. </w:t>
      </w:r>
    </w:p>
    <w:p w14:paraId="5FAE5C92" w14:textId="16BC8162" w:rsidR="00CE370F" w:rsidRDefault="00CE370F" w:rsidP="00CE370F">
      <w:pPr>
        <w:pStyle w:val="DJCSbody"/>
        <w:ind w:left="0"/>
      </w:pPr>
      <w:r>
        <w:t xml:space="preserve">The other options considered but not progressed included: </w:t>
      </w:r>
    </w:p>
    <w:p w14:paraId="3CE7C833" w14:textId="57E416E7" w:rsidR="00CE370F" w:rsidRDefault="00CE370F" w:rsidP="00CE370F">
      <w:pPr>
        <w:pStyle w:val="DJCSbody"/>
        <w:numPr>
          <w:ilvl w:val="0"/>
          <w:numId w:val="105"/>
        </w:numPr>
      </w:pPr>
      <w:r w:rsidRPr="0087570A">
        <w:t xml:space="preserve">No </w:t>
      </w:r>
      <w:r w:rsidR="00A15D2D">
        <w:t xml:space="preserve">prescribed </w:t>
      </w:r>
      <w:r w:rsidRPr="0087570A">
        <w:t xml:space="preserve">recovery fee </w:t>
      </w:r>
      <w:r w:rsidR="0081107E">
        <w:t>–</w:t>
      </w:r>
      <w:r w:rsidRPr="0087570A">
        <w:t xml:space="preserve"> </w:t>
      </w:r>
      <w:r w:rsidR="0081107E">
        <w:t>under this option, there would be no debt recovery fee prescribed</w:t>
      </w:r>
      <w:r w:rsidR="0056188D">
        <w:t xml:space="preserve">. </w:t>
      </w:r>
      <w:r w:rsidR="00805339">
        <w:t xml:space="preserve">While this may support </w:t>
      </w:r>
      <w:r w:rsidR="00C51F08">
        <w:t>the PRBS’ objectives of equity and preventing financial hardship</w:t>
      </w:r>
      <w:r w:rsidR="00D95348">
        <w:t xml:space="preserve"> (noting that people who fall into arrears are likely in financial hardship)</w:t>
      </w:r>
      <w:r w:rsidR="00C51F08">
        <w:t>, t</w:t>
      </w:r>
      <w:r w:rsidR="0056188D">
        <w:t xml:space="preserve">his was not considered a </w:t>
      </w:r>
      <w:r w:rsidR="00805339">
        <w:t xml:space="preserve">feasible option as </w:t>
      </w:r>
      <w:r w:rsidR="00956215">
        <w:t>Government</w:t>
      </w:r>
      <w:r w:rsidR="00805339">
        <w:t xml:space="preserve"> would have no mechanism to recover the costs of their internal debt recovery activities. </w:t>
      </w:r>
      <w:r w:rsidR="00D95348">
        <w:t xml:space="preserve">As discussed above under </w:t>
      </w:r>
      <w:r w:rsidR="00A24674">
        <w:t>Subchapter</w:t>
      </w:r>
      <w:r w:rsidR="00D95348">
        <w:t xml:space="preserve"> 4.3.3, recovering these costs through an application fee is also not a feasible option under the </w:t>
      </w:r>
      <w:r w:rsidR="00956215">
        <w:t>amended</w:t>
      </w:r>
      <w:r w:rsidR="00D95348">
        <w:t xml:space="preserve"> </w:t>
      </w:r>
      <w:r w:rsidR="00F544B5">
        <w:t>RT</w:t>
      </w:r>
      <w:r w:rsidR="00D95348">
        <w:t xml:space="preserve"> Act. </w:t>
      </w:r>
    </w:p>
    <w:p w14:paraId="61B04B1E" w14:textId="5A7D1C7A" w:rsidR="001A4C82" w:rsidRPr="009C3ED1" w:rsidRDefault="001C46BB" w:rsidP="001F576E">
      <w:pPr>
        <w:pStyle w:val="DJCSbody"/>
        <w:numPr>
          <w:ilvl w:val="0"/>
          <w:numId w:val="105"/>
        </w:numPr>
      </w:pPr>
      <w:r>
        <w:t>A</w:t>
      </w:r>
      <w:r w:rsidR="00CE370F" w:rsidRPr="0087570A">
        <w:t xml:space="preserve"> debt recovery fee per notice </w:t>
      </w:r>
      <w:r w:rsidR="00D95348">
        <w:t>– under this option, the</w:t>
      </w:r>
      <w:r>
        <w:t xml:space="preserve"> </w:t>
      </w:r>
      <w:r w:rsidR="00956215">
        <w:t>Government</w:t>
      </w:r>
      <w:r>
        <w:t xml:space="preserve"> would prescribe a separate debt recovery fee per notice issued. </w:t>
      </w:r>
      <w:r w:rsidR="00C461B5">
        <w:t>P</w:t>
      </w:r>
      <w:r>
        <w:t xml:space="preserve">rescribing multiple debt recovery fees is feasible under the </w:t>
      </w:r>
      <w:r w:rsidR="00956215">
        <w:t xml:space="preserve">amended </w:t>
      </w:r>
      <w:r w:rsidR="00F544B5">
        <w:t>RT</w:t>
      </w:r>
      <w:r>
        <w:t xml:space="preserve"> Act</w:t>
      </w:r>
      <w:r w:rsidR="00C461B5">
        <w:t xml:space="preserve">. This approach also aligns closely with </w:t>
      </w:r>
      <w:r w:rsidR="000673CE">
        <w:t xml:space="preserve">the principle of </w:t>
      </w:r>
      <w:r w:rsidR="007E2352">
        <w:t xml:space="preserve">user pays for cost or </w:t>
      </w:r>
      <w:r>
        <w:t>cost-reflective</w:t>
      </w:r>
      <w:r w:rsidR="000673CE">
        <w:t xml:space="preserve">ness (whereby people pay for the costs </w:t>
      </w:r>
      <w:r w:rsidR="00956215">
        <w:t>that Government</w:t>
      </w:r>
      <w:r w:rsidR="000673CE">
        <w:t xml:space="preserve"> incurs for each notice issued)</w:t>
      </w:r>
      <w:r w:rsidR="00C461B5">
        <w:t xml:space="preserve">. However, on balance the Government considered this was too administratively complex </w:t>
      </w:r>
      <w:r w:rsidR="003D4ED4">
        <w:t xml:space="preserve">given the </w:t>
      </w:r>
      <w:r w:rsidR="00B64962">
        <w:t>incremental fee</w:t>
      </w:r>
      <w:r w:rsidR="003D4ED4">
        <w:t>s are likely to be relatively small</w:t>
      </w:r>
      <w:r w:rsidR="00B64962">
        <w:t xml:space="preserve"> (~$3-4 per notice</w:t>
      </w:r>
      <w:r w:rsidR="00D300DE">
        <w:t>, based on the</w:t>
      </w:r>
      <w:r w:rsidR="00933DE8">
        <w:t xml:space="preserve"> modelled </w:t>
      </w:r>
      <w:r w:rsidR="00B625F1">
        <w:t xml:space="preserve">debt recovery fee levels presented in </w:t>
      </w:r>
      <w:r w:rsidR="00A24674">
        <w:t>Subchapter</w:t>
      </w:r>
      <w:r w:rsidR="00190A64">
        <w:t xml:space="preserve"> </w:t>
      </w:r>
      <w:r w:rsidR="00B625F1">
        <w:t>5</w:t>
      </w:r>
      <w:r w:rsidR="00190A64">
        <w:t>.4</w:t>
      </w:r>
      <w:r w:rsidR="00B64962">
        <w:t xml:space="preserve">) </w:t>
      </w:r>
      <w:r w:rsidR="00C461B5">
        <w:t xml:space="preserve">and </w:t>
      </w:r>
      <w:r w:rsidR="004A4A9B">
        <w:t xml:space="preserve">could </w:t>
      </w:r>
      <w:r w:rsidR="00C461B5">
        <w:t xml:space="preserve">be seen to be </w:t>
      </w:r>
      <w:r w:rsidR="003D4ED4">
        <w:t xml:space="preserve">a more </w:t>
      </w:r>
      <w:r w:rsidR="00816278">
        <w:t xml:space="preserve">punitive </w:t>
      </w:r>
      <w:r w:rsidR="00605FDA">
        <w:t>experience</w:t>
      </w:r>
      <w:r w:rsidR="003D4ED4">
        <w:t xml:space="preserve"> </w:t>
      </w:r>
      <w:r w:rsidR="00816278">
        <w:t xml:space="preserve">for </w:t>
      </w:r>
      <w:r w:rsidR="001D05D1">
        <w:t>renters</w:t>
      </w:r>
      <w:r w:rsidR="00816278">
        <w:t xml:space="preserve"> who are likely to be facing financial </w:t>
      </w:r>
      <w:r w:rsidR="003D4ED4">
        <w:t>stress</w:t>
      </w:r>
      <w:r w:rsidR="00816278">
        <w:t xml:space="preserve">. </w:t>
      </w:r>
      <w:r w:rsidR="009C3ED1">
        <w:br w:type="page"/>
      </w:r>
    </w:p>
    <w:p w14:paraId="2282A722" w14:textId="77777777" w:rsidR="00B17041" w:rsidRPr="000F65FE" w:rsidRDefault="00090FA5" w:rsidP="00CA3C50">
      <w:pPr>
        <w:pStyle w:val="Heading1"/>
      </w:pPr>
      <w:bookmarkStart w:id="48" w:name="_Toc220522681"/>
      <w:bookmarkStart w:id="49" w:name="_Toc220522682"/>
      <w:bookmarkStart w:id="50" w:name="_Toc220522683"/>
      <w:bookmarkStart w:id="51" w:name="_Toc220522684"/>
      <w:bookmarkStart w:id="52" w:name="_Toc220522685"/>
      <w:bookmarkStart w:id="53" w:name="_Toc220522686"/>
      <w:bookmarkStart w:id="54" w:name="_Toc220522687"/>
      <w:bookmarkStart w:id="55" w:name="_Toc221890903"/>
      <w:bookmarkEnd w:id="48"/>
      <w:bookmarkEnd w:id="49"/>
      <w:bookmarkEnd w:id="50"/>
      <w:bookmarkEnd w:id="51"/>
      <w:bookmarkEnd w:id="52"/>
      <w:bookmarkEnd w:id="53"/>
      <w:bookmarkEnd w:id="54"/>
      <w:r>
        <w:lastRenderedPageBreak/>
        <w:t xml:space="preserve">Options </w:t>
      </w:r>
      <w:r w:rsidR="00CE5CD3">
        <w:t>assessment</w:t>
      </w:r>
      <w:bookmarkEnd w:id="55"/>
    </w:p>
    <w:p w14:paraId="095294BA" w14:textId="111F3C0B" w:rsidR="00B031DF" w:rsidRPr="00B031DF" w:rsidRDefault="00B031DF" w:rsidP="00CA3C50">
      <w:pPr>
        <w:pStyle w:val="Heading2"/>
      </w:pPr>
      <w:bookmarkStart w:id="56" w:name="_Toc221890904"/>
      <w:r w:rsidRPr="00B031DF">
        <w:t xml:space="preserve">Overview of this </w:t>
      </w:r>
      <w:r w:rsidR="00C41A39">
        <w:t>chapter</w:t>
      </w:r>
      <w:bookmarkEnd w:id="56"/>
    </w:p>
    <w:p w14:paraId="5E65C09F" w14:textId="2EF32C3A" w:rsidR="002126FA" w:rsidRDefault="00B031DF" w:rsidP="00B031DF">
      <w:pPr>
        <w:pStyle w:val="Body"/>
      </w:pPr>
      <w:r>
        <w:t>This chapter sets out the analysis of the options presented in this RIS</w:t>
      </w:r>
      <w:r w:rsidR="002126FA">
        <w:t xml:space="preserve"> in </w:t>
      </w:r>
      <w:r w:rsidR="00A96411">
        <w:t xml:space="preserve">2 </w:t>
      </w:r>
      <w:r w:rsidR="002126FA">
        <w:t xml:space="preserve">stages: </w:t>
      </w:r>
    </w:p>
    <w:p w14:paraId="51107661" w14:textId="30283DE4" w:rsidR="00D17C60" w:rsidRDefault="009C3ED1" w:rsidP="002126FA">
      <w:pPr>
        <w:pStyle w:val="Body"/>
        <w:numPr>
          <w:ilvl w:val="0"/>
          <w:numId w:val="63"/>
        </w:numPr>
      </w:pPr>
      <w:r>
        <w:t>Application fee options</w:t>
      </w:r>
      <w:r w:rsidR="00D17C60">
        <w:t xml:space="preserve"> (outlined in </w:t>
      </w:r>
      <w:r w:rsidR="00A24674">
        <w:t xml:space="preserve">Subchapter </w:t>
      </w:r>
      <w:r w:rsidR="00D17C60">
        <w:t>4.</w:t>
      </w:r>
      <w:r w:rsidR="000B1F46">
        <w:t>3</w:t>
      </w:r>
      <w:r w:rsidR="00D17C60">
        <w:t xml:space="preserve">) </w:t>
      </w:r>
    </w:p>
    <w:p w14:paraId="7DF3BF81" w14:textId="6E489364" w:rsidR="0004342E" w:rsidRDefault="009C3ED1" w:rsidP="00F05B35">
      <w:pPr>
        <w:pStyle w:val="Body"/>
        <w:numPr>
          <w:ilvl w:val="0"/>
          <w:numId w:val="63"/>
        </w:numPr>
      </w:pPr>
      <w:r>
        <w:t xml:space="preserve">Debt recovery fee </w:t>
      </w:r>
      <w:r w:rsidR="00D17C60">
        <w:t xml:space="preserve">options (outlined in </w:t>
      </w:r>
      <w:r w:rsidR="00A24674">
        <w:t xml:space="preserve">Subchapter </w:t>
      </w:r>
      <w:r w:rsidR="00D17C60">
        <w:t>4.</w:t>
      </w:r>
      <w:r w:rsidR="000B1F46">
        <w:t>4</w:t>
      </w:r>
      <w:r w:rsidR="00D17C60">
        <w:t>)</w:t>
      </w:r>
      <w:r w:rsidR="00190A64">
        <w:t>.</w:t>
      </w:r>
    </w:p>
    <w:p w14:paraId="40206116" w14:textId="58521DA9" w:rsidR="00B031DF" w:rsidRPr="00BA35A6" w:rsidRDefault="00B031DF" w:rsidP="00B031DF">
      <w:pPr>
        <w:pStyle w:val="Body"/>
      </w:pPr>
      <w:r>
        <w:t>This</w:t>
      </w:r>
      <w:r w:rsidR="00287B86">
        <w:t xml:space="preserve"> chapter</w:t>
      </w:r>
      <w:r>
        <w:t xml:space="preserve"> </w:t>
      </w:r>
      <w:r w:rsidR="00A84CEF">
        <w:t xml:space="preserve">outlines </w:t>
      </w:r>
      <w:r>
        <w:t xml:space="preserve">the costs of the options, </w:t>
      </w:r>
      <w:r w:rsidRPr="00121C98">
        <w:t xml:space="preserve">the expected impacts of </w:t>
      </w:r>
      <w:r>
        <w:t xml:space="preserve">the </w:t>
      </w:r>
      <w:r w:rsidRPr="00121C98">
        <w:t>options and how the preferred option was decided. Better Regulation Victoria recommends using the multi-criteria analysis (MCA) decision</w:t>
      </w:r>
      <w:r w:rsidR="00956215">
        <w:t>-</w:t>
      </w:r>
      <w:r w:rsidRPr="00121C98">
        <w:t xml:space="preserve">making tool to assess fee design options. This method is described is </w:t>
      </w:r>
      <w:r w:rsidR="00A24674">
        <w:t>Subchapter</w:t>
      </w:r>
      <w:r w:rsidRPr="00121C98">
        <w:t xml:space="preserve"> 5.</w:t>
      </w:r>
      <w:r w:rsidR="00C05D62">
        <w:t>2</w:t>
      </w:r>
      <w:r>
        <w:t>.</w:t>
      </w:r>
      <w:r w:rsidR="009E6F2F">
        <w:t>4</w:t>
      </w:r>
      <w:r w:rsidRPr="00121C98">
        <w:t xml:space="preserve"> below. Option</w:t>
      </w:r>
      <w:r>
        <w:t xml:space="preserve">s </w:t>
      </w:r>
      <w:r w:rsidRPr="00121C98">
        <w:t xml:space="preserve">were compared against each other (relative to the base case) to assess the preferred option. </w:t>
      </w:r>
    </w:p>
    <w:p w14:paraId="353967B4" w14:textId="77777777" w:rsidR="007E44B4" w:rsidRPr="000F65FE" w:rsidRDefault="00B17041" w:rsidP="00CA3C50">
      <w:pPr>
        <w:pStyle w:val="Heading2"/>
      </w:pPr>
      <w:bookmarkStart w:id="57" w:name="_Toc221890905"/>
      <w:r w:rsidRPr="000F65FE">
        <w:t>Methodology</w:t>
      </w:r>
      <w:bookmarkEnd w:id="57"/>
    </w:p>
    <w:p w14:paraId="3E6B016B" w14:textId="7226C018" w:rsidR="009A283A" w:rsidRDefault="0012538E" w:rsidP="00BD56C7">
      <w:pPr>
        <w:pStyle w:val="Body"/>
      </w:pPr>
      <w:r>
        <w:t>T</w:t>
      </w:r>
      <w:r w:rsidR="008F6748">
        <w:t xml:space="preserve">he methodology for assessing the options in this RIS has been </w:t>
      </w:r>
      <w:r>
        <w:t>undertaken in</w:t>
      </w:r>
      <w:r w:rsidR="002057ED">
        <w:t xml:space="preserve"> </w:t>
      </w:r>
      <w:r w:rsidR="00A96411">
        <w:t xml:space="preserve">2 </w:t>
      </w:r>
      <w:r w:rsidR="002057ED">
        <w:t>stages</w:t>
      </w:r>
      <w:r w:rsidR="008F6748">
        <w:t>:</w:t>
      </w:r>
    </w:p>
    <w:p w14:paraId="59E01314" w14:textId="77777777" w:rsidR="00C33D7F" w:rsidRPr="00F8615A" w:rsidRDefault="00C33D7F" w:rsidP="00C33D7F">
      <w:pPr>
        <w:pStyle w:val="Body"/>
        <w:rPr>
          <w:b/>
          <w:bCs/>
        </w:rPr>
      </w:pPr>
      <w:r>
        <w:rPr>
          <w:b/>
          <w:bCs/>
        </w:rPr>
        <w:t>Application Fee Level Options</w:t>
      </w:r>
    </w:p>
    <w:p w14:paraId="0448D2EB" w14:textId="6163D5F0" w:rsidR="00C33D7F" w:rsidRDefault="00C33D7F" w:rsidP="00C33D7F">
      <w:pPr>
        <w:pStyle w:val="Body"/>
      </w:pPr>
      <w:r>
        <w:t xml:space="preserve">For the fee level options considered, the cashflows for the </w:t>
      </w:r>
      <w:r w:rsidR="005A1FA3">
        <w:t>application</w:t>
      </w:r>
      <w:r>
        <w:t xml:space="preserve"> fee, recurring operating costs and debt write-offs are modelled </w:t>
      </w:r>
      <w:r w:rsidR="00C87BE0">
        <w:t>based on the following application fee levels</w:t>
      </w:r>
      <w:r>
        <w:t>:</w:t>
      </w:r>
    </w:p>
    <w:p w14:paraId="78D0287B" w14:textId="662797BF" w:rsidR="00C33D7F" w:rsidRDefault="00C33D7F" w:rsidP="00C33D7F">
      <w:pPr>
        <w:pStyle w:val="Body"/>
        <w:numPr>
          <w:ilvl w:val="0"/>
          <w:numId w:val="65"/>
        </w:numPr>
      </w:pPr>
      <w:r>
        <w:t>$35 fee</w:t>
      </w:r>
    </w:p>
    <w:p w14:paraId="64ADEFD7" w14:textId="44522BE5" w:rsidR="00C33D7F" w:rsidRDefault="00C33D7F" w:rsidP="00C33D7F">
      <w:pPr>
        <w:pStyle w:val="Body"/>
        <w:numPr>
          <w:ilvl w:val="0"/>
          <w:numId w:val="65"/>
        </w:numPr>
      </w:pPr>
      <w:r>
        <w:t>$40 fee</w:t>
      </w:r>
    </w:p>
    <w:p w14:paraId="7FD7005D" w14:textId="50369AC9" w:rsidR="00C33D7F" w:rsidRDefault="00C33D7F" w:rsidP="00C33D7F">
      <w:pPr>
        <w:pStyle w:val="Body"/>
        <w:numPr>
          <w:ilvl w:val="0"/>
          <w:numId w:val="65"/>
        </w:numPr>
      </w:pPr>
      <w:r>
        <w:t>$45 fee</w:t>
      </w:r>
      <w:r w:rsidR="00E23446">
        <w:t xml:space="preserve"> </w:t>
      </w:r>
    </w:p>
    <w:p w14:paraId="7635FA40" w14:textId="17852AD0" w:rsidR="00C33D7F" w:rsidRDefault="00C33D7F" w:rsidP="00C33D7F">
      <w:pPr>
        <w:pStyle w:val="Body"/>
      </w:pPr>
      <w:r>
        <w:t xml:space="preserve">The modelling methodology for these options involves projecting the discounted cashflows </w:t>
      </w:r>
      <w:r w:rsidR="0065489F">
        <w:t xml:space="preserve">to analyse their </w:t>
      </w:r>
      <w:r>
        <w:t>cost recovery timeframes</w:t>
      </w:r>
      <w:r w:rsidR="00BD0DC9">
        <w:t xml:space="preserve">. Elasticity modelling has also been undertaken on the sensitivity of participation in the PRBS in response to fee levels. This is outlined further in </w:t>
      </w:r>
      <w:r w:rsidR="00A24674">
        <w:t>Subchapter</w:t>
      </w:r>
      <w:r w:rsidR="0096290A">
        <w:t xml:space="preserve"> 5.2.1 below, and in Appendix </w:t>
      </w:r>
      <w:r w:rsidR="00956215">
        <w:t>A</w:t>
      </w:r>
      <w:r w:rsidR="0096290A">
        <w:t xml:space="preserve">. </w:t>
      </w:r>
    </w:p>
    <w:p w14:paraId="611CBEB8" w14:textId="6AC825FB" w:rsidR="008F6748" w:rsidRPr="001F576E" w:rsidRDefault="00496C8F" w:rsidP="00BD56C7">
      <w:pPr>
        <w:pStyle w:val="Body"/>
        <w:rPr>
          <w:b/>
          <w:bCs/>
        </w:rPr>
      </w:pPr>
      <w:r>
        <w:rPr>
          <w:b/>
          <w:bCs/>
        </w:rPr>
        <w:t xml:space="preserve">Debt Recovery </w:t>
      </w:r>
      <w:r w:rsidR="008F6748">
        <w:rPr>
          <w:b/>
          <w:bCs/>
        </w:rPr>
        <w:t>Fee Options</w:t>
      </w:r>
    </w:p>
    <w:p w14:paraId="43D9AC61" w14:textId="645EE81C" w:rsidR="00151555" w:rsidRDefault="00B6248C" w:rsidP="00BD56C7">
      <w:pPr>
        <w:pStyle w:val="Body"/>
      </w:pPr>
      <w:r w:rsidRPr="00B6248C">
        <w:t>The modelling methodology for the debt recovery fee structure options involves forecasting cashflows associated with debt recovery fee revenue and operating costs</w:t>
      </w:r>
      <w:r w:rsidR="00E93800">
        <w:t xml:space="preserve">. </w:t>
      </w:r>
    </w:p>
    <w:p w14:paraId="7A761D03" w14:textId="310A0B7C" w:rsidR="000430E6" w:rsidRDefault="003B6FCE" w:rsidP="00BD56C7">
      <w:pPr>
        <w:pStyle w:val="Body"/>
      </w:pPr>
      <w:r w:rsidRPr="003B6FCE">
        <w:t xml:space="preserve">For each </w:t>
      </w:r>
      <w:r w:rsidR="005508C0">
        <w:t xml:space="preserve">debt recovery </w:t>
      </w:r>
      <w:r w:rsidR="000430E6">
        <w:t xml:space="preserve">fee structure </w:t>
      </w:r>
      <w:r w:rsidRPr="003B6FCE">
        <w:t>option, these projected</w:t>
      </w:r>
      <w:r w:rsidR="00ED086E">
        <w:t xml:space="preserve"> cashflows are then discounted, </w:t>
      </w:r>
      <w:r w:rsidRPr="003B6FCE">
        <w:t>and</w:t>
      </w:r>
      <w:r w:rsidR="00ED086E">
        <w:t xml:space="preserve"> a</w:t>
      </w:r>
      <w:r w:rsidR="005A1FA3">
        <w:t xml:space="preserve">n application </w:t>
      </w:r>
      <w:r w:rsidR="00ED086E">
        <w:t xml:space="preserve">fee and debt recovery fee </w:t>
      </w:r>
      <w:r w:rsidRPr="003B6FCE">
        <w:t xml:space="preserve">are </w:t>
      </w:r>
      <w:r w:rsidR="009F7089">
        <w:t xml:space="preserve">set </w:t>
      </w:r>
      <w:r w:rsidR="00765634">
        <w:t>so that</w:t>
      </w:r>
      <w:r w:rsidRPr="003B6FCE">
        <w:t xml:space="preserve"> the </w:t>
      </w:r>
      <w:r w:rsidR="000F56FA">
        <w:t>PRBS</w:t>
      </w:r>
      <w:r w:rsidR="000F56FA" w:rsidRPr="003B6FCE">
        <w:t xml:space="preserve"> </w:t>
      </w:r>
      <w:r w:rsidRPr="003B6FCE">
        <w:t>achieves</w:t>
      </w:r>
      <w:r w:rsidR="009F7089">
        <w:t xml:space="preserve"> cost neutrality.</w:t>
      </w:r>
      <w:r w:rsidR="00ED086E">
        <w:t xml:space="preserve"> </w:t>
      </w:r>
    </w:p>
    <w:p w14:paraId="7C8A241E" w14:textId="77777777" w:rsidR="0067450D" w:rsidRPr="002652B2" w:rsidRDefault="0067450D" w:rsidP="0067450D">
      <w:pPr>
        <w:pStyle w:val="Heading3"/>
      </w:pPr>
      <w:bookmarkStart w:id="58" w:name="_Ref219388566"/>
      <w:r w:rsidRPr="002652B2">
        <w:t>Assumptions</w:t>
      </w:r>
      <w:bookmarkEnd w:id="58"/>
      <w:r>
        <w:t xml:space="preserve"> </w:t>
      </w:r>
    </w:p>
    <w:p w14:paraId="27AC9C83" w14:textId="4107F25A" w:rsidR="0067450D" w:rsidRDefault="0067450D" w:rsidP="0067450D">
      <w:pPr>
        <w:pStyle w:val="DJCSbody"/>
        <w:ind w:left="0"/>
        <w:jc w:val="left"/>
      </w:pPr>
      <w:r>
        <w:t>The following assumptions have been made to</w:t>
      </w:r>
      <w:r w:rsidRPr="002652B2">
        <w:t xml:space="preserve"> underpin the analysis</w:t>
      </w:r>
      <w:r>
        <w:t>:</w:t>
      </w:r>
    </w:p>
    <w:p w14:paraId="23FD09FC" w14:textId="77777777" w:rsidR="0067450D" w:rsidRDefault="0067450D" w:rsidP="0067450D">
      <w:pPr>
        <w:pStyle w:val="DJCSbody"/>
        <w:numPr>
          <w:ilvl w:val="0"/>
          <w:numId w:val="38"/>
        </w:numPr>
        <w:jc w:val="left"/>
      </w:pPr>
      <w:r w:rsidRPr="009476AE">
        <w:rPr>
          <w:b/>
          <w:bCs/>
        </w:rPr>
        <w:t>Inflation rate</w:t>
      </w:r>
      <w:r>
        <w:t xml:space="preserve"> – the application fee will be adjusted in the long term to reflect the Reserve Bank of Australia’s inflation target of 2-3%, to ensure</w:t>
      </w:r>
      <w:r w:rsidRPr="002652B2">
        <w:t xml:space="preserve"> that fee estimates remain consistent with </w:t>
      </w:r>
      <w:r>
        <w:t xml:space="preserve">the expected </w:t>
      </w:r>
      <w:r w:rsidRPr="002652B2">
        <w:t>economic conditions</w:t>
      </w:r>
      <w:r>
        <w:t>. This is intended to function as a proxy for the increase to fee units over time.</w:t>
      </w:r>
    </w:p>
    <w:p w14:paraId="3D74CB75" w14:textId="3A4E9FC2" w:rsidR="0067450D" w:rsidRDefault="0067450D" w:rsidP="0067450D">
      <w:pPr>
        <w:pStyle w:val="DJCSbody"/>
        <w:numPr>
          <w:ilvl w:val="0"/>
          <w:numId w:val="38"/>
        </w:numPr>
        <w:jc w:val="left"/>
      </w:pPr>
      <w:r w:rsidRPr="009476AE">
        <w:rPr>
          <w:b/>
          <w:bCs/>
        </w:rPr>
        <w:t>Participation rate</w:t>
      </w:r>
      <w:r>
        <w:t xml:space="preserve"> – the share of renters participating in the PRBS follows an inverse relationship, decreasing as the application fee increases. </w:t>
      </w:r>
      <w:r w:rsidRPr="009476AE">
        <w:t>At a $0 fee</w:t>
      </w:r>
      <w:r>
        <w:t xml:space="preserve"> (i.e. the base case)</w:t>
      </w:r>
      <w:r w:rsidRPr="009476AE">
        <w:t xml:space="preserve">, participation </w:t>
      </w:r>
      <w:r>
        <w:t xml:space="preserve">in the PRBS </w:t>
      </w:r>
      <w:r w:rsidRPr="009476AE">
        <w:t xml:space="preserve">is </w:t>
      </w:r>
      <w:r>
        <w:t>estimated</w:t>
      </w:r>
      <w:r w:rsidRPr="009476AE">
        <w:t xml:space="preserve"> at 80% due to eligibility and behavioural factors, while higher fees progressively reduce uptake.</w:t>
      </w:r>
      <w:r w:rsidR="00846D84">
        <w:t xml:space="preserve"> The following steps have been undertaken to derive the participation curve, with</w:t>
      </w:r>
      <w:r>
        <w:t xml:space="preserve"> </w:t>
      </w:r>
      <w:r w:rsidR="00846D84">
        <w:t>f</w:t>
      </w:r>
      <w:r>
        <w:t>urther detail contained in Appendix A</w:t>
      </w:r>
      <w:r w:rsidR="00846D84">
        <w:t>:</w:t>
      </w:r>
    </w:p>
    <w:p w14:paraId="73CF7C4C" w14:textId="187D77D8" w:rsidR="00846D84" w:rsidRDefault="000A0E65" w:rsidP="00846D84">
      <w:pPr>
        <w:pStyle w:val="DJCSbody"/>
        <w:numPr>
          <w:ilvl w:val="1"/>
          <w:numId w:val="38"/>
        </w:numPr>
        <w:jc w:val="left"/>
      </w:pPr>
      <w:r>
        <w:t>The distribution of rental bond amounts (by increments of $100) was calculated using rental bond data from the RTBA</w:t>
      </w:r>
    </w:p>
    <w:p w14:paraId="3EDF7284" w14:textId="1AFEE5DD" w:rsidR="00F37B04" w:rsidRDefault="00274119" w:rsidP="00BE5ED9">
      <w:pPr>
        <w:pStyle w:val="DJCSbody"/>
        <w:numPr>
          <w:ilvl w:val="1"/>
          <w:numId w:val="38"/>
        </w:numPr>
        <w:jc w:val="left"/>
      </w:pPr>
      <w:r>
        <w:lastRenderedPageBreak/>
        <w:t xml:space="preserve">For each cohort of renters, </w:t>
      </w:r>
      <w:r w:rsidR="009F493B">
        <w:t>an assumption was made for their access to credit (ie. the interest rates they would have access to via short-term financing options)</w:t>
      </w:r>
      <w:r w:rsidR="00D3490F">
        <w:t>. These credit options range from personal loans from banks to credit cards and non-traditional loan institutions</w:t>
      </w:r>
      <w:r w:rsidR="001976A3">
        <w:t xml:space="preserve"> (based on </w:t>
      </w:r>
      <w:r w:rsidR="00FC5209">
        <w:t xml:space="preserve">research into </w:t>
      </w:r>
      <w:r w:rsidR="00C262FE">
        <w:t>private credit options and outlines in the table below</w:t>
      </w:r>
      <w:r w:rsidR="001976A3">
        <w:t>)</w:t>
      </w:r>
      <w:r w:rsidR="007D3329">
        <w:t>. It was assumed that</w:t>
      </w:r>
      <w:r w:rsidR="00447D47">
        <w:t xml:space="preserve"> renters incurring higher bond amounts w</w:t>
      </w:r>
      <w:r w:rsidR="000A6155">
        <w:t>ould be more likely to have higher incomes and thus have better access to credit</w:t>
      </w:r>
      <w:r w:rsidR="00C74579">
        <w:t>.</w:t>
      </w:r>
    </w:p>
    <w:p w14:paraId="035BE036" w14:textId="77777777" w:rsidR="003245B1" w:rsidRDefault="003245B1" w:rsidP="00BE5ED9">
      <w:pPr>
        <w:pStyle w:val="Caption"/>
        <w:ind w:left="720" w:firstLine="720"/>
      </w:pPr>
      <w:r>
        <w:t xml:space="preserve">Table </w:t>
      </w:r>
      <w:r>
        <w:fldChar w:fldCharType="begin"/>
      </w:r>
      <w:r>
        <w:instrText xml:space="preserve"> SEQ Table \* ARABIC </w:instrText>
      </w:r>
      <w:r>
        <w:fldChar w:fldCharType="separate"/>
      </w:r>
      <w:r w:rsidR="00A50199">
        <w:rPr>
          <w:noProof/>
        </w:rPr>
        <w:t>9</w:t>
      </w:r>
      <w:r>
        <w:fldChar w:fldCharType="end"/>
      </w:r>
      <w:r>
        <w:t>: Alternative credit options for renters</w:t>
      </w:r>
    </w:p>
    <w:tbl>
      <w:tblPr>
        <w:tblStyle w:val="TableGridLight"/>
        <w:tblW w:w="8788" w:type="dxa"/>
        <w:tblInd w:w="1413" w:type="dxa"/>
        <w:tblLayout w:type="fixed"/>
        <w:tblLook w:val="04A0" w:firstRow="1" w:lastRow="0" w:firstColumn="1" w:lastColumn="0" w:noHBand="0" w:noVBand="1"/>
      </w:tblPr>
      <w:tblGrid>
        <w:gridCol w:w="5953"/>
        <w:gridCol w:w="2835"/>
      </w:tblGrid>
      <w:tr w:rsidR="003245B1" w14:paraId="6FDE1E4D" w14:textId="77777777">
        <w:tc>
          <w:tcPr>
            <w:tcW w:w="5953" w:type="dxa"/>
            <w:shd w:val="clear" w:color="auto" w:fill="002060"/>
            <w:vAlign w:val="center"/>
          </w:tcPr>
          <w:p w14:paraId="76B52492" w14:textId="77777777" w:rsidR="003245B1" w:rsidRPr="00BE5ED9" w:rsidRDefault="003245B1">
            <w:pPr>
              <w:pStyle w:val="DJCSbody"/>
              <w:ind w:left="0"/>
              <w:jc w:val="center"/>
              <w:rPr>
                <w:b/>
                <w:bCs/>
              </w:rPr>
            </w:pPr>
            <w:r w:rsidRPr="00BE5ED9">
              <w:rPr>
                <w:b/>
                <w:bCs/>
              </w:rPr>
              <w:t xml:space="preserve">Credit Type </w:t>
            </w:r>
          </w:p>
        </w:tc>
        <w:tc>
          <w:tcPr>
            <w:tcW w:w="2835" w:type="dxa"/>
            <w:shd w:val="clear" w:color="auto" w:fill="002060"/>
            <w:vAlign w:val="center"/>
          </w:tcPr>
          <w:p w14:paraId="1E48F4A5" w14:textId="77777777" w:rsidR="003245B1" w:rsidRPr="00BE5ED9" w:rsidRDefault="003245B1">
            <w:pPr>
              <w:pStyle w:val="DJCSbody"/>
              <w:ind w:left="0"/>
              <w:jc w:val="center"/>
              <w:rPr>
                <w:b/>
                <w:bCs/>
              </w:rPr>
            </w:pPr>
            <w:r w:rsidRPr="00BE5ED9">
              <w:rPr>
                <w:b/>
                <w:bCs/>
              </w:rPr>
              <w:t>Interest Rate</w:t>
            </w:r>
          </w:p>
        </w:tc>
      </w:tr>
      <w:tr w:rsidR="003245B1" w14:paraId="199BCD4F" w14:textId="77777777" w:rsidTr="00BE5ED9">
        <w:tc>
          <w:tcPr>
            <w:tcW w:w="5953" w:type="dxa"/>
          </w:tcPr>
          <w:p w14:paraId="373D714D" w14:textId="77777777" w:rsidR="003245B1" w:rsidRPr="00BE5ED9" w:rsidRDefault="003245B1">
            <w:pPr>
              <w:pStyle w:val="DJCSbody"/>
              <w:ind w:left="0"/>
              <w:jc w:val="center"/>
              <w:rPr>
                <w:b/>
                <w:bCs/>
              </w:rPr>
            </w:pPr>
            <w:r w:rsidRPr="00BE5ED9">
              <w:rPr>
                <w:b/>
                <w:bCs/>
              </w:rPr>
              <w:t>Personal Loans (Larger Banks)</w:t>
            </w:r>
          </w:p>
        </w:tc>
        <w:tc>
          <w:tcPr>
            <w:tcW w:w="2835" w:type="dxa"/>
          </w:tcPr>
          <w:p w14:paraId="4B305E3B" w14:textId="77777777" w:rsidR="003245B1" w:rsidRDefault="003245B1">
            <w:pPr>
              <w:pStyle w:val="DJCSbody"/>
              <w:ind w:left="0"/>
              <w:jc w:val="center"/>
            </w:pPr>
            <w:r>
              <w:t>6%-22%</w:t>
            </w:r>
            <w:r>
              <w:rPr>
                <w:rStyle w:val="FootnoteReference"/>
              </w:rPr>
              <w:footnoteReference w:id="48"/>
            </w:r>
          </w:p>
        </w:tc>
      </w:tr>
      <w:tr w:rsidR="003245B1" w14:paraId="16737501" w14:textId="77777777" w:rsidTr="00BE5ED9">
        <w:tc>
          <w:tcPr>
            <w:tcW w:w="5953" w:type="dxa"/>
          </w:tcPr>
          <w:p w14:paraId="09201B4E" w14:textId="77777777" w:rsidR="003245B1" w:rsidRPr="00BE5ED9" w:rsidRDefault="003245B1">
            <w:pPr>
              <w:pStyle w:val="DJCSbody"/>
              <w:ind w:left="0"/>
              <w:jc w:val="center"/>
              <w:rPr>
                <w:b/>
                <w:bCs/>
              </w:rPr>
            </w:pPr>
            <w:r w:rsidRPr="00BE5ED9">
              <w:rPr>
                <w:b/>
                <w:bCs/>
              </w:rPr>
              <w:t>Credit Cards</w:t>
            </w:r>
          </w:p>
        </w:tc>
        <w:tc>
          <w:tcPr>
            <w:tcW w:w="2835" w:type="dxa"/>
          </w:tcPr>
          <w:p w14:paraId="2FC43D61" w14:textId="77777777" w:rsidR="003245B1" w:rsidRDefault="003245B1">
            <w:pPr>
              <w:pStyle w:val="DJCSbody"/>
              <w:ind w:left="0"/>
              <w:jc w:val="center"/>
            </w:pPr>
            <w:r>
              <w:t>20%-30%</w:t>
            </w:r>
            <w:r>
              <w:rPr>
                <w:rStyle w:val="FootnoteReference"/>
              </w:rPr>
              <w:footnoteReference w:id="49"/>
            </w:r>
          </w:p>
        </w:tc>
      </w:tr>
      <w:tr w:rsidR="003245B1" w14:paraId="788A1989" w14:textId="77777777" w:rsidTr="00BE5ED9">
        <w:tc>
          <w:tcPr>
            <w:tcW w:w="5953" w:type="dxa"/>
          </w:tcPr>
          <w:p w14:paraId="665C54C5" w14:textId="77777777" w:rsidR="003245B1" w:rsidRPr="00BE5ED9" w:rsidRDefault="003245B1">
            <w:pPr>
              <w:pStyle w:val="DJCSbody"/>
              <w:ind w:left="0"/>
              <w:jc w:val="center"/>
              <w:rPr>
                <w:b/>
                <w:bCs/>
              </w:rPr>
            </w:pPr>
            <w:r w:rsidRPr="00BE5ED9">
              <w:rPr>
                <w:b/>
                <w:bCs/>
              </w:rPr>
              <w:t>Non-Traditional Loans</w:t>
            </w:r>
          </w:p>
        </w:tc>
        <w:tc>
          <w:tcPr>
            <w:tcW w:w="2835" w:type="dxa"/>
          </w:tcPr>
          <w:p w14:paraId="7F2CE640" w14:textId="77777777" w:rsidR="003245B1" w:rsidRDefault="003245B1">
            <w:pPr>
              <w:pStyle w:val="DJCSbody"/>
              <w:ind w:left="0"/>
              <w:jc w:val="center"/>
            </w:pPr>
            <w:r>
              <w:t>30%-60%</w:t>
            </w:r>
            <w:r>
              <w:rPr>
                <w:rStyle w:val="FootnoteReference"/>
              </w:rPr>
              <w:footnoteReference w:id="50"/>
            </w:r>
          </w:p>
        </w:tc>
      </w:tr>
      <w:tr w:rsidR="003245B1" w14:paraId="605BA67F" w14:textId="77777777" w:rsidTr="00BE5ED9">
        <w:tc>
          <w:tcPr>
            <w:tcW w:w="5953" w:type="dxa"/>
          </w:tcPr>
          <w:p w14:paraId="65029960" w14:textId="77777777" w:rsidR="003245B1" w:rsidRPr="00BE5ED9" w:rsidRDefault="003245B1">
            <w:pPr>
              <w:pStyle w:val="DJCSbody"/>
              <w:ind w:left="0"/>
              <w:jc w:val="center"/>
              <w:rPr>
                <w:b/>
                <w:bCs/>
              </w:rPr>
            </w:pPr>
            <w:r w:rsidRPr="00BE5ED9">
              <w:rPr>
                <w:b/>
                <w:bCs/>
              </w:rPr>
              <w:t>Specialist Bond Loan Providers</w:t>
            </w:r>
          </w:p>
        </w:tc>
        <w:tc>
          <w:tcPr>
            <w:tcW w:w="2835" w:type="dxa"/>
          </w:tcPr>
          <w:p w14:paraId="2FC2D46A" w14:textId="77777777" w:rsidR="003245B1" w:rsidRDefault="003245B1">
            <w:pPr>
              <w:pStyle w:val="DJCSbody"/>
              <w:ind w:left="0"/>
              <w:jc w:val="center"/>
            </w:pPr>
            <w:r>
              <w:t>50% After 21 Days</w:t>
            </w:r>
            <w:r>
              <w:rPr>
                <w:rStyle w:val="FootnoteReference"/>
              </w:rPr>
              <w:footnoteReference w:id="51"/>
            </w:r>
          </w:p>
        </w:tc>
      </w:tr>
    </w:tbl>
    <w:p w14:paraId="160C7B1F" w14:textId="77777777" w:rsidR="007F3C79" w:rsidRDefault="007F3C79" w:rsidP="00BE5ED9">
      <w:pPr>
        <w:pStyle w:val="DJCSbody"/>
        <w:ind w:left="0"/>
      </w:pPr>
    </w:p>
    <w:p w14:paraId="71CD86C5" w14:textId="77992F9D" w:rsidR="00C74579" w:rsidRDefault="00C74579" w:rsidP="00846D84">
      <w:pPr>
        <w:pStyle w:val="DJCSbody"/>
        <w:numPr>
          <w:ilvl w:val="1"/>
          <w:numId w:val="38"/>
        </w:numPr>
        <w:jc w:val="left"/>
      </w:pPr>
      <w:r>
        <w:t>Equivalent application fees were calculated based on the interest each cohort would pay after 4 weeks.</w:t>
      </w:r>
    </w:p>
    <w:p w14:paraId="2E1AFA77" w14:textId="71D1FB48" w:rsidR="00AA5D02" w:rsidRDefault="00357A56" w:rsidP="00846D84">
      <w:pPr>
        <w:pStyle w:val="DJCSbody"/>
        <w:numPr>
          <w:ilvl w:val="1"/>
          <w:numId w:val="38"/>
        </w:numPr>
        <w:jc w:val="left"/>
      </w:pPr>
      <w:r>
        <w:t xml:space="preserve">Based on the equivalent (or notional) application fees from </w:t>
      </w:r>
      <w:r w:rsidR="00AA5D02">
        <w:t xml:space="preserve">short-term financing options, a </w:t>
      </w:r>
      <w:r w:rsidR="00127AB5">
        <w:t xml:space="preserve">population-level </w:t>
      </w:r>
      <w:r w:rsidR="00AA5D02">
        <w:t xml:space="preserve">participation curve was determined based on </w:t>
      </w:r>
      <w:r w:rsidR="007717AF">
        <w:t>the point</w:t>
      </w:r>
      <w:r w:rsidR="007D74B6">
        <w:t>s</w:t>
      </w:r>
      <w:r w:rsidR="007717AF">
        <w:t xml:space="preserve"> at which the PRBS application fee exceeds the equivalent amount from the private credit market</w:t>
      </w:r>
      <w:r w:rsidR="007D74B6">
        <w:t xml:space="preserve"> for each cohort</w:t>
      </w:r>
      <w:r w:rsidR="007717AF">
        <w:t>.</w:t>
      </w:r>
    </w:p>
    <w:p w14:paraId="338A877C" w14:textId="7A18D23D" w:rsidR="00100D47" w:rsidRDefault="003A3D2C" w:rsidP="00BE5ED9">
      <w:pPr>
        <w:pStyle w:val="DJCSbody"/>
        <w:numPr>
          <w:ilvl w:val="1"/>
          <w:numId w:val="38"/>
        </w:numPr>
        <w:jc w:val="left"/>
      </w:pPr>
      <w:r>
        <w:t xml:space="preserve">Further adjustment was made to the curve </w:t>
      </w:r>
      <w:r w:rsidR="00671109">
        <w:t>to allow for renters who may not search for alternatives</w:t>
      </w:r>
      <w:r w:rsidR="00931E90">
        <w:t xml:space="preserve"> (similar to how households may not </w:t>
      </w:r>
      <w:r w:rsidR="00984D6B">
        <w:t>shop around for insurance upon renewal)</w:t>
      </w:r>
      <w:r w:rsidR="000A68AC">
        <w:t>, and to allow for a maximum participation rate of 80% (further detail of this outlined in Appendix A).</w:t>
      </w:r>
    </w:p>
    <w:p w14:paraId="2C86F0B7" w14:textId="7ED666EF" w:rsidR="00135D05" w:rsidRDefault="0067450D" w:rsidP="00135D05">
      <w:pPr>
        <w:pStyle w:val="DJCSbody"/>
        <w:numPr>
          <w:ilvl w:val="0"/>
          <w:numId w:val="38"/>
        </w:numPr>
        <w:jc w:val="left"/>
      </w:pPr>
      <w:r w:rsidRPr="00721EDD">
        <w:rPr>
          <w:b/>
          <w:bCs/>
        </w:rPr>
        <w:t>Claim rate</w:t>
      </w:r>
      <w:r>
        <w:t xml:space="preserve"> – the proportion of </w:t>
      </w:r>
      <w:r w:rsidRPr="00100441">
        <w:t>total refunded bond funds that are repaid to the rental provider</w:t>
      </w:r>
      <w:r>
        <w:t xml:space="preserve"> has been assumed to be 18%, which reflects the 2022-23 claim rate published by the RTBA.</w:t>
      </w:r>
      <w:r w:rsidR="00994F9E">
        <w:t xml:space="preserve"> </w:t>
      </w:r>
    </w:p>
    <w:p w14:paraId="70412AE2" w14:textId="5BCA1057" w:rsidR="00994F9E" w:rsidRDefault="0067450D" w:rsidP="00994F9E">
      <w:pPr>
        <w:pStyle w:val="DJCSbody"/>
        <w:numPr>
          <w:ilvl w:val="0"/>
          <w:numId w:val="38"/>
        </w:numPr>
        <w:jc w:val="left"/>
      </w:pPr>
      <w:r w:rsidRPr="00721EDD">
        <w:rPr>
          <w:b/>
          <w:bCs/>
        </w:rPr>
        <w:t>Non-payment rate</w:t>
      </w:r>
      <w:r>
        <w:t xml:space="preserve"> – </w:t>
      </w:r>
      <w:r w:rsidRPr="00FB0F0D">
        <w:t>the proportion of renters with bond claims lodged who do not make</w:t>
      </w:r>
      <w:r>
        <w:t xml:space="preserve"> on-time</w:t>
      </w:r>
      <w:r w:rsidRPr="00FB0F0D">
        <w:t xml:space="preserve"> payment </w:t>
      </w:r>
      <w:r>
        <w:t>has been assumed to be 10%. This reflects the non-payment rate reported by local council on their rates.</w:t>
      </w:r>
      <w:r>
        <w:rPr>
          <w:rStyle w:val="FootnoteReference"/>
        </w:rPr>
        <w:footnoteReference w:id="52"/>
      </w:r>
      <w:r w:rsidR="00994F9E">
        <w:t xml:space="preserve"> </w:t>
      </w:r>
      <w:r w:rsidR="00994F9E">
        <w:rPr>
          <w:rStyle w:val="CommentReference"/>
          <w:sz w:val="22"/>
          <w:szCs w:val="20"/>
        </w:rPr>
        <w:t xml:space="preserve"> </w:t>
      </w:r>
    </w:p>
    <w:p w14:paraId="24B4217D" w14:textId="16095EF9" w:rsidR="0067450D" w:rsidRDefault="0067450D" w:rsidP="001F576E">
      <w:pPr>
        <w:pStyle w:val="DJCSbody"/>
        <w:numPr>
          <w:ilvl w:val="0"/>
          <w:numId w:val="123"/>
        </w:numPr>
        <w:tabs>
          <w:tab w:val="clear" w:pos="340"/>
          <w:tab w:val="num" w:pos="700"/>
        </w:tabs>
        <w:ind w:left="700"/>
        <w:jc w:val="left"/>
      </w:pPr>
      <w:r>
        <w:rPr>
          <w:b/>
          <w:bCs/>
        </w:rPr>
        <w:t xml:space="preserve">Debt write-off rate </w:t>
      </w:r>
      <w:r>
        <w:t xml:space="preserve">– the proportion of unrecoverable </w:t>
      </w:r>
      <w:r w:rsidDel="00483035">
        <w:t xml:space="preserve">overdue </w:t>
      </w:r>
      <w:r>
        <w:t xml:space="preserve">debts, as a subset of all overdue debts, is assumed to be 34%. This is a result of debt recovery activities undertaken in </w:t>
      </w:r>
      <w:r w:rsidR="00956215">
        <w:t>stages</w:t>
      </w:r>
      <w:r>
        <w:t xml:space="preserve"> 1B, 2 and 3 recovering 66% of overdue debts. It should be emphasised that this debt write-off rate of 34% is expressed as a proportion of overdue debts, which is a small subset (10%) of the total debts. As such, the overall debt write-off rate should instead be viewed as ~3.4% of the total debts incurred from bond claims. Further detail can be found in </w:t>
      </w:r>
      <w:r w:rsidR="00A24674">
        <w:t>Subchapter</w:t>
      </w:r>
      <w:r>
        <w:t xml:space="preserve"> 6.2.</w:t>
      </w:r>
    </w:p>
    <w:p w14:paraId="2D75879C" w14:textId="77777777" w:rsidR="0067450D" w:rsidRDefault="0067450D" w:rsidP="0067450D">
      <w:pPr>
        <w:pStyle w:val="DJCSbody"/>
        <w:ind w:left="0"/>
      </w:pPr>
      <w:r>
        <w:t>Further detail on the adopted assumptions can be found in Appendix A.</w:t>
      </w:r>
    </w:p>
    <w:p w14:paraId="6A72D41F" w14:textId="2CFCF241" w:rsidR="0035361B" w:rsidRDefault="0035361B" w:rsidP="0035361B">
      <w:pPr>
        <w:pStyle w:val="Heading3"/>
      </w:pPr>
      <w:r w:rsidRPr="000F65FE">
        <w:lastRenderedPageBreak/>
        <w:t>Base case</w:t>
      </w:r>
    </w:p>
    <w:p w14:paraId="7D71EF16" w14:textId="7E4B3CA9" w:rsidR="00865876" w:rsidRPr="00865876" w:rsidRDefault="00865876" w:rsidP="00F0671F">
      <w:pPr>
        <w:pStyle w:val="Body"/>
      </w:pPr>
      <w:r w:rsidRPr="00865876">
        <w:t xml:space="preserve">The costs and </w:t>
      </w:r>
      <w:r w:rsidR="00E32C76">
        <w:t>impacts</w:t>
      </w:r>
      <w:r w:rsidRPr="00865876">
        <w:t xml:space="preserve"> of the </w:t>
      </w:r>
      <w:r w:rsidR="009243C7">
        <w:t xml:space="preserve">fee </w:t>
      </w:r>
      <w:r w:rsidRPr="00865876">
        <w:t xml:space="preserve">options are considered relative to a base case. The base case refers to the operation of the </w:t>
      </w:r>
      <w:r w:rsidR="0050033E">
        <w:t>amended</w:t>
      </w:r>
      <w:r w:rsidRPr="00865876">
        <w:t xml:space="preserve"> </w:t>
      </w:r>
      <w:r w:rsidR="00F544B5">
        <w:t xml:space="preserve">RT </w:t>
      </w:r>
      <w:r w:rsidR="00DE6270">
        <w:t>Act</w:t>
      </w:r>
      <w:r w:rsidR="00536C5B">
        <w:t xml:space="preserve"> </w:t>
      </w:r>
      <w:r w:rsidRPr="00865876">
        <w:t xml:space="preserve">where </w:t>
      </w:r>
      <w:r w:rsidR="007510AF">
        <w:t>the</w:t>
      </w:r>
      <w:r w:rsidR="00661B8E">
        <w:t xml:space="preserve"> </w:t>
      </w:r>
      <w:r w:rsidRPr="00865876">
        <w:t>Regulations are</w:t>
      </w:r>
      <w:r w:rsidR="007510AF">
        <w:t xml:space="preserve"> not introduced and are not present</w:t>
      </w:r>
      <w:r w:rsidRPr="00865876">
        <w:t xml:space="preserve"> to support the operationalisation of the PRBS. </w:t>
      </w:r>
      <w:r w:rsidR="00EF06B9">
        <w:t xml:space="preserve">Under this scenario, </w:t>
      </w:r>
      <w:r w:rsidR="0045465F">
        <w:t xml:space="preserve">no fees would be payable </w:t>
      </w:r>
      <w:r w:rsidR="00423730">
        <w:t xml:space="preserve">by renters </w:t>
      </w:r>
      <w:r w:rsidR="0045465F">
        <w:t>and the costs of the PRBS would be funded entirely by the Government</w:t>
      </w:r>
      <w:r w:rsidR="00DC7FEB">
        <w:t xml:space="preserve"> through general taxpayer revenue</w:t>
      </w:r>
      <w:r w:rsidR="0045465F">
        <w:t xml:space="preserve">. </w:t>
      </w:r>
      <w:r w:rsidR="005A03E5">
        <w:t xml:space="preserve">The base case is defined in more detail in </w:t>
      </w:r>
      <w:r w:rsidR="00A24674">
        <w:t>Subchapter</w:t>
      </w:r>
      <w:r w:rsidR="005A03E5">
        <w:t xml:space="preserve"> 2.2 and is </w:t>
      </w:r>
      <w:r w:rsidRPr="00865876">
        <w:t xml:space="preserve">discussed in </w:t>
      </w:r>
      <w:r w:rsidR="000A05D9">
        <w:t>reference to</w:t>
      </w:r>
      <w:r w:rsidRPr="00865876">
        <w:t xml:space="preserve"> </w:t>
      </w:r>
      <w:r w:rsidR="007E3844">
        <w:t xml:space="preserve">the </w:t>
      </w:r>
      <w:r w:rsidR="007458E0">
        <w:t>options</w:t>
      </w:r>
      <w:r w:rsidR="007E3844">
        <w:t xml:space="preserve"> </w:t>
      </w:r>
      <w:r w:rsidR="005A03E5">
        <w:t xml:space="preserve">outlined </w:t>
      </w:r>
      <w:r w:rsidR="007458E0">
        <w:t>in</w:t>
      </w:r>
      <w:r w:rsidRPr="00865876">
        <w:t xml:space="preserve"> </w:t>
      </w:r>
      <w:r w:rsidR="005A03E5">
        <w:t>Chapter 4</w:t>
      </w:r>
      <w:r w:rsidRPr="00865876">
        <w:t>.</w:t>
      </w:r>
    </w:p>
    <w:p w14:paraId="16EE2052" w14:textId="27630AEB" w:rsidR="00D643DB" w:rsidRPr="000F65FE" w:rsidRDefault="00D643DB" w:rsidP="00CA3C50">
      <w:pPr>
        <w:pStyle w:val="Heading3"/>
      </w:pPr>
      <w:r w:rsidRPr="000F65FE">
        <w:t>Calculation of costs</w:t>
      </w:r>
      <w:r w:rsidR="008B713A" w:rsidRPr="000F65FE">
        <w:t xml:space="preserve"> </w:t>
      </w:r>
    </w:p>
    <w:p w14:paraId="485AB10C" w14:textId="1DA6A606" w:rsidR="00865876" w:rsidRPr="005612AB" w:rsidRDefault="00865876" w:rsidP="003C7726">
      <w:pPr>
        <w:pStyle w:val="Heading4"/>
        <w:ind w:left="0"/>
      </w:pPr>
      <w:r>
        <w:t xml:space="preserve">Cost to </w:t>
      </w:r>
      <w:r w:rsidR="00953D7A">
        <w:t>Government</w:t>
      </w:r>
    </w:p>
    <w:p w14:paraId="29C9F99A" w14:textId="06A13C11" w:rsidR="00227C7A" w:rsidRPr="00227C7A" w:rsidRDefault="00227C7A" w:rsidP="00227C7A">
      <w:pPr>
        <w:pStyle w:val="Body"/>
      </w:pPr>
      <w:r>
        <w:t xml:space="preserve">The </w:t>
      </w:r>
      <w:r w:rsidR="00355D65">
        <w:t xml:space="preserve">total </w:t>
      </w:r>
      <w:r>
        <w:t>cost to the Government of operating the PRBS is estimated at approximately $2.9</w:t>
      </w:r>
      <w:r w:rsidR="00E85C30">
        <w:t xml:space="preserve"> </w:t>
      </w:r>
      <w:r>
        <w:t>m</w:t>
      </w:r>
      <w:r w:rsidR="00E85C30">
        <w:t>illion</w:t>
      </w:r>
      <w:r>
        <w:t xml:space="preserve"> per annum (in 2025-26), plus an estimated </w:t>
      </w:r>
      <w:r w:rsidR="001B0B49">
        <w:t>$</w:t>
      </w:r>
      <w:r w:rsidR="004612FF">
        <w:t>3.5</w:t>
      </w:r>
      <w:r w:rsidR="001B0B49">
        <w:t xml:space="preserve"> million </w:t>
      </w:r>
      <w:r>
        <w:t xml:space="preserve">of unrecoverable debt that </w:t>
      </w:r>
      <w:r w:rsidR="001B0B49">
        <w:t>is projected to</w:t>
      </w:r>
      <w:r>
        <w:t xml:space="preserve"> be written-off</w:t>
      </w:r>
      <w:r w:rsidR="001B0B49">
        <w:t xml:space="preserve"> over </w:t>
      </w:r>
      <w:r w:rsidR="001A60FC">
        <w:t>time</w:t>
      </w:r>
      <w:r w:rsidR="00A8547F">
        <w:t xml:space="preserve"> (</w:t>
      </w:r>
      <w:r w:rsidR="001A60FC">
        <w:t xml:space="preserve">further detail is included </w:t>
      </w:r>
      <w:r w:rsidR="00EF3B6D">
        <w:t xml:space="preserve">in </w:t>
      </w:r>
      <w:r w:rsidR="00A24674">
        <w:t>Subchapter</w:t>
      </w:r>
      <w:r w:rsidR="00EF3B6D">
        <w:t xml:space="preserve"> 6.2.</w:t>
      </w:r>
      <w:r w:rsidR="000D1C21">
        <w:t>1</w:t>
      </w:r>
      <w:r w:rsidR="00EF3B6D">
        <w:t xml:space="preserve"> </w:t>
      </w:r>
      <w:r w:rsidR="006372E6">
        <w:t>in</w:t>
      </w:r>
      <w:r w:rsidR="00EF3B6D">
        <w:t xml:space="preserve"> Table 15)</w:t>
      </w:r>
      <w:r>
        <w:t xml:space="preserve">. </w:t>
      </w:r>
    </w:p>
    <w:p w14:paraId="5EC69783" w14:textId="698D6BCB" w:rsidR="00F5025D" w:rsidRDefault="008D3F84" w:rsidP="00BD56C7">
      <w:pPr>
        <w:pStyle w:val="Body"/>
      </w:pPr>
      <w:r>
        <w:t>The PRBS</w:t>
      </w:r>
      <w:r w:rsidR="009C5CA9">
        <w:t xml:space="preserve"> </w:t>
      </w:r>
      <w:r w:rsidR="00C23F8E">
        <w:t xml:space="preserve">operating costs </w:t>
      </w:r>
      <w:r w:rsidR="00E018F2">
        <w:t>include the resourcing of Victorian Public Service (VPS) staff for general operations</w:t>
      </w:r>
      <w:r w:rsidR="00C23F8E">
        <w:t xml:space="preserve">, </w:t>
      </w:r>
      <w:r w:rsidR="00015D8F">
        <w:t>customer support</w:t>
      </w:r>
      <w:r w:rsidR="00996A81">
        <w:t xml:space="preserve"> and </w:t>
      </w:r>
      <w:r w:rsidR="00E018F2">
        <w:t>internal debt recovery</w:t>
      </w:r>
      <w:r w:rsidR="00996A81">
        <w:t xml:space="preserve"> activities</w:t>
      </w:r>
      <w:r w:rsidR="00E018F2">
        <w:t xml:space="preserve">. </w:t>
      </w:r>
      <w:r w:rsidR="00A57472">
        <w:t xml:space="preserve">It is estimated that </w:t>
      </w:r>
      <w:r w:rsidR="002571D0">
        <w:t>nine</w:t>
      </w:r>
      <w:r w:rsidR="00A57472">
        <w:t xml:space="preserve"> VPS</w:t>
      </w:r>
      <w:r w:rsidR="002571D0">
        <w:t xml:space="preserve"> </w:t>
      </w:r>
      <w:r w:rsidR="00A57472">
        <w:t xml:space="preserve">3, </w:t>
      </w:r>
      <w:r w:rsidR="002571D0">
        <w:t>one</w:t>
      </w:r>
      <w:r w:rsidR="00A57472">
        <w:t xml:space="preserve"> VPS</w:t>
      </w:r>
      <w:r w:rsidR="002571D0">
        <w:t xml:space="preserve"> </w:t>
      </w:r>
      <w:r w:rsidR="00A57472">
        <w:t xml:space="preserve">5 and </w:t>
      </w:r>
      <w:r w:rsidR="002571D0">
        <w:t>two</w:t>
      </w:r>
      <w:r w:rsidR="00A57472">
        <w:t xml:space="preserve"> VPS 6 staff will be required to maintain and administer the </w:t>
      </w:r>
      <w:r w:rsidR="000F56FA">
        <w:t>PRBS</w:t>
      </w:r>
      <w:r w:rsidR="00A57472">
        <w:t xml:space="preserve">. </w:t>
      </w:r>
      <w:r w:rsidR="00342EBD">
        <w:t xml:space="preserve">The operating costs also include </w:t>
      </w:r>
      <w:r w:rsidR="00342EBD" w:rsidRPr="001943E2">
        <w:t>licencing costs for additional IT</w:t>
      </w:r>
      <w:r w:rsidR="00342EBD">
        <w:t xml:space="preserve"> systems</w:t>
      </w:r>
      <w:r w:rsidR="00342EBD" w:rsidRPr="001943E2">
        <w:t xml:space="preserve"> and debt collection management platform</w:t>
      </w:r>
      <w:r w:rsidR="00342EBD">
        <w:t>s</w:t>
      </w:r>
      <w:r w:rsidR="00F66C5E">
        <w:t xml:space="preserve">. </w:t>
      </w:r>
    </w:p>
    <w:p w14:paraId="408E2375" w14:textId="5D8A58BE" w:rsidR="00865876" w:rsidRDefault="00E018F2" w:rsidP="00BE5ED9">
      <w:pPr>
        <w:pStyle w:val="Body"/>
      </w:pPr>
      <w:r>
        <w:t xml:space="preserve">The </w:t>
      </w:r>
      <w:r w:rsidR="00E22F42">
        <w:t xml:space="preserve">estimated </w:t>
      </w:r>
      <w:r>
        <w:t>annual cost of each operational aspect of the PRBS is outlined</w:t>
      </w:r>
      <w:r w:rsidR="0075186F">
        <w:t xml:space="preserve"> in </w:t>
      </w:r>
      <w:r w:rsidR="006B2851">
        <w:t>T</w:t>
      </w:r>
      <w:r w:rsidR="00D01D18">
        <w:t>able 7</w:t>
      </w:r>
      <w:r>
        <w:t xml:space="preserve"> below</w:t>
      </w:r>
      <w:r w:rsidR="00E755E6">
        <w:t xml:space="preserve">. Costs are forecast </w:t>
      </w:r>
      <w:r>
        <w:t>to increase with inflation</w:t>
      </w:r>
      <w:r w:rsidR="00AD3461">
        <w:t xml:space="preserve"> and wage</w:t>
      </w:r>
      <w:r w:rsidR="000B18C8">
        <w:t xml:space="preserve"> growth</w:t>
      </w:r>
      <w:r>
        <w:t xml:space="preserve"> </w:t>
      </w:r>
      <w:r w:rsidR="00C801E3">
        <w:t xml:space="preserve">rates </w:t>
      </w:r>
      <w:r w:rsidR="006B2851">
        <w:t xml:space="preserve">each year. </w:t>
      </w:r>
      <w:r w:rsidR="006B2851" w:rsidDel="006B2851">
        <w:t xml:space="preserve"> </w:t>
      </w:r>
      <w:r w:rsidR="00D01D18">
        <w:t xml:space="preserve"> </w:t>
      </w:r>
    </w:p>
    <w:p w14:paraId="432DFE52" w14:textId="21B6061F" w:rsidR="00D126D3" w:rsidRDefault="00D126D3" w:rsidP="00BE5ED9">
      <w:pPr>
        <w:pStyle w:val="Caption"/>
        <w:keepNext/>
      </w:pPr>
      <w:r>
        <w:t xml:space="preserve">Table </w:t>
      </w:r>
      <w:r>
        <w:fldChar w:fldCharType="begin"/>
      </w:r>
      <w:r>
        <w:instrText xml:space="preserve"> SEQ Table \* ARABIC </w:instrText>
      </w:r>
      <w:r>
        <w:fldChar w:fldCharType="separate"/>
      </w:r>
      <w:r w:rsidR="00A50199">
        <w:rPr>
          <w:noProof/>
        </w:rPr>
        <w:t>10</w:t>
      </w:r>
      <w:r>
        <w:fldChar w:fldCharType="end"/>
      </w:r>
      <w:r>
        <w:t xml:space="preserve">: </w:t>
      </w:r>
      <w:r w:rsidRPr="005B313B">
        <w:t>Estimated ongoing costs of the PRBS (inflated, undiscounted figures)</w:t>
      </w:r>
    </w:p>
    <w:tbl>
      <w:tblPr>
        <w:tblStyle w:val="DJRReporttablestyleNavy"/>
        <w:tblW w:w="10348" w:type="dxa"/>
        <w:tblInd w:w="-5" w:type="dxa"/>
        <w:tblLayout w:type="fixed"/>
        <w:tblLook w:val="04A0" w:firstRow="1" w:lastRow="0" w:firstColumn="1" w:lastColumn="0" w:noHBand="0" w:noVBand="1"/>
      </w:tblPr>
      <w:tblGrid>
        <w:gridCol w:w="2552"/>
        <w:gridCol w:w="5953"/>
        <w:gridCol w:w="1843"/>
      </w:tblGrid>
      <w:tr w:rsidR="00CA3C50" w:rsidRPr="000F65FE" w14:paraId="2E1163AF" w14:textId="77777777" w:rsidTr="001F576E">
        <w:trPr>
          <w:cnfStyle w:val="100000000000" w:firstRow="1" w:lastRow="0" w:firstColumn="0" w:lastColumn="0" w:oddVBand="0" w:evenVBand="0" w:oddHBand="0" w:evenHBand="0" w:firstRowFirstColumn="0" w:firstRowLastColumn="0" w:lastRowFirstColumn="0" w:lastRowLastColumn="0"/>
          <w:tblHeader/>
        </w:trPr>
        <w:tc>
          <w:tcPr>
            <w:tcW w:w="2552" w:type="dxa"/>
            <w:tcBorders>
              <w:top w:val="single" w:sz="4" w:space="0" w:color="auto"/>
              <w:left w:val="single" w:sz="4" w:space="0" w:color="auto"/>
              <w:bottom w:val="single" w:sz="4" w:space="0" w:color="auto"/>
              <w:right w:val="single" w:sz="4" w:space="0" w:color="auto"/>
            </w:tcBorders>
            <w:shd w:val="clear" w:color="auto" w:fill="16145F" w:themeFill="accent3"/>
          </w:tcPr>
          <w:p w14:paraId="27F328A1" w14:textId="77777777" w:rsidR="00CA3C50" w:rsidRPr="000F65FE" w:rsidRDefault="00CA3C50">
            <w:pPr>
              <w:pStyle w:val="Body"/>
              <w:jc w:val="center"/>
            </w:pPr>
            <w:r w:rsidRPr="000F65FE">
              <w:t>Cost</w:t>
            </w:r>
          </w:p>
        </w:tc>
        <w:tc>
          <w:tcPr>
            <w:tcW w:w="5953" w:type="dxa"/>
            <w:tcBorders>
              <w:top w:val="single" w:sz="4" w:space="0" w:color="auto"/>
              <w:left w:val="single" w:sz="4" w:space="0" w:color="auto"/>
              <w:bottom w:val="single" w:sz="4" w:space="0" w:color="auto"/>
              <w:right w:val="single" w:sz="4" w:space="0" w:color="auto"/>
            </w:tcBorders>
            <w:shd w:val="clear" w:color="auto" w:fill="16145F" w:themeFill="accent3"/>
          </w:tcPr>
          <w:p w14:paraId="366A7C42" w14:textId="77777777" w:rsidR="00CA3C50" w:rsidRPr="000F65FE" w:rsidRDefault="00CA3C50">
            <w:pPr>
              <w:pStyle w:val="Body"/>
              <w:jc w:val="center"/>
            </w:pPr>
            <w:r w:rsidRPr="000F65FE">
              <w:t>Description</w:t>
            </w:r>
          </w:p>
        </w:tc>
        <w:tc>
          <w:tcPr>
            <w:tcW w:w="1843" w:type="dxa"/>
            <w:tcBorders>
              <w:top w:val="single" w:sz="4" w:space="0" w:color="auto"/>
              <w:left w:val="single" w:sz="4" w:space="0" w:color="auto"/>
              <w:bottom w:val="single" w:sz="4" w:space="0" w:color="auto"/>
              <w:right w:val="single" w:sz="4" w:space="0" w:color="auto"/>
            </w:tcBorders>
            <w:shd w:val="clear" w:color="auto" w:fill="16145F" w:themeFill="accent3"/>
          </w:tcPr>
          <w:p w14:paraId="2E2DCCAA" w14:textId="17838400" w:rsidR="00CA3C50" w:rsidRPr="000F65FE" w:rsidRDefault="007E220C">
            <w:pPr>
              <w:pStyle w:val="Body"/>
              <w:jc w:val="center"/>
            </w:pPr>
            <w:r>
              <w:t xml:space="preserve">Average </w:t>
            </w:r>
            <w:r w:rsidR="00CA3C50">
              <w:t xml:space="preserve">Cost Base </w:t>
            </w:r>
            <w:r>
              <w:t>p.a.</w:t>
            </w:r>
            <w:r w:rsidR="00CA3C50">
              <w:t xml:space="preserve"> (202</w:t>
            </w:r>
            <w:r>
              <w:t>6</w:t>
            </w:r>
            <w:r w:rsidR="00CA3C50">
              <w:t>-</w:t>
            </w:r>
            <w:r>
              <w:t>2035</w:t>
            </w:r>
            <w:r w:rsidR="00CA3C50">
              <w:t>)</w:t>
            </w:r>
            <w:r w:rsidR="00CA3C50" w:rsidRPr="000F65FE">
              <w:t xml:space="preserve"> </w:t>
            </w:r>
          </w:p>
        </w:tc>
      </w:tr>
      <w:tr w:rsidR="00CA3C50" w:rsidRPr="000F65FE" w14:paraId="3A36F5AE" w14:textId="77777777" w:rsidTr="001F576E">
        <w:trPr>
          <w:trHeight w:val="1071"/>
        </w:trPr>
        <w:tc>
          <w:tcPr>
            <w:tcW w:w="2552" w:type="dxa"/>
            <w:tcBorders>
              <w:top w:val="single" w:sz="4" w:space="0" w:color="auto"/>
              <w:left w:val="single" w:sz="4" w:space="0" w:color="auto"/>
              <w:bottom w:val="single" w:sz="4" w:space="0" w:color="auto"/>
              <w:right w:val="single" w:sz="4" w:space="0" w:color="auto"/>
            </w:tcBorders>
          </w:tcPr>
          <w:p w14:paraId="6C2A06D0" w14:textId="2B6BBEDB" w:rsidR="00CA3C50" w:rsidRPr="000F65FE" w:rsidRDefault="00CA3C50">
            <w:pPr>
              <w:pStyle w:val="Body"/>
              <w:jc w:val="center"/>
              <w:rPr>
                <w:b/>
                <w:bCs/>
              </w:rPr>
            </w:pPr>
            <w:r>
              <w:rPr>
                <w:b/>
                <w:bCs/>
              </w:rPr>
              <w:t xml:space="preserve">General </w:t>
            </w:r>
            <w:r w:rsidR="00152F5C">
              <w:rPr>
                <w:b/>
                <w:bCs/>
              </w:rPr>
              <w:t>o</w:t>
            </w:r>
            <w:r>
              <w:rPr>
                <w:b/>
                <w:bCs/>
              </w:rPr>
              <w:t>perations</w:t>
            </w:r>
          </w:p>
        </w:tc>
        <w:tc>
          <w:tcPr>
            <w:tcW w:w="5953" w:type="dxa"/>
            <w:tcBorders>
              <w:top w:val="single" w:sz="4" w:space="0" w:color="auto"/>
              <w:left w:val="single" w:sz="4" w:space="0" w:color="auto"/>
              <w:bottom w:val="single" w:sz="4" w:space="0" w:color="auto"/>
              <w:right w:val="single" w:sz="4" w:space="0" w:color="auto"/>
            </w:tcBorders>
          </w:tcPr>
          <w:p w14:paraId="23545C64" w14:textId="0D07D5D3" w:rsidR="00CA3C50" w:rsidRPr="000F65FE" w:rsidRDefault="002065B8">
            <w:pPr>
              <w:pStyle w:val="Body"/>
              <w:spacing w:after="0"/>
              <w:jc w:val="left"/>
            </w:pPr>
            <w:r>
              <w:t>PRBS management costs, including program governance and financial management, general customer service functions and administration of hardship provisions.</w:t>
            </w:r>
          </w:p>
        </w:tc>
        <w:tc>
          <w:tcPr>
            <w:tcW w:w="1843" w:type="dxa"/>
            <w:tcBorders>
              <w:top w:val="single" w:sz="4" w:space="0" w:color="auto"/>
              <w:left w:val="single" w:sz="4" w:space="0" w:color="auto"/>
              <w:bottom w:val="single" w:sz="4" w:space="0" w:color="auto"/>
              <w:right w:val="single" w:sz="4" w:space="0" w:color="auto"/>
            </w:tcBorders>
          </w:tcPr>
          <w:p w14:paraId="7669217F" w14:textId="5F859CA4" w:rsidR="00CA3C50" w:rsidRPr="00702400" w:rsidRDefault="00CA3C50">
            <w:pPr>
              <w:pStyle w:val="Body"/>
              <w:jc w:val="center"/>
            </w:pPr>
            <w:r w:rsidRPr="00702400">
              <w:t>$1.</w:t>
            </w:r>
            <w:r w:rsidR="00B70278">
              <w:t>61</w:t>
            </w:r>
            <w:r w:rsidRPr="00702400">
              <w:t>m</w:t>
            </w:r>
          </w:p>
        </w:tc>
      </w:tr>
      <w:tr w:rsidR="00CA3C50" w:rsidRPr="000F65FE" w14:paraId="3E97E346" w14:textId="77777777" w:rsidTr="001F576E">
        <w:trPr>
          <w:trHeight w:val="1114"/>
        </w:trPr>
        <w:tc>
          <w:tcPr>
            <w:tcW w:w="2552" w:type="dxa"/>
            <w:tcBorders>
              <w:top w:val="single" w:sz="4" w:space="0" w:color="auto"/>
              <w:left w:val="single" w:sz="4" w:space="0" w:color="auto"/>
              <w:bottom w:val="single" w:sz="4" w:space="0" w:color="auto"/>
              <w:right w:val="single" w:sz="4" w:space="0" w:color="auto"/>
            </w:tcBorders>
          </w:tcPr>
          <w:p w14:paraId="697BE774" w14:textId="10AE9040"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 xml:space="preserve">Initial </w:t>
            </w:r>
            <w:r w:rsidR="00152F5C">
              <w:rPr>
                <w:rFonts w:asciiTheme="minorHAnsi" w:eastAsia="Lucida Grande" w:hAnsiTheme="minorHAnsi" w:cstheme="minorHAnsi"/>
                <w:b/>
                <w:bCs/>
                <w:sz w:val="22"/>
                <w:szCs w:val="22"/>
              </w:rPr>
              <w:t>p</w:t>
            </w:r>
            <w:r>
              <w:rPr>
                <w:rFonts w:asciiTheme="minorHAnsi" w:eastAsia="Lucida Grande" w:hAnsiTheme="minorHAnsi" w:cstheme="minorHAnsi"/>
                <w:b/>
                <w:bCs/>
                <w:sz w:val="22"/>
                <w:szCs w:val="22"/>
              </w:rPr>
              <w:t xml:space="preserve">ayment </w:t>
            </w:r>
            <w:r w:rsidR="00152F5C">
              <w:rPr>
                <w:rFonts w:asciiTheme="minorHAnsi" w:eastAsia="Lucida Grande" w:hAnsiTheme="minorHAnsi" w:cstheme="minorHAnsi"/>
                <w:b/>
                <w:bCs/>
                <w:sz w:val="22"/>
                <w:szCs w:val="22"/>
              </w:rPr>
              <w:t>p</w:t>
            </w:r>
            <w:r>
              <w:rPr>
                <w:rFonts w:asciiTheme="minorHAnsi" w:eastAsia="Lucida Grande" w:hAnsiTheme="minorHAnsi" w:cstheme="minorHAnsi"/>
                <w:b/>
                <w:bCs/>
                <w:sz w:val="22"/>
                <w:szCs w:val="22"/>
              </w:rPr>
              <w:t xml:space="preserve">eriod </w:t>
            </w:r>
          </w:p>
          <w:p w14:paraId="1B60A7B4" w14:textId="48C843CB" w:rsidR="00CA3C50" w:rsidRPr="00AF7479" w:rsidRDefault="00CA3C50" w:rsidP="00FA292A">
            <w:pPr>
              <w:jc w:val="center"/>
              <w:rPr>
                <w:rFonts w:asciiTheme="minorHAnsi" w:eastAsia="Lucida Grande" w:hAnsiTheme="minorHAnsi" w:cstheme="minorHAnsi"/>
                <w:i/>
                <w:iCs/>
                <w:sz w:val="22"/>
                <w:szCs w:val="22"/>
              </w:rPr>
            </w:pPr>
            <w:r w:rsidRPr="00AF7479">
              <w:rPr>
                <w:rFonts w:asciiTheme="minorHAnsi" w:eastAsia="Lucida Grande" w:hAnsiTheme="minorHAnsi" w:cstheme="minorHAnsi"/>
                <w:sz w:val="22"/>
                <w:szCs w:val="22"/>
              </w:rPr>
              <w:t>(Stage 1A)</w:t>
            </w:r>
            <w:r>
              <w:rPr>
                <w:rFonts w:asciiTheme="minorHAnsi" w:eastAsia="Lucida Grande" w:hAnsiTheme="minorHAnsi" w:cstheme="minorHAnsi"/>
                <w:b/>
                <w:bCs/>
                <w:sz w:val="22"/>
                <w:szCs w:val="22"/>
              </w:rPr>
              <w:t xml:space="preserve"> </w:t>
            </w:r>
          </w:p>
        </w:tc>
        <w:tc>
          <w:tcPr>
            <w:tcW w:w="5953" w:type="dxa"/>
            <w:tcBorders>
              <w:top w:val="single" w:sz="4" w:space="0" w:color="auto"/>
              <w:left w:val="single" w:sz="4" w:space="0" w:color="auto"/>
              <w:bottom w:val="single" w:sz="4" w:space="0" w:color="auto"/>
              <w:right w:val="single" w:sz="4" w:space="0" w:color="auto"/>
            </w:tcBorders>
          </w:tcPr>
          <w:p w14:paraId="660E7802" w14:textId="77777777" w:rsidR="00CA3C50" w:rsidRPr="000F65FE" w:rsidRDefault="00CA3C50">
            <w:pPr>
              <w:pStyle w:val="Body"/>
              <w:spacing w:after="0"/>
              <w:jc w:val="left"/>
            </w:pPr>
            <w:r>
              <w:t>Cost of recovering a bond claim payment before it becomes overdue, including issuing initial invoices, electronic and physical notifications and interim reminders of payment, as well as maintaining customer support staff that are available to respond to inquiries.</w:t>
            </w:r>
          </w:p>
        </w:tc>
        <w:tc>
          <w:tcPr>
            <w:tcW w:w="1843" w:type="dxa"/>
            <w:tcBorders>
              <w:top w:val="single" w:sz="4" w:space="0" w:color="auto"/>
              <w:left w:val="single" w:sz="4" w:space="0" w:color="auto"/>
              <w:bottom w:val="single" w:sz="4" w:space="0" w:color="auto"/>
              <w:right w:val="single" w:sz="4" w:space="0" w:color="auto"/>
            </w:tcBorders>
          </w:tcPr>
          <w:p w14:paraId="541ED9D7" w14:textId="77777777" w:rsidR="00CA3C50" w:rsidRPr="00702400" w:rsidRDefault="00CA3C50">
            <w:pPr>
              <w:pStyle w:val="Body"/>
              <w:jc w:val="center"/>
            </w:pPr>
            <w:r w:rsidRPr="00702400">
              <w:t>$0.30m</w:t>
            </w:r>
          </w:p>
        </w:tc>
      </w:tr>
      <w:tr w:rsidR="00CA3C50" w:rsidRPr="000F65FE" w14:paraId="6C7FACA0" w14:textId="77777777" w:rsidTr="001F576E">
        <w:trPr>
          <w:trHeight w:val="1637"/>
        </w:trPr>
        <w:tc>
          <w:tcPr>
            <w:tcW w:w="2552" w:type="dxa"/>
            <w:tcBorders>
              <w:top w:val="single" w:sz="4" w:space="0" w:color="auto"/>
              <w:left w:val="single" w:sz="4" w:space="0" w:color="auto"/>
              <w:bottom w:val="single" w:sz="4" w:space="0" w:color="auto"/>
              <w:right w:val="single" w:sz="4" w:space="0" w:color="auto"/>
            </w:tcBorders>
          </w:tcPr>
          <w:p w14:paraId="63F6C9EC" w14:textId="1F7B4DDD"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 xml:space="preserve">Internal </w:t>
            </w:r>
            <w:r w:rsidR="00152F5C">
              <w:rPr>
                <w:rFonts w:asciiTheme="minorHAnsi" w:eastAsia="Lucida Grande" w:hAnsiTheme="minorHAnsi" w:cstheme="minorHAnsi"/>
                <w:b/>
                <w:bCs/>
                <w:sz w:val="22"/>
                <w:szCs w:val="22"/>
              </w:rPr>
              <w:t>d</w:t>
            </w:r>
            <w:r>
              <w:rPr>
                <w:rFonts w:asciiTheme="minorHAnsi" w:eastAsia="Lucida Grande" w:hAnsiTheme="minorHAnsi" w:cstheme="minorHAnsi"/>
                <w:b/>
                <w:bCs/>
                <w:sz w:val="22"/>
                <w:szCs w:val="22"/>
              </w:rPr>
              <w:t xml:space="preserve">ebt </w:t>
            </w:r>
            <w:r w:rsidR="00152F5C">
              <w:rPr>
                <w:rFonts w:asciiTheme="minorHAnsi" w:eastAsia="Lucida Grande" w:hAnsiTheme="minorHAnsi" w:cstheme="minorHAnsi"/>
                <w:b/>
                <w:bCs/>
                <w:sz w:val="22"/>
                <w:szCs w:val="22"/>
              </w:rPr>
              <w:t>r</w:t>
            </w:r>
            <w:r>
              <w:rPr>
                <w:rFonts w:asciiTheme="minorHAnsi" w:eastAsia="Lucida Grande" w:hAnsiTheme="minorHAnsi" w:cstheme="minorHAnsi"/>
                <w:b/>
                <w:bCs/>
                <w:sz w:val="22"/>
                <w:szCs w:val="22"/>
              </w:rPr>
              <w:t xml:space="preserve">ecovery </w:t>
            </w:r>
            <w:r w:rsidR="001840A4">
              <w:rPr>
                <w:rFonts w:asciiTheme="minorHAnsi" w:eastAsia="Lucida Grande" w:hAnsiTheme="minorHAnsi" w:cstheme="minorHAnsi"/>
                <w:b/>
                <w:bCs/>
                <w:sz w:val="22"/>
                <w:szCs w:val="22"/>
              </w:rPr>
              <w:t>managed by the</w:t>
            </w:r>
            <w:r w:rsidR="00D107A5">
              <w:rPr>
                <w:rFonts w:asciiTheme="minorHAnsi" w:eastAsia="Lucida Grande" w:hAnsiTheme="minorHAnsi" w:cstheme="minorHAnsi"/>
                <w:b/>
                <w:bCs/>
                <w:sz w:val="22"/>
                <w:szCs w:val="22"/>
              </w:rPr>
              <w:t xml:space="preserve"> </w:t>
            </w:r>
            <w:r w:rsidR="002065B8">
              <w:rPr>
                <w:rFonts w:asciiTheme="minorHAnsi" w:eastAsia="Lucida Grande" w:hAnsiTheme="minorHAnsi" w:cstheme="minorHAnsi"/>
                <w:b/>
                <w:bCs/>
                <w:sz w:val="22"/>
                <w:szCs w:val="22"/>
              </w:rPr>
              <w:t>Government</w:t>
            </w:r>
          </w:p>
          <w:p w14:paraId="0DAD463E" w14:textId="77777777" w:rsidR="00CA3C50" w:rsidRPr="00902CDC" w:rsidRDefault="00CA3C50">
            <w:pPr>
              <w:jc w:val="center"/>
              <w:rPr>
                <w:rFonts w:asciiTheme="minorHAnsi" w:eastAsia="Lucida Grande" w:hAnsiTheme="minorHAnsi" w:cstheme="minorHAnsi"/>
                <w:sz w:val="22"/>
                <w:szCs w:val="22"/>
              </w:rPr>
            </w:pPr>
            <w:r w:rsidRPr="00902CDC">
              <w:rPr>
                <w:rFonts w:asciiTheme="minorHAnsi" w:eastAsia="Lucida Grande" w:hAnsiTheme="minorHAnsi" w:cstheme="minorHAnsi"/>
                <w:sz w:val="22"/>
                <w:szCs w:val="22"/>
              </w:rPr>
              <w:t>(Stage 1B)</w:t>
            </w:r>
          </w:p>
        </w:tc>
        <w:tc>
          <w:tcPr>
            <w:tcW w:w="5953" w:type="dxa"/>
            <w:tcBorders>
              <w:top w:val="single" w:sz="4" w:space="0" w:color="auto"/>
              <w:left w:val="single" w:sz="4" w:space="0" w:color="auto"/>
              <w:bottom w:val="single" w:sz="4" w:space="0" w:color="auto"/>
              <w:right w:val="single" w:sz="4" w:space="0" w:color="auto"/>
            </w:tcBorders>
          </w:tcPr>
          <w:p w14:paraId="4B6C7464" w14:textId="62B2F8AB" w:rsidR="00CA3C50" w:rsidRPr="00542944" w:rsidRDefault="00CA3C50">
            <w:pPr>
              <w:pStyle w:val="Body"/>
              <w:spacing w:after="0"/>
              <w:jc w:val="left"/>
            </w:pPr>
            <w:r>
              <w:t>Cost of recovering a bond claim payment once it has become overdue, including issuing initial invoices, electronic and physical noti</w:t>
            </w:r>
            <w:r w:rsidR="00413136">
              <w:t>ce</w:t>
            </w:r>
            <w:r>
              <w:t>s, as well as maintaining customer support staff that are available to respond to inquiries.</w:t>
            </w:r>
          </w:p>
        </w:tc>
        <w:tc>
          <w:tcPr>
            <w:tcW w:w="1843" w:type="dxa"/>
            <w:tcBorders>
              <w:top w:val="single" w:sz="4" w:space="0" w:color="auto"/>
              <w:left w:val="single" w:sz="4" w:space="0" w:color="auto"/>
              <w:bottom w:val="single" w:sz="4" w:space="0" w:color="auto"/>
              <w:right w:val="single" w:sz="4" w:space="0" w:color="auto"/>
            </w:tcBorders>
          </w:tcPr>
          <w:p w14:paraId="1AB9FF31" w14:textId="77777777" w:rsidR="00CA3C50" w:rsidRPr="00702400" w:rsidRDefault="00CA3C50">
            <w:pPr>
              <w:pStyle w:val="Body"/>
              <w:jc w:val="center"/>
            </w:pPr>
            <w:r w:rsidRPr="00702400">
              <w:t>$0.03m</w:t>
            </w:r>
          </w:p>
        </w:tc>
      </w:tr>
      <w:tr w:rsidR="00CA3C50" w:rsidRPr="000F65FE" w14:paraId="104B89FD"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790E6E4F" w14:textId="71903B4D"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 xml:space="preserve">External Debt Recovery </w:t>
            </w:r>
            <w:r w:rsidR="0007435A">
              <w:rPr>
                <w:rFonts w:asciiTheme="minorHAnsi" w:eastAsia="Lucida Grande" w:hAnsiTheme="minorHAnsi" w:cstheme="minorHAnsi"/>
                <w:b/>
                <w:bCs/>
                <w:sz w:val="22"/>
                <w:szCs w:val="22"/>
              </w:rPr>
              <w:t xml:space="preserve">by an external </w:t>
            </w:r>
            <w:r w:rsidR="003E50D7">
              <w:rPr>
                <w:rFonts w:asciiTheme="minorHAnsi" w:eastAsia="Lucida Grande" w:hAnsiTheme="minorHAnsi" w:cstheme="minorHAnsi"/>
                <w:b/>
                <w:bCs/>
                <w:sz w:val="22"/>
                <w:szCs w:val="22"/>
              </w:rPr>
              <w:t>DCA</w:t>
            </w:r>
          </w:p>
          <w:p w14:paraId="39AAB407" w14:textId="77777777" w:rsidR="00CA3C50" w:rsidRDefault="00CA3C50">
            <w:pPr>
              <w:jc w:val="center"/>
              <w:rPr>
                <w:rFonts w:asciiTheme="minorHAnsi" w:eastAsia="Lucida Grande" w:hAnsiTheme="minorHAnsi" w:cstheme="minorHAnsi"/>
                <w:b/>
                <w:bCs/>
                <w:sz w:val="22"/>
                <w:szCs w:val="22"/>
              </w:rPr>
            </w:pPr>
            <w:r w:rsidRPr="00902CDC">
              <w:rPr>
                <w:rFonts w:asciiTheme="minorHAnsi" w:eastAsia="Lucida Grande" w:hAnsiTheme="minorHAnsi" w:cstheme="minorHAnsi"/>
                <w:sz w:val="22"/>
                <w:szCs w:val="22"/>
              </w:rPr>
              <w:t xml:space="preserve">(Stage </w:t>
            </w:r>
            <w:r>
              <w:rPr>
                <w:rFonts w:asciiTheme="minorHAnsi" w:eastAsia="Lucida Grande" w:hAnsiTheme="minorHAnsi" w:cstheme="minorHAnsi"/>
                <w:sz w:val="22"/>
                <w:szCs w:val="22"/>
              </w:rPr>
              <w:t>2</w:t>
            </w:r>
            <w:r w:rsidRPr="00902CDC">
              <w:rPr>
                <w:rFonts w:asciiTheme="minorHAnsi" w:eastAsia="Lucida Grande" w:hAnsiTheme="minorHAnsi" w:cstheme="minorHAnsi"/>
                <w:sz w:val="22"/>
                <w:szCs w:val="22"/>
              </w:rPr>
              <w:t>)</w:t>
            </w:r>
          </w:p>
        </w:tc>
        <w:tc>
          <w:tcPr>
            <w:tcW w:w="5953" w:type="dxa"/>
            <w:tcBorders>
              <w:top w:val="single" w:sz="4" w:space="0" w:color="auto"/>
              <w:left w:val="single" w:sz="4" w:space="0" w:color="auto"/>
              <w:bottom w:val="single" w:sz="4" w:space="0" w:color="auto"/>
              <w:right w:val="single" w:sz="4" w:space="0" w:color="auto"/>
            </w:tcBorders>
          </w:tcPr>
          <w:p w14:paraId="1640856B" w14:textId="5866CCC8" w:rsidR="00CA3C50" w:rsidRPr="00542944" w:rsidRDefault="00CA3C50">
            <w:pPr>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Cost </w:t>
            </w:r>
            <w:r w:rsidR="00834DDE">
              <w:rPr>
                <w:rFonts w:asciiTheme="minorHAnsi" w:eastAsia="Lucida Grande" w:hAnsiTheme="minorHAnsi" w:cstheme="minorHAnsi"/>
                <w:sz w:val="22"/>
                <w:szCs w:val="22"/>
              </w:rPr>
              <w:t>of internal customer support provided to</w:t>
            </w:r>
            <w:r>
              <w:rPr>
                <w:rFonts w:asciiTheme="minorHAnsi" w:eastAsia="Lucida Grande" w:hAnsiTheme="minorHAnsi" w:cstheme="minorHAnsi"/>
                <w:sz w:val="22"/>
                <w:szCs w:val="22"/>
              </w:rPr>
              <w:t xml:space="preserve"> </w:t>
            </w:r>
            <w:r w:rsidR="00834DDE">
              <w:rPr>
                <w:rFonts w:asciiTheme="minorHAnsi" w:eastAsia="Lucida Grande" w:hAnsiTheme="minorHAnsi" w:cstheme="minorHAnsi"/>
                <w:sz w:val="22"/>
                <w:szCs w:val="22"/>
              </w:rPr>
              <w:t>renters who have their debt</w:t>
            </w:r>
            <w:r>
              <w:rPr>
                <w:rFonts w:asciiTheme="minorHAnsi" w:eastAsia="Lucida Grande" w:hAnsiTheme="minorHAnsi" w:cstheme="minorHAnsi"/>
                <w:sz w:val="22"/>
                <w:szCs w:val="22"/>
              </w:rPr>
              <w:t xml:space="preserve"> </w:t>
            </w:r>
            <w:r w:rsidR="00CF18E3">
              <w:rPr>
                <w:rFonts w:asciiTheme="minorHAnsi" w:eastAsia="Lucida Grande" w:hAnsiTheme="minorHAnsi" w:cstheme="minorHAnsi"/>
                <w:sz w:val="22"/>
                <w:szCs w:val="22"/>
              </w:rPr>
              <w:t>r</w:t>
            </w:r>
            <w:r>
              <w:rPr>
                <w:rFonts w:asciiTheme="minorHAnsi" w:eastAsia="Lucida Grande" w:hAnsiTheme="minorHAnsi" w:cstheme="minorHAnsi"/>
                <w:sz w:val="22"/>
                <w:szCs w:val="22"/>
              </w:rPr>
              <w:t>eferred to a</w:t>
            </w:r>
            <w:r w:rsidR="00B16778">
              <w:rPr>
                <w:rFonts w:asciiTheme="minorHAnsi" w:eastAsia="Lucida Grande" w:hAnsiTheme="minorHAnsi" w:cstheme="minorHAnsi"/>
                <w:sz w:val="22"/>
                <w:szCs w:val="22"/>
              </w:rPr>
              <w:t>n</w:t>
            </w:r>
            <w:r>
              <w:rPr>
                <w:rFonts w:asciiTheme="minorHAnsi" w:eastAsia="Lucida Grande" w:hAnsiTheme="minorHAnsi" w:cstheme="minorHAnsi"/>
                <w:sz w:val="22"/>
                <w:szCs w:val="22"/>
              </w:rPr>
              <w:t xml:space="preserve"> </w:t>
            </w:r>
            <w:r w:rsidR="00EB5CB9">
              <w:rPr>
                <w:rFonts w:asciiTheme="minorHAnsi" w:eastAsia="Lucida Grande" w:hAnsiTheme="minorHAnsi" w:cstheme="minorHAnsi"/>
                <w:sz w:val="22"/>
                <w:szCs w:val="22"/>
              </w:rPr>
              <w:t xml:space="preserve">external </w:t>
            </w:r>
            <w:r w:rsidR="003E50D7">
              <w:rPr>
                <w:rFonts w:asciiTheme="minorHAnsi" w:eastAsia="Lucida Grande" w:hAnsiTheme="minorHAnsi" w:cstheme="minorHAnsi"/>
                <w:sz w:val="22"/>
                <w:szCs w:val="22"/>
              </w:rPr>
              <w:t>DCA</w:t>
            </w:r>
            <w:r w:rsidR="00CF18E3">
              <w:rPr>
                <w:rFonts w:asciiTheme="minorHAnsi" w:eastAsia="Lucida Grande" w:hAnsiTheme="minorHAnsi" w:cstheme="minorHAnsi"/>
                <w:sz w:val="22"/>
                <w:szCs w:val="22"/>
              </w:rPr>
              <w:t xml:space="preserve"> – this </w:t>
            </w:r>
            <w:r>
              <w:rPr>
                <w:rFonts w:asciiTheme="minorHAnsi" w:eastAsia="Lucida Grande" w:hAnsiTheme="minorHAnsi" w:cstheme="minorHAnsi"/>
                <w:sz w:val="22"/>
                <w:szCs w:val="22"/>
              </w:rPr>
              <w:t>includes available customer support staff to respond to inquiries</w:t>
            </w:r>
            <w:r w:rsidR="00CF18E3">
              <w:rPr>
                <w:rFonts w:asciiTheme="minorHAnsi" w:eastAsia="Lucida Grande" w:hAnsiTheme="minorHAnsi" w:cstheme="minorHAnsi"/>
                <w:sz w:val="22"/>
                <w:szCs w:val="22"/>
              </w:rPr>
              <w:t xml:space="preserve"> but excludes the cost of the services provided by the DCA</w:t>
            </w:r>
            <w:r>
              <w:rPr>
                <w:rFonts w:asciiTheme="minorHAnsi" w:eastAsia="Lucida Grande" w:hAnsiTheme="minorHAnsi" w:cstheme="minorHAnsi"/>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444B1AAF" w14:textId="77777777" w:rsidR="00CA3C50" w:rsidRPr="00702400" w:rsidRDefault="00CA3C50">
            <w:pPr>
              <w:pStyle w:val="Body"/>
              <w:jc w:val="center"/>
            </w:pPr>
            <w:r w:rsidRPr="00702400">
              <w:t>$0.01m</w:t>
            </w:r>
          </w:p>
        </w:tc>
      </w:tr>
      <w:tr w:rsidR="00CA3C50" w:rsidRPr="000F65FE" w14:paraId="41AA416E"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3CF95D4B" w14:textId="4618A418"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 xml:space="preserve">Debt </w:t>
            </w:r>
            <w:r w:rsidR="00152F5C">
              <w:rPr>
                <w:rFonts w:asciiTheme="minorHAnsi" w:eastAsia="Lucida Grande" w:hAnsiTheme="minorHAnsi" w:cstheme="minorHAnsi"/>
                <w:b/>
                <w:bCs/>
                <w:sz w:val="22"/>
                <w:szCs w:val="22"/>
              </w:rPr>
              <w:t>r</w:t>
            </w:r>
            <w:r>
              <w:rPr>
                <w:rFonts w:asciiTheme="minorHAnsi" w:eastAsia="Lucida Grande" w:hAnsiTheme="minorHAnsi" w:cstheme="minorHAnsi"/>
                <w:b/>
                <w:bCs/>
                <w:sz w:val="22"/>
                <w:szCs w:val="22"/>
              </w:rPr>
              <w:t xml:space="preserve">ecovery </w:t>
            </w:r>
            <w:r w:rsidR="002C73B6">
              <w:rPr>
                <w:rFonts w:asciiTheme="minorHAnsi" w:eastAsia="Lucida Grande" w:hAnsiTheme="minorHAnsi" w:cstheme="minorHAnsi"/>
                <w:b/>
                <w:bCs/>
                <w:sz w:val="22"/>
                <w:szCs w:val="22"/>
              </w:rPr>
              <w:t xml:space="preserve">returned to the </w:t>
            </w:r>
            <w:r w:rsidR="0098172E">
              <w:rPr>
                <w:rFonts w:asciiTheme="minorHAnsi" w:eastAsia="Lucida Grande" w:hAnsiTheme="minorHAnsi" w:cstheme="minorHAnsi"/>
                <w:b/>
                <w:bCs/>
                <w:sz w:val="22"/>
                <w:szCs w:val="22"/>
              </w:rPr>
              <w:lastRenderedPageBreak/>
              <w:t xml:space="preserve">Government </w:t>
            </w:r>
            <w:r w:rsidR="008A73C5">
              <w:rPr>
                <w:rFonts w:asciiTheme="minorHAnsi" w:eastAsia="Lucida Grande" w:hAnsiTheme="minorHAnsi" w:cstheme="minorHAnsi"/>
                <w:b/>
                <w:bCs/>
                <w:sz w:val="22"/>
                <w:szCs w:val="22"/>
              </w:rPr>
              <w:t>for management</w:t>
            </w:r>
            <w:r>
              <w:rPr>
                <w:rFonts w:asciiTheme="minorHAnsi" w:eastAsia="Lucida Grande" w:hAnsiTheme="minorHAnsi" w:cstheme="minorHAnsi"/>
                <w:b/>
                <w:bCs/>
                <w:sz w:val="22"/>
                <w:szCs w:val="22"/>
              </w:rPr>
              <w:t xml:space="preserve"> </w:t>
            </w:r>
          </w:p>
          <w:p w14:paraId="457CCA6E" w14:textId="77777777" w:rsidR="00CA3C50" w:rsidRPr="00803C66" w:rsidRDefault="00CA3C50">
            <w:pPr>
              <w:jc w:val="center"/>
              <w:rPr>
                <w:rFonts w:asciiTheme="minorHAnsi" w:eastAsia="Lucida Grande" w:hAnsiTheme="minorHAnsi" w:cstheme="minorHAnsi"/>
                <w:sz w:val="22"/>
                <w:szCs w:val="22"/>
              </w:rPr>
            </w:pPr>
            <w:r w:rsidRPr="00902CDC">
              <w:rPr>
                <w:rFonts w:asciiTheme="minorHAnsi" w:eastAsia="Lucida Grande" w:hAnsiTheme="minorHAnsi" w:cstheme="minorHAnsi"/>
                <w:sz w:val="22"/>
                <w:szCs w:val="22"/>
              </w:rPr>
              <w:t xml:space="preserve">(Stage </w:t>
            </w:r>
            <w:r>
              <w:rPr>
                <w:rFonts w:asciiTheme="minorHAnsi" w:eastAsia="Lucida Grande" w:hAnsiTheme="minorHAnsi" w:cstheme="minorHAnsi"/>
                <w:sz w:val="22"/>
                <w:szCs w:val="22"/>
              </w:rPr>
              <w:t>3</w:t>
            </w:r>
            <w:r w:rsidRPr="00902CDC">
              <w:rPr>
                <w:rFonts w:asciiTheme="minorHAnsi" w:eastAsia="Lucida Grande" w:hAnsiTheme="minorHAnsi" w:cstheme="minorHAnsi"/>
                <w:sz w:val="22"/>
                <w:szCs w:val="22"/>
              </w:rPr>
              <w:t>)</w:t>
            </w:r>
          </w:p>
        </w:tc>
        <w:tc>
          <w:tcPr>
            <w:tcW w:w="5953" w:type="dxa"/>
            <w:tcBorders>
              <w:top w:val="single" w:sz="4" w:space="0" w:color="auto"/>
              <w:left w:val="single" w:sz="4" w:space="0" w:color="auto"/>
              <w:bottom w:val="single" w:sz="4" w:space="0" w:color="auto"/>
              <w:right w:val="single" w:sz="4" w:space="0" w:color="auto"/>
            </w:tcBorders>
          </w:tcPr>
          <w:p w14:paraId="5F6EC30A" w14:textId="69D71E47" w:rsidR="00CA3C50" w:rsidRPr="00C73960" w:rsidRDefault="00CA3C50">
            <w:pPr>
              <w:rPr>
                <w:rFonts w:asciiTheme="minorHAnsi" w:eastAsia="Lucida Grande" w:hAnsiTheme="minorHAnsi" w:cstheme="minorHAnsi"/>
                <w:sz w:val="22"/>
                <w:szCs w:val="22"/>
              </w:rPr>
            </w:pPr>
            <w:r>
              <w:rPr>
                <w:rFonts w:asciiTheme="minorHAnsi" w:eastAsia="Lucida Grande" w:hAnsiTheme="minorHAnsi" w:cstheme="minorHAnsi"/>
                <w:sz w:val="22"/>
                <w:szCs w:val="22"/>
              </w:rPr>
              <w:lastRenderedPageBreak/>
              <w:t>Cost of</w:t>
            </w:r>
            <w:r w:rsidR="003F2F81">
              <w:rPr>
                <w:rFonts w:asciiTheme="minorHAnsi" w:eastAsia="Lucida Grande" w:hAnsiTheme="minorHAnsi" w:cstheme="minorHAnsi"/>
                <w:sz w:val="22"/>
                <w:szCs w:val="22"/>
              </w:rPr>
              <w:t xml:space="preserve"> the </w:t>
            </w:r>
            <w:r w:rsidR="0098172E">
              <w:rPr>
                <w:rFonts w:asciiTheme="minorHAnsi" w:eastAsia="Lucida Grande" w:hAnsiTheme="minorHAnsi" w:cstheme="minorHAnsi"/>
                <w:sz w:val="22"/>
                <w:szCs w:val="22"/>
              </w:rPr>
              <w:t xml:space="preserve">Government </w:t>
            </w:r>
            <w:r w:rsidR="003F2F81">
              <w:rPr>
                <w:rFonts w:asciiTheme="minorHAnsi" w:eastAsia="Lucida Grande" w:hAnsiTheme="minorHAnsi" w:cstheme="minorHAnsi"/>
                <w:sz w:val="22"/>
                <w:szCs w:val="22"/>
              </w:rPr>
              <w:t xml:space="preserve">taking over </w:t>
            </w:r>
            <w:r w:rsidR="004230AE">
              <w:rPr>
                <w:rFonts w:asciiTheme="minorHAnsi" w:eastAsia="Lucida Grande" w:hAnsiTheme="minorHAnsi" w:cstheme="minorHAnsi"/>
                <w:sz w:val="22"/>
                <w:szCs w:val="22"/>
              </w:rPr>
              <w:t xml:space="preserve">the debt management process </w:t>
            </w:r>
            <w:r w:rsidR="006E2592">
              <w:rPr>
                <w:rFonts w:asciiTheme="minorHAnsi" w:eastAsia="Lucida Grande" w:hAnsiTheme="minorHAnsi" w:cstheme="minorHAnsi"/>
                <w:sz w:val="22"/>
                <w:szCs w:val="22"/>
              </w:rPr>
              <w:t>may include</w:t>
            </w:r>
            <w:r>
              <w:rPr>
                <w:rFonts w:asciiTheme="minorHAnsi" w:eastAsia="Lucida Grande" w:hAnsiTheme="minorHAnsi" w:cstheme="minorHAnsi"/>
                <w:sz w:val="22"/>
                <w:szCs w:val="22"/>
              </w:rPr>
              <w:t xml:space="preserve"> recovering a bond claim payment </w:t>
            </w:r>
            <w:r>
              <w:rPr>
                <w:rFonts w:asciiTheme="minorHAnsi" w:eastAsia="Lucida Grande" w:hAnsiTheme="minorHAnsi" w:cstheme="minorHAnsi"/>
                <w:sz w:val="22"/>
                <w:szCs w:val="22"/>
              </w:rPr>
              <w:lastRenderedPageBreak/>
              <w:t xml:space="preserve">from the bond held on a renter’s second </w:t>
            </w:r>
            <w:r w:rsidR="0058287D">
              <w:rPr>
                <w:rFonts w:asciiTheme="minorHAnsi" w:eastAsia="Lucida Grande" w:hAnsiTheme="minorHAnsi" w:cstheme="minorHAnsi"/>
                <w:sz w:val="22"/>
                <w:szCs w:val="22"/>
              </w:rPr>
              <w:t xml:space="preserve">rental </w:t>
            </w:r>
            <w:r>
              <w:rPr>
                <w:rFonts w:asciiTheme="minorHAnsi" w:eastAsia="Lucida Grande" w:hAnsiTheme="minorHAnsi" w:cstheme="minorHAnsi"/>
                <w:sz w:val="22"/>
                <w:szCs w:val="22"/>
              </w:rPr>
              <w:t>agreement when they next move</w:t>
            </w:r>
            <w:r w:rsidR="00057644">
              <w:rPr>
                <w:rFonts w:asciiTheme="minorHAnsi" w:eastAsia="Lucida Grande" w:hAnsiTheme="minorHAnsi" w:cstheme="minorHAnsi"/>
                <w:sz w:val="22"/>
                <w:szCs w:val="22"/>
              </w:rPr>
              <w:t xml:space="preserve">. </w:t>
            </w:r>
            <w:r w:rsidR="00274763">
              <w:rPr>
                <w:rFonts w:asciiTheme="minorHAnsi" w:eastAsia="Lucida Grande" w:hAnsiTheme="minorHAnsi" w:cstheme="minorHAnsi"/>
                <w:sz w:val="22"/>
                <w:szCs w:val="22"/>
              </w:rPr>
              <w:t>As this is an automatic process,</w:t>
            </w:r>
            <w:r w:rsidR="0020039E">
              <w:rPr>
                <w:rFonts w:asciiTheme="minorHAnsi" w:eastAsia="Lucida Grande" w:hAnsiTheme="minorHAnsi" w:cstheme="minorHAnsi"/>
                <w:sz w:val="22"/>
                <w:szCs w:val="22"/>
              </w:rPr>
              <w:t xml:space="preserve"> </w:t>
            </w:r>
            <w:r w:rsidR="00C90D4E">
              <w:rPr>
                <w:rFonts w:asciiTheme="minorHAnsi" w:eastAsia="Lucida Grande" w:hAnsiTheme="minorHAnsi" w:cstheme="minorHAnsi"/>
                <w:sz w:val="22"/>
                <w:szCs w:val="22"/>
              </w:rPr>
              <w:t xml:space="preserve">the costs </w:t>
            </w:r>
            <w:r w:rsidR="000430FE">
              <w:rPr>
                <w:rFonts w:asciiTheme="minorHAnsi" w:eastAsia="Lucida Grande" w:hAnsiTheme="minorHAnsi" w:cstheme="minorHAnsi"/>
                <w:sz w:val="22"/>
                <w:szCs w:val="22"/>
              </w:rPr>
              <w:t xml:space="preserve">of this stage are </w:t>
            </w:r>
            <w:r w:rsidR="00C21C44">
              <w:rPr>
                <w:rFonts w:asciiTheme="minorHAnsi" w:eastAsia="Lucida Grande" w:hAnsiTheme="minorHAnsi" w:cstheme="minorHAnsi"/>
                <w:sz w:val="22"/>
                <w:szCs w:val="22"/>
              </w:rPr>
              <w:t>negligible</w:t>
            </w:r>
            <w:r w:rsidR="002A2A32">
              <w:rPr>
                <w:rFonts w:asciiTheme="minorHAnsi" w:eastAsia="Lucida Grande" w:hAnsiTheme="minorHAnsi" w:cstheme="minorHAnsi"/>
                <w:sz w:val="22"/>
                <w:szCs w:val="22"/>
              </w:rPr>
              <w:t xml:space="preserve"> and</w:t>
            </w:r>
            <w:r w:rsidR="00B743FD">
              <w:rPr>
                <w:rFonts w:asciiTheme="minorHAnsi" w:eastAsia="Lucida Grande" w:hAnsiTheme="minorHAnsi" w:cstheme="minorHAnsi"/>
                <w:sz w:val="22"/>
                <w:szCs w:val="22"/>
              </w:rPr>
              <w:t xml:space="preserve"> include e</w:t>
            </w:r>
            <w:r>
              <w:rPr>
                <w:rFonts w:asciiTheme="minorHAnsi" w:eastAsia="Lucida Grande" w:hAnsiTheme="minorHAnsi" w:cstheme="minorHAnsi"/>
                <w:sz w:val="22"/>
                <w:szCs w:val="22"/>
              </w:rPr>
              <w:t>lectronic notifications issued to the renter to communicate this</w:t>
            </w:r>
            <w:r w:rsidR="00B743FD">
              <w:rPr>
                <w:rFonts w:asciiTheme="minorHAnsi" w:eastAsia="Lucida Grande" w:hAnsiTheme="minorHAnsi" w:cstheme="minorHAnsi"/>
                <w:sz w:val="22"/>
                <w:szCs w:val="22"/>
              </w:rPr>
              <w:t>, at</w:t>
            </w:r>
            <w:r w:rsidR="009711D3">
              <w:rPr>
                <w:rFonts w:asciiTheme="minorHAnsi" w:eastAsia="Lucida Grande" w:hAnsiTheme="minorHAnsi" w:cstheme="minorHAnsi"/>
                <w:sz w:val="22"/>
                <w:szCs w:val="22"/>
              </w:rPr>
              <w:t xml:space="preserve"> </w:t>
            </w:r>
            <w:r w:rsidR="0039557D">
              <w:rPr>
                <w:rFonts w:asciiTheme="minorHAnsi" w:eastAsia="Lucida Grande" w:hAnsiTheme="minorHAnsi" w:cstheme="minorHAnsi"/>
                <w:sz w:val="22"/>
                <w:szCs w:val="22"/>
              </w:rPr>
              <w:t>~$0.01 per notification</w:t>
            </w:r>
            <w:r>
              <w:rPr>
                <w:rFonts w:asciiTheme="minorHAnsi" w:eastAsia="Lucida Grande" w:hAnsiTheme="minorHAnsi" w:cstheme="minorHAnsi"/>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6BAE15E4" w14:textId="77777777" w:rsidR="00C35135" w:rsidRDefault="00C35135" w:rsidP="00C35135">
            <w:pPr>
              <w:pStyle w:val="Body"/>
              <w:jc w:val="center"/>
            </w:pPr>
            <w:r>
              <w:lastRenderedPageBreak/>
              <w:t xml:space="preserve">$0.00m </w:t>
            </w:r>
          </w:p>
          <w:p w14:paraId="108AB45B" w14:textId="53C78A2E" w:rsidR="00C35135" w:rsidRPr="00117756" w:rsidRDefault="00C35135" w:rsidP="00C35135">
            <w:pPr>
              <w:pStyle w:val="Body"/>
              <w:jc w:val="center"/>
            </w:pPr>
            <w:r>
              <w:lastRenderedPageBreak/>
              <w:t xml:space="preserve">(total is </w:t>
            </w:r>
            <w:r w:rsidRPr="00117756">
              <w:t>$</w:t>
            </w:r>
            <w:r>
              <w:t>90)</w:t>
            </w:r>
            <w:r w:rsidRPr="00117756">
              <w:t xml:space="preserve">  </w:t>
            </w:r>
          </w:p>
          <w:p w14:paraId="373D31BF" w14:textId="10638BDC" w:rsidR="00CA3C50" w:rsidRPr="00702400" w:rsidRDefault="00CA3C50">
            <w:pPr>
              <w:pStyle w:val="Body"/>
              <w:jc w:val="center"/>
            </w:pPr>
          </w:p>
        </w:tc>
      </w:tr>
      <w:tr w:rsidR="001E640A" w:rsidRPr="000F65FE" w14:paraId="3C197294"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38A6212A" w14:textId="4C70EEA1" w:rsidR="001E640A" w:rsidRDefault="001E640A">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lastRenderedPageBreak/>
              <w:t>Bank fees</w:t>
            </w:r>
          </w:p>
        </w:tc>
        <w:tc>
          <w:tcPr>
            <w:tcW w:w="5953" w:type="dxa"/>
            <w:tcBorders>
              <w:top w:val="single" w:sz="4" w:space="0" w:color="auto"/>
              <w:left w:val="single" w:sz="4" w:space="0" w:color="auto"/>
              <w:bottom w:val="single" w:sz="4" w:space="0" w:color="auto"/>
              <w:right w:val="single" w:sz="4" w:space="0" w:color="auto"/>
            </w:tcBorders>
          </w:tcPr>
          <w:p w14:paraId="58531BE0" w14:textId="2953F5A0" w:rsidR="001E640A" w:rsidRDefault="001E640A">
            <w:pPr>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Cost of </w:t>
            </w:r>
            <w:r w:rsidR="00E613A7">
              <w:rPr>
                <w:rFonts w:asciiTheme="minorHAnsi" w:eastAsia="Lucida Grande" w:hAnsiTheme="minorHAnsi" w:cstheme="minorHAnsi"/>
                <w:sz w:val="22"/>
                <w:szCs w:val="22"/>
              </w:rPr>
              <w:t xml:space="preserve">fees charged by banks for participating in electronic transactions </w:t>
            </w:r>
            <w:r w:rsidR="00F24BAB">
              <w:rPr>
                <w:rFonts w:asciiTheme="minorHAnsi" w:eastAsia="Lucida Grande" w:hAnsiTheme="minorHAnsi" w:cstheme="minorHAnsi"/>
                <w:sz w:val="22"/>
                <w:szCs w:val="22"/>
              </w:rPr>
              <w:t>for bond top-ups</w:t>
            </w:r>
            <w:r w:rsidR="002E3A7A">
              <w:rPr>
                <w:rFonts w:asciiTheme="minorHAnsi" w:eastAsia="Lucida Grande" w:hAnsiTheme="minorHAnsi" w:cstheme="minorHAnsi"/>
                <w:sz w:val="22"/>
                <w:szCs w:val="22"/>
              </w:rPr>
              <w:t xml:space="preserve"> and </w:t>
            </w:r>
            <w:r w:rsidR="005A1FA3">
              <w:rPr>
                <w:rFonts w:asciiTheme="minorHAnsi" w:eastAsia="Lucida Grande" w:hAnsiTheme="minorHAnsi" w:cstheme="minorHAnsi"/>
                <w:sz w:val="22"/>
                <w:szCs w:val="22"/>
              </w:rPr>
              <w:t>application</w:t>
            </w:r>
            <w:r w:rsidR="002E3A7A">
              <w:rPr>
                <w:rFonts w:asciiTheme="minorHAnsi" w:eastAsia="Lucida Grande" w:hAnsiTheme="minorHAnsi" w:cstheme="minorHAnsi"/>
                <w:sz w:val="22"/>
                <w:szCs w:val="22"/>
              </w:rPr>
              <w:t xml:space="preserve"> fees paid by renters in the bond transfer process.</w:t>
            </w:r>
          </w:p>
        </w:tc>
        <w:tc>
          <w:tcPr>
            <w:tcW w:w="1843" w:type="dxa"/>
            <w:tcBorders>
              <w:top w:val="single" w:sz="4" w:space="0" w:color="auto"/>
              <w:left w:val="single" w:sz="4" w:space="0" w:color="auto"/>
              <w:bottom w:val="single" w:sz="4" w:space="0" w:color="auto"/>
              <w:right w:val="single" w:sz="4" w:space="0" w:color="auto"/>
            </w:tcBorders>
          </w:tcPr>
          <w:p w14:paraId="0761557E" w14:textId="1502D57E" w:rsidR="001E640A" w:rsidRDefault="001E640A">
            <w:pPr>
              <w:pStyle w:val="Body"/>
              <w:jc w:val="center"/>
            </w:pPr>
            <w:r>
              <w:t>$</w:t>
            </w:r>
            <w:r w:rsidR="005C529F">
              <w:t>0.</w:t>
            </w:r>
            <w:r w:rsidR="008A48FD">
              <w:t>21</w:t>
            </w:r>
            <w:r w:rsidR="005C529F">
              <w:t>m</w:t>
            </w:r>
          </w:p>
        </w:tc>
      </w:tr>
      <w:tr w:rsidR="00CA3C50" w:rsidRPr="000F65FE" w14:paraId="6AA3226E"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3B9CF905" w14:textId="77777777" w:rsidR="00CA3C50" w:rsidRPr="0070240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Other costs</w:t>
            </w:r>
          </w:p>
        </w:tc>
        <w:tc>
          <w:tcPr>
            <w:tcW w:w="5953" w:type="dxa"/>
            <w:tcBorders>
              <w:top w:val="single" w:sz="4" w:space="0" w:color="auto"/>
              <w:left w:val="single" w:sz="4" w:space="0" w:color="auto"/>
              <w:bottom w:val="single" w:sz="4" w:space="0" w:color="auto"/>
              <w:right w:val="single" w:sz="4" w:space="0" w:color="auto"/>
            </w:tcBorders>
          </w:tcPr>
          <w:p w14:paraId="100A096A" w14:textId="77777777" w:rsidR="00CA3C50" w:rsidRPr="000D6259" w:rsidRDefault="00CA3C50">
            <w:pPr>
              <w:rPr>
                <w:rFonts w:asciiTheme="minorHAnsi" w:eastAsia="Lucida Grande" w:hAnsiTheme="minorHAnsi" w:cstheme="minorHAnsi"/>
                <w:sz w:val="22"/>
                <w:szCs w:val="22"/>
              </w:rPr>
            </w:pPr>
            <w:r>
              <w:rPr>
                <w:rFonts w:asciiTheme="minorHAnsi" w:eastAsia="Lucida Grande" w:hAnsiTheme="minorHAnsi" w:cstheme="minorHAnsi"/>
                <w:sz w:val="22"/>
                <w:szCs w:val="22"/>
              </w:rPr>
              <w:t>Costs related to IT licences for PRBS customer support staff, BMS licences and the debt management IT system.</w:t>
            </w:r>
          </w:p>
        </w:tc>
        <w:tc>
          <w:tcPr>
            <w:tcW w:w="1843" w:type="dxa"/>
            <w:tcBorders>
              <w:top w:val="single" w:sz="4" w:space="0" w:color="auto"/>
              <w:left w:val="single" w:sz="4" w:space="0" w:color="auto"/>
              <w:bottom w:val="single" w:sz="4" w:space="0" w:color="auto"/>
              <w:right w:val="single" w:sz="4" w:space="0" w:color="auto"/>
            </w:tcBorders>
          </w:tcPr>
          <w:p w14:paraId="6C17DDC1" w14:textId="28C4F880" w:rsidR="00CA3C50" w:rsidRPr="00702400" w:rsidRDefault="00CA3C50">
            <w:pPr>
              <w:pStyle w:val="Body"/>
              <w:jc w:val="center"/>
            </w:pPr>
            <w:r>
              <w:t>$0.</w:t>
            </w:r>
            <w:r w:rsidR="000D5D87">
              <w:t>62</w:t>
            </w:r>
            <w:r>
              <w:t>m</w:t>
            </w:r>
          </w:p>
        </w:tc>
      </w:tr>
      <w:tr w:rsidR="00CA3C50" w:rsidRPr="000F65FE" w14:paraId="419EBC0B"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0F6CD6C4" w14:textId="77777777" w:rsidR="00CA3C50" w:rsidRPr="0070240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Total cost base (excluding written-off debt recovery)</w:t>
            </w:r>
          </w:p>
        </w:tc>
        <w:tc>
          <w:tcPr>
            <w:tcW w:w="5953" w:type="dxa"/>
            <w:tcBorders>
              <w:top w:val="single" w:sz="4" w:space="0" w:color="auto"/>
              <w:left w:val="single" w:sz="4" w:space="0" w:color="auto"/>
              <w:bottom w:val="single" w:sz="4" w:space="0" w:color="auto"/>
              <w:right w:val="single" w:sz="4" w:space="0" w:color="auto"/>
            </w:tcBorders>
          </w:tcPr>
          <w:p w14:paraId="5D77D9E5" w14:textId="77777777" w:rsidR="00CA3C50" w:rsidRPr="00702400" w:rsidRDefault="00CA3C50">
            <w:pPr>
              <w:rPr>
                <w:rFonts w:asciiTheme="minorHAnsi" w:eastAsia="Lucida Grande" w:hAnsiTheme="minorHAnsi" w:cstheme="minorHAnsi"/>
                <w:sz w:val="22"/>
                <w:szCs w:val="22"/>
              </w:rPr>
            </w:pPr>
            <w:r>
              <w:rPr>
                <w:rFonts w:asciiTheme="minorHAnsi" w:eastAsia="Lucida Grande" w:hAnsiTheme="minorHAnsi" w:cstheme="minorHAnsi"/>
                <w:sz w:val="22"/>
                <w:szCs w:val="22"/>
              </w:rPr>
              <w:t>The aggregation of all annual costs based on components above.</w:t>
            </w:r>
          </w:p>
        </w:tc>
        <w:tc>
          <w:tcPr>
            <w:tcW w:w="1843" w:type="dxa"/>
            <w:tcBorders>
              <w:top w:val="single" w:sz="4" w:space="0" w:color="auto"/>
              <w:left w:val="single" w:sz="4" w:space="0" w:color="auto"/>
              <w:bottom w:val="single" w:sz="4" w:space="0" w:color="auto"/>
              <w:right w:val="single" w:sz="4" w:space="0" w:color="auto"/>
            </w:tcBorders>
          </w:tcPr>
          <w:p w14:paraId="59EF04F9" w14:textId="277E030B" w:rsidR="00CA3C50" w:rsidRPr="00702400" w:rsidRDefault="00CA3C50">
            <w:pPr>
              <w:pStyle w:val="Body"/>
              <w:jc w:val="center"/>
            </w:pPr>
            <w:r>
              <w:t>$2.</w:t>
            </w:r>
            <w:r w:rsidR="00063633" w:rsidRPr="001F576E">
              <w:t>90</w:t>
            </w:r>
            <w:r>
              <w:t>m</w:t>
            </w:r>
          </w:p>
        </w:tc>
      </w:tr>
      <w:tr w:rsidR="00CA3C50" w:rsidRPr="000F65FE" w14:paraId="5B7227BC"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01A0C7F1" w14:textId="77777777"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Debt write-off</w:t>
            </w:r>
          </w:p>
        </w:tc>
        <w:tc>
          <w:tcPr>
            <w:tcW w:w="5953" w:type="dxa"/>
            <w:tcBorders>
              <w:top w:val="single" w:sz="4" w:space="0" w:color="auto"/>
              <w:left w:val="single" w:sz="4" w:space="0" w:color="auto"/>
              <w:bottom w:val="single" w:sz="4" w:space="0" w:color="auto"/>
              <w:right w:val="single" w:sz="4" w:space="0" w:color="auto"/>
            </w:tcBorders>
          </w:tcPr>
          <w:p w14:paraId="10232924" w14:textId="52F2D1F0" w:rsidR="00CA3C50" w:rsidRDefault="00D01AE6">
            <w:pPr>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An initial estimate of the annual average </w:t>
            </w:r>
            <w:r w:rsidR="00CA3C50">
              <w:rPr>
                <w:rFonts w:asciiTheme="minorHAnsi" w:eastAsia="Lucida Grande" w:hAnsiTheme="minorHAnsi" w:cstheme="minorHAnsi"/>
                <w:sz w:val="22"/>
                <w:szCs w:val="22"/>
              </w:rPr>
              <w:t xml:space="preserve">amount of </w:t>
            </w:r>
            <w:r w:rsidR="00033CCE">
              <w:rPr>
                <w:rFonts w:asciiTheme="minorHAnsi" w:eastAsia="Lucida Grande" w:hAnsiTheme="minorHAnsi" w:cstheme="minorHAnsi"/>
                <w:sz w:val="22"/>
                <w:szCs w:val="22"/>
              </w:rPr>
              <w:t>unrecovered</w:t>
            </w:r>
            <w:r w:rsidR="00CA3C50">
              <w:rPr>
                <w:rFonts w:asciiTheme="minorHAnsi" w:eastAsia="Lucida Grande" w:hAnsiTheme="minorHAnsi" w:cstheme="minorHAnsi"/>
                <w:sz w:val="22"/>
                <w:szCs w:val="22"/>
              </w:rPr>
              <w:t xml:space="preserve"> debt written off</w:t>
            </w:r>
            <w:r w:rsidR="006662DB">
              <w:rPr>
                <w:rFonts w:asciiTheme="minorHAnsi" w:eastAsia="Lucida Grande"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FEE1396" w14:textId="570E5604" w:rsidR="00CA3C50" w:rsidRDefault="00CA3C50">
            <w:pPr>
              <w:pStyle w:val="Body"/>
              <w:jc w:val="center"/>
            </w:pPr>
            <w:r>
              <w:t>~$</w:t>
            </w:r>
            <w:r w:rsidR="008262E0">
              <w:t>3.5</w:t>
            </w:r>
            <w:r>
              <w:t>m</w:t>
            </w:r>
          </w:p>
        </w:tc>
      </w:tr>
      <w:tr w:rsidR="00CA3C50" w:rsidRPr="000F65FE" w14:paraId="3D6D280C" w14:textId="77777777" w:rsidTr="001F576E">
        <w:trPr>
          <w:trHeight w:val="454"/>
        </w:trPr>
        <w:tc>
          <w:tcPr>
            <w:tcW w:w="2552" w:type="dxa"/>
            <w:tcBorders>
              <w:top w:val="single" w:sz="4" w:space="0" w:color="auto"/>
              <w:left w:val="single" w:sz="4" w:space="0" w:color="auto"/>
              <w:bottom w:val="single" w:sz="4" w:space="0" w:color="auto"/>
              <w:right w:val="single" w:sz="4" w:space="0" w:color="auto"/>
            </w:tcBorders>
          </w:tcPr>
          <w:p w14:paraId="456B4F5F" w14:textId="77777777" w:rsidR="00CA3C50" w:rsidRDefault="00CA3C50">
            <w:pPr>
              <w:jc w:val="center"/>
              <w:rPr>
                <w:rFonts w:asciiTheme="minorHAnsi" w:eastAsia="Lucida Grande" w:hAnsiTheme="minorHAnsi" w:cstheme="minorHAnsi"/>
                <w:b/>
                <w:bCs/>
                <w:sz w:val="22"/>
                <w:szCs w:val="22"/>
              </w:rPr>
            </w:pPr>
            <w:r>
              <w:rPr>
                <w:rFonts w:asciiTheme="minorHAnsi" w:eastAsia="Lucida Grande" w:hAnsiTheme="minorHAnsi" w:cstheme="minorHAnsi"/>
                <w:b/>
                <w:bCs/>
                <w:sz w:val="22"/>
                <w:szCs w:val="22"/>
              </w:rPr>
              <w:t>Total cost base</w:t>
            </w:r>
          </w:p>
        </w:tc>
        <w:tc>
          <w:tcPr>
            <w:tcW w:w="5953" w:type="dxa"/>
            <w:tcBorders>
              <w:top w:val="single" w:sz="4" w:space="0" w:color="auto"/>
              <w:left w:val="single" w:sz="4" w:space="0" w:color="auto"/>
              <w:bottom w:val="single" w:sz="4" w:space="0" w:color="auto"/>
              <w:right w:val="single" w:sz="4" w:space="0" w:color="auto"/>
            </w:tcBorders>
          </w:tcPr>
          <w:p w14:paraId="40D0B93E" w14:textId="486CB316" w:rsidR="00CA3C50" w:rsidRPr="0045365A" w:rsidRDefault="00CA3C50">
            <w:pPr>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The aggregation of all annual costs and </w:t>
            </w:r>
            <w:r w:rsidR="00033CCE">
              <w:rPr>
                <w:rFonts w:asciiTheme="minorHAnsi" w:eastAsia="Lucida Grande" w:hAnsiTheme="minorHAnsi" w:cstheme="minorHAnsi"/>
                <w:sz w:val="22"/>
                <w:szCs w:val="22"/>
              </w:rPr>
              <w:t>unrecovered</w:t>
            </w:r>
            <w:r>
              <w:rPr>
                <w:rFonts w:asciiTheme="minorHAnsi" w:eastAsia="Lucida Grande" w:hAnsiTheme="minorHAnsi" w:cstheme="minorHAnsi"/>
                <w:sz w:val="22"/>
                <w:szCs w:val="22"/>
              </w:rPr>
              <w:t xml:space="preserve"> debt amounts</w:t>
            </w:r>
            <w:r w:rsidR="003D5345">
              <w:rPr>
                <w:rFonts w:asciiTheme="minorHAnsi" w:eastAsia="Lucida Grande"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25F4F2D" w14:textId="25EC645A" w:rsidR="00CA3C50" w:rsidRDefault="00CA3C50">
            <w:pPr>
              <w:pStyle w:val="Body"/>
              <w:jc w:val="center"/>
            </w:pPr>
            <w:r>
              <w:t>~$</w:t>
            </w:r>
            <w:r w:rsidR="003F63EB">
              <w:t>6.4</w:t>
            </w:r>
            <w:r>
              <w:t>m</w:t>
            </w:r>
          </w:p>
        </w:tc>
      </w:tr>
    </w:tbl>
    <w:p w14:paraId="53F9D9A8" w14:textId="78D2909B" w:rsidR="00F309A8" w:rsidRDefault="00F309A8" w:rsidP="00F309A8">
      <w:pPr>
        <w:pStyle w:val="Heading4"/>
        <w:ind w:left="0"/>
      </w:pPr>
      <w:r>
        <w:t xml:space="preserve">Other costs to </w:t>
      </w:r>
      <w:r w:rsidR="00953D7A">
        <w:t>Government</w:t>
      </w:r>
      <w:r>
        <w:t xml:space="preserve"> outside the cost base</w:t>
      </w:r>
    </w:p>
    <w:p w14:paraId="56332210" w14:textId="41028830" w:rsidR="008C4C0D" w:rsidRDefault="00286CB1" w:rsidP="00286CB1">
      <w:pPr>
        <w:pStyle w:val="DJCSbody"/>
        <w:ind w:left="0"/>
      </w:pPr>
      <w:r>
        <w:t xml:space="preserve">This cost base reflects the amount the </w:t>
      </w:r>
      <w:r w:rsidR="00953D7A">
        <w:t>Government</w:t>
      </w:r>
      <w:r>
        <w:t xml:space="preserve"> expects to recover from fee revenue and does </w:t>
      </w:r>
      <w:r w:rsidRPr="007927ED">
        <w:rPr>
          <w:b/>
          <w:bCs/>
        </w:rPr>
        <w:t>not</w:t>
      </w:r>
      <w:r>
        <w:t xml:space="preserve"> include the following costs:</w:t>
      </w:r>
    </w:p>
    <w:p w14:paraId="0B72CEF0" w14:textId="3E38D459" w:rsidR="00117756" w:rsidRDefault="00BE10B1" w:rsidP="00117756">
      <w:pPr>
        <w:pStyle w:val="DJCSbody"/>
        <w:numPr>
          <w:ilvl w:val="0"/>
          <w:numId w:val="25"/>
        </w:numPr>
        <w:tabs>
          <w:tab w:val="clear" w:pos="340"/>
          <w:tab w:val="num" w:pos="2728"/>
        </w:tabs>
      </w:pPr>
      <w:r>
        <w:t>E</w:t>
      </w:r>
      <w:r w:rsidR="00117756">
        <w:t xml:space="preserve">stablishment costs of the PRBS: </w:t>
      </w:r>
      <w:r w:rsidR="00D97F5F">
        <w:t xml:space="preserve">This includes </w:t>
      </w:r>
      <w:r w:rsidR="006351A9">
        <w:t>costs</w:t>
      </w:r>
      <w:r w:rsidR="00D97F5F">
        <w:t xml:space="preserve"> </w:t>
      </w:r>
      <w:r w:rsidR="004F2256">
        <w:t xml:space="preserve">for </w:t>
      </w:r>
      <w:r w:rsidR="008C4C0D">
        <w:t xml:space="preserve">the </w:t>
      </w:r>
      <w:r w:rsidR="00EF744A">
        <w:t>staffing required for</w:t>
      </w:r>
      <w:r w:rsidR="00CF664F">
        <w:t xml:space="preserve"> the</w:t>
      </w:r>
      <w:r w:rsidR="006351A9">
        <w:t xml:space="preserve"> </w:t>
      </w:r>
      <w:r w:rsidR="008C4C0D">
        <w:t xml:space="preserve">design and feasibility </w:t>
      </w:r>
      <w:r w:rsidR="00EB3BE6">
        <w:t>phase of establishment, the</w:t>
      </w:r>
      <w:r w:rsidR="00CF664F">
        <w:t xml:space="preserve"> </w:t>
      </w:r>
      <w:r w:rsidR="00117756">
        <w:t xml:space="preserve">IT system build, </w:t>
      </w:r>
      <w:r w:rsidR="0038093A">
        <w:t>the testing of PRBS operations prior to go-live</w:t>
      </w:r>
      <w:r w:rsidR="00117756">
        <w:t xml:space="preserve">, </w:t>
      </w:r>
      <w:r w:rsidR="00FA16F4">
        <w:t xml:space="preserve">any legal advice and </w:t>
      </w:r>
      <w:r w:rsidR="0038093A">
        <w:t>the development of</w:t>
      </w:r>
      <w:r w:rsidR="00CB0B82">
        <w:t xml:space="preserve"> </w:t>
      </w:r>
      <w:r w:rsidR="00FA16F4">
        <w:t xml:space="preserve">the </w:t>
      </w:r>
      <w:r w:rsidR="00CB0B82">
        <w:t xml:space="preserve">RIS and </w:t>
      </w:r>
      <w:r w:rsidR="00FA16F4">
        <w:t>any other</w:t>
      </w:r>
      <w:r w:rsidR="00117756">
        <w:t xml:space="preserve"> communications</w:t>
      </w:r>
      <w:r w:rsidR="001E4434">
        <w:t xml:space="preserve"> material</w:t>
      </w:r>
      <w:r w:rsidR="00CB0B82">
        <w:t>s</w:t>
      </w:r>
      <w:r w:rsidR="00FA16F4">
        <w:t>. This also includes</w:t>
      </w:r>
      <w:r w:rsidR="00117756">
        <w:t xml:space="preserve"> </w:t>
      </w:r>
      <w:r w:rsidR="00FA16F4">
        <w:t>any</w:t>
      </w:r>
      <w:r w:rsidR="00117756">
        <w:t xml:space="preserve"> other costs related to the initial set-up of the </w:t>
      </w:r>
      <w:r w:rsidR="000F56FA">
        <w:t>PRBS</w:t>
      </w:r>
      <w:r w:rsidR="00FA16F4">
        <w:t>, such as additional IT set-up costs or costs of external contractors</w:t>
      </w:r>
      <w:r w:rsidR="00117756">
        <w:t xml:space="preserve">. Given these are one-off costs to be absorbed by the </w:t>
      </w:r>
      <w:r w:rsidR="00953D7A">
        <w:t>Government</w:t>
      </w:r>
      <w:r w:rsidR="00117756">
        <w:t>, they are excluded from the cost base.</w:t>
      </w:r>
      <w:r w:rsidR="006F1957">
        <w:t xml:space="preserve"> These costs are estimated to be </w:t>
      </w:r>
      <w:r w:rsidR="006F1957" w:rsidRPr="79E303FA">
        <w:rPr>
          <w:b/>
          <w:bCs/>
        </w:rPr>
        <w:t>$9.3</w:t>
      </w:r>
      <w:r w:rsidR="006358FD" w:rsidRPr="79E303FA">
        <w:rPr>
          <w:b/>
          <w:bCs/>
        </w:rPr>
        <w:t xml:space="preserve"> </w:t>
      </w:r>
      <w:r w:rsidR="006F1957" w:rsidRPr="79E303FA">
        <w:rPr>
          <w:b/>
          <w:bCs/>
        </w:rPr>
        <w:t>m</w:t>
      </w:r>
      <w:r w:rsidR="006358FD" w:rsidRPr="79E303FA">
        <w:rPr>
          <w:b/>
          <w:bCs/>
        </w:rPr>
        <w:t>illion</w:t>
      </w:r>
      <w:r w:rsidR="00562293" w:rsidRPr="79E303FA">
        <w:rPr>
          <w:b/>
          <w:bCs/>
        </w:rPr>
        <w:t>.</w:t>
      </w:r>
    </w:p>
    <w:p w14:paraId="192470D4" w14:textId="0EDC6EA1" w:rsidR="00286CB1" w:rsidRDefault="00286CB1" w:rsidP="007822A5">
      <w:pPr>
        <w:pStyle w:val="DJCSbody"/>
        <w:numPr>
          <w:ilvl w:val="0"/>
          <w:numId w:val="25"/>
        </w:numPr>
      </w:pPr>
      <w:r>
        <w:t xml:space="preserve">Foregone interest on dual bonds: When a renter moves from one </w:t>
      </w:r>
      <w:r w:rsidR="0071459A">
        <w:t xml:space="preserve">rented premises </w:t>
      </w:r>
      <w:r>
        <w:t xml:space="preserve">to another, the current rental bond system (prior to implementation of the PRBS) involves the payment of a second bond before the first bond can be refunded. During the period in which the Government is holding both bonds, interest is earned and accrued on them. However, the introduction of the PRBS removes the need for a dual bond to be held by the Government as the first bond will simply be transferred to the new </w:t>
      </w:r>
      <w:r w:rsidR="0071459A">
        <w:t>rented premises</w:t>
      </w:r>
      <w:r>
        <w:t xml:space="preserve">. The foregone interest refers to the resulting amount of reduced interest the Government earns on these bonds as they are held. As opposed to being an explicit expense, this line item is considered an opportunity cost to the </w:t>
      </w:r>
      <w:r w:rsidR="00953D7A">
        <w:t>Government</w:t>
      </w:r>
      <w:r>
        <w:t xml:space="preserve"> of introducing the PRBS and thus has been excluded from the cost base.</w:t>
      </w:r>
      <w:r w:rsidR="003A1C9E">
        <w:t xml:space="preserve"> These costs are estimate</w:t>
      </w:r>
      <w:r w:rsidR="00B71E6C">
        <w:t>d</w:t>
      </w:r>
      <w:r w:rsidR="003A1C9E">
        <w:t xml:space="preserve"> to be </w:t>
      </w:r>
      <w:r w:rsidR="003A1C9E" w:rsidRPr="79E303FA">
        <w:rPr>
          <w:b/>
          <w:bCs/>
        </w:rPr>
        <w:t>$</w:t>
      </w:r>
      <w:r w:rsidR="007540B0" w:rsidRPr="79E303FA">
        <w:rPr>
          <w:b/>
          <w:bCs/>
        </w:rPr>
        <w:t>0.8</w:t>
      </w:r>
      <w:r w:rsidR="006358FD" w:rsidRPr="79E303FA">
        <w:rPr>
          <w:b/>
          <w:bCs/>
        </w:rPr>
        <w:t xml:space="preserve"> </w:t>
      </w:r>
      <w:r w:rsidR="003A1C9E" w:rsidRPr="79E303FA">
        <w:rPr>
          <w:b/>
          <w:bCs/>
        </w:rPr>
        <w:t>m</w:t>
      </w:r>
      <w:r w:rsidR="006358FD" w:rsidRPr="79E303FA">
        <w:rPr>
          <w:b/>
          <w:bCs/>
        </w:rPr>
        <w:t>illion</w:t>
      </w:r>
      <w:r w:rsidR="003A1C9E">
        <w:t>.</w:t>
      </w:r>
    </w:p>
    <w:p w14:paraId="26093D53" w14:textId="2A24BE10" w:rsidR="00286CB1" w:rsidRDefault="00286CB1" w:rsidP="007822A5">
      <w:pPr>
        <w:pStyle w:val="DJCSbody"/>
        <w:numPr>
          <w:ilvl w:val="0"/>
          <w:numId w:val="25"/>
        </w:numPr>
        <w:tabs>
          <w:tab w:val="clear" w:pos="340"/>
          <w:tab w:val="num" w:pos="1780"/>
        </w:tabs>
      </w:pPr>
      <w:r>
        <w:t xml:space="preserve">Foregone interest on paid claims: Under the proposed PRBS, the </w:t>
      </w:r>
      <w:r w:rsidR="00953D7A">
        <w:t>Government</w:t>
      </w:r>
      <w:r>
        <w:t xml:space="preserve"> will pay the claim amount to the rental providers on behalf of the renters, who will have a debt subsequently established against them. The </w:t>
      </w:r>
      <w:r w:rsidR="00427D96">
        <w:t>Government</w:t>
      </w:r>
      <w:r>
        <w:t xml:space="preserve"> will hence forego interest accrued on cash used to pay these claims, which is not a feature of a current rental bond system. Similarly to the dual bonds, this is considered an opportunity cost rather than an explicit expense and has been excluded from the cost base. </w:t>
      </w:r>
      <w:r w:rsidR="003A1C9E">
        <w:t>These costs are estimate</w:t>
      </w:r>
      <w:r w:rsidR="00F13260">
        <w:t>d</w:t>
      </w:r>
      <w:r w:rsidR="003A1C9E">
        <w:t xml:space="preserve"> to be </w:t>
      </w:r>
      <w:r w:rsidR="003A1C9E" w:rsidRPr="79E303FA">
        <w:rPr>
          <w:b/>
          <w:bCs/>
        </w:rPr>
        <w:t>$</w:t>
      </w:r>
      <w:r w:rsidR="00B61762" w:rsidRPr="79E303FA">
        <w:rPr>
          <w:b/>
          <w:bCs/>
        </w:rPr>
        <w:t>0.</w:t>
      </w:r>
      <w:r w:rsidR="00C3303C" w:rsidRPr="79E303FA">
        <w:rPr>
          <w:b/>
          <w:bCs/>
        </w:rPr>
        <w:t>5</w:t>
      </w:r>
      <w:r w:rsidR="006358FD" w:rsidRPr="79E303FA">
        <w:rPr>
          <w:b/>
          <w:bCs/>
        </w:rPr>
        <w:t xml:space="preserve"> </w:t>
      </w:r>
      <w:r w:rsidR="003A1C9E" w:rsidRPr="79E303FA">
        <w:rPr>
          <w:b/>
          <w:bCs/>
        </w:rPr>
        <w:t>m</w:t>
      </w:r>
      <w:r w:rsidR="006358FD" w:rsidRPr="79E303FA">
        <w:rPr>
          <w:b/>
          <w:bCs/>
        </w:rPr>
        <w:t>illion</w:t>
      </w:r>
      <w:r w:rsidR="003A1C9E">
        <w:t>.</w:t>
      </w:r>
    </w:p>
    <w:p w14:paraId="4B82577E" w14:textId="77B16FAD" w:rsidR="009F3B95" w:rsidRDefault="009F3B95" w:rsidP="00E45513">
      <w:pPr>
        <w:pStyle w:val="Heading4"/>
        <w:ind w:left="0"/>
      </w:pPr>
      <w:r>
        <w:lastRenderedPageBreak/>
        <w:t xml:space="preserve">Cost to </w:t>
      </w:r>
      <w:r w:rsidR="00256ED7">
        <w:t>participants</w:t>
      </w:r>
    </w:p>
    <w:p w14:paraId="18B68E6F" w14:textId="2ADA6FF6" w:rsidR="005C5474" w:rsidRPr="00542CC7" w:rsidRDefault="001F44BF" w:rsidP="00E45513">
      <w:pPr>
        <w:pStyle w:val="DJCSbody"/>
        <w:ind w:left="0"/>
      </w:pPr>
      <w:r>
        <w:t>The</w:t>
      </w:r>
      <w:r w:rsidR="00310883">
        <w:t xml:space="preserve"> cost to participants</w:t>
      </w:r>
      <w:r>
        <w:t xml:space="preserve"> </w:t>
      </w:r>
      <w:r w:rsidR="00427D96">
        <w:t>includes</w:t>
      </w:r>
      <w:r w:rsidR="008F4DD7">
        <w:t xml:space="preserve"> a</w:t>
      </w:r>
      <w:r w:rsidR="005D0492">
        <w:t xml:space="preserve">n application </w:t>
      </w:r>
      <w:r w:rsidR="00570145">
        <w:t xml:space="preserve">fee </w:t>
      </w:r>
      <w:r w:rsidR="0086160B">
        <w:t>related</w:t>
      </w:r>
      <w:r w:rsidR="00570145">
        <w:t xml:space="preserve"> to the PRBS</w:t>
      </w:r>
      <w:r w:rsidR="00960BB8">
        <w:t xml:space="preserve"> and </w:t>
      </w:r>
      <w:r w:rsidR="002C04FB">
        <w:t xml:space="preserve">a </w:t>
      </w:r>
      <w:r w:rsidR="00960BB8">
        <w:t xml:space="preserve">debt recovery fee </w:t>
      </w:r>
      <w:r w:rsidR="00251AED">
        <w:t>which would be applied to</w:t>
      </w:r>
      <w:r w:rsidR="00B25D9C">
        <w:t xml:space="preserve"> renters failing to make timely payment on their debts</w:t>
      </w:r>
      <w:r w:rsidR="00462EEA">
        <w:t>.</w:t>
      </w:r>
      <w:r w:rsidR="00A82773">
        <w:t xml:space="preserve"> </w:t>
      </w:r>
      <w:r w:rsidR="00AA3FBA">
        <w:t xml:space="preserve">The cost (that is, </w:t>
      </w:r>
      <w:r w:rsidR="00427D96">
        <w:t>the</w:t>
      </w:r>
      <w:r w:rsidR="00AA3FBA">
        <w:t xml:space="preserve"> fee amounts) are detailed further in the assessment of the options below. </w:t>
      </w:r>
    </w:p>
    <w:p w14:paraId="3C352A71" w14:textId="3104374A" w:rsidR="008006D4" w:rsidRPr="000F65FE" w:rsidRDefault="008006D4" w:rsidP="00CA3C50">
      <w:pPr>
        <w:pStyle w:val="Heading3"/>
      </w:pPr>
      <w:r w:rsidRPr="000F65FE">
        <w:t xml:space="preserve">Multi-criteria analysis </w:t>
      </w:r>
      <w:r w:rsidR="00902E7C">
        <w:t>for fee options</w:t>
      </w:r>
    </w:p>
    <w:p w14:paraId="39854020" w14:textId="2BC8B81E" w:rsidR="008006D4" w:rsidRPr="000F65FE" w:rsidRDefault="006A611A" w:rsidP="00CF0E1C">
      <w:pPr>
        <w:pStyle w:val="DJCSbody"/>
        <w:ind w:left="0"/>
      </w:pPr>
      <w:r>
        <w:t xml:space="preserve">Multi-criteria analysis (MCA) </w:t>
      </w:r>
      <w:r w:rsidR="008006D4" w:rsidRPr="000F65FE">
        <w:t xml:space="preserve">is used in this RIS to evaluate the </w:t>
      </w:r>
      <w:r w:rsidR="001302F6">
        <w:t>indirect impacts of the fees with respect to the principles in the Pricing for Value Guide.</w:t>
      </w:r>
      <w:r>
        <w:t xml:space="preserve"> </w:t>
      </w:r>
      <w:r w:rsidR="008006D4" w:rsidRPr="000F65FE">
        <w:t>This method requires judg</w:t>
      </w:r>
      <w:r w:rsidR="00B2439E">
        <w:t>e</w:t>
      </w:r>
      <w:r w:rsidR="008006D4" w:rsidRPr="000F65FE">
        <w:t>ments about how each option will contribute to a set of criteria that are chosen to reflect the associated benefits and costs. A qualitative score is assigned based on the impact of the proposal on each criterion, and an overall score is calculated by multiplying the score assigned to each measure by its weighting and summing the results. Quantified costs are reflected (where relevant) in the MCA scores.</w:t>
      </w:r>
    </w:p>
    <w:p w14:paraId="586C1D55" w14:textId="77777777" w:rsidR="00C40E67" w:rsidRPr="003F55BD" w:rsidRDefault="008006D4" w:rsidP="00CF0E1C">
      <w:pPr>
        <w:pStyle w:val="DJCSbody"/>
        <w:ind w:left="0"/>
      </w:pPr>
      <w:r w:rsidRPr="000F65FE">
        <w:t>The MCA provides a mechanism for comparing options when the available data is neither consistent nor comprehensive. It can also be applied in situations where there is a combination of quantitative and qualitative data available.</w:t>
      </w:r>
    </w:p>
    <w:p w14:paraId="46AE32E6" w14:textId="77777777" w:rsidR="008006D4" w:rsidRPr="000F65FE" w:rsidRDefault="008006D4" w:rsidP="00CF0E1C">
      <w:pPr>
        <w:pStyle w:val="Heading4"/>
        <w:ind w:left="0"/>
      </w:pPr>
      <w:r w:rsidRPr="000F65FE">
        <w:t>Criteria and weights</w:t>
      </w:r>
    </w:p>
    <w:p w14:paraId="2A9744E8" w14:textId="089B1A80" w:rsidR="00497734" w:rsidRDefault="00871E4E" w:rsidP="00A0126B">
      <w:pPr>
        <w:pStyle w:val="DJCSbody"/>
        <w:ind w:left="0"/>
      </w:pPr>
      <w:r w:rsidRPr="00BE5ED9">
        <w:t xml:space="preserve">Two different sets </w:t>
      </w:r>
      <w:r>
        <w:t xml:space="preserve">of criteria are used to assess the application fee options and the debt recovery fee options. </w:t>
      </w:r>
      <w:r w:rsidR="00103FFC">
        <w:t>Both sets of</w:t>
      </w:r>
      <w:r w:rsidR="002F49EE" w:rsidRPr="000F65FE">
        <w:t xml:space="preserve"> criteria for the MCA </w:t>
      </w:r>
      <w:r w:rsidR="00337BD3">
        <w:t>have been selected</w:t>
      </w:r>
      <w:r w:rsidR="00337BD3" w:rsidRPr="000F65FE">
        <w:t xml:space="preserve"> </w:t>
      </w:r>
      <w:r w:rsidR="002F49EE" w:rsidRPr="000F65FE">
        <w:t xml:space="preserve">to reflect the Government’s objectives and priorities related to </w:t>
      </w:r>
      <w:r w:rsidR="00C56379">
        <w:t>establishing</w:t>
      </w:r>
      <w:r w:rsidR="002F49EE" w:rsidRPr="000F65FE">
        <w:t xml:space="preserve"> the </w:t>
      </w:r>
      <w:r w:rsidR="00B2439E">
        <w:t>PRBS and</w:t>
      </w:r>
      <w:r w:rsidR="00086960">
        <w:t xml:space="preserve"> align with the objectives outlined in </w:t>
      </w:r>
      <w:r w:rsidR="00E168DC">
        <w:t>Chapter</w:t>
      </w:r>
      <w:r w:rsidR="00086960">
        <w:t xml:space="preserve"> 3 of this RIS.</w:t>
      </w:r>
      <w:r w:rsidR="002F49EE" w:rsidRPr="000F65FE">
        <w:t xml:space="preserve"> </w:t>
      </w:r>
      <w:r w:rsidR="00497734">
        <w:t>They are designed to be</w:t>
      </w:r>
      <w:r w:rsidR="00497734" w:rsidRPr="000F65FE">
        <w:t xml:space="preserve"> mutually exclusive and completely exhaustive</w:t>
      </w:r>
      <w:r w:rsidR="00497734">
        <w:t xml:space="preserve"> to support a robust assessment. </w:t>
      </w:r>
    </w:p>
    <w:p w14:paraId="6527594E" w14:textId="5B8DEAD6" w:rsidR="00103FFC" w:rsidRDefault="00337BD3" w:rsidP="00A0126B">
      <w:pPr>
        <w:pStyle w:val="DJCSbody"/>
        <w:ind w:left="0"/>
      </w:pPr>
      <w:r>
        <w:t>The weighting</w:t>
      </w:r>
      <w:r w:rsidR="00346C88">
        <w:t xml:space="preserve"> </w:t>
      </w:r>
      <w:r w:rsidR="00C8251C">
        <w:t>each</w:t>
      </w:r>
      <w:r w:rsidR="00346C88">
        <w:t xml:space="preserve"> criteria has</w:t>
      </w:r>
      <w:r>
        <w:t xml:space="preserve"> been determined</w:t>
      </w:r>
      <w:r w:rsidR="00173A78">
        <w:t xml:space="preserve"> on the basis that </w:t>
      </w:r>
      <w:r w:rsidR="00A5067E">
        <w:t xml:space="preserve">encouraging </w:t>
      </w:r>
      <w:r w:rsidR="00173A78">
        <w:t xml:space="preserve">participation in the PRBS </w:t>
      </w:r>
      <w:r w:rsidR="00FD6C27">
        <w:t xml:space="preserve">will </w:t>
      </w:r>
      <w:r w:rsidR="00346C88">
        <w:t xml:space="preserve">most strongly </w:t>
      </w:r>
      <w:r w:rsidR="00FD6C27">
        <w:t xml:space="preserve">support the </w:t>
      </w:r>
      <w:r w:rsidR="00953D7A">
        <w:t>Government</w:t>
      </w:r>
      <w:r w:rsidR="00FD6C27">
        <w:t xml:space="preserve"> to achieve its objectives </w:t>
      </w:r>
      <w:r w:rsidR="003D3572">
        <w:t>for establishing</w:t>
      </w:r>
      <w:r w:rsidR="00FD6C27">
        <w:t xml:space="preserve"> the PRBS</w:t>
      </w:r>
      <w:r w:rsidR="00E94AE6">
        <w:t xml:space="preserve">. </w:t>
      </w:r>
    </w:p>
    <w:p w14:paraId="7F3B9460" w14:textId="7FC98C87" w:rsidR="00204322" w:rsidRPr="00BE5ED9" w:rsidRDefault="00204322" w:rsidP="00BE5ED9">
      <w:pPr>
        <w:pStyle w:val="Heading4"/>
        <w:ind w:left="0"/>
        <w:rPr>
          <w:i/>
        </w:rPr>
      </w:pPr>
      <w:r w:rsidRPr="00BE5ED9">
        <w:rPr>
          <w:b w:val="0"/>
          <w:bCs w:val="0"/>
          <w:i/>
          <w:iCs/>
        </w:rPr>
        <w:t>Appl</w:t>
      </w:r>
      <w:r w:rsidR="00C53022" w:rsidRPr="00BE5ED9">
        <w:rPr>
          <w:b w:val="0"/>
          <w:bCs w:val="0"/>
          <w:i/>
          <w:iCs/>
        </w:rPr>
        <w:t>ication fee criteria weightings</w:t>
      </w:r>
    </w:p>
    <w:p w14:paraId="7D1D962D" w14:textId="787B4FA6" w:rsidR="00281431" w:rsidRPr="000F65FE" w:rsidRDefault="00103FFC" w:rsidP="00BE5ED9">
      <w:pPr>
        <w:pStyle w:val="DJCSbody"/>
        <w:ind w:left="0"/>
      </w:pPr>
      <w:r>
        <w:t>For the application fee, t</w:t>
      </w:r>
      <w:r w:rsidR="0002718F">
        <w:t xml:space="preserve">he </w:t>
      </w:r>
      <w:r>
        <w:t xml:space="preserve">criteria </w:t>
      </w:r>
      <w:r w:rsidR="00860DF6">
        <w:t>for</w:t>
      </w:r>
      <w:r w:rsidR="0002718F">
        <w:t xml:space="preserve"> </w:t>
      </w:r>
      <w:r w:rsidR="00277AE7">
        <w:t xml:space="preserve">(1) </w:t>
      </w:r>
      <w:r w:rsidR="0002718F">
        <w:t>effectiveness</w:t>
      </w:r>
      <w:r w:rsidR="00AC75D3">
        <w:t xml:space="preserve"> and equity</w:t>
      </w:r>
      <w:r w:rsidR="00877305">
        <w:rPr>
          <w:rStyle w:val="FootnoteReference"/>
        </w:rPr>
        <w:footnoteReference w:id="53"/>
      </w:r>
      <w:r w:rsidR="00E94AE6">
        <w:t xml:space="preserve"> </w:t>
      </w:r>
      <w:r w:rsidR="00860DF6">
        <w:t xml:space="preserve">is weighted most highly at 50%, as the primary objective of the </w:t>
      </w:r>
      <w:r w:rsidR="00860DF6" w:rsidRPr="00860DF6">
        <w:t>PRBS</w:t>
      </w:r>
      <w:r w:rsidR="00860DF6">
        <w:t xml:space="preserve"> is to </w:t>
      </w:r>
      <w:r w:rsidR="00553367">
        <w:t>encourage participation and alleviate cost of living pressures</w:t>
      </w:r>
      <w:r w:rsidR="003A2156">
        <w:t xml:space="preserve"> for renters who would otherwise be required to pay a </w:t>
      </w:r>
      <w:r w:rsidR="00681BB1">
        <w:t xml:space="preserve">second bond in their transition to another property. </w:t>
      </w:r>
      <w:r w:rsidR="006E706C">
        <w:t xml:space="preserve">With the application fee being the main lever to achieve this, </w:t>
      </w:r>
      <w:r w:rsidR="006F08C3">
        <w:t xml:space="preserve">the (1) effectiveness and equity criteria has been assigned the highest weighting. </w:t>
      </w:r>
      <w:r w:rsidR="00681BB1">
        <w:t xml:space="preserve">The </w:t>
      </w:r>
      <w:r w:rsidR="00277AE7">
        <w:t xml:space="preserve">(2) </w:t>
      </w:r>
      <w:r w:rsidR="00A30810">
        <w:t>efficiency</w:t>
      </w:r>
      <w:r w:rsidR="00E94AE6">
        <w:t xml:space="preserve"> </w:t>
      </w:r>
      <w:r w:rsidR="00681BB1">
        <w:t xml:space="preserve">and (3) user pays for cost criteria </w:t>
      </w:r>
      <w:r w:rsidR="00277AE7">
        <w:t xml:space="preserve">are </w:t>
      </w:r>
      <w:r w:rsidR="00E94AE6">
        <w:t xml:space="preserve">weighted </w:t>
      </w:r>
      <w:r w:rsidR="00681BB1">
        <w:t>equally</w:t>
      </w:r>
      <w:r w:rsidR="0044563A">
        <w:t xml:space="preserve">, at </w:t>
      </w:r>
      <w:r w:rsidR="00681BB1">
        <w:t>2</w:t>
      </w:r>
      <w:r w:rsidR="0044563A">
        <w:t>5%</w:t>
      </w:r>
      <w:r w:rsidR="00277AE7">
        <w:t xml:space="preserve"> each</w:t>
      </w:r>
      <w:r w:rsidR="00DF5D1C">
        <w:t>, as t</w:t>
      </w:r>
      <w:r w:rsidR="004F0B89">
        <w:t xml:space="preserve">he </w:t>
      </w:r>
      <w:r w:rsidR="000F56FA">
        <w:t>PRBS</w:t>
      </w:r>
      <w:r w:rsidR="004F0B89">
        <w:t xml:space="preserve"> </w:t>
      </w:r>
      <w:r w:rsidR="00915E0B">
        <w:t>req</w:t>
      </w:r>
      <w:r w:rsidR="00822CCA">
        <w:t xml:space="preserve">uires </w:t>
      </w:r>
      <w:r w:rsidR="0029720F">
        <w:t>recovery of operating costs</w:t>
      </w:r>
      <w:r w:rsidR="00780B69">
        <w:t xml:space="preserve"> and an efficient fee level to achieve</w:t>
      </w:r>
      <w:r w:rsidR="00915E0B">
        <w:t xml:space="preserve"> financial sustainability</w:t>
      </w:r>
      <w:r w:rsidR="008C33D3">
        <w:t xml:space="preserve"> while minimising surplus revenue</w:t>
      </w:r>
      <w:r w:rsidR="00F22A89">
        <w:t>.</w:t>
      </w:r>
    </w:p>
    <w:p w14:paraId="24628E8B" w14:textId="6F856CB5" w:rsidR="00D126D3" w:rsidRDefault="00D126D3" w:rsidP="00BE5ED9">
      <w:pPr>
        <w:pStyle w:val="Caption"/>
        <w:keepNext/>
      </w:pPr>
      <w:r>
        <w:t xml:space="preserve">Table </w:t>
      </w:r>
      <w:r>
        <w:fldChar w:fldCharType="begin"/>
      </w:r>
      <w:r>
        <w:instrText xml:space="preserve"> SEQ Table \* ARABIC </w:instrText>
      </w:r>
      <w:r>
        <w:fldChar w:fldCharType="separate"/>
      </w:r>
      <w:r w:rsidR="00A50199">
        <w:rPr>
          <w:noProof/>
        </w:rPr>
        <w:t>11</w:t>
      </w:r>
      <w:r>
        <w:fldChar w:fldCharType="end"/>
      </w:r>
      <w:r>
        <w:t>: Criteria used to assess application fees</w:t>
      </w:r>
    </w:p>
    <w:tbl>
      <w:tblPr>
        <w:tblStyle w:val="DJRReporttablestyleNav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083"/>
        <w:gridCol w:w="1554"/>
      </w:tblGrid>
      <w:tr w:rsidR="00281431" w:rsidRPr="00472606" w14:paraId="3F7CD89B" w14:textId="77777777">
        <w:trPr>
          <w:cnfStyle w:val="100000000000" w:firstRow="1" w:lastRow="0" w:firstColumn="0" w:lastColumn="0" w:oddVBand="0" w:evenVBand="0" w:oddHBand="0" w:evenHBand="0" w:firstRowFirstColumn="0" w:firstRowLastColumn="0" w:lastRowFirstColumn="0" w:lastRowLastColumn="0"/>
          <w:trHeight w:val="231"/>
        </w:trPr>
        <w:tc>
          <w:tcPr>
            <w:tcW w:w="1794" w:type="dxa"/>
            <w:shd w:val="clear" w:color="auto" w:fill="16145F" w:themeFill="accent3"/>
          </w:tcPr>
          <w:p w14:paraId="731731AF" w14:textId="77777777" w:rsidR="00281431" w:rsidRPr="00472606" w:rsidRDefault="00281431">
            <w:pPr>
              <w:pStyle w:val="Body"/>
              <w:jc w:val="left"/>
              <w:rPr>
                <w:rFonts w:ascii="Arial" w:hAnsi="Arial" w:cs="Arial"/>
                <w:b w:val="0"/>
                <w:bCs/>
              </w:rPr>
            </w:pPr>
            <w:r w:rsidRPr="00472606">
              <w:t>Criteria</w:t>
            </w:r>
          </w:p>
        </w:tc>
        <w:tc>
          <w:tcPr>
            <w:tcW w:w="7083" w:type="dxa"/>
            <w:shd w:val="clear" w:color="auto" w:fill="16145F" w:themeFill="accent3"/>
          </w:tcPr>
          <w:p w14:paraId="5BD9F1CC" w14:textId="77777777" w:rsidR="00281431" w:rsidRPr="005110A4" w:rsidRDefault="00281431">
            <w:pPr>
              <w:pStyle w:val="Body"/>
              <w:rPr>
                <w:rFonts w:ascii="Arial" w:hAnsi="Arial" w:cs="Arial"/>
                <w:color w:val="000000" w:themeColor="text1"/>
                <w:kern w:val="24"/>
              </w:rPr>
            </w:pPr>
            <w:r w:rsidRPr="00472606">
              <w:t>Description</w:t>
            </w:r>
          </w:p>
        </w:tc>
        <w:tc>
          <w:tcPr>
            <w:tcW w:w="1554" w:type="dxa"/>
            <w:shd w:val="clear" w:color="auto" w:fill="16145F" w:themeFill="accent3"/>
          </w:tcPr>
          <w:p w14:paraId="531DF640" w14:textId="77777777" w:rsidR="00281431" w:rsidRPr="00472606" w:rsidRDefault="00281431">
            <w:pPr>
              <w:pStyle w:val="Body"/>
              <w:jc w:val="center"/>
              <w:rPr>
                <w:rFonts w:ascii="Arial" w:hAnsi="Arial" w:cs="Arial"/>
                <w:color w:val="16145F" w:themeColor="accent3"/>
                <w:kern w:val="24"/>
              </w:rPr>
            </w:pPr>
            <w:r w:rsidRPr="00472606">
              <w:t>Weight (%)</w:t>
            </w:r>
          </w:p>
        </w:tc>
      </w:tr>
      <w:tr w:rsidR="00281431" w:rsidRPr="00472606" w14:paraId="0CB6796A" w14:textId="77777777">
        <w:trPr>
          <w:trHeight w:val="231"/>
        </w:trPr>
        <w:tc>
          <w:tcPr>
            <w:tcW w:w="1794" w:type="dxa"/>
          </w:tcPr>
          <w:p w14:paraId="338E869B" w14:textId="2DAB7A55" w:rsidR="00281431" w:rsidRPr="00472606" w:rsidRDefault="00281431">
            <w:pPr>
              <w:pStyle w:val="Body"/>
              <w:jc w:val="left"/>
              <w:rPr>
                <w:rFonts w:ascii="Arial" w:hAnsi="Arial" w:cs="Arial"/>
                <w:b/>
                <w:bCs/>
              </w:rPr>
            </w:pPr>
            <w:r w:rsidRPr="00472606">
              <w:rPr>
                <w:rFonts w:ascii="Arial" w:hAnsi="Arial" w:cs="Arial"/>
                <w:b/>
                <w:bCs/>
              </w:rPr>
              <w:t>Effectiveness</w:t>
            </w:r>
            <w:r>
              <w:rPr>
                <w:rFonts w:ascii="Arial" w:hAnsi="Arial" w:cs="Arial"/>
                <w:b/>
                <w:bCs/>
              </w:rPr>
              <w:t xml:space="preserve"> and equity</w:t>
            </w:r>
          </w:p>
        </w:tc>
        <w:tc>
          <w:tcPr>
            <w:tcW w:w="7083" w:type="dxa"/>
          </w:tcPr>
          <w:p w14:paraId="7DCEA90B" w14:textId="39A9C59E" w:rsidR="00281431" w:rsidRPr="00472606" w:rsidRDefault="00281431">
            <w:pPr>
              <w:pStyle w:val="Body"/>
              <w:rPr>
                <w:rFonts w:ascii="Arial" w:hAnsi="Arial" w:cs="Arial"/>
                <w:color w:val="000000" w:themeColor="text1"/>
                <w:kern w:val="24"/>
              </w:rPr>
            </w:pPr>
            <w:r w:rsidRPr="005110A4">
              <w:rPr>
                <w:rFonts w:ascii="Arial" w:hAnsi="Arial" w:cs="Arial"/>
                <w:color w:val="000000" w:themeColor="text1"/>
                <w:kern w:val="24"/>
              </w:rPr>
              <w:t>The fee should encourage participation in the PRBS</w:t>
            </w:r>
            <w:r>
              <w:rPr>
                <w:rFonts w:ascii="Arial" w:hAnsi="Arial" w:cs="Arial"/>
                <w:color w:val="000000" w:themeColor="text1"/>
                <w:kern w:val="24"/>
              </w:rPr>
              <w:t xml:space="preserve"> and </w:t>
            </w:r>
            <w:r w:rsidRPr="005110A4">
              <w:rPr>
                <w:rFonts w:ascii="Arial" w:hAnsi="Arial" w:cs="Arial"/>
                <w:lang w:val="en-US"/>
              </w:rPr>
              <w:t xml:space="preserve">not disproportionately </w:t>
            </w:r>
            <w:r>
              <w:rPr>
                <w:rFonts w:ascii="Arial" w:hAnsi="Arial" w:cs="Arial"/>
                <w:lang w:val="en-US"/>
              </w:rPr>
              <w:t xml:space="preserve">or unfairly </w:t>
            </w:r>
            <w:r w:rsidRPr="005110A4">
              <w:rPr>
                <w:rFonts w:ascii="Arial" w:hAnsi="Arial" w:cs="Arial"/>
                <w:lang w:val="en-US"/>
              </w:rPr>
              <w:t>limit access to those with a lower ability to pay</w:t>
            </w:r>
            <w:r>
              <w:rPr>
                <w:rFonts w:ascii="Arial" w:hAnsi="Arial" w:cs="Arial"/>
                <w:lang w:val="en-US"/>
              </w:rPr>
              <w:t>.</w:t>
            </w:r>
          </w:p>
        </w:tc>
        <w:tc>
          <w:tcPr>
            <w:tcW w:w="1554" w:type="dxa"/>
          </w:tcPr>
          <w:p w14:paraId="7C3808CC" w14:textId="2680DF6E" w:rsidR="00281431" w:rsidRPr="00472606" w:rsidRDefault="00860DF6">
            <w:pPr>
              <w:pStyle w:val="Body"/>
              <w:jc w:val="center"/>
              <w:rPr>
                <w:rFonts w:ascii="Arial" w:hAnsi="Arial" w:cs="Arial"/>
                <w:b/>
                <w:bCs/>
                <w:color w:val="16145F" w:themeColor="accent3"/>
              </w:rPr>
            </w:pPr>
            <w:r>
              <w:rPr>
                <w:rFonts w:ascii="Arial" w:hAnsi="Arial" w:cs="Arial"/>
                <w:b/>
                <w:bCs/>
                <w:color w:val="16145F" w:themeColor="accent3"/>
                <w:kern w:val="24"/>
              </w:rPr>
              <w:t>50</w:t>
            </w:r>
            <w:r w:rsidR="00281431" w:rsidRPr="00472606">
              <w:rPr>
                <w:rFonts w:ascii="Arial" w:hAnsi="Arial" w:cs="Arial"/>
                <w:b/>
                <w:bCs/>
                <w:color w:val="16145F" w:themeColor="accent3"/>
                <w:kern w:val="24"/>
              </w:rPr>
              <w:t>%</w:t>
            </w:r>
          </w:p>
        </w:tc>
      </w:tr>
      <w:tr w:rsidR="00281431" w:rsidRPr="00472606" w14:paraId="124691CA" w14:textId="77777777">
        <w:trPr>
          <w:trHeight w:val="231"/>
        </w:trPr>
        <w:tc>
          <w:tcPr>
            <w:tcW w:w="1794" w:type="dxa"/>
          </w:tcPr>
          <w:p w14:paraId="4F5CA25C" w14:textId="77777777" w:rsidR="00281431" w:rsidRPr="00472606" w:rsidRDefault="00281431">
            <w:pPr>
              <w:pStyle w:val="Body"/>
              <w:jc w:val="left"/>
              <w:rPr>
                <w:rFonts w:ascii="Arial" w:hAnsi="Arial" w:cs="Arial"/>
                <w:b/>
                <w:bCs/>
              </w:rPr>
            </w:pPr>
            <w:r w:rsidRPr="00472606">
              <w:rPr>
                <w:rFonts w:ascii="Arial" w:hAnsi="Arial" w:cs="Arial"/>
                <w:b/>
                <w:bCs/>
              </w:rPr>
              <w:t xml:space="preserve">Efficiency </w:t>
            </w:r>
          </w:p>
        </w:tc>
        <w:tc>
          <w:tcPr>
            <w:tcW w:w="7083" w:type="dxa"/>
          </w:tcPr>
          <w:p w14:paraId="2FCD8EDF" w14:textId="77777777" w:rsidR="00281431" w:rsidRPr="00472606" w:rsidRDefault="00281431">
            <w:pPr>
              <w:pStyle w:val="Body"/>
              <w:rPr>
                <w:rFonts w:ascii="Arial" w:hAnsi="Arial" w:cs="Arial"/>
                <w:color w:val="000000" w:themeColor="text1"/>
                <w:kern w:val="24"/>
              </w:rPr>
            </w:pPr>
            <w:r w:rsidRPr="005110A4">
              <w:rPr>
                <w:rFonts w:ascii="Arial" w:hAnsi="Arial" w:cs="Arial"/>
                <w:color w:val="000000" w:themeColor="text1"/>
                <w:kern w:val="24"/>
              </w:rPr>
              <w:t xml:space="preserve">The fee should enable recovery of PRBS operating costs for the </w:t>
            </w:r>
            <w:r>
              <w:rPr>
                <w:rFonts w:ascii="Arial" w:hAnsi="Arial" w:cs="Arial"/>
                <w:color w:val="000000" w:themeColor="text1"/>
                <w:kern w:val="24"/>
              </w:rPr>
              <w:t>Government</w:t>
            </w:r>
            <w:r w:rsidRPr="005110A4">
              <w:rPr>
                <w:rFonts w:ascii="Arial" w:hAnsi="Arial" w:cs="Arial"/>
                <w:color w:val="000000" w:themeColor="text1"/>
                <w:kern w:val="24"/>
              </w:rPr>
              <w:t>.</w:t>
            </w:r>
          </w:p>
        </w:tc>
        <w:tc>
          <w:tcPr>
            <w:tcW w:w="1554" w:type="dxa"/>
          </w:tcPr>
          <w:p w14:paraId="7BEEC69E" w14:textId="39083C8E" w:rsidR="00281431" w:rsidRPr="00472606" w:rsidRDefault="00860DF6">
            <w:pPr>
              <w:pStyle w:val="Body"/>
              <w:jc w:val="center"/>
              <w:rPr>
                <w:rFonts w:ascii="Arial" w:hAnsi="Arial" w:cs="Arial"/>
                <w:b/>
                <w:bCs/>
                <w:color w:val="16145F" w:themeColor="accent3"/>
              </w:rPr>
            </w:pPr>
            <w:r>
              <w:rPr>
                <w:rFonts w:ascii="Arial" w:hAnsi="Arial" w:cs="Arial"/>
                <w:b/>
                <w:bCs/>
                <w:color w:val="16145F" w:themeColor="accent3"/>
                <w:kern w:val="24"/>
              </w:rPr>
              <w:t>2</w:t>
            </w:r>
            <w:r w:rsidR="00281431">
              <w:rPr>
                <w:rFonts w:ascii="Arial" w:hAnsi="Arial" w:cs="Arial"/>
                <w:b/>
                <w:bCs/>
                <w:color w:val="16145F" w:themeColor="accent3"/>
                <w:kern w:val="24"/>
              </w:rPr>
              <w:t>5</w:t>
            </w:r>
            <w:r w:rsidR="00281431" w:rsidRPr="00472606">
              <w:rPr>
                <w:rFonts w:ascii="Arial" w:hAnsi="Arial" w:cs="Arial"/>
                <w:b/>
                <w:bCs/>
                <w:color w:val="16145F" w:themeColor="accent3"/>
                <w:kern w:val="24"/>
              </w:rPr>
              <w:t>%</w:t>
            </w:r>
          </w:p>
        </w:tc>
      </w:tr>
      <w:tr w:rsidR="00281431" w:rsidRPr="00472606" w14:paraId="40861829" w14:textId="77777777">
        <w:trPr>
          <w:trHeight w:val="231"/>
        </w:trPr>
        <w:tc>
          <w:tcPr>
            <w:tcW w:w="1794" w:type="dxa"/>
          </w:tcPr>
          <w:p w14:paraId="3853A58F" w14:textId="77777777" w:rsidR="00281431" w:rsidRPr="00472606" w:rsidRDefault="00281431">
            <w:pPr>
              <w:pStyle w:val="Body"/>
              <w:jc w:val="left"/>
              <w:rPr>
                <w:rFonts w:ascii="Arial" w:hAnsi="Arial" w:cs="Arial"/>
                <w:b/>
                <w:bCs/>
              </w:rPr>
            </w:pPr>
            <w:r w:rsidRPr="000D4091">
              <w:rPr>
                <w:rFonts w:ascii="Arial" w:hAnsi="Arial" w:cs="Arial"/>
                <w:b/>
                <w:bCs/>
              </w:rPr>
              <w:t xml:space="preserve">User pays for </w:t>
            </w:r>
            <w:r>
              <w:rPr>
                <w:rFonts w:ascii="Arial" w:hAnsi="Arial" w:cs="Arial"/>
                <w:b/>
                <w:bCs/>
              </w:rPr>
              <w:t>costs</w:t>
            </w:r>
            <w:r w:rsidRPr="000D4091">
              <w:rPr>
                <w:rFonts w:ascii="Arial" w:hAnsi="Arial" w:cs="Arial"/>
                <w:b/>
                <w:bCs/>
              </w:rPr>
              <w:t xml:space="preserve">  </w:t>
            </w:r>
          </w:p>
        </w:tc>
        <w:tc>
          <w:tcPr>
            <w:tcW w:w="7083" w:type="dxa"/>
          </w:tcPr>
          <w:p w14:paraId="7C033B1C" w14:textId="3E18EB9E" w:rsidR="00281431" w:rsidRPr="001F576E" w:rsidRDefault="00281431">
            <w:pPr>
              <w:pStyle w:val="Body"/>
            </w:pPr>
            <w:r w:rsidRPr="005110A4">
              <w:rPr>
                <w:lang w:val="en-US"/>
              </w:rPr>
              <w:t>The fee should fairly reflect individuals’ participation in the PRBS.</w:t>
            </w:r>
          </w:p>
        </w:tc>
        <w:tc>
          <w:tcPr>
            <w:tcW w:w="1554" w:type="dxa"/>
          </w:tcPr>
          <w:p w14:paraId="22FF8B0C" w14:textId="0C07D2E7" w:rsidR="00281431" w:rsidRPr="00472606" w:rsidRDefault="00860DF6">
            <w:pPr>
              <w:pStyle w:val="Body"/>
              <w:jc w:val="center"/>
              <w:rPr>
                <w:rFonts w:ascii="Arial" w:hAnsi="Arial" w:cs="Arial"/>
                <w:b/>
                <w:bCs/>
                <w:color w:val="16145F" w:themeColor="accent3"/>
                <w:kern w:val="24"/>
              </w:rPr>
            </w:pPr>
            <w:r>
              <w:rPr>
                <w:rFonts w:ascii="Arial" w:hAnsi="Arial" w:cs="Arial"/>
                <w:b/>
                <w:bCs/>
                <w:color w:val="16145F" w:themeColor="accent3"/>
                <w:kern w:val="24"/>
              </w:rPr>
              <w:t>25</w:t>
            </w:r>
            <w:r w:rsidR="00281431" w:rsidRPr="00472606">
              <w:rPr>
                <w:rFonts w:ascii="Arial" w:hAnsi="Arial" w:cs="Arial"/>
                <w:b/>
                <w:bCs/>
                <w:color w:val="16145F" w:themeColor="accent3"/>
                <w:kern w:val="24"/>
              </w:rPr>
              <w:t>%</w:t>
            </w:r>
          </w:p>
        </w:tc>
      </w:tr>
    </w:tbl>
    <w:p w14:paraId="1C742BE0" w14:textId="2C4FA978" w:rsidR="00C53022" w:rsidRPr="00F62158" w:rsidRDefault="00C53022" w:rsidP="00C53022">
      <w:pPr>
        <w:pStyle w:val="Heading4"/>
        <w:ind w:left="0"/>
        <w:rPr>
          <w:b w:val="0"/>
          <w:bCs w:val="0"/>
          <w:i/>
          <w:iCs/>
        </w:rPr>
      </w:pPr>
      <w:r>
        <w:rPr>
          <w:b w:val="0"/>
          <w:bCs w:val="0"/>
          <w:i/>
          <w:iCs/>
        </w:rPr>
        <w:lastRenderedPageBreak/>
        <w:t>Debt recovery</w:t>
      </w:r>
      <w:r w:rsidRPr="00F62158">
        <w:rPr>
          <w:b w:val="0"/>
          <w:bCs w:val="0"/>
          <w:i/>
          <w:iCs/>
        </w:rPr>
        <w:t xml:space="preserve"> fee criteria weightings</w:t>
      </w:r>
    </w:p>
    <w:p w14:paraId="1F0B54A9" w14:textId="01221EF4" w:rsidR="00871E4E" w:rsidRPr="000F65FE" w:rsidRDefault="00871E4E" w:rsidP="00A0126B">
      <w:pPr>
        <w:pStyle w:val="DJCSbody"/>
        <w:ind w:left="0"/>
      </w:pPr>
      <w:r>
        <w:t xml:space="preserve">For the </w:t>
      </w:r>
      <w:r w:rsidR="00A30810">
        <w:t xml:space="preserve">debt recovery fee, the criteria points of (1) effectiveness and (2) efficiency are weighted equally highest, at 25% each. </w:t>
      </w:r>
      <w:r w:rsidR="00AF4823">
        <w:t>For debt recovery, these criteria</w:t>
      </w:r>
      <w:r w:rsidR="000508A0">
        <w:t xml:space="preserve"> are considered the most significant criteria for the ongoing sustainability and cost recovery of the PRBS. </w:t>
      </w:r>
      <w:r w:rsidR="00004A44">
        <w:t xml:space="preserve">The criteria points of (3) equity and (4) user pays for </w:t>
      </w:r>
      <w:r w:rsidR="00433F83">
        <w:t>costs</w:t>
      </w:r>
      <w:r w:rsidR="00004A44">
        <w:t xml:space="preserve">, are weighted equally second highest, </w:t>
      </w:r>
      <w:r w:rsidR="00F33DDC">
        <w:t xml:space="preserve">at 20% each. </w:t>
      </w:r>
      <w:r w:rsidR="007244B1">
        <w:t xml:space="preserve">Finally, </w:t>
      </w:r>
      <w:r w:rsidR="00281431">
        <w:t xml:space="preserve">the criteria of simplicity is considered of lower significance relative to the other criteria, hence its weighting of 10%. </w:t>
      </w:r>
      <w:r w:rsidR="00F33DDC">
        <w:t xml:space="preserve"> </w:t>
      </w:r>
    </w:p>
    <w:p w14:paraId="6AA8305A" w14:textId="3CC1F579" w:rsidR="008006D4" w:rsidRPr="000F65FE" w:rsidRDefault="008006D4" w:rsidP="00CA3C50">
      <w:pPr>
        <w:pStyle w:val="Caption"/>
      </w:pPr>
      <w:bookmarkStart w:id="59" w:name="_Ref216946353"/>
      <w:r w:rsidRPr="000F65FE">
        <w:t xml:space="preserve">Table </w:t>
      </w:r>
      <w:r w:rsidR="00F9767C">
        <w:fldChar w:fldCharType="begin"/>
      </w:r>
      <w:r w:rsidR="00F9767C">
        <w:instrText xml:space="preserve"> SEQ Table \* ARABIC </w:instrText>
      </w:r>
      <w:r w:rsidR="00F9767C">
        <w:fldChar w:fldCharType="separate"/>
      </w:r>
      <w:r w:rsidR="00A50199">
        <w:rPr>
          <w:noProof/>
        </w:rPr>
        <w:t>12</w:t>
      </w:r>
      <w:r w:rsidR="00F9767C">
        <w:rPr>
          <w:noProof/>
        </w:rPr>
        <w:fldChar w:fldCharType="end"/>
      </w:r>
      <w:bookmarkEnd w:id="59"/>
      <w:r w:rsidRPr="000F65FE">
        <w:t xml:space="preserve">: Criteria used to assess </w:t>
      </w:r>
      <w:r w:rsidR="00281431">
        <w:t>debt recovery fees</w:t>
      </w:r>
    </w:p>
    <w:tbl>
      <w:tblPr>
        <w:tblStyle w:val="DJRReporttablestyleNavy"/>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6124"/>
        <w:gridCol w:w="2597"/>
      </w:tblGrid>
      <w:tr w:rsidR="00472606" w:rsidRPr="00472606" w14:paraId="3BF1C8C2" w14:textId="77777777" w:rsidTr="008E7AE6">
        <w:trPr>
          <w:cnfStyle w:val="100000000000" w:firstRow="1" w:lastRow="0" w:firstColumn="0" w:lastColumn="0" w:oddVBand="0" w:evenVBand="0" w:oddHBand="0" w:evenHBand="0" w:firstRowFirstColumn="0" w:firstRowLastColumn="0" w:lastRowFirstColumn="0" w:lastRowLastColumn="0"/>
          <w:trHeight w:val="231"/>
        </w:trPr>
        <w:tc>
          <w:tcPr>
            <w:tcW w:w="1764" w:type="dxa"/>
            <w:shd w:val="clear" w:color="auto" w:fill="16145F" w:themeFill="accent3"/>
          </w:tcPr>
          <w:p w14:paraId="5153CE1A" w14:textId="77777777" w:rsidR="00472606" w:rsidRPr="00472606" w:rsidRDefault="00472606" w:rsidP="00472606">
            <w:pPr>
              <w:pStyle w:val="Body"/>
              <w:jc w:val="left"/>
              <w:rPr>
                <w:rFonts w:ascii="Arial" w:hAnsi="Arial" w:cs="Arial"/>
                <w:b w:val="0"/>
                <w:bCs/>
              </w:rPr>
            </w:pPr>
            <w:r w:rsidRPr="00472606">
              <w:t>Criteria</w:t>
            </w:r>
          </w:p>
        </w:tc>
        <w:tc>
          <w:tcPr>
            <w:tcW w:w="6124" w:type="dxa"/>
            <w:shd w:val="clear" w:color="auto" w:fill="16145F" w:themeFill="accent3"/>
          </w:tcPr>
          <w:p w14:paraId="17169A62" w14:textId="77777777" w:rsidR="00472606" w:rsidRPr="005110A4" w:rsidRDefault="00472606" w:rsidP="00472606">
            <w:pPr>
              <w:pStyle w:val="Body"/>
              <w:rPr>
                <w:rFonts w:ascii="Arial" w:hAnsi="Arial" w:cs="Arial"/>
                <w:color w:val="000000" w:themeColor="text1"/>
                <w:kern w:val="24"/>
              </w:rPr>
            </w:pPr>
            <w:r w:rsidRPr="00472606">
              <w:t>Description</w:t>
            </w:r>
          </w:p>
        </w:tc>
        <w:tc>
          <w:tcPr>
            <w:tcW w:w="2592" w:type="dxa"/>
            <w:shd w:val="clear" w:color="auto" w:fill="16145F" w:themeFill="accent3"/>
          </w:tcPr>
          <w:p w14:paraId="592D5A65" w14:textId="77777777" w:rsidR="00472606" w:rsidRPr="00472606" w:rsidRDefault="00472606" w:rsidP="00472606">
            <w:pPr>
              <w:pStyle w:val="Body"/>
              <w:jc w:val="center"/>
              <w:rPr>
                <w:rFonts w:ascii="Arial" w:hAnsi="Arial" w:cs="Arial"/>
                <w:color w:val="16145F" w:themeColor="accent3"/>
                <w:kern w:val="24"/>
              </w:rPr>
            </w:pPr>
            <w:r w:rsidRPr="00472606">
              <w:t>Weight (%)</w:t>
            </w:r>
          </w:p>
        </w:tc>
      </w:tr>
      <w:tr w:rsidR="00472606" w:rsidRPr="00472606" w14:paraId="32C2F707" w14:textId="77777777" w:rsidTr="008E7AE6">
        <w:trPr>
          <w:trHeight w:val="231"/>
        </w:trPr>
        <w:tc>
          <w:tcPr>
            <w:tcW w:w="1764" w:type="dxa"/>
          </w:tcPr>
          <w:p w14:paraId="45AF7BD0" w14:textId="77777777" w:rsidR="00472606" w:rsidRPr="00472606" w:rsidRDefault="00472606" w:rsidP="00472606">
            <w:pPr>
              <w:pStyle w:val="Body"/>
              <w:jc w:val="left"/>
              <w:rPr>
                <w:rFonts w:ascii="Arial" w:hAnsi="Arial" w:cs="Arial"/>
                <w:b/>
                <w:bCs/>
              </w:rPr>
            </w:pPr>
            <w:r w:rsidRPr="00472606">
              <w:rPr>
                <w:rFonts w:ascii="Arial" w:hAnsi="Arial" w:cs="Arial"/>
                <w:b/>
                <w:bCs/>
              </w:rPr>
              <w:t>Effectiveness</w:t>
            </w:r>
          </w:p>
        </w:tc>
        <w:tc>
          <w:tcPr>
            <w:tcW w:w="6124" w:type="dxa"/>
          </w:tcPr>
          <w:p w14:paraId="782DC362" w14:textId="77777777" w:rsidR="00472606" w:rsidRPr="00472606" w:rsidRDefault="00472606" w:rsidP="00472606">
            <w:pPr>
              <w:pStyle w:val="Body"/>
              <w:rPr>
                <w:rFonts w:ascii="Arial" w:hAnsi="Arial" w:cs="Arial"/>
                <w:color w:val="000000" w:themeColor="text1"/>
                <w:kern w:val="24"/>
              </w:rPr>
            </w:pPr>
            <w:r w:rsidRPr="005110A4">
              <w:rPr>
                <w:rFonts w:ascii="Arial" w:hAnsi="Arial" w:cs="Arial"/>
                <w:color w:val="000000" w:themeColor="text1"/>
                <w:kern w:val="24"/>
              </w:rPr>
              <w:t>The fee should encourage participation in the PRBS.</w:t>
            </w:r>
          </w:p>
        </w:tc>
        <w:tc>
          <w:tcPr>
            <w:tcW w:w="2592" w:type="dxa"/>
          </w:tcPr>
          <w:p w14:paraId="0EAD8B3A" w14:textId="77F2EB56" w:rsidR="00472606" w:rsidRPr="00472606" w:rsidRDefault="00B11B03" w:rsidP="00472606">
            <w:pPr>
              <w:pStyle w:val="Body"/>
              <w:jc w:val="center"/>
              <w:rPr>
                <w:rFonts w:ascii="Arial" w:hAnsi="Arial" w:cs="Arial"/>
                <w:b/>
                <w:bCs/>
                <w:color w:val="16145F" w:themeColor="accent3"/>
              </w:rPr>
            </w:pPr>
            <w:r>
              <w:rPr>
                <w:rFonts w:ascii="Arial" w:hAnsi="Arial" w:cs="Arial"/>
                <w:b/>
                <w:bCs/>
                <w:color w:val="16145F" w:themeColor="accent3"/>
                <w:kern w:val="24"/>
              </w:rPr>
              <w:t>25</w:t>
            </w:r>
            <w:r w:rsidR="00472606" w:rsidRPr="00472606">
              <w:rPr>
                <w:rFonts w:ascii="Arial" w:hAnsi="Arial" w:cs="Arial"/>
                <w:b/>
                <w:bCs/>
                <w:color w:val="16145F" w:themeColor="accent3"/>
                <w:kern w:val="24"/>
              </w:rPr>
              <w:t>%</w:t>
            </w:r>
          </w:p>
        </w:tc>
      </w:tr>
      <w:tr w:rsidR="00472606" w:rsidRPr="00472606" w14:paraId="0DDB03CF" w14:textId="77777777" w:rsidTr="008E7AE6">
        <w:trPr>
          <w:trHeight w:val="231"/>
        </w:trPr>
        <w:tc>
          <w:tcPr>
            <w:tcW w:w="1764" w:type="dxa"/>
          </w:tcPr>
          <w:p w14:paraId="7C8BA1E7" w14:textId="77777777" w:rsidR="00472606" w:rsidRPr="00472606" w:rsidRDefault="00472606" w:rsidP="00472606">
            <w:pPr>
              <w:pStyle w:val="Body"/>
              <w:jc w:val="left"/>
              <w:rPr>
                <w:rFonts w:ascii="Arial" w:hAnsi="Arial" w:cs="Arial"/>
                <w:b/>
                <w:bCs/>
              </w:rPr>
            </w:pPr>
            <w:r w:rsidRPr="00472606">
              <w:rPr>
                <w:rFonts w:ascii="Arial" w:hAnsi="Arial" w:cs="Arial"/>
                <w:b/>
                <w:bCs/>
              </w:rPr>
              <w:t xml:space="preserve">Efficiency </w:t>
            </w:r>
          </w:p>
        </w:tc>
        <w:tc>
          <w:tcPr>
            <w:tcW w:w="6124" w:type="dxa"/>
          </w:tcPr>
          <w:p w14:paraId="13CF1D5F" w14:textId="089C3007" w:rsidR="00472606" w:rsidRPr="00472606" w:rsidRDefault="00472606" w:rsidP="00472606">
            <w:pPr>
              <w:pStyle w:val="Body"/>
              <w:rPr>
                <w:rFonts w:ascii="Arial" w:hAnsi="Arial" w:cs="Arial"/>
                <w:color w:val="000000" w:themeColor="text1"/>
                <w:kern w:val="24"/>
              </w:rPr>
            </w:pPr>
            <w:r w:rsidRPr="005110A4">
              <w:rPr>
                <w:rFonts w:ascii="Arial" w:hAnsi="Arial" w:cs="Arial"/>
                <w:color w:val="000000" w:themeColor="text1"/>
                <w:kern w:val="24"/>
              </w:rPr>
              <w:t xml:space="preserve">The fee should enable recovery of PRBS operating costs for the </w:t>
            </w:r>
            <w:r w:rsidR="00B2439E">
              <w:rPr>
                <w:rFonts w:ascii="Arial" w:hAnsi="Arial" w:cs="Arial"/>
                <w:color w:val="000000" w:themeColor="text1"/>
                <w:kern w:val="24"/>
              </w:rPr>
              <w:t>Gov</w:t>
            </w:r>
            <w:r w:rsidR="004A6009">
              <w:rPr>
                <w:rFonts w:ascii="Arial" w:hAnsi="Arial" w:cs="Arial"/>
                <w:color w:val="000000" w:themeColor="text1"/>
                <w:kern w:val="24"/>
              </w:rPr>
              <w:t>ernment</w:t>
            </w:r>
            <w:r w:rsidRPr="005110A4">
              <w:rPr>
                <w:rFonts w:ascii="Arial" w:hAnsi="Arial" w:cs="Arial"/>
                <w:color w:val="000000" w:themeColor="text1"/>
                <w:kern w:val="24"/>
              </w:rPr>
              <w:t>.</w:t>
            </w:r>
          </w:p>
        </w:tc>
        <w:tc>
          <w:tcPr>
            <w:tcW w:w="2592" w:type="dxa"/>
          </w:tcPr>
          <w:p w14:paraId="0BA68222" w14:textId="77777777" w:rsidR="00472606" w:rsidRPr="00472606" w:rsidRDefault="00472606" w:rsidP="00472606">
            <w:pPr>
              <w:pStyle w:val="Body"/>
              <w:jc w:val="center"/>
              <w:rPr>
                <w:rFonts w:ascii="Arial" w:hAnsi="Arial" w:cs="Arial"/>
                <w:b/>
                <w:bCs/>
                <w:color w:val="16145F" w:themeColor="accent3"/>
              </w:rPr>
            </w:pPr>
            <w:r w:rsidRPr="00472606">
              <w:rPr>
                <w:rFonts w:ascii="Arial" w:hAnsi="Arial" w:cs="Arial"/>
                <w:b/>
                <w:bCs/>
                <w:color w:val="16145F" w:themeColor="accent3"/>
                <w:kern w:val="24"/>
              </w:rPr>
              <w:t>25%</w:t>
            </w:r>
          </w:p>
        </w:tc>
      </w:tr>
      <w:tr w:rsidR="00472606" w:rsidRPr="00472606" w14:paraId="6105A5D0" w14:textId="77777777" w:rsidTr="008E7AE6">
        <w:trPr>
          <w:trHeight w:val="231"/>
        </w:trPr>
        <w:tc>
          <w:tcPr>
            <w:tcW w:w="1764" w:type="dxa"/>
          </w:tcPr>
          <w:p w14:paraId="262DCB2E" w14:textId="5C7B5787" w:rsidR="00472606" w:rsidRPr="00472606" w:rsidRDefault="002536A4" w:rsidP="00472606">
            <w:pPr>
              <w:pStyle w:val="Body"/>
              <w:jc w:val="left"/>
              <w:rPr>
                <w:rFonts w:ascii="Arial" w:hAnsi="Arial" w:cs="Arial"/>
                <w:b/>
                <w:bCs/>
              </w:rPr>
            </w:pPr>
            <w:r w:rsidRPr="000D4091">
              <w:rPr>
                <w:rFonts w:ascii="Arial" w:hAnsi="Arial" w:cs="Arial"/>
                <w:b/>
                <w:bCs/>
              </w:rPr>
              <w:t xml:space="preserve">User pays for </w:t>
            </w:r>
            <w:r w:rsidR="00F1019A">
              <w:rPr>
                <w:rFonts w:ascii="Arial" w:hAnsi="Arial" w:cs="Arial"/>
                <w:b/>
                <w:bCs/>
              </w:rPr>
              <w:t>costs</w:t>
            </w:r>
            <w:r w:rsidRPr="000D4091">
              <w:rPr>
                <w:rFonts w:ascii="Arial" w:hAnsi="Arial" w:cs="Arial"/>
                <w:b/>
                <w:bCs/>
              </w:rPr>
              <w:t xml:space="preserve"> </w:t>
            </w:r>
            <w:r w:rsidR="00472606" w:rsidRPr="000D4091">
              <w:rPr>
                <w:rFonts w:ascii="Arial" w:hAnsi="Arial" w:cs="Arial"/>
                <w:b/>
                <w:bCs/>
              </w:rPr>
              <w:t xml:space="preserve"> </w:t>
            </w:r>
          </w:p>
        </w:tc>
        <w:tc>
          <w:tcPr>
            <w:tcW w:w="6124" w:type="dxa"/>
          </w:tcPr>
          <w:p w14:paraId="45D87947" w14:textId="1A6BD484" w:rsidR="00472606" w:rsidRPr="001F576E" w:rsidRDefault="00472606" w:rsidP="001F576E">
            <w:pPr>
              <w:pStyle w:val="Body"/>
            </w:pPr>
            <w:r w:rsidRPr="005110A4">
              <w:rPr>
                <w:lang w:val="en-US"/>
              </w:rPr>
              <w:t>The fee should fairly reflect individuals’ participation in and benefit from the PRBS.</w:t>
            </w:r>
          </w:p>
        </w:tc>
        <w:tc>
          <w:tcPr>
            <w:tcW w:w="2592" w:type="dxa"/>
          </w:tcPr>
          <w:p w14:paraId="1CB18345" w14:textId="77777777" w:rsidR="00472606" w:rsidRPr="00472606" w:rsidRDefault="00472606" w:rsidP="00472606">
            <w:pPr>
              <w:pStyle w:val="Body"/>
              <w:jc w:val="center"/>
              <w:rPr>
                <w:rFonts w:ascii="Arial" w:hAnsi="Arial" w:cs="Arial"/>
                <w:b/>
                <w:bCs/>
                <w:color w:val="16145F" w:themeColor="accent3"/>
                <w:kern w:val="24"/>
              </w:rPr>
            </w:pPr>
            <w:r w:rsidRPr="00472606">
              <w:rPr>
                <w:rFonts w:ascii="Arial" w:hAnsi="Arial" w:cs="Arial"/>
                <w:b/>
                <w:bCs/>
                <w:color w:val="16145F" w:themeColor="accent3"/>
                <w:kern w:val="24"/>
              </w:rPr>
              <w:t>20%</w:t>
            </w:r>
          </w:p>
        </w:tc>
      </w:tr>
      <w:tr w:rsidR="00472606" w:rsidRPr="00472606" w14:paraId="129C124A" w14:textId="77777777" w:rsidTr="008E7AE6">
        <w:trPr>
          <w:trHeight w:val="231"/>
        </w:trPr>
        <w:tc>
          <w:tcPr>
            <w:tcW w:w="1764" w:type="dxa"/>
          </w:tcPr>
          <w:p w14:paraId="30B6FBCC" w14:textId="77777777" w:rsidR="00472606" w:rsidRPr="00472606" w:rsidRDefault="00472606" w:rsidP="00472606">
            <w:pPr>
              <w:pStyle w:val="Body"/>
              <w:jc w:val="left"/>
              <w:rPr>
                <w:rFonts w:ascii="Arial" w:hAnsi="Arial" w:cs="Arial"/>
                <w:b/>
                <w:bCs/>
              </w:rPr>
            </w:pPr>
            <w:r w:rsidRPr="00312E84">
              <w:rPr>
                <w:rFonts w:ascii="Arial" w:hAnsi="Arial" w:cs="Arial"/>
                <w:b/>
                <w:bCs/>
              </w:rPr>
              <w:t>Equity</w:t>
            </w:r>
          </w:p>
        </w:tc>
        <w:tc>
          <w:tcPr>
            <w:tcW w:w="6124" w:type="dxa"/>
          </w:tcPr>
          <w:p w14:paraId="76E695C6" w14:textId="4978C216" w:rsidR="00472606" w:rsidRPr="00472606" w:rsidRDefault="00472606" w:rsidP="00472606">
            <w:pPr>
              <w:rPr>
                <w:rFonts w:ascii="Arial" w:hAnsi="Arial" w:cs="Arial"/>
                <w:sz w:val="22"/>
                <w:szCs w:val="22"/>
              </w:rPr>
            </w:pPr>
            <w:r w:rsidRPr="005110A4">
              <w:rPr>
                <w:rFonts w:ascii="Arial" w:hAnsi="Arial" w:cs="Arial"/>
                <w:sz w:val="22"/>
                <w:szCs w:val="22"/>
                <w:lang w:val="en-US"/>
              </w:rPr>
              <w:t xml:space="preserve">The fee does not disproportionately </w:t>
            </w:r>
            <w:r w:rsidR="00A26CDF">
              <w:rPr>
                <w:rFonts w:ascii="Arial" w:hAnsi="Arial" w:cs="Arial"/>
                <w:sz w:val="22"/>
                <w:szCs w:val="22"/>
                <w:lang w:val="en-US"/>
              </w:rPr>
              <w:t xml:space="preserve">or unfairly </w:t>
            </w:r>
            <w:r w:rsidRPr="005110A4">
              <w:rPr>
                <w:rFonts w:ascii="Arial" w:hAnsi="Arial" w:cs="Arial"/>
                <w:sz w:val="22"/>
                <w:szCs w:val="22"/>
                <w:lang w:val="en-US"/>
              </w:rPr>
              <w:t>limit access to those with a lower ability to pay.</w:t>
            </w:r>
          </w:p>
        </w:tc>
        <w:tc>
          <w:tcPr>
            <w:tcW w:w="2592" w:type="dxa"/>
          </w:tcPr>
          <w:p w14:paraId="070CD6E0" w14:textId="02D9CB76" w:rsidR="00472606" w:rsidRPr="00472606" w:rsidRDefault="00BE04C1" w:rsidP="00472606">
            <w:pPr>
              <w:pStyle w:val="Body"/>
              <w:jc w:val="center"/>
              <w:rPr>
                <w:rFonts w:ascii="Arial" w:hAnsi="Arial" w:cs="Arial"/>
                <w:b/>
                <w:bCs/>
                <w:color w:val="16145F" w:themeColor="accent3"/>
                <w:kern w:val="24"/>
              </w:rPr>
            </w:pPr>
            <w:r w:rsidRPr="00472606">
              <w:rPr>
                <w:rFonts w:ascii="Arial" w:hAnsi="Arial" w:cs="Arial"/>
                <w:b/>
                <w:bCs/>
                <w:color w:val="16145F" w:themeColor="accent3"/>
                <w:kern w:val="24"/>
              </w:rPr>
              <w:t>20%</w:t>
            </w:r>
          </w:p>
        </w:tc>
      </w:tr>
      <w:tr w:rsidR="00764FA9" w:rsidRPr="00472606" w14:paraId="057514F5" w14:textId="77777777" w:rsidTr="008E7AE6">
        <w:trPr>
          <w:trHeight w:val="231"/>
        </w:trPr>
        <w:tc>
          <w:tcPr>
            <w:tcW w:w="1764" w:type="dxa"/>
          </w:tcPr>
          <w:p w14:paraId="3E284133" w14:textId="49D7F602" w:rsidR="00764FA9" w:rsidRPr="00312E84" w:rsidRDefault="00B11B03" w:rsidP="00472606">
            <w:pPr>
              <w:pStyle w:val="Body"/>
              <w:jc w:val="left"/>
              <w:rPr>
                <w:rFonts w:ascii="Arial" w:hAnsi="Arial" w:cs="Arial"/>
                <w:b/>
                <w:bCs/>
              </w:rPr>
            </w:pPr>
            <w:r>
              <w:rPr>
                <w:rFonts w:ascii="Arial" w:hAnsi="Arial" w:cs="Arial"/>
                <w:b/>
                <w:bCs/>
              </w:rPr>
              <w:t>Simplicity</w:t>
            </w:r>
          </w:p>
        </w:tc>
        <w:tc>
          <w:tcPr>
            <w:tcW w:w="6124" w:type="dxa"/>
          </w:tcPr>
          <w:p w14:paraId="295A0F88" w14:textId="3D3B2DEA" w:rsidR="00764FA9" w:rsidRPr="005110A4" w:rsidRDefault="00B11B03" w:rsidP="00472606">
            <w:pPr>
              <w:rPr>
                <w:rFonts w:ascii="Arial" w:hAnsi="Arial" w:cs="Arial"/>
                <w:sz w:val="22"/>
                <w:szCs w:val="22"/>
                <w:lang w:val="en-US"/>
              </w:rPr>
            </w:pPr>
            <w:r>
              <w:rPr>
                <w:rFonts w:ascii="Arial" w:hAnsi="Arial" w:cs="Arial"/>
                <w:sz w:val="22"/>
                <w:szCs w:val="22"/>
              </w:rPr>
              <w:t xml:space="preserve">The fee should be </w:t>
            </w:r>
            <w:r w:rsidR="00764FA9" w:rsidRPr="00764FA9">
              <w:rPr>
                <w:rFonts w:ascii="Arial" w:hAnsi="Arial" w:cs="Arial"/>
                <w:sz w:val="22"/>
                <w:szCs w:val="22"/>
              </w:rPr>
              <w:t>easy to understand and simple to administer</w:t>
            </w:r>
            <w:r>
              <w:rPr>
                <w:rFonts w:ascii="Arial" w:hAnsi="Arial" w:cs="Arial"/>
                <w:sz w:val="22"/>
                <w:szCs w:val="22"/>
              </w:rPr>
              <w:t>.</w:t>
            </w:r>
          </w:p>
        </w:tc>
        <w:tc>
          <w:tcPr>
            <w:tcW w:w="2597" w:type="dxa"/>
          </w:tcPr>
          <w:p w14:paraId="7F128B40" w14:textId="6FAA24B8" w:rsidR="00764FA9" w:rsidRPr="00472606" w:rsidRDefault="00B11B03" w:rsidP="00472606">
            <w:pPr>
              <w:pStyle w:val="Body"/>
              <w:jc w:val="center"/>
              <w:rPr>
                <w:rFonts w:ascii="Arial" w:hAnsi="Arial" w:cs="Arial"/>
                <w:b/>
                <w:bCs/>
                <w:color w:val="16145F" w:themeColor="accent3"/>
                <w:kern w:val="24"/>
              </w:rPr>
            </w:pPr>
            <w:r>
              <w:rPr>
                <w:rFonts w:ascii="Arial" w:hAnsi="Arial" w:cs="Arial"/>
                <w:b/>
                <w:bCs/>
                <w:color w:val="16145F" w:themeColor="accent3"/>
                <w:kern w:val="24"/>
              </w:rPr>
              <w:t>10%</w:t>
            </w:r>
          </w:p>
        </w:tc>
      </w:tr>
    </w:tbl>
    <w:p w14:paraId="08765C3B" w14:textId="32B3C278" w:rsidR="00ED5560" w:rsidRPr="000F65FE" w:rsidRDefault="00ED5560" w:rsidP="00995963">
      <w:pPr>
        <w:pStyle w:val="Heading4"/>
        <w:ind w:left="0"/>
      </w:pPr>
      <w:r w:rsidRPr="000F65FE">
        <w:t>Scoring</w:t>
      </w:r>
    </w:p>
    <w:p w14:paraId="4E8A23A1" w14:textId="76B8F963" w:rsidR="00424F11" w:rsidRPr="000F65FE" w:rsidRDefault="00ED5560" w:rsidP="00995963">
      <w:pPr>
        <w:pStyle w:val="DJCSbody"/>
        <w:ind w:left="0"/>
      </w:pPr>
      <w:r>
        <w:t>The MCA uses a scoring scale that ranges from -10, where a proposal does not meet any of the Government’s objectives</w:t>
      </w:r>
      <w:r w:rsidR="00193C3C">
        <w:t xml:space="preserve"> relative to the base case</w:t>
      </w:r>
      <w:r>
        <w:t>, to +10, where the Government’s objectives are fully met</w:t>
      </w:r>
      <w:r w:rsidR="00193C3C">
        <w:t xml:space="preserve"> relative to the base case</w:t>
      </w:r>
      <w:r>
        <w:t xml:space="preserve">. A score of 0 represents a position equivalent to no improvement on the base case. </w:t>
      </w:r>
      <w:r>
        <w:fldChar w:fldCharType="begin"/>
      </w:r>
      <w:r>
        <w:instrText xml:space="preserve"> REF _Ref190430433 \h  \* MERGEFORMAT </w:instrText>
      </w:r>
      <w:r>
        <w:fldChar w:fldCharType="separate"/>
      </w:r>
      <w:r w:rsidR="00A50199">
        <w:t xml:space="preserve">Table </w:t>
      </w:r>
      <w:r>
        <w:fldChar w:fldCharType="end"/>
      </w:r>
      <w:r w:rsidR="004124D7">
        <w:t>3</w:t>
      </w:r>
      <w:r>
        <w:t xml:space="preserve"> shows the range and description of the scoring within that range that will be applied to each element of the major issues being dealt with through the options.</w:t>
      </w:r>
    </w:p>
    <w:p w14:paraId="2485A6B1" w14:textId="17D738F2" w:rsidR="00ED5560" w:rsidRPr="000F65FE" w:rsidRDefault="008E1F8F" w:rsidP="00CA3C50">
      <w:pPr>
        <w:pStyle w:val="Caption"/>
      </w:pPr>
      <w:bookmarkStart w:id="60" w:name="_Ref190430433"/>
      <w:r>
        <w:t xml:space="preserve">Table </w:t>
      </w:r>
      <w:bookmarkEnd w:id="60"/>
      <w:r w:rsidR="001C02E6">
        <w:t>13</w:t>
      </w:r>
      <w:r w:rsidR="00ED5560" w:rsidRPr="000F65FE">
        <w:t>: MCA scoring scale</w:t>
      </w:r>
    </w:p>
    <w:tbl>
      <w:tblPr>
        <w:tblStyle w:val="DJRReporttablestyleNavy"/>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38"/>
        <w:gridCol w:w="8418"/>
      </w:tblGrid>
      <w:tr w:rsidR="00ED5560" w:rsidRPr="000F65FE" w14:paraId="433AD573" w14:textId="77777777" w:rsidTr="00634BAD">
        <w:trPr>
          <w:cnfStyle w:val="100000000000" w:firstRow="1" w:lastRow="0" w:firstColumn="0" w:lastColumn="0" w:oddVBand="0" w:evenVBand="0" w:oddHBand="0" w:evenHBand="0" w:firstRowFirstColumn="0" w:firstRowLastColumn="0" w:lastRowFirstColumn="0" w:lastRowLastColumn="0"/>
          <w:trHeight w:val="290"/>
          <w:tblHeader/>
        </w:trPr>
        <w:tc>
          <w:tcPr>
            <w:tcW w:w="1838" w:type="dxa"/>
            <w:shd w:val="clear" w:color="auto" w:fill="16145F" w:themeFill="accent3"/>
            <w:hideMark/>
          </w:tcPr>
          <w:p w14:paraId="3658878D" w14:textId="77777777" w:rsidR="00ED5560" w:rsidRPr="000F65FE" w:rsidRDefault="00DE295C">
            <w:pPr>
              <w:pStyle w:val="Body"/>
            </w:pPr>
            <w:r>
              <w:t>Scoring scale</w:t>
            </w:r>
          </w:p>
        </w:tc>
        <w:tc>
          <w:tcPr>
            <w:tcW w:w="8418" w:type="dxa"/>
            <w:shd w:val="clear" w:color="auto" w:fill="16145F" w:themeFill="accent3"/>
            <w:hideMark/>
          </w:tcPr>
          <w:p w14:paraId="7D550F59" w14:textId="77777777" w:rsidR="00ED5560" w:rsidRPr="000F65FE" w:rsidRDefault="00ED5560">
            <w:pPr>
              <w:pStyle w:val="Body"/>
            </w:pPr>
            <w:r w:rsidRPr="000F65FE">
              <w:t>Description</w:t>
            </w:r>
          </w:p>
        </w:tc>
      </w:tr>
      <w:tr w:rsidR="00ED5560" w:rsidRPr="000F65FE" w14:paraId="04A3D74D" w14:textId="77777777" w:rsidTr="00634BAD">
        <w:trPr>
          <w:trHeight w:val="172"/>
        </w:trPr>
        <w:tc>
          <w:tcPr>
            <w:tcW w:w="1838" w:type="dxa"/>
            <w:hideMark/>
          </w:tcPr>
          <w:p w14:paraId="431B6A07" w14:textId="77777777" w:rsidR="00ED5560" w:rsidRPr="000F65FE" w:rsidRDefault="00ED5560">
            <w:pPr>
              <w:pStyle w:val="Body"/>
            </w:pPr>
            <w:r w:rsidRPr="000F65FE">
              <w:t>-10</w:t>
            </w:r>
          </w:p>
        </w:tc>
        <w:tc>
          <w:tcPr>
            <w:tcW w:w="8418" w:type="dxa"/>
            <w:hideMark/>
          </w:tcPr>
          <w:p w14:paraId="0DBF72CD" w14:textId="38C5FB39" w:rsidR="00ED5560" w:rsidRPr="000F65FE" w:rsidRDefault="00ED5560">
            <w:pPr>
              <w:pStyle w:val="Body"/>
            </w:pPr>
            <w:r w:rsidRPr="000F65FE">
              <w:t>Very significant negative impact</w:t>
            </w:r>
            <w:r w:rsidR="000D26D6">
              <w:t xml:space="preserve"> </w:t>
            </w:r>
            <w:r w:rsidR="00ED24F9">
              <w:t xml:space="preserve">compared to </w:t>
            </w:r>
            <w:r w:rsidR="00003562">
              <w:t>b</w:t>
            </w:r>
            <w:r w:rsidR="00ED24F9">
              <w:t xml:space="preserve">ase </w:t>
            </w:r>
            <w:r w:rsidR="00003562">
              <w:t>c</w:t>
            </w:r>
            <w:r w:rsidR="00ED24F9">
              <w:t>ase</w:t>
            </w:r>
          </w:p>
        </w:tc>
      </w:tr>
      <w:tr w:rsidR="00ED5560" w:rsidRPr="000F65FE" w14:paraId="632CE4FF" w14:textId="77777777" w:rsidTr="00634BAD">
        <w:trPr>
          <w:trHeight w:val="108"/>
        </w:trPr>
        <w:tc>
          <w:tcPr>
            <w:tcW w:w="1838" w:type="dxa"/>
            <w:hideMark/>
          </w:tcPr>
          <w:p w14:paraId="1C875AA0" w14:textId="77777777" w:rsidR="00ED5560" w:rsidRPr="000F65FE" w:rsidRDefault="00ED5560">
            <w:pPr>
              <w:pStyle w:val="Body"/>
            </w:pPr>
            <w:r w:rsidRPr="000F65FE">
              <w:t>-7</w:t>
            </w:r>
          </w:p>
        </w:tc>
        <w:tc>
          <w:tcPr>
            <w:tcW w:w="8418" w:type="dxa"/>
            <w:hideMark/>
          </w:tcPr>
          <w:p w14:paraId="0FAC61B4" w14:textId="63C0350D" w:rsidR="00ED5560" w:rsidRPr="000F65FE" w:rsidRDefault="00ED5560">
            <w:pPr>
              <w:pStyle w:val="Body"/>
            </w:pPr>
            <w:r w:rsidRPr="000F65FE">
              <w:t>Significant negative impact</w:t>
            </w:r>
            <w:r w:rsidR="00ED24F9">
              <w:t xml:space="preserve"> </w:t>
            </w:r>
            <w:r w:rsidR="00003562">
              <w:t>compared to base case</w:t>
            </w:r>
          </w:p>
        </w:tc>
      </w:tr>
      <w:tr w:rsidR="00ED5560" w:rsidRPr="000F65FE" w14:paraId="305CDFC2" w14:textId="77777777" w:rsidTr="00634BAD">
        <w:trPr>
          <w:trHeight w:val="172"/>
        </w:trPr>
        <w:tc>
          <w:tcPr>
            <w:tcW w:w="1838" w:type="dxa"/>
            <w:hideMark/>
          </w:tcPr>
          <w:p w14:paraId="4C59E3BA" w14:textId="77777777" w:rsidR="00ED5560" w:rsidRPr="000F65FE" w:rsidRDefault="00ED5560">
            <w:pPr>
              <w:pStyle w:val="Body"/>
            </w:pPr>
            <w:r w:rsidRPr="000F65FE">
              <w:t>-3</w:t>
            </w:r>
          </w:p>
        </w:tc>
        <w:tc>
          <w:tcPr>
            <w:tcW w:w="8418" w:type="dxa"/>
            <w:hideMark/>
          </w:tcPr>
          <w:p w14:paraId="2F822F49" w14:textId="5BDE0804" w:rsidR="00ED5560" w:rsidRPr="000F65FE" w:rsidRDefault="00ED5560">
            <w:pPr>
              <w:pStyle w:val="Body"/>
            </w:pPr>
            <w:r w:rsidRPr="000F65FE">
              <w:t>Moderate negative impact</w:t>
            </w:r>
            <w:r w:rsidR="00003562">
              <w:t xml:space="preserve"> compared to base case</w:t>
            </w:r>
          </w:p>
        </w:tc>
      </w:tr>
      <w:tr w:rsidR="00ED5560" w:rsidRPr="000F65FE" w14:paraId="014B74F7" w14:textId="77777777" w:rsidTr="00634BAD">
        <w:trPr>
          <w:trHeight w:val="70"/>
        </w:trPr>
        <w:tc>
          <w:tcPr>
            <w:tcW w:w="1838" w:type="dxa"/>
            <w:hideMark/>
          </w:tcPr>
          <w:p w14:paraId="7600DFF4" w14:textId="77777777" w:rsidR="00ED5560" w:rsidRPr="000F65FE" w:rsidRDefault="00ED5560">
            <w:pPr>
              <w:pStyle w:val="Body"/>
            </w:pPr>
            <w:r w:rsidRPr="000F65FE">
              <w:t>0</w:t>
            </w:r>
          </w:p>
        </w:tc>
        <w:tc>
          <w:tcPr>
            <w:tcW w:w="8418" w:type="dxa"/>
            <w:hideMark/>
          </w:tcPr>
          <w:p w14:paraId="1A9C829D" w14:textId="7EC10656" w:rsidR="00ED5560" w:rsidRPr="000F65FE" w:rsidRDefault="00ED5560">
            <w:pPr>
              <w:pStyle w:val="Body"/>
            </w:pPr>
            <w:r w:rsidRPr="000F65FE">
              <w:t xml:space="preserve">No impact compared </w:t>
            </w:r>
            <w:r w:rsidR="00003562">
              <w:t>to</w:t>
            </w:r>
            <w:r w:rsidR="00003562" w:rsidRPr="000F65FE">
              <w:t xml:space="preserve"> </w:t>
            </w:r>
            <w:r w:rsidR="00003562">
              <w:t>b</w:t>
            </w:r>
            <w:r w:rsidRPr="000F65FE">
              <w:t xml:space="preserve">ase </w:t>
            </w:r>
            <w:r w:rsidR="00003562">
              <w:t>c</w:t>
            </w:r>
            <w:r w:rsidRPr="000F65FE">
              <w:t>ase</w:t>
            </w:r>
          </w:p>
        </w:tc>
      </w:tr>
      <w:tr w:rsidR="00ED5560" w:rsidRPr="000F65FE" w14:paraId="0F6FC6D8" w14:textId="77777777" w:rsidTr="00634BAD">
        <w:trPr>
          <w:trHeight w:val="147"/>
        </w:trPr>
        <w:tc>
          <w:tcPr>
            <w:tcW w:w="1838" w:type="dxa"/>
            <w:hideMark/>
          </w:tcPr>
          <w:p w14:paraId="46D2D67C" w14:textId="77777777" w:rsidR="00ED5560" w:rsidRPr="000F65FE" w:rsidRDefault="00ED5560">
            <w:pPr>
              <w:pStyle w:val="Body"/>
            </w:pPr>
            <w:r w:rsidRPr="000F65FE">
              <w:t>3</w:t>
            </w:r>
          </w:p>
        </w:tc>
        <w:tc>
          <w:tcPr>
            <w:tcW w:w="8418" w:type="dxa"/>
            <w:hideMark/>
          </w:tcPr>
          <w:p w14:paraId="217B3A14" w14:textId="46B854F1" w:rsidR="00ED5560" w:rsidRPr="000F65FE" w:rsidRDefault="00ED5560">
            <w:pPr>
              <w:pStyle w:val="Body"/>
            </w:pPr>
            <w:r w:rsidRPr="000F65FE">
              <w:t>Moderate positive impact</w:t>
            </w:r>
            <w:r w:rsidR="00003562">
              <w:t xml:space="preserve"> compared to base case</w:t>
            </w:r>
          </w:p>
        </w:tc>
      </w:tr>
      <w:tr w:rsidR="00ED5560" w:rsidRPr="000F65FE" w14:paraId="620348FD" w14:textId="77777777" w:rsidTr="00634BAD">
        <w:trPr>
          <w:trHeight w:val="70"/>
        </w:trPr>
        <w:tc>
          <w:tcPr>
            <w:tcW w:w="1838" w:type="dxa"/>
            <w:hideMark/>
          </w:tcPr>
          <w:p w14:paraId="4E2BFB13" w14:textId="77777777" w:rsidR="00ED5560" w:rsidRPr="000F65FE" w:rsidRDefault="00ED5560">
            <w:pPr>
              <w:pStyle w:val="Body"/>
            </w:pPr>
            <w:r w:rsidRPr="000F65FE">
              <w:t>7</w:t>
            </w:r>
          </w:p>
        </w:tc>
        <w:tc>
          <w:tcPr>
            <w:tcW w:w="8418" w:type="dxa"/>
            <w:hideMark/>
          </w:tcPr>
          <w:p w14:paraId="084BE0FF" w14:textId="64B034DA" w:rsidR="00ED5560" w:rsidRPr="000F65FE" w:rsidRDefault="00ED5560">
            <w:pPr>
              <w:pStyle w:val="Body"/>
            </w:pPr>
            <w:r w:rsidRPr="000F65FE">
              <w:t>Significant positive impact</w:t>
            </w:r>
            <w:r w:rsidR="00003562">
              <w:t xml:space="preserve"> compared to base case</w:t>
            </w:r>
          </w:p>
        </w:tc>
      </w:tr>
      <w:tr w:rsidR="00ED5560" w:rsidRPr="000F65FE" w14:paraId="1292A321" w14:textId="77777777" w:rsidTr="00634BAD">
        <w:trPr>
          <w:trHeight w:val="70"/>
        </w:trPr>
        <w:tc>
          <w:tcPr>
            <w:tcW w:w="1838" w:type="dxa"/>
            <w:hideMark/>
          </w:tcPr>
          <w:p w14:paraId="3313EE26" w14:textId="77777777" w:rsidR="00ED5560" w:rsidRPr="000F65FE" w:rsidRDefault="00ED5560">
            <w:pPr>
              <w:pStyle w:val="Body"/>
            </w:pPr>
            <w:r w:rsidRPr="000F65FE">
              <w:t>10</w:t>
            </w:r>
          </w:p>
        </w:tc>
        <w:tc>
          <w:tcPr>
            <w:tcW w:w="8418" w:type="dxa"/>
            <w:hideMark/>
          </w:tcPr>
          <w:p w14:paraId="1EA3F249" w14:textId="4708A883" w:rsidR="00ED5560" w:rsidRPr="000F65FE" w:rsidRDefault="00ED5560">
            <w:pPr>
              <w:pStyle w:val="Body"/>
            </w:pPr>
            <w:r w:rsidRPr="000F65FE">
              <w:t>Very significant positive impact</w:t>
            </w:r>
            <w:r w:rsidR="00003562">
              <w:t xml:space="preserve"> compared to base case</w:t>
            </w:r>
          </w:p>
        </w:tc>
      </w:tr>
    </w:tbl>
    <w:p w14:paraId="1E88DCD7" w14:textId="77777777" w:rsidR="00CA3C50" w:rsidRPr="000B7E1F" w:rsidRDefault="00CA3C50" w:rsidP="00CA3C50">
      <w:pPr>
        <w:pStyle w:val="Body"/>
      </w:pPr>
    </w:p>
    <w:p w14:paraId="6BC01574" w14:textId="4B2D7FDB" w:rsidR="00886D39" w:rsidRDefault="00CE02D3" w:rsidP="00886D39">
      <w:pPr>
        <w:pStyle w:val="Heading2"/>
      </w:pPr>
      <w:bookmarkStart w:id="61" w:name="_Toc221890906"/>
      <w:r>
        <w:lastRenderedPageBreak/>
        <w:t>Application f</w:t>
      </w:r>
      <w:r w:rsidR="00886D39">
        <w:t>ee options analysis</w:t>
      </w:r>
      <w:bookmarkEnd w:id="61"/>
    </w:p>
    <w:p w14:paraId="54D59520" w14:textId="6CC26A65" w:rsidR="005E732C" w:rsidRDefault="00886D39" w:rsidP="00886D39">
      <w:pPr>
        <w:pStyle w:val="DJCSbody"/>
        <w:ind w:left="0"/>
      </w:pPr>
      <w:r>
        <w:t xml:space="preserve">The purpose of this </w:t>
      </w:r>
      <w:r w:rsidR="00CF2BDF">
        <w:t xml:space="preserve">subchapter </w:t>
      </w:r>
      <w:r>
        <w:t>is to examine the</w:t>
      </w:r>
      <w:r w:rsidR="00EE4D0E">
        <w:t xml:space="preserve"> </w:t>
      </w:r>
      <w:r w:rsidR="004124D7">
        <w:t xml:space="preserve">3 </w:t>
      </w:r>
      <w:r>
        <w:t>options for</w:t>
      </w:r>
      <w:r w:rsidR="00CE02D3">
        <w:t xml:space="preserve"> application</w:t>
      </w:r>
      <w:r>
        <w:t xml:space="preserve"> fee levels that are outlined in </w:t>
      </w:r>
      <w:r w:rsidR="00A24674">
        <w:t xml:space="preserve">Subchapter </w:t>
      </w:r>
      <w:r>
        <w:t>4.</w:t>
      </w:r>
      <w:r w:rsidR="008342A8">
        <w:t>3</w:t>
      </w:r>
      <w:r>
        <w:t xml:space="preserve">. To support the analysis, this </w:t>
      </w:r>
      <w:r w:rsidR="00A24674">
        <w:t>subchapter</w:t>
      </w:r>
      <w:r w:rsidR="00CF2BDF">
        <w:t xml:space="preserve"> </w:t>
      </w:r>
      <w:r>
        <w:t xml:space="preserve">explores the impact of different </w:t>
      </w:r>
      <w:r w:rsidR="008342A8">
        <w:t xml:space="preserve">application </w:t>
      </w:r>
      <w:r>
        <w:t xml:space="preserve">fee levels on the time to achieve cost recovery and the participation rate of the PRBS. </w:t>
      </w:r>
      <w:r w:rsidR="00F8342E">
        <w:t xml:space="preserve">It then </w:t>
      </w:r>
      <w:r w:rsidR="00EA3B69">
        <w:t xml:space="preserve">assesses the options using </w:t>
      </w:r>
      <w:r w:rsidR="00F829F9">
        <w:t>an</w:t>
      </w:r>
      <w:r w:rsidR="00EA3B69">
        <w:t xml:space="preserve"> MCA</w:t>
      </w:r>
      <w:r w:rsidR="00A63776">
        <w:t>, against the identified criteria</w:t>
      </w:r>
      <w:r w:rsidR="00EA3B69">
        <w:t>.</w:t>
      </w:r>
    </w:p>
    <w:p w14:paraId="1F066797" w14:textId="66ABB7D8" w:rsidR="00886D39" w:rsidRPr="004377C2" w:rsidRDefault="00886D39" w:rsidP="00886D39">
      <w:pPr>
        <w:pStyle w:val="Heading3"/>
        <w:rPr>
          <w:lang w:eastAsia="en-AU"/>
        </w:rPr>
      </w:pPr>
      <w:r>
        <w:rPr>
          <w:lang w:eastAsia="en-AU"/>
        </w:rPr>
        <w:t>Impact of</w:t>
      </w:r>
      <w:r w:rsidR="005B34B6">
        <w:rPr>
          <w:lang w:eastAsia="en-AU"/>
        </w:rPr>
        <w:t xml:space="preserve"> application</w:t>
      </w:r>
      <w:r>
        <w:rPr>
          <w:lang w:eastAsia="en-AU"/>
        </w:rPr>
        <w:t xml:space="preserve"> fee options</w:t>
      </w:r>
    </w:p>
    <w:p w14:paraId="4660C104" w14:textId="36478420" w:rsidR="00155F9B" w:rsidRDefault="00886D39" w:rsidP="00886D39">
      <w:pPr>
        <w:pStyle w:val="DJCSbody"/>
        <w:ind w:left="0"/>
      </w:pPr>
      <w:r>
        <w:rPr>
          <w:lang w:eastAsia="en-AU"/>
        </w:rPr>
        <w:t xml:space="preserve">The table below summarises the impact of the </w:t>
      </w:r>
      <w:r w:rsidR="005B34B6">
        <w:rPr>
          <w:lang w:eastAsia="en-AU"/>
        </w:rPr>
        <w:t xml:space="preserve">application </w:t>
      </w:r>
      <w:r>
        <w:rPr>
          <w:lang w:eastAsia="en-AU"/>
        </w:rPr>
        <w:t>fee options with respect to the timeframe for cost recovery</w:t>
      </w:r>
      <w:r w:rsidR="005B34B6">
        <w:rPr>
          <w:lang w:eastAsia="en-AU"/>
        </w:rPr>
        <w:t xml:space="preserve"> and </w:t>
      </w:r>
      <w:r>
        <w:rPr>
          <w:lang w:eastAsia="en-AU"/>
        </w:rPr>
        <w:t xml:space="preserve">the </w:t>
      </w:r>
      <w:r w:rsidR="000615CB">
        <w:rPr>
          <w:lang w:eastAsia="en-AU"/>
        </w:rPr>
        <w:t xml:space="preserve">estimated </w:t>
      </w:r>
      <w:r>
        <w:rPr>
          <w:lang w:eastAsia="en-AU"/>
        </w:rPr>
        <w:t xml:space="preserve">participation rate. This is compared to </w:t>
      </w:r>
      <w:r w:rsidR="005B34B6">
        <w:rPr>
          <w:lang w:eastAsia="en-AU"/>
        </w:rPr>
        <w:t xml:space="preserve">the base case scenario (no </w:t>
      </w:r>
      <w:r w:rsidR="00F35994">
        <w:rPr>
          <w:lang w:eastAsia="en-AU"/>
        </w:rPr>
        <w:t>application</w:t>
      </w:r>
      <w:r w:rsidR="005B34B6">
        <w:rPr>
          <w:lang w:eastAsia="en-AU"/>
        </w:rPr>
        <w:t xml:space="preserve"> fee)</w:t>
      </w:r>
      <w:r w:rsidR="000615CB">
        <w:t xml:space="preserve">, where </w:t>
      </w:r>
      <w:r w:rsidR="000615CB" w:rsidRPr="009476AE">
        <w:t xml:space="preserve">participation </w:t>
      </w:r>
      <w:r w:rsidR="000615CB">
        <w:t xml:space="preserve">in the PRBS </w:t>
      </w:r>
      <w:r w:rsidR="000615CB" w:rsidRPr="009476AE">
        <w:t xml:space="preserve">is </w:t>
      </w:r>
      <w:r w:rsidR="000615CB">
        <w:t>estimated</w:t>
      </w:r>
      <w:r w:rsidR="000615CB" w:rsidRPr="009476AE">
        <w:t xml:space="preserve"> at 80% due to eligibility and behavioural factors</w:t>
      </w:r>
      <w:r w:rsidR="000615CB">
        <w:t xml:space="preserve"> (</w:t>
      </w:r>
      <w:r w:rsidR="006B54B1">
        <w:t>f</w:t>
      </w:r>
      <w:r w:rsidR="000615CB">
        <w:t xml:space="preserve">urther </w:t>
      </w:r>
      <w:r w:rsidR="006B54B1">
        <w:t xml:space="preserve">detail </w:t>
      </w:r>
      <w:r w:rsidR="00A81883">
        <w:t xml:space="preserve">is </w:t>
      </w:r>
      <w:r w:rsidR="000615CB">
        <w:t>contained in Appendix A</w:t>
      </w:r>
      <w:r w:rsidR="006B54B1">
        <w:t xml:space="preserve">). </w:t>
      </w:r>
      <w:r w:rsidR="006F2BFB">
        <w:rPr>
          <w:rFonts w:asciiTheme="majorHAnsi" w:hAnsiTheme="majorHAnsi" w:cstheme="majorHAnsi"/>
          <w:szCs w:val="22"/>
        </w:rPr>
        <w:t>Higher fee amounts result in faster cost recovery as the cost base remains relatively stable under the various options.</w:t>
      </w:r>
      <w:r w:rsidR="00155F9B" w:rsidRPr="00155F9B">
        <w:t xml:space="preserve"> </w:t>
      </w:r>
    </w:p>
    <w:p w14:paraId="68971828" w14:textId="17625823" w:rsidR="00EB4E26" w:rsidRDefault="00C14CFD" w:rsidP="00886D39">
      <w:pPr>
        <w:pStyle w:val="DJCSbody"/>
        <w:ind w:left="0"/>
      </w:pPr>
      <w:r>
        <w:t xml:space="preserve">It is noted that all </w:t>
      </w:r>
      <w:r w:rsidR="004124D7">
        <w:t>3</w:t>
      </w:r>
      <w:r>
        <w:t xml:space="preserve"> fee level options are estimated to achieve cost recovery in under 10 years. </w:t>
      </w:r>
      <w:r w:rsidR="00155F9B">
        <w:t xml:space="preserve">The PRBS is a new scheme and there is a level of uncertainty about the participation rate and the effectiveness of debt recovery processes that will materialise over the life of the Regulations. While robust modelling and sensitivity analysis has been undertaken through this RIS, there is a level of uncertainty about the total fee revenue, PRBS costs and projected debt write off that will occur once the PRBS is operational. </w:t>
      </w:r>
    </w:p>
    <w:p w14:paraId="208E3CD3" w14:textId="4C0FED62" w:rsidR="00EA47A7" w:rsidRDefault="007E44C3" w:rsidP="00886D39">
      <w:pPr>
        <w:pStyle w:val="DJCSbody"/>
        <w:ind w:left="0"/>
        <w:rPr>
          <w:lang w:eastAsia="en-AU"/>
        </w:rPr>
      </w:pPr>
      <w:r>
        <w:t xml:space="preserve">To account for this uncertainty, more conservative cost recovery time horizons will enable Government to reduce the risk that their costs remain unrecovered at the end of the 10-year duration of the Regulations and assess how successfully they can recover PRBS costs and debt over time. </w:t>
      </w:r>
      <w:r w:rsidR="008E4726">
        <w:t>This</w:t>
      </w:r>
      <w:r w:rsidR="00437D35">
        <w:t xml:space="preserve"> </w:t>
      </w:r>
      <w:r w:rsidR="002D0B5D">
        <w:t>will be incorporated into the PRBS evaluation strategy</w:t>
      </w:r>
      <w:r w:rsidR="00FC3B7E">
        <w:t xml:space="preserve"> to determine whether a future amendment of the fees is required. </w:t>
      </w:r>
      <w:r w:rsidR="00A01F43">
        <w:t>This can also be informed by a</w:t>
      </w:r>
      <w:r w:rsidR="00FC3B7E">
        <w:t>ssessments</w:t>
      </w:r>
      <w:r w:rsidR="00155F9B">
        <w:t xml:space="preserve"> </w:t>
      </w:r>
      <w:r w:rsidR="001850A0">
        <w:t>of</w:t>
      </w:r>
      <w:r w:rsidR="006B7945">
        <w:t xml:space="preserve"> the</w:t>
      </w:r>
      <w:r w:rsidR="00155F9B">
        <w:t xml:space="preserve"> Government</w:t>
      </w:r>
      <w:r w:rsidR="006B7945">
        <w:t>’s projected</w:t>
      </w:r>
      <w:r w:rsidR="00155F9B">
        <w:t xml:space="preserve"> surplus or deficit</w:t>
      </w:r>
      <w:r w:rsidR="00A01F43">
        <w:t>, w</w:t>
      </w:r>
      <w:r w:rsidR="00E56FB8">
        <w:t xml:space="preserve">hich </w:t>
      </w:r>
      <w:r w:rsidR="00EB4E26">
        <w:t>can</w:t>
      </w:r>
      <w:r w:rsidR="001850A0">
        <w:t xml:space="preserve"> be </w:t>
      </w:r>
      <w:r w:rsidR="00FC3B7E">
        <w:t>undertaken</w:t>
      </w:r>
      <w:r w:rsidR="001850A0">
        <w:t xml:space="preserve"> </w:t>
      </w:r>
      <w:r w:rsidR="00657327">
        <w:t>as part of</w:t>
      </w:r>
      <w:r w:rsidR="0002376A">
        <w:t xml:space="preserve"> </w:t>
      </w:r>
      <w:r w:rsidR="00E56FB8">
        <w:t xml:space="preserve">the </w:t>
      </w:r>
      <w:r w:rsidR="0002376A">
        <w:t>ongoing monitoring</w:t>
      </w:r>
      <w:r w:rsidR="00E56FB8">
        <w:t xml:space="preserve"> processes</w:t>
      </w:r>
      <w:r w:rsidR="0002376A">
        <w:t>, the Independent Review</w:t>
      </w:r>
      <w:r w:rsidR="004806B2">
        <w:t xml:space="preserve"> of the PRBS</w:t>
      </w:r>
      <w:r w:rsidR="0002376A">
        <w:t xml:space="preserve"> </w:t>
      </w:r>
      <w:r w:rsidR="00EB4E26">
        <w:t>or</w:t>
      </w:r>
      <w:r w:rsidR="0002376A">
        <w:t xml:space="preserve"> </w:t>
      </w:r>
      <w:r w:rsidR="004806B2">
        <w:t>the evaluation of the Regulations at their 10-year sunset</w:t>
      </w:r>
      <w:r w:rsidR="00A01F43">
        <w:t>.</w:t>
      </w:r>
      <w:r w:rsidR="004806B2">
        <w:t xml:space="preserve"> Further detail on these stages of </w:t>
      </w:r>
      <w:r w:rsidR="00E56FB8">
        <w:t xml:space="preserve">the PRBS </w:t>
      </w:r>
      <w:r w:rsidR="004806B2">
        <w:t>evaluation</w:t>
      </w:r>
      <w:r w:rsidR="00E56FB8">
        <w:t xml:space="preserve"> strategy</w:t>
      </w:r>
      <w:r w:rsidR="004806B2">
        <w:t xml:space="preserve"> can be found in </w:t>
      </w:r>
      <w:r w:rsidR="00E52BC4">
        <w:t>Chapter</w:t>
      </w:r>
      <w:r w:rsidR="004806B2">
        <w:t xml:space="preserve"> 8 of this RIS.</w:t>
      </w:r>
    </w:p>
    <w:p w14:paraId="0A687045" w14:textId="63DAA88B" w:rsidR="00D126D3" w:rsidRDefault="00D126D3" w:rsidP="00BE5ED9">
      <w:pPr>
        <w:pStyle w:val="Caption"/>
        <w:keepNext/>
      </w:pPr>
      <w:r>
        <w:t xml:space="preserve">Table </w:t>
      </w:r>
      <w:r>
        <w:fldChar w:fldCharType="begin"/>
      </w:r>
      <w:r>
        <w:instrText xml:space="preserve"> SEQ Table \* ARABIC </w:instrText>
      </w:r>
      <w:r>
        <w:fldChar w:fldCharType="separate"/>
      </w:r>
      <w:r w:rsidR="00A50199">
        <w:rPr>
          <w:noProof/>
        </w:rPr>
        <w:t>13</w:t>
      </w:r>
      <w:r>
        <w:fldChar w:fldCharType="end"/>
      </w:r>
      <w:r>
        <w:t>: Impact of application fee options on cost recovery timeframe and estimated participation</w:t>
      </w:r>
    </w:p>
    <w:tbl>
      <w:tblPr>
        <w:tblStyle w:val="DJRReporttablestyleNavy"/>
        <w:tblW w:w="1043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365"/>
        <w:gridCol w:w="3022"/>
        <w:gridCol w:w="2712"/>
        <w:gridCol w:w="2334"/>
      </w:tblGrid>
      <w:tr w:rsidR="00420237" w14:paraId="7953030A" w14:textId="77777777" w:rsidTr="001F576E">
        <w:trPr>
          <w:cnfStyle w:val="100000000000" w:firstRow="1" w:lastRow="0" w:firstColumn="0" w:lastColumn="0" w:oddVBand="0" w:evenVBand="0" w:oddHBand="0" w:evenHBand="0" w:firstRowFirstColumn="0" w:firstRowLastColumn="0" w:lastRowFirstColumn="0" w:lastRowLastColumn="0"/>
          <w:trHeight w:val="471"/>
          <w:tblHeader/>
        </w:trPr>
        <w:tc>
          <w:tcPr>
            <w:tcW w:w="2365" w:type="dxa"/>
            <w:tcBorders>
              <w:bottom w:val="nil"/>
            </w:tcBorders>
            <w:shd w:val="clear" w:color="auto" w:fill="16145F" w:themeFill="text2"/>
          </w:tcPr>
          <w:p w14:paraId="4CB26956" w14:textId="77777777" w:rsidR="00424348" w:rsidRDefault="00424348">
            <w:pPr>
              <w:pStyle w:val="Body"/>
              <w:jc w:val="center"/>
            </w:pPr>
            <w:r>
              <w:t>Option</w:t>
            </w:r>
          </w:p>
        </w:tc>
        <w:tc>
          <w:tcPr>
            <w:tcW w:w="3022" w:type="dxa"/>
            <w:tcBorders>
              <w:bottom w:val="nil"/>
            </w:tcBorders>
            <w:shd w:val="clear" w:color="auto" w:fill="16145F" w:themeFill="accent3"/>
          </w:tcPr>
          <w:p w14:paraId="737FD351" w14:textId="4B8A5727" w:rsidR="00424348" w:rsidRPr="000F65FE" w:rsidRDefault="00F35994">
            <w:pPr>
              <w:pStyle w:val="Body"/>
              <w:jc w:val="center"/>
            </w:pPr>
            <w:r>
              <w:t>Application</w:t>
            </w:r>
            <w:r w:rsidR="00424348">
              <w:t xml:space="preserve"> fee level</w:t>
            </w:r>
          </w:p>
        </w:tc>
        <w:tc>
          <w:tcPr>
            <w:tcW w:w="2712" w:type="dxa"/>
            <w:tcBorders>
              <w:bottom w:val="nil"/>
            </w:tcBorders>
            <w:shd w:val="clear" w:color="auto" w:fill="16145F" w:themeFill="accent3"/>
          </w:tcPr>
          <w:p w14:paraId="09DACAC8" w14:textId="4F38D409" w:rsidR="00424348" w:rsidRPr="000F65FE" w:rsidRDefault="00184D54">
            <w:pPr>
              <w:pStyle w:val="Body"/>
              <w:jc w:val="center"/>
            </w:pPr>
            <w:r>
              <w:t>Estimate</w:t>
            </w:r>
            <w:r w:rsidRPr="009469D4">
              <w:rPr>
                <w:bCs/>
              </w:rPr>
              <w:t>d</w:t>
            </w:r>
            <w:r w:rsidRPr="00147790">
              <w:rPr>
                <w:bCs/>
              </w:rPr>
              <w:t xml:space="preserve"> </w:t>
            </w:r>
            <w:r>
              <w:t>y</w:t>
            </w:r>
            <w:r w:rsidR="00424348">
              <w:t>ears to achieve cost recovery</w:t>
            </w:r>
          </w:p>
        </w:tc>
        <w:tc>
          <w:tcPr>
            <w:tcW w:w="2334" w:type="dxa"/>
            <w:tcBorders>
              <w:bottom w:val="nil"/>
            </w:tcBorders>
            <w:shd w:val="clear" w:color="auto" w:fill="16145F" w:themeFill="accent3"/>
          </w:tcPr>
          <w:p w14:paraId="29A213FA" w14:textId="522B3084" w:rsidR="00424348" w:rsidRDefault="00424348">
            <w:pPr>
              <w:pStyle w:val="Body"/>
              <w:jc w:val="center"/>
            </w:pPr>
            <w:r>
              <w:t>Estimated participation rate</w:t>
            </w:r>
          </w:p>
        </w:tc>
      </w:tr>
      <w:tr w:rsidR="00205B58" w:rsidRPr="00702400" w14:paraId="4259540C" w14:textId="77777777" w:rsidTr="001F576E">
        <w:trPr>
          <w:trHeight w:val="471"/>
        </w:trPr>
        <w:tc>
          <w:tcPr>
            <w:tcW w:w="2365" w:type="dxa"/>
            <w:tcBorders>
              <w:top w:val="nil"/>
              <w:bottom w:val="single" w:sz="4" w:space="0" w:color="auto"/>
            </w:tcBorders>
          </w:tcPr>
          <w:p w14:paraId="00A88216" w14:textId="5DF10A39" w:rsidR="00424348" w:rsidRPr="001F576E" w:rsidRDefault="00424348">
            <w:pPr>
              <w:pStyle w:val="Body"/>
              <w:jc w:val="center"/>
              <w:rPr>
                <w:iCs/>
              </w:rPr>
            </w:pPr>
            <w:r w:rsidRPr="001F576E">
              <w:rPr>
                <w:iCs/>
              </w:rPr>
              <w:t>Base case</w:t>
            </w:r>
          </w:p>
        </w:tc>
        <w:tc>
          <w:tcPr>
            <w:tcW w:w="3022" w:type="dxa"/>
            <w:tcBorders>
              <w:top w:val="nil"/>
              <w:bottom w:val="single" w:sz="4" w:space="0" w:color="auto"/>
            </w:tcBorders>
          </w:tcPr>
          <w:p w14:paraId="5B932563" w14:textId="0322177C" w:rsidR="00424348" w:rsidRPr="001F576E" w:rsidRDefault="00424348">
            <w:pPr>
              <w:pStyle w:val="Body"/>
              <w:jc w:val="center"/>
              <w:rPr>
                <w:iCs/>
              </w:rPr>
            </w:pPr>
            <w:r w:rsidRPr="001F576E">
              <w:rPr>
                <w:iCs/>
              </w:rPr>
              <w:t>$0</w:t>
            </w:r>
          </w:p>
        </w:tc>
        <w:tc>
          <w:tcPr>
            <w:tcW w:w="2712" w:type="dxa"/>
            <w:tcBorders>
              <w:top w:val="nil"/>
              <w:bottom w:val="single" w:sz="4" w:space="0" w:color="auto"/>
            </w:tcBorders>
          </w:tcPr>
          <w:p w14:paraId="370E24ED" w14:textId="4DEB9D4E" w:rsidR="00424348" w:rsidRPr="001F576E" w:rsidRDefault="00424348">
            <w:pPr>
              <w:pStyle w:val="Body"/>
              <w:jc w:val="center"/>
              <w:rPr>
                <w:iCs/>
              </w:rPr>
            </w:pPr>
            <w:r w:rsidRPr="001F576E">
              <w:rPr>
                <w:iCs/>
              </w:rPr>
              <w:t>n/a</w:t>
            </w:r>
          </w:p>
        </w:tc>
        <w:tc>
          <w:tcPr>
            <w:tcW w:w="2334" w:type="dxa"/>
            <w:tcBorders>
              <w:top w:val="nil"/>
              <w:bottom w:val="single" w:sz="4" w:space="0" w:color="auto"/>
            </w:tcBorders>
          </w:tcPr>
          <w:p w14:paraId="34AB74DC" w14:textId="62FE8816" w:rsidR="00424348" w:rsidRPr="001F576E" w:rsidRDefault="00424348">
            <w:pPr>
              <w:pStyle w:val="Body"/>
              <w:jc w:val="center"/>
              <w:rPr>
                <w:iCs/>
              </w:rPr>
            </w:pPr>
            <w:r w:rsidRPr="001F576E">
              <w:rPr>
                <w:iCs/>
              </w:rPr>
              <w:t>80%</w:t>
            </w:r>
          </w:p>
        </w:tc>
      </w:tr>
      <w:tr w:rsidR="00205B58" w14:paraId="1F354EA0" w14:textId="77777777" w:rsidTr="001F576E">
        <w:trPr>
          <w:trHeight w:val="471"/>
        </w:trPr>
        <w:tc>
          <w:tcPr>
            <w:tcW w:w="2365" w:type="dxa"/>
            <w:tcBorders>
              <w:top w:val="single" w:sz="4" w:space="0" w:color="auto"/>
            </w:tcBorders>
          </w:tcPr>
          <w:p w14:paraId="77FA2D31" w14:textId="77777777" w:rsidR="00424348" w:rsidRDefault="00424348">
            <w:pPr>
              <w:pStyle w:val="Body"/>
              <w:jc w:val="center"/>
            </w:pPr>
            <w:r>
              <w:t>Option 1</w:t>
            </w:r>
          </w:p>
        </w:tc>
        <w:tc>
          <w:tcPr>
            <w:tcW w:w="3022" w:type="dxa"/>
            <w:tcBorders>
              <w:top w:val="single" w:sz="4" w:space="0" w:color="auto"/>
            </w:tcBorders>
          </w:tcPr>
          <w:p w14:paraId="53A4B306" w14:textId="77777777" w:rsidR="00424348" w:rsidRPr="005F620A" w:rsidRDefault="00424348">
            <w:pPr>
              <w:pStyle w:val="Body"/>
              <w:jc w:val="center"/>
            </w:pPr>
            <w:r>
              <w:t>$35</w:t>
            </w:r>
          </w:p>
        </w:tc>
        <w:tc>
          <w:tcPr>
            <w:tcW w:w="2712" w:type="dxa"/>
            <w:tcBorders>
              <w:top w:val="single" w:sz="4" w:space="0" w:color="auto"/>
            </w:tcBorders>
          </w:tcPr>
          <w:p w14:paraId="7074E1B1" w14:textId="77777777" w:rsidR="00424348" w:rsidRPr="005F620A" w:rsidRDefault="00424348">
            <w:pPr>
              <w:pStyle w:val="Body"/>
              <w:jc w:val="center"/>
            </w:pPr>
            <w:r>
              <w:t>8 years</w:t>
            </w:r>
          </w:p>
        </w:tc>
        <w:tc>
          <w:tcPr>
            <w:tcW w:w="2334" w:type="dxa"/>
            <w:tcBorders>
              <w:top w:val="single" w:sz="4" w:space="0" w:color="auto"/>
            </w:tcBorders>
          </w:tcPr>
          <w:p w14:paraId="4F032E73" w14:textId="67D1D1BE" w:rsidR="00424348" w:rsidRPr="005F620A" w:rsidRDefault="00424348">
            <w:pPr>
              <w:pStyle w:val="Body"/>
              <w:jc w:val="center"/>
            </w:pPr>
            <w:r>
              <w:t>6</w:t>
            </w:r>
            <w:r w:rsidR="003B2ADA">
              <w:t>3</w:t>
            </w:r>
            <w:r>
              <w:t>%</w:t>
            </w:r>
          </w:p>
        </w:tc>
      </w:tr>
      <w:tr w:rsidR="00205B58" w14:paraId="3D53971A" w14:textId="77777777" w:rsidTr="001F576E">
        <w:trPr>
          <w:trHeight w:val="471"/>
        </w:trPr>
        <w:tc>
          <w:tcPr>
            <w:tcW w:w="2365" w:type="dxa"/>
          </w:tcPr>
          <w:p w14:paraId="5B161FEC" w14:textId="77777777" w:rsidR="00424348" w:rsidRDefault="00424348">
            <w:pPr>
              <w:pStyle w:val="Body"/>
              <w:jc w:val="center"/>
            </w:pPr>
            <w:r>
              <w:t>Option 2</w:t>
            </w:r>
          </w:p>
        </w:tc>
        <w:tc>
          <w:tcPr>
            <w:tcW w:w="3022" w:type="dxa"/>
          </w:tcPr>
          <w:p w14:paraId="7AD38BBB" w14:textId="77777777" w:rsidR="00424348" w:rsidRPr="005F620A" w:rsidRDefault="00424348">
            <w:pPr>
              <w:pStyle w:val="Body"/>
              <w:jc w:val="center"/>
            </w:pPr>
            <w:r>
              <w:t>$40</w:t>
            </w:r>
          </w:p>
        </w:tc>
        <w:tc>
          <w:tcPr>
            <w:tcW w:w="2712" w:type="dxa"/>
          </w:tcPr>
          <w:p w14:paraId="20A46D76" w14:textId="7768488D" w:rsidR="00424348" w:rsidRPr="005F620A" w:rsidRDefault="00BE46B9">
            <w:pPr>
              <w:pStyle w:val="Body"/>
              <w:jc w:val="center"/>
            </w:pPr>
            <w:r>
              <w:t>5</w:t>
            </w:r>
            <w:r w:rsidR="00424348">
              <w:t xml:space="preserve"> years</w:t>
            </w:r>
          </w:p>
        </w:tc>
        <w:tc>
          <w:tcPr>
            <w:tcW w:w="2334" w:type="dxa"/>
          </w:tcPr>
          <w:p w14:paraId="5F080A54" w14:textId="76B443F4" w:rsidR="00424348" w:rsidRPr="005F620A" w:rsidRDefault="003B2ADA">
            <w:pPr>
              <w:pStyle w:val="Body"/>
              <w:jc w:val="center"/>
            </w:pPr>
            <w:r>
              <w:t>54</w:t>
            </w:r>
            <w:r w:rsidR="00424348">
              <w:t>%</w:t>
            </w:r>
          </w:p>
        </w:tc>
      </w:tr>
      <w:tr w:rsidR="00205B58" w14:paraId="5CDD51FC" w14:textId="77777777" w:rsidTr="001F576E">
        <w:trPr>
          <w:trHeight w:val="457"/>
        </w:trPr>
        <w:tc>
          <w:tcPr>
            <w:tcW w:w="2365" w:type="dxa"/>
          </w:tcPr>
          <w:p w14:paraId="4AD88CDF" w14:textId="77777777" w:rsidR="00424348" w:rsidRDefault="00424348">
            <w:pPr>
              <w:pStyle w:val="Body"/>
              <w:jc w:val="center"/>
            </w:pPr>
            <w:r>
              <w:t>Option 3</w:t>
            </w:r>
          </w:p>
        </w:tc>
        <w:tc>
          <w:tcPr>
            <w:tcW w:w="3022" w:type="dxa"/>
          </w:tcPr>
          <w:p w14:paraId="70A12B57" w14:textId="77777777" w:rsidR="00424348" w:rsidRDefault="00424348">
            <w:pPr>
              <w:pStyle w:val="Body"/>
              <w:jc w:val="center"/>
            </w:pPr>
            <w:r>
              <w:t>$45</w:t>
            </w:r>
          </w:p>
        </w:tc>
        <w:tc>
          <w:tcPr>
            <w:tcW w:w="2712" w:type="dxa"/>
          </w:tcPr>
          <w:p w14:paraId="72088AC2" w14:textId="7C9FD5DB" w:rsidR="00424348" w:rsidRPr="005F620A" w:rsidRDefault="00BE46B9">
            <w:pPr>
              <w:pStyle w:val="Body"/>
              <w:jc w:val="center"/>
            </w:pPr>
            <w:r>
              <w:t>4</w:t>
            </w:r>
            <w:r w:rsidR="00424348">
              <w:t xml:space="preserve"> years</w:t>
            </w:r>
          </w:p>
        </w:tc>
        <w:tc>
          <w:tcPr>
            <w:tcW w:w="2334" w:type="dxa"/>
          </w:tcPr>
          <w:p w14:paraId="4CC032E1" w14:textId="1ADC3A42" w:rsidR="00424348" w:rsidRPr="005F620A" w:rsidRDefault="00AC6156">
            <w:pPr>
              <w:pStyle w:val="Body"/>
              <w:jc w:val="center"/>
            </w:pPr>
            <w:r>
              <w:t>45</w:t>
            </w:r>
            <w:r w:rsidR="00424348">
              <w:t>%</w:t>
            </w:r>
          </w:p>
        </w:tc>
      </w:tr>
    </w:tbl>
    <w:p w14:paraId="319F1806" w14:textId="74AE94AF" w:rsidR="00886D39" w:rsidRDefault="00886D39" w:rsidP="00886D39">
      <w:pPr>
        <w:rPr>
          <w:rFonts w:asciiTheme="majorHAnsi" w:hAnsiTheme="majorHAnsi" w:cstheme="majorHAnsi"/>
          <w:sz w:val="22"/>
          <w:szCs w:val="22"/>
        </w:rPr>
      </w:pPr>
    </w:p>
    <w:p w14:paraId="3F69721A" w14:textId="198E86F3" w:rsidR="00886D39" w:rsidRDefault="00F0412E" w:rsidP="00886D39">
      <w:pPr>
        <w:pStyle w:val="Heading3"/>
      </w:pPr>
      <w:r>
        <w:t xml:space="preserve">Scoring of </w:t>
      </w:r>
      <w:r w:rsidR="002C728B">
        <w:t xml:space="preserve">application </w:t>
      </w:r>
      <w:r>
        <w:t xml:space="preserve">fee options against MCA criteria </w:t>
      </w:r>
    </w:p>
    <w:p w14:paraId="4105704F" w14:textId="40339BEB" w:rsidR="00F0412E" w:rsidRDefault="00F0412E" w:rsidP="00F0412E">
      <w:pPr>
        <w:pStyle w:val="Heading4"/>
        <w:ind w:left="0"/>
        <w:rPr>
          <w:rFonts w:cs="Arial"/>
          <w:b w:val="0"/>
          <w:bCs w:val="0"/>
          <w:i/>
          <w:iCs/>
          <w:color w:val="000000" w:themeColor="text1"/>
          <w:kern w:val="24"/>
        </w:rPr>
      </w:pPr>
      <w:r>
        <w:t>Effectiveness</w:t>
      </w:r>
      <w:r w:rsidR="00B263E3">
        <w:t xml:space="preserve"> and equity</w:t>
      </w:r>
      <w:r>
        <w:t xml:space="preserve">: </w:t>
      </w:r>
      <w:r w:rsidR="00B263E3" w:rsidRPr="00B263E3">
        <w:rPr>
          <w:rFonts w:cs="Arial"/>
          <w:b w:val="0"/>
          <w:bCs w:val="0"/>
          <w:i/>
          <w:iCs/>
          <w:color w:val="000000" w:themeColor="text1"/>
          <w:kern w:val="24"/>
        </w:rPr>
        <w:t>The fee should encourage participation in the PRBS and not disproportionately or unfairly limit access to those with a lower ability to pay.</w:t>
      </w:r>
    </w:p>
    <w:p w14:paraId="77DC8E84" w14:textId="4C7D0B34" w:rsidR="00A20584" w:rsidRPr="001F576E" w:rsidRDefault="00D24401" w:rsidP="001F576E">
      <w:pPr>
        <w:pStyle w:val="DJCSbody"/>
        <w:ind w:left="0"/>
        <w:rPr>
          <w:b/>
          <w:bCs/>
        </w:rPr>
      </w:pPr>
      <w:r>
        <w:t xml:space="preserve">All options are less effective </w:t>
      </w:r>
      <w:r w:rsidR="00485648">
        <w:t>and less equitable</w:t>
      </w:r>
      <w:r>
        <w:t xml:space="preserve"> than the base case scenario, where there </w:t>
      </w:r>
      <w:r w:rsidR="007D2594">
        <w:t>is</w:t>
      </w:r>
      <w:r>
        <w:t xml:space="preserve"> no </w:t>
      </w:r>
      <w:r w:rsidR="007D2594">
        <w:t xml:space="preserve">application </w:t>
      </w:r>
      <w:r>
        <w:t>fee</w:t>
      </w:r>
      <w:r w:rsidR="007D2594">
        <w:t xml:space="preserve"> </w:t>
      </w:r>
      <w:r>
        <w:t xml:space="preserve">for </w:t>
      </w:r>
      <w:r w:rsidR="007D2594">
        <w:t xml:space="preserve">the </w:t>
      </w:r>
      <w:r>
        <w:t>PRBS</w:t>
      </w:r>
      <w:r w:rsidR="00733C75">
        <w:t>.</w:t>
      </w:r>
      <w:r>
        <w:t xml:space="preserve"> The </w:t>
      </w:r>
      <w:r w:rsidR="00F35994">
        <w:t>application</w:t>
      </w:r>
      <w:r>
        <w:t xml:space="preserve"> fees charged in all </w:t>
      </w:r>
      <w:r w:rsidR="00554A1E">
        <w:t xml:space="preserve">3 </w:t>
      </w:r>
      <w:r>
        <w:t xml:space="preserve">options may </w:t>
      </w:r>
      <w:r w:rsidR="00733C75">
        <w:t>disincentivise</w:t>
      </w:r>
      <w:r>
        <w:t xml:space="preserve"> renters </w:t>
      </w:r>
      <w:r w:rsidR="00733C75">
        <w:t>when</w:t>
      </w:r>
      <w:r>
        <w:t xml:space="preserve"> deciding whether to port their bond via the PRBS and </w:t>
      </w:r>
      <w:r w:rsidR="00A31CE6">
        <w:t xml:space="preserve">as such, fee levels score more negatively for effectiveness as the </w:t>
      </w:r>
      <w:r w:rsidR="007125EE">
        <w:t>fee increases and the</w:t>
      </w:r>
      <w:r>
        <w:t xml:space="preserve"> participation</w:t>
      </w:r>
      <w:r w:rsidR="00A31CE6">
        <w:t xml:space="preserve"> </w:t>
      </w:r>
      <w:r w:rsidR="007125EE">
        <w:t>rate decreases</w:t>
      </w:r>
      <w:r>
        <w:t xml:space="preserve">. </w:t>
      </w:r>
      <w:r w:rsidR="00086200">
        <w:t>For every $</w:t>
      </w:r>
      <w:r w:rsidR="00651023">
        <w:t>5</w:t>
      </w:r>
      <w:r w:rsidR="00086200">
        <w:t xml:space="preserve"> increment in a</w:t>
      </w:r>
      <w:r w:rsidR="00F35994">
        <w:t xml:space="preserve">n application </w:t>
      </w:r>
      <w:r w:rsidR="00086200">
        <w:t>fee between $</w:t>
      </w:r>
      <w:r w:rsidR="00651023">
        <w:t>35</w:t>
      </w:r>
      <w:r w:rsidR="00086200">
        <w:t xml:space="preserve"> and $</w:t>
      </w:r>
      <w:r w:rsidR="00651023">
        <w:t>45</w:t>
      </w:r>
      <w:r w:rsidR="00086200">
        <w:t xml:space="preserve">, the participation rate is expected to decrease by approximately </w:t>
      </w:r>
      <w:r w:rsidR="00651023">
        <w:t>9</w:t>
      </w:r>
      <w:r w:rsidR="00086200">
        <w:t>% (</w:t>
      </w:r>
      <w:r w:rsidR="00C50143">
        <w:t>s</w:t>
      </w:r>
      <w:r w:rsidR="00086200">
        <w:t xml:space="preserve">ee Appendix A for further detail), which translates to approximately </w:t>
      </w:r>
      <w:r w:rsidR="00083E08">
        <w:t>2</w:t>
      </w:r>
      <w:r w:rsidR="00086200">
        <w:t>2,500 renters.</w:t>
      </w:r>
      <w:r w:rsidR="008448BC">
        <w:t xml:space="preserve"> </w:t>
      </w:r>
      <w:r w:rsidR="00A20584">
        <w:t xml:space="preserve">Across all options, prescribing an application fee </w:t>
      </w:r>
      <w:r w:rsidR="00A20584">
        <w:lastRenderedPageBreak/>
        <w:t xml:space="preserve">for the PRBS does </w:t>
      </w:r>
      <w:r w:rsidR="008448BC">
        <w:t xml:space="preserve">also </w:t>
      </w:r>
      <w:r w:rsidR="00A20584">
        <w:t xml:space="preserve">present a small barrier to access, and would impact those with the most limited ability to pay, relative to the base case. For this reason, all options score negatively compared to the base case. </w:t>
      </w:r>
    </w:p>
    <w:p w14:paraId="5FA85CA5" w14:textId="278A70F0" w:rsidR="00331C56" w:rsidRDefault="000D165C" w:rsidP="000D165C">
      <w:pPr>
        <w:pStyle w:val="DJCSbody"/>
        <w:ind w:left="0"/>
      </w:pPr>
      <w:r w:rsidRPr="008371E2">
        <w:rPr>
          <w:b/>
          <w:bCs/>
        </w:rPr>
        <w:t xml:space="preserve">Option </w:t>
      </w:r>
      <w:r>
        <w:rPr>
          <w:b/>
          <w:bCs/>
        </w:rPr>
        <w:t xml:space="preserve">1: </w:t>
      </w:r>
      <w:r w:rsidR="006B4219">
        <w:rPr>
          <w:b/>
          <w:bCs/>
        </w:rPr>
        <w:t xml:space="preserve">$35 </w:t>
      </w:r>
      <w:r w:rsidR="00F35994">
        <w:rPr>
          <w:b/>
          <w:bCs/>
        </w:rPr>
        <w:t>application</w:t>
      </w:r>
      <w:r w:rsidR="006B4219">
        <w:rPr>
          <w:b/>
          <w:bCs/>
        </w:rPr>
        <w:t xml:space="preserve"> fee</w:t>
      </w:r>
      <w:r w:rsidR="00261199">
        <w:rPr>
          <w:b/>
          <w:bCs/>
        </w:rPr>
        <w:t xml:space="preserve"> </w:t>
      </w:r>
      <w:r w:rsidR="006B4219" w:rsidDel="000E254D">
        <w:rPr>
          <w:b/>
          <w:bCs/>
        </w:rPr>
        <w:t>level with cost recovery over 8 years</w:t>
      </w:r>
      <w:r w:rsidDel="000E254D">
        <w:rPr>
          <w:b/>
          <w:bCs/>
        </w:rPr>
        <w:t xml:space="preserve"> </w:t>
      </w:r>
      <w:r>
        <w:t xml:space="preserve">– </w:t>
      </w:r>
      <w:r w:rsidR="00A31CE6">
        <w:t xml:space="preserve">This fee level of $35 </w:t>
      </w:r>
      <w:r w:rsidR="003273F5">
        <w:t xml:space="preserve">is estimated to </w:t>
      </w:r>
      <w:r w:rsidR="00A31CE6">
        <w:t xml:space="preserve">decrease </w:t>
      </w:r>
      <w:r w:rsidR="00331C56">
        <w:t>participation from 80% in the base case to 6</w:t>
      </w:r>
      <w:r w:rsidR="00C86718">
        <w:t>3</w:t>
      </w:r>
      <w:r w:rsidR="00331C56">
        <w:t>%. As such, Option 1 scores negatively for effectiveness</w:t>
      </w:r>
      <w:r w:rsidR="0040785E">
        <w:t xml:space="preserve"> and equity</w:t>
      </w:r>
      <w:r w:rsidR="006155F3">
        <w:t xml:space="preserve"> compared to the base case</w:t>
      </w:r>
      <w:r w:rsidR="00D9515E">
        <w:t>,</w:t>
      </w:r>
      <w:r w:rsidR="00331C56">
        <w:t xml:space="preserve"> given that it reduces the base case participation rate by ~2</w:t>
      </w:r>
      <w:r w:rsidR="00D92C3F">
        <w:t>1</w:t>
      </w:r>
      <w:r w:rsidR="002F104A">
        <w:t>%</w:t>
      </w:r>
      <w:r w:rsidR="006155F3">
        <w:t xml:space="preserve">. However, it does </w:t>
      </w:r>
      <w:r w:rsidR="00D9515E">
        <w:t>not decrease participation</w:t>
      </w:r>
      <w:r w:rsidR="002F104A">
        <w:t xml:space="preserve"> </w:t>
      </w:r>
      <w:r w:rsidR="006B21EB">
        <w:t>as significantly as the other higher fee levels in Options 2 and 3</w:t>
      </w:r>
      <w:r w:rsidR="00BB1A1D" w:rsidRPr="00BB1A1D">
        <w:t xml:space="preserve">, so </w:t>
      </w:r>
      <w:r w:rsidR="006B21EB">
        <w:t>Option 1</w:t>
      </w:r>
      <w:r w:rsidR="00BB1A1D" w:rsidRPr="00BB1A1D">
        <w:t xml:space="preserve"> scores the least negatively for </w:t>
      </w:r>
      <w:r w:rsidR="006B21EB">
        <w:t xml:space="preserve">effectiveness and </w:t>
      </w:r>
      <w:r w:rsidR="00BB1A1D" w:rsidRPr="00BB1A1D">
        <w:t>equity out of the three options.</w:t>
      </w:r>
    </w:p>
    <w:p w14:paraId="79113AB4" w14:textId="6AA7D6A7" w:rsidR="000D165C" w:rsidRDefault="000D165C" w:rsidP="000D165C">
      <w:pPr>
        <w:pStyle w:val="DJCSbody"/>
        <w:ind w:left="0"/>
      </w:pPr>
      <w:r>
        <w:t xml:space="preserve">A score of </w:t>
      </w:r>
      <w:r w:rsidR="00986DA2">
        <w:rPr>
          <w:b/>
          <w:bCs/>
        </w:rPr>
        <w:t>-2</w:t>
      </w:r>
      <w:r w:rsidR="00BA26D6">
        <w:rPr>
          <w:b/>
          <w:bCs/>
        </w:rPr>
        <w:t>.</w:t>
      </w:r>
      <w:r w:rsidR="00B62EC4">
        <w:rPr>
          <w:b/>
          <w:bCs/>
        </w:rPr>
        <w:t>1</w:t>
      </w:r>
      <w:r>
        <w:t xml:space="preserve"> is assigned for this criterion</w:t>
      </w:r>
      <w:r w:rsidR="00B62EC4">
        <w:t xml:space="preserve">, to reflect the </w:t>
      </w:r>
      <w:r w:rsidR="003B353C">
        <w:t>21% decrease in participation in Option 1, relative to the base case.</w:t>
      </w:r>
      <w:r w:rsidR="00B62EC4" w:rsidDel="00B62EC4">
        <w:t xml:space="preserve"> </w:t>
      </w:r>
    </w:p>
    <w:p w14:paraId="6D82EFE3" w14:textId="5FF5EBC7" w:rsidR="00331C56" w:rsidRDefault="000D165C" w:rsidP="00331C56">
      <w:pPr>
        <w:pStyle w:val="DJCSbody"/>
        <w:ind w:left="0"/>
      </w:pPr>
      <w:r w:rsidRPr="00CC4A0E">
        <w:rPr>
          <w:b/>
        </w:rPr>
        <w:t xml:space="preserve">Option 2: </w:t>
      </w:r>
      <w:r w:rsidR="006B4219">
        <w:rPr>
          <w:b/>
          <w:bCs/>
        </w:rPr>
        <w:t xml:space="preserve">$40 </w:t>
      </w:r>
      <w:r w:rsidR="00F35994">
        <w:rPr>
          <w:b/>
          <w:bCs/>
        </w:rPr>
        <w:t>application</w:t>
      </w:r>
      <w:r w:rsidR="006B4219">
        <w:rPr>
          <w:b/>
          <w:bCs/>
        </w:rPr>
        <w:t xml:space="preserve"> fee</w:t>
      </w:r>
      <w:r w:rsidR="000E254D">
        <w:rPr>
          <w:b/>
          <w:bCs/>
        </w:rPr>
        <w:t xml:space="preserve"> </w:t>
      </w:r>
      <w:r w:rsidRPr="00CA1545">
        <w:t>–</w:t>
      </w:r>
      <w:r w:rsidR="00986DA2">
        <w:t xml:space="preserve"> </w:t>
      </w:r>
      <w:r w:rsidR="00331C56">
        <w:t xml:space="preserve">This fee level of $40 decreases participation from 80% in the base case to </w:t>
      </w:r>
      <w:r w:rsidR="00694441">
        <w:t>54</w:t>
      </w:r>
      <w:r w:rsidR="00331C56">
        <w:t xml:space="preserve">%. As such, Option </w:t>
      </w:r>
      <w:r w:rsidR="00681CEA">
        <w:t>2</w:t>
      </w:r>
      <w:r w:rsidR="00331C56">
        <w:t xml:space="preserve"> scores negatively for effectiveness given that it reduces the base case participation rate by ~</w:t>
      </w:r>
      <w:r w:rsidR="00F82761">
        <w:t>33</w:t>
      </w:r>
      <w:r w:rsidR="00331C56">
        <w:t>%</w:t>
      </w:r>
      <w:r w:rsidR="00681CEA">
        <w:t>, which means Option 2 scores more negatively than Option 1 for effectiveness, but does not score as negative as Option 3 which has a higher fee level.</w:t>
      </w:r>
      <w:r w:rsidR="00331C56">
        <w:t xml:space="preserve"> </w:t>
      </w:r>
      <w:r w:rsidR="00220AEC">
        <w:t xml:space="preserve">This option also scores negatively for equity </w:t>
      </w:r>
      <w:r w:rsidR="009E07E9" w:rsidRPr="009E07E9">
        <w:t>in comparison to the base case and to Option 1. However, it does not score as negatively as Option 3, which has a greater potential to limit renters’ access to the PRBS.</w:t>
      </w:r>
    </w:p>
    <w:p w14:paraId="71AA528D" w14:textId="1F791272" w:rsidR="000D165C" w:rsidRPr="00CA1545" w:rsidRDefault="000D165C" w:rsidP="000D165C">
      <w:pPr>
        <w:pStyle w:val="DJCSbody"/>
        <w:ind w:left="0"/>
      </w:pPr>
      <w:r>
        <w:t xml:space="preserve">A score of </w:t>
      </w:r>
      <w:r w:rsidR="00986DA2">
        <w:rPr>
          <w:b/>
          <w:bCs/>
        </w:rPr>
        <w:t>-</w:t>
      </w:r>
      <w:r w:rsidR="0067341A">
        <w:rPr>
          <w:b/>
          <w:bCs/>
        </w:rPr>
        <w:t>3.3</w:t>
      </w:r>
      <w:r>
        <w:t xml:space="preserve"> is assigned for this criterion</w:t>
      </w:r>
      <w:r w:rsidR="0067341A">
        <w:t>, to reflect the 33% decrease in participation in Option 2, relative to the base case.</w:t>
      </w:r>
    </w:p>
    <w:p w14:paraId="23B23AA6" w14:textId="6D5D60F3" w:rsidR="00681CEA" w:rsidRDefault="000D165C" w:rsidP="00681CEA">
      <w:pPr>
        <w:pStyle w:val="DJCSbody"/>
        <w:ind w:left="0"/>
      </w:pPr>
      <w:r w:rsidRPr="008371E2">
        <w:rPr>
          <w:b/>
          <w:bCs/>
        </w:rPr>
        <w:t xml:space="preserve">Option </w:t>
      </w:r>
      <w:r>
        <w:rPr>
          <w:b/>
          <w:bCs/>
        </w:rPr>
        <w:t xml:space="preserve">3: </w:t>
      </w:r>
      <w:r w:rsidR="00F20128">
        <w:rPr>
          <w:b/>
          <w:bCs/>
        </w:rPr>
        <w:t xml:space="preserve">$45 </w:t>
      </w:r>
      <w:r w:rsidR="006E65DF">
        <w:rPr>
          <w:b/>
          <w:bCs/>
        </w:rPr>
        <w:t>application</w:t>
      </w:r>
      <w:r w:rsidR="00F20128">
        <w:rPr>
          <w:b/>
          <w:bCs/>
        </w:rPr>
        <w:t xml:space="preserve"> fee</w:t>
      </w:r>
      <w:r w:rsidR="000E254D">
        <w:rPr>
          <w:b/>
          <w:bCs/>
        </w:rPr>
        <w:t xml:space="preserve"> </w:t>
      </w:r>
      <w:r>
        <w:t>–</w:t>
      </w:r>
      <w:r w:rsidR="00681CEA">
        <w:t xml:space="preserve"> This fee level of $</w:t>
      </w:r>
      <w:r w:rsidR="004203C6">
        <w:t>45</w:t>
      </w:r>
      <w:r w:rsidR="00681CEA">
        <w:t xml:space="preserve"> decreases participation from 80% in the base case to </w:t>
      </w:r>
      <w:r w:rsidR="004E7CB4">
        <w:t>45</w:t>
      </w:r>
      <w:r w:rsidR="00681CEA">
        <w:t xml:space="preserve">%. As such, Option </w:t>
      </w:r>
      <w:r w:rsidR="004203C6">
        <w:t>3</w:t>
      </w:r>
      <w:r w:rsidR="00681CEA">
        <w:t xml:space="preserve"> scores </w:t>
      </w:r>
      <w:r w:rsidR="004203C6">
        <w:t xml:space="preserve">the most </w:t>
      </w:r>
      <w:r w:rsidR="00681CEA">
        <w:t xml:space="preserve">negatively </w:t>
      </w:r>
      <w:r w:rsidR="004203C6">
        <w:t xml:space="preserve">of all fee level options </w:t>
      </w:r>
      <w:r w:rsidR="00681CEA">
        <w:t>for effectiveness given that it reduces the base case participation rate by ~</w:t>
      </w:r>
      <w:r w:rsidR="00C00A84">
        <w:t>44</w:t>
      </w:r>
      <w:r w:rsidR="00681CEA">
        <w:t xml:space="preserve">%. </w:t>
      </w:r>
      <w:r w:rsidR="00384D30">
        <w:t xml:space="preserve">This option also scores negatively for </w:t>
      </w:r>
      <w:r w:rsidR="00592F4A" w:rsidRPr="00592F4A">
        <w:t>equity in comparison to the base case and the other two fee options as it is the highest fee level and thus has the greatest potential to limit renters’ access to the PRBS.</w:t>
      </w:r>
    </w:p>
    <w:p w14:paraId="3562CB88" w14:textId="2F2C02BF" w:rsidR="00251240" w:rsidRDefault="000D165C" w:rsidP="000D165C">
      <w:pPr>
        <w:pStyle w:val="DJCSbody"/>
        <w:ind w:left="0"/>
      </w:pPr>
      <w:r>
        <w:t xml:space="preserve">A score of </w:t>
      </w:r>
      <w:r w:rsidR="00986DA2">
        <w:rPr>
          <w:b/>
          <w:bCs/>
        </w:rPr>
        <w:t>-</w:t>
      </w:r>
      <w:r w:rsidR="0067341A">
        <w:rPr>
          <w:b/>
          <w:bCs/>
        </w:rPr>
        <w:t xml:space="preserve">4.4 </w:t>
      </w:r>
      <w:r>
        <w:t>is assigned for this criterion</w:t>
      </w:r>
      <w:r w:rsidR="0067341A">
        <w:t>, to reflect the 44% decrease in participation in Option 3, relative to the base case.</w:t>
      </w:r>
    </w:p>
    <w:p w14:paraId="48C58F9B" w14:textId="3664BFD5" w:rsidR="00F0412E" w:rsidRDefault="00F0412E" w:rsidP="00F0412E">
      <w:pPr>
        <w:pStyle w:val="Heading4"/>
        <w:ind w:left="0"/>
        <w:rPr>
          <w:rFonts w:cs="Arial"/>
          <w:b w:val="0"/>
          <w:i/>
          <w:color w:val="000000" w:themeColor="text1"/>
          <w:kern w:val="24"/>
        </w:rPr>
      </w:pPr>
      <w:r w:rsidRPr="00A406B3">
        <w:t>Efficiency</w:t>
      </w:r>
      <w:r>
        <w:t xml:space="preserve">: </w:t>
      </w:r>
      <w:r w:rsidRPr="00970962">
        <w:rPr>
          <w:rFonts w:cs="Arial"/>
          <w:b w:val="0"/>
          <w:bCs w:val="0"/>
          <w:i/>
          <w:iCs/>
          <w:color w:val="000000" w:themeColor="text1"/>
          <w:kern w:val="24"/>
        </w:rPr>
        <w:t xml:space="preserve">The fee should enable recovery of PRBS operating costs for the </w:t>
      </w:r>
      <w:r w:rsidR="00953D7A">
        <w:rPr>
          <w:rFonts w:cs="Arial"/>
          <w:b w:val="0"/>
          <w:bCs w:val="0"/>
          <w:i/>
          <w:iCs/>
          <w:color w:val="000000" w:themeColor="text1"/>
          <w:kern w:val="24"/>
        </w:rPr>
        <w:t>Government</w:t>
      </w:r>
    </w:p>
    <w:p w14:paraId="54CDA8B2" w14:textId="26B98305" w:rsidR="00066BC1" w:rsidRPr="00066BC1" w:rsidRDefault="003E3250" w:rsidP="001F576E">
      <w:pPr>
        <w:pStyle w:val="DJCSbody"/>
        <w:ind w:left="0"/>
      </w:pPr>
      <w:r>
        <w:t>A</w:t>
      </w:r>
      <w:r w:rsidR="00AE2F36" w:rsidRPr="00761FF3">
        <w:t>ll options</w:t>
      </w:r>
      <w:r w:rsidR="00061C4D">
        <w:t xml:space="preserve"> are designed to</w:t>
      </w:r>
      <w:r w:rsidR="00AE2F36" w:rsidRPr="00761FF3">
        <w:t xml:space="preserve"> fully recover the PRBS’ general operating costs, including </w:t>
      </w:r>
      <w:r w:rsidR="00A74259">
        <w:t>the</w:t>
      </w:r>
      <w:r w:rsidR="00AE2F36" w:rsidRPr="00761FF3">
        <w:t xml:space="preserve"> estimated debt write-off. </w:t>
      </w:r>
      <w:r w:rsidR="00D768DC">
        <w:t xml:space="preserve">This means that all options score significantly positively </w:t>
      </w:r>
      <w:r w:rsidR="00DF3EA1">
        <w:t xml:space="preserve">for efficiency, </w:t>
      </w:r>
      <w:r w:rsidR="00DF3EA1" w:rsidRPr="00761FF3">
        <w:t>relative to the base case where no costs are recovered</w:t>
      </w:r>
      <w:r w:rsidR="00DF3EA1">
        <w:t>.</w:t>
      </w:r>
      <w:r w:rsidR="00200518">
        <w:t xml:space="preserve"> However,</w:t>
      </w:r>
      <w:r w:rsidR="002532DC">
        <w:t xml:space="preserve"> the options differ in the likelihood to which they will fully cost recover after 10 years. </w:t>
      </w:r>
      <w:r w:rsidR="006F35F1">
        <w:t xml:space="preserve">For instance, </w:t>
      </w:r>
      <w:r w:rsidR="002E3E1B">
        <w:t xml:space="preserve">as noted in Subchapter 4.4.2, there is significant uncertainty regarding the overall cost base of the PRBS. </w:t>
      </w:r>
      <w:r w:rsidR="00957D9A">
        <w:t xml:space="preserve">This is due to the possibility that the actual participation and deb recovery </w:t>
      </w:r>
      <w:r w:rsidR="00237CCF">
        <w:t>r</w:t>
      </w:r>
      <w:r w:rsidR="00957D9A">
        <w:t>ates are different from the estimates that have been used for modelling in this RIS. Under all options assessed, there is a risk that the PRBS cost base is not fully recovered if the participation rate or debt recovery rate are lower than expected.</w:t>
      </w:r>
      <w:r w:rsidR="002532DC">
        <w:t xml:space="preserve"> </w:t>
      </w:r>
      <w:r w:rsidR="00A4606C">
        <w:t xml:space="preserve">Therefore, the higher the fee level and the shorter its cost recovery timeframe, the higher </w:t>
      </w:r>
      <w:r w:rsidR="00957D9A">
        <w:t>the option</w:t>
      </w:r>
      <w:r w:rsidR="00A4606C">
        <w:t xml:space="preserve"> scores for efficiency.</w:t>
      </w:r>
    </w:p>
    <w:p w14:paraId="5C6E345B" w14:textId="2A7FF5DA" w:rsidR="00A4606C" w:rsidRPr="001F576E" w:rsidRDefault="00A4606C" w:rsidP="00A4606C">
      <w:pPr>
        <w:pStyle w:val="DJCSbody"/>
        <w:ind w:left="0"/>
        <w:rPr>
          <w:b/>
        </w:rPr>
      </w:pPr>
      <w:r w:rsidRPr="001F576E">
        <w:rPr>
          <w:b/>
          <w:bCs/>
        </w:rPr>
        <w:t xml:space="preserve">Option 1: $35 application fee </w:t>
      </w:r>
      <w:r w:rsidRPr="006867AA">
        <w:t>- This fee level</w:t>
      </w:r>
      <w:r>
        <w:t xml:space="preserve"> scores </w:t>
      </w:r>
      <w:r w:rsidR="00496DF8">
        <w:t>the lowest for efficiency relative to the other fee level options as it</w:t>
      </w:r>
      <w:r>
        <w:t xml:space="preserve"> has the longest time frame for cost recovery</w:t>
      </w:r>
      <w:r w:rsidR="001B0883">
        <w:t>. Because of this,</w:t>
      </w:r>
      <w:r w:rsidR="005C071B">
        <w:t xml:space="preserve"> there is marginally less certainty that this option will </w:t>
      </w:r>
      <w:r w:rsidR="00FB0709">
        <w:t xml:space="preserve">fully recover costs </w:t>
      </w:r>
      <w:r w:rsidR="001B0883">
        <w:t>within</w:t>
      </w:r>
      <w:r w:rsidR="00FB0709">
        <w:t xml:space="preserve"> 10 years, compared to Option 2 or 3</w:t>
      </w:r>
      <w:r w:rsidRPr="006867AA">
        <w:t>.</w:t>
      </w:r>
    </w:p>
    <w:p w14:paraId="0ADB6732" w14:textId="12EB9601" w:rsidR="00A4606C" w:rsidRPr="00062801" w:rsidRDefault="00A4606C" w:rsidP="00A4606C">
      <w:pPr>
        <w:pStyle w:val="DJCSbody"/>
        <w:ind w:left="0"/>
      </w:pPr>
      <w:r>
        <w:t xml:space="preserve">A score of </w:t>
      </w:r>
      <w:r w:rsidR="00B30FEC">
        <w:rPr>
          <w:b/>
        </w:rPr>
        <w:t>8</w:t>
      </w:r>
      <w:r>
        <w:t xml:space="preserve"> is assigned to this criterion. </w:t>
      </w:r>
    </w:p>
    <w:p w14:paraId="1E129E5E" w14:textId="35E419BA" w:rsidR="00A4606C" w:rsidRPr="001F576E" w:rsidRDefault="00A4606C" w:rsidP="00A4606C">
      <w:pPr>
        <w:pStyle w:val="DJCSbody"/>
        <w:ind w:left="0"/>
        <w:rPr>
          <w:b/>
        </w:rPr>
      </w:pPr>
      <w:r w:rsidRPr="001F576E">
        <w:rPr>
          <w:b/>
          <w:bCs/>
        </w:rPr>
        <w:t xml:space="preserve">Option 2: $40 application fee </w:t>
      </w:r>
      <w:r w:rsidRPr="001F576E">
        <w:t xml:space="preserve">- </w:t>
      </w:r>
      <w:r w:rsidR="00FB0709" w:rsidRPr="006867AA">
        <w:t>This fee level</w:t>
      </w:r>
      <w:r w:rsidR="00FB0709">
        <w:t xml:space="preserve"> scores higher for efficiency than Option 1, as its </w:t>
      </w:r>
      <w:r w:rsidR="00BE46B9">
        <w:t>5</w:t>
      </w:r>
      <w:r w:rsidR="003D1732">
        <w:t xml:space="preserve">-year cost recovery time frame </w:t>
      </w:r>
      <w:r w:rsidR="005572D3">
        <w:t>is quicker</w:t>
      </w:r>
      <w:r w:rsidR="003D1732">
        <w:t xml:space="preserve"> than Option 1</w:t>
      </w:r>
      <w:r w:rsidR="00FB0709">
        <w:t xml:space="preserve"> and </w:t>
      </w:r>
      <w:r w:rsidR="00270681">
        <w:t xml:space="preserve">results in a higher likelihood that full cost recovery will occur after 10 years. However, it does not recover costs as </w:t>
      </w:r>
      <w:r w:rsidR="0021190B">
        <w:t xml:space="preserve">quickly as the fee level in Option 3, meaning there is marginally less certainty </w:t>
      </w:r>
      <w:r w:rsidR="00F36231">
        <w:t xml:space="preserve">that this fee level full cost </w:t>
      </w:r>
      <w:r w:rsidR="00462C7B">
        <w:t>recovers</w:t>
      </w:r>
      <w:r w:rsidR="00F36231">
        <w:t xml:space="preserve"> in 10 years compared to the $45 option</w:t>
      </w:r>
      <w:r>
        <w:t>.</w:t>
      </w:r>
    </w:p>
    <w:p w14:paraId="4B522E46" w14:textId="03894FBD" w:rsidR="00A4606C" w:rsidRDefault="00A4606C" w:rsidP="00A4606C">
      <w:pPr>
        <w:pStyle w:val="DJCSbody"/>
        <w:ind w:left="0"/>
      </w:pPr>
      <w:r>
        <w:t xml:space="preserve">A score of </w:t>
      </w:r>
      <w:r w:rsidR="00F36231">
        <w:rPr>
          <w:b/>
          <w:bCs/>
        </w:rPr>
        <w:t>9</w:t>
      </w:r>
      <w:r w:rsidR="001B0883">
        <w:rPr>
          <w:b/>
          <w:bCs/>
        </w:rPr>
        <w:t>.</w:t>
      </w:r>
      <w:r w:rsidR="00B30FEC">
        <w:rPr>
          <w:b/>
          <w:bCs/>
        </w:rPr>
        <w:t>9</w:t>
      </w:r>
      <w:r>
        <w:t xml:space="preserve"> is assigned to this criterion.</w:t>
      </w:r>
    </w:p>
    <w:p w14:paraId="2AC62120" w14:textId="32E590D6" w:rsidR="00A4606C" w:rsidRPr="001F576E" w:rsidRDefault="00A4606C" w:rsidP="00A4606C">
      <w:pPr>
        <w:pStyle w:val="DJCSbody"/>
        <w:ind w:left="0"/>
        <w:rPr>
          <w:b/>
        </w:rPr>
      </w:pPr>
      <w:r w:rsidRPr="001F576E">
        <w:rPr>
          <w:b/>
          <w:bCs/>
        </w:rPr>
        <w:t xml:space="preserve">Option 3: $45 application fee </w:t>
      </w:r>
      <w:r w:rsidR="005A704F">
        <w:t>–</w:t>
      </w:r>
      <w:r w:rsidRPr="006867AA">
        <w:t xml:space="preserve"> </w:t>
      </w:r>
      <w:r w:rsidR="008C167B">
        <w:t>This fee level scores the highest for efficiency out of the three fee level options, as i</w:t>
      </w:r>
      <w:r w:rsidR="001B0883">
        <w:t xml:space="preserve">ts short cost recovery timeframe of </w:t>
      </w:r>
      <w:r w:rsidR="00BC1321">
        <w:t>4</w:t>
      </w:r>
      <w:r w:rsidR="001B0883">
        <w:t xml:space="preserve"> years</w:t>
      </w:r>
      <w:r w:rsidR="003D1732">
        <w:t xml:space="preserve"> is marginally shorter than </w:t>
      </w:r>
      <w:r w:rsidR="003D1732" w:rsidRPr="000002C8">
        <w:t xml:space="preserve">the </w:t>
      </w:r>
      <w:r w:rsidR="00BC1321" w:rsidRPr="000002C8">
        <w:t>5</w:t>
      </w:r>
      <w:r w:rsidR="005572D3" w:rsidRPr="000002C8">
        <w:t xml:space="preserve">-year timeframe </w:t>
      </w:r>
      <w:r w:rsidR="005572D3">
        <w:t xml:space="preserve">of </w:t>
      </w:r>
      <w:r w:rsidR="005572D3">
        <w:lastRenderedPageBreak/>
        <w:t xml:space="preserve">Option 2. </w:t>
      </w:r>
      <w:r w:rsidR="004A3A46">
        <w:t xml:space="preserve">Because the Option 3 cost recovery timeframe is considerably shorter than the 10 year duration of the Regulations, it is considered fairly certain that this option will fully recover the PRBS cost base in 10 years. </w:t>
      </w:r>
    </w:p>
    <w:p w14:paraId="0F586EED" w14:textId="3A00208C" w:rsidR="00747C78" w:rsidRPr="00066BC1" w:rsidRDefault="00A4606C" w:rsidP="001F576E">
      <w:pPr>
        <w:pStyle w:val="DJCSbody"/>
        <w:ind w:left="0"/>
      </w:pPr>
      <w:r>
        <w:t xml:space="preserve">A score of </w:t>
      </w:r>
      <w:r w:rsidR="001B0883">
        <w:rPr>
          <w:b/>
          <w:bCs/>
        </w:rPr>
        <w:t>10</w:t>
      </w:r>
      <w:r>
        <w:t xml:space="preserve"> is assigned to this criterion</w:t>
      </w:r>
      <w:r w:rsidR="003F6106">
        <w:t>.</w:t>
      </w:r>
    </w:p>
    <w:p w14:paraId="43804EB9" w14:textId="31ED7DD7" w:rsidR="00A7120C" w:rsidRDefault="00A7120C" w:rsidP="00A7120C">
      <w:pPr>
        <w:pStyle w:val="Heading4"/>
        <w:ind w:left="0"/>
        <w:rPr>
          <w:rFonts w:cs="Arial"/>
          <w:b w:val="0"/>
          <w:i/>
          <w:color w:val="000000" w:themeColor="text1"/>
          <w:kern w:val="24"/>
        </w:rPr>
      </w:pPr>
      <w:r w:rsidRPr="00491872">
        <w:t xml:space="preserve">User pays for </w:t>
      </w:r>
      <w:r>
        <w:t xml:space="preserve">costs: </w:t>
      </w:r>
      <w:r w:rsidRPr="00EB4446">
        <w:rPr>
          <w:rFonts w:cs="Arial"/>
          <w:b w:val="0"/>
          <w:bCs w:val="0"/>
          <w:i/>
          <w:iCs/>
          <w:color w:val="000000" w:themeColor="text1"/>
          <w:kern w:val="24"/>
        </w:rPr>
        <w:t>The fee</w:t>
      </w:r>
      <w:r>
        <w:rPr>
          <w:rFonts w:cs="Arial"/>
          <w:b w:val="0"/>
          <w:bCs w:val="0"/>
          <w:i/>
          <w:iCs/>
          <w:color w:val="000000" w:themeColor="text1"/>
          <w:kern w:val="24"/>
        </w:rPr>
        <w:t xml:space="preserve"> </w:t>
      </w:r>
      <w:r w:rsidRPr="00EB4446">
        <w:rPr>
          <w:rFonts w:cs="Arial"/>
          <w:b w:val="0"/>
          <w:bCs w:val="0"/>
          <w:i/>
          <w:iCs/>
          <w:color w:val="000000" w:themeColor="text1"/>
          <w:kern w:val="24"/>
        </w:rPr>
        <w:t>should fairly reflect individuals’ participation in the PRBS</w:t>
      </w:r>
    </w:p>
    <w:p w14:paraId="3A186C26" w14:textId="122915D5" w:rsidR="00C60751" w:rsidRDefault="00051D43" w:rsidP="00062801">
      <w:pPr>
        <w:pStyle w:val="DJCSbody"/>
        <w:ind w:left="0"/>
        <w:rPr>
          <w:rFonts w:cs="Arial"/>
          <w:color w:val="000000"/>
        </w:rPr>
      </w:pPr>
      <w:r>
        <w:t xml:space="preserve">All options </w:t>
      </w:r>
      <w:r w:rsidR="00CA1FDF">
        <w:t xml:space="preserve">involve the recovery of a projected level of debt write off through the application fee. </w:t>
      </w:r>
      <w:r w:rsidR="00930A0C">
        <w:t xml:space="preserve">This is a cost to </w:t>
      </w:r>
      <w:r w:rsidR="00A74259">
        <w:t>Government</w:t>
      </w:r>
      <w:r w:rsidR="00930A0C">
        <w:t xml:space="preserve"> associated with operating the PRBS. </w:t>
      </w:r>
      <w:r w:rsidR="00C60751" w:rsidRPr="79E303FA">
        <w:rPr>
          <w:rFonts w:cs="Arial"/>
          <w:color w:val="000000" w:themeColor="text1"/>
        </w:rPr>
        <w:t xml:space="preserve">The PRBS works as a risk pool, where all participants share the burden of debts owed by a few users who fail to pay. Since renters using the PRBS cannot predict if they'll incur a claim or not pay their debt in a timely manner, the cost of debt write-offs is treated as a risk premium and factored into what users pay. </w:t>
      </w:r>
      <w:r w:rsidR="002D41CC" w:rsidRPr="79E303FA">
        <w:rPr>
          <w:rFonts w:cs="Arial"/>
          <w:color w:val="000000" w:themeColor="text1"/>
        </w:rPr>
        <w:t xml:space="preserve">All </w:t>
      </w:r>
      <w:r w:rsidR="00D4228E" w:rsidRPr="79E303FA">
        <w:rPr>
          <w:rFonts w:cs="Arial"/>
          <w:color w:val="000000" w:themeColor="text1"/>
        </w:rPr>
        <w:t xml:space="preserve">3 </w:t>
      </w:r>
      <w:r w:rsidR="002D41CC" w:rsidRPr="79E303FA">
        <w:rPr>
          <w:rFonts w:cs="Arial"/>
          <w:color w:val="000000" w:themeColor="text1"/>
        </w:rPr>
        <w:t xml:space="preserve">application fee </w:t>
      </w:r>
      <w:r w:rsidR="004A6CEC" w:rsidRPr="79E303FA">
        <w:rPr>
          <w:rFonts w:cs="Arial"/>
          <w:color w:val="000000" w:themeColor="text1"/>
        </w:rPr>
        <w:t xml:space="preserve">options </w:t>
      </w:r>
      <w:r w:rsidR="000C666E" w:rsidRPr="79E303FA">
        <w:rPr>
          <w:rFonts w:cs="Arial"/>
          <w:color w:val="000000" w:themeColor="text1"/>
        </w:rPr>
        <w:t xml:space="preserve">therefore </w:t>
      </w:r>
      <w:r w:rsidR="0068531A" w:rsidRPr="79E303FA">
        <w:rPr>
          <w:rFonts w:cs="Arial"/>
          <w:color w:val="000000" w:themeColor="text1"/>
        </w:rPr>
        <w:t>support the user pays for cost criteria</w:t>
      </w:r>
      <w:r w:rsidR="0065415D" w:rsidRPr="79E303FA">
        <w:rPr>
          <w:rFonts w:cs="Arial"/>
          <w:color w:val="000000" w:themeColor="text1"/>
        </w:rPr>
        <w:t xml:space="preserve"> </w:t>
      </w:r>
      <w:r w:rsidR="00A550EA" w:rsidRPr="79E303FA">
        <w:rPr>
          <w:rFonts w:cs="Arial"/>
          <w:color w:val="000000" w:themeColor="text1"/>
        </w:rPr>
        <w:t>and score positively</w:t>
      </w:r>
      <w:r w:rsidR="0065415D" w:rsidRPr="79E303FA">
        <w:rPr>
          <w:rFonts w:cs="Arial"/>
          <w:color w:val="000000" w:themeColor="text1"/>
        </w:rPr>
        <w:t xml:space="preserve"> relative to the base case. </w:t>
      </w:r>
    </w:p>
    <w:p w14:paraId="788491DE" w14:textId="327CD5D4" w:rsidR="001A625D" w:rsidRPr="00B86522" w:rsidRDefault="006A702F" w:rsidP="00062801">
      <w:pPr>
        <w:pStyle w:val="DJCSbody"/>
        <w:ind w:left="0"/>
      </w:pPr>
      <w:r>
        <w:t>However, a</w:t>
      </w:r>
      <w:r w:rsidR="001A625D" w:rsidRPr="001A625D">
        <w:t>s the application fee</w:t>
      </w:r>
      <w:r w:rsidR="001F1CFB">
        <w:t xml:space="preserve"> options</w:t>
      </w:r>
      <w:r w:rsidR="001A625D" w:rsidRPr="001A625D">
        <w:t xml:space="preserve"> </w:t>
      </w:r>
      <w:r w:rsidR="00F567B5">
        <w:t xml:space="preserve">recover </w:t>
      </w:r>
      <w:r w:rsidR="001A625D" w:rsidRPr="001A625D">
        <w:t xml:space="preserve">costs </w:t>
      </w:r>
      <w:r w:rsidR="00F567B5">
        <w:t xml:space="preserve">in less than 10 years (the life of the Regulations), </w:t>
      </w:r>
      <w:r w:rsidR="00183815">
        <w:t>t</w:t>
      </w:r>
      <w:r w:rsidR="00183815" w:rsidRPr="001A625D">
        <w:t>his</w:t>
      </w:r>
      <w:r w:rsidR="001A625D" w:rsidRPr="001A625D">
        <w:t xml:space="preserve"> means that users in later years are likely to be contributing to surplus revenue once cost recovery has been reached</w:t>
      </w:r>
      <w:r w:rsidR="009B4D0A">
        <w:t xml:space="preserve">, </w:t>
      </w:r>
      <w:r w:rsidR="000C012E">
        <w:t>rather than</w:t>
      </w:r>
      <w:r w:rsidR="009B4D0A">
        <w:t xml:space="preserve"> the </w:t>
      </w:r>
      <w:r w:rsidR="00B90D6E">
        <w:t>direct costs</w:t>
      </w:r>
      <w:r w:rsidR="000C012E">
        <w:t xml:space="preserve"> </w:t>
      </w:r>
      <w:r w:rsidR="00276DE7">
        <w:t xml:space="preserve">associated with their participation in </w:t>
      </w:r>
      <w:r w:rsidR="000C012E">
        <w:t>the PRBS</w:t>
      </w:r>
      <w:r w:rsidR="00183815" w:rsidRPr="001A625D">
        <w:t xml:space="preserve">. </w:t>
      </w:r>
      <w:r w:rsidR="00183815">
        <w:t xml:space="preserve">The higher the application fee, the </w:t>
      </w:r>
      <w:r w:rsidR="00633096">
        <w:t>shorter</w:t>
      </w:r>
      <w:r w:rsidR="00183815">
        <w:t xml:space="preserve"> the timeframe </w:t>
      </w:r>
      <w:r w:rsidR="00B1470D">
        <w:t xml:space="preserve">to achieve </w:t>
      </w:r>
      <w:r w:rsidR="00183815">
        <w:t xml:space="preserve">cost </w:t>
      </w:r>
      <w:r w:rsidR="001A625D" w:rsidRPr="001A625D">
        <w:t>recover</w:t>
      </w:r>
      <w:r w:rsidR="00183815">
        <w:t xml:space="preserve">y, </w:t>
      </w:r>
      <w:r w:rsidR="00633096">
        <w:t xml:space="preserve">and the </w:t>
      </w:r>
      <w:r w:rsidR="001F1CFB">
        <w:t>higher likelihood</w:t>
      </w:r>
      <w:r w:rsidR="009F4B6A">
        <w:t xml:space="preserve"> and quantum of </w:t>
      </w:r>
      <w:r w:rsidR="00633096">
        <w:t>surplus revenue</w:t>
      </w:r>
      <w:r w:rsidR="00C20B7C">
        <w:t xml:space="preserve"> from the application fee</w:t>
      </w:r>
      <w:r w:rsidR="001A625D" w:rsidRPr="001A625D">
        <w:t xml:space="preserve">. </w:t>
      </w:r>
      <w:r w:rsidR="00313F8A">
        <w:t>Th</w:t>
      </w:r>
      <w:r w:rsidR="00654F12">
        <w:t xml:space="preserve">e </w:t>
      </w:r>
      <w:r w:rsidR="00B1470D">
        <w:t xml:space="preserve">extent of the estimated surplus revenue </w:t>
      </w:r>
      <w:r w:rsidR="00654F12">
        <w:t>ha</w:t>
      </w:r>
      <w:r w:rsidR="00B1470D">
        <w:t>s</w:t>
      </w:r>
      <w:r w:rsidR="00654F12">
        <w:t xml:space="preserve"> been used as </w:t>
      </w:r>
      <w:r w:rsidR="00B1470D">
        <w:t xml:space="preserve">the measure for </w:t>
      </w:r>
      <w:r w:rsidR="001A625D" w:rsidRPr="001A625D">
        <w:t xml:space="preserve">scoring the options </w:t>
      </w:r>
      <w:r w:rsidR="00654F12">
        <w:t xml:space="preserve">against </w:t>
      </w:r>
      <w:r w:rsidR="001A625D" w:rsidRPr="001A625D">
        <w:t>this criterion, as outlined below.   </w:t>
      </w:r>
    </w:p>
    <w:p w14:paraId="537A358D" w14:textId="55790F3E" w:rsidR="00B04D0C" w:rsidRPr="008E7AE6" w:rsidRDefault="00B04D0C">
      <w:pPr>
        <w:pStyle w:val="DJCSbody"/>
        <w:ind w:left="0"/>
      </w:pPr>
      <w:r w:rsidRPr="001F576E">
        <w:rPr>
          <w:b/>
          <w:bCs/>
        </w:rPr>
        <w:t xml:space="preserve">Option 1: $35 application fee </w:t>
      </w:r>
      <w:r w:rsidR="00891194">
        <w:t>–</w:t>
      </w:r>
      <w:r w:rsidR="001A41F2" w:rsidRPr="006867AA">
        <w:t xml:space="preserve"> Th</w:t>
      </w:r>
      <w:r w:rsidR="00891194">
        <w:t xml:space="preserve">e surplus revenue from </w:t>
      </w:r>
      <w:r w:rsidR="00174C14">
        <w:t xml:space="preserve">the application fee is expected to be 2% of the </w:t>
      </w:r>
      <w:r w:rsidR="00EA378C">
        <w:t>relevant cost base</w:t>
      </w:r>
      <w:r w:rsidR="003A72CA">
        <w:t xml:space="preserve"> and has</w:t>
      </w:r>
      <w:r w:rsidR="00EA378C">
        <w:t xml:space="preserve"> </w:t>
      </w:r>
      <w:r w:rsidR="005526FC">
        <w:t xml:space="preserve">the </w:t>
      </w:r>
      <w:r w:rsidR="00471502">
        <w:t>lowest risk that users will be contributing to surplus revenue</w:t>
      </w:r>
      <w:r w:rsidR="00CE3D2D">
        <w:t xml:space="preserve">. </w:t>
      </w:r>
      <w:r w:rsidR="00B51585">
        <w:t>Given the expected surplus revenue is the lowest across the options, i</w:t>
      </w:r>
      <w:r w:rsidR="00CE3D2D">
        <w:t>t</w:t>
      </w:r>
      <w:r w:rsidR="00471502">
        <w:t xml:space="preserve"> </w:t>
      </w:r>
      <w:r w:rsidR="001A41F2" w:rsidRPr="006867AA">
        <w:t xml:space="preserve">scores the </w:t>
      </w:r>
      <w:r w:rsidR="00DF343E">
        <w:t>highest</w:t>
      </w:r>
      <w:r w:rsidR="001A41F2" w:rsidRPr="006867AA">
        <w:t xml:space="preserve"> for this criterion compared to other options.</w:t>
      </w:r>
    </w:p>
    <w:p w14:paraId="6BE43828" w14:textId="5F3BB8F8" w:rsidR="00062801" w:rsidRPr="00062801" w:rsidRDefault="00B04D0C">
      <w:pPr>
        <w:pStyle w:val="DJCSbody"/>
        <w:ind w:left="0"/>
      </w:pPr>
      <w:r>
        <w:t xml:space="preserve">A score of </w:t>
      </w:r>
      <w:r w:rsidR="00B51585" w:rsidRPr="008E7AE6">
        <w:rPr>
          <w:b/>
          <w:bCs/>
        </w:rPr>
        <w:t>9.</w:t>
      </w:r>
      <w:r w:rsidR="00B379BD" w:rsidRPr="00B51585">
        <w:rPr>
          <w:b/>
          <w:bCs/>
        </w:rPr>
        <w:t>8</w:t>
      </w:r>
      <w:r w:rsidR="00B379BD">
        <w:t xml:space="preserve"> is assigned to this criterion. </w:t>
      </w:r>
    </w:p>
    <w:p w14:paraId="7BF6DCDF" w14:textId="4E4439BD" w:rsidR="00CE3D2D" w:rsidRPr="001F576E" w:rsidRDefault="00D76AF7" w:rsidP="00CE3D2D">
      <w:pPr>
        <w:pStyle w:val="DJCSbody"/>
        <w:ind w:left="0"/>
        <w:rPr>
          <w:b/>
        </w:rPr>
      </w:pPr>
      <w:r w:rsidRPr="001F576E">
        <w:rPr>
          <w:b/>
          <w:bCs/>
        </w:rPr>
        <w:t xml:space="preserve">Option </w:t>
      </w:r>
      <w:r w:rsidR="0099514E" w:rsidRPr="001F576E">
        <w:rPr>
          <w:b/>
          <w:bCs/>
        </w:rPr>
        <w:t>2</w:t>
      </w:r>
      <w:r w:rsidRPr="001F576E">
        <w:rPr>
          <w:b/>
          <w:bCs/>
        </w:rPr>
        <w:t>: $</w:t>
      </w:r>
      <w:r w:rsidR="0099514E" w:rsidRPr="001F576E">
        <w:rPr>
          <w:b/>
          <w:bCs/>
        </w:rPr>
        <w:t>40</w:t>
      </w:r>
      <w:r w:rsidRPr="001F576E">
        <w:rPr>
          <w:b/>
          <w:bCs/>
        </w:rPr>
        <w:t xml:space="preserve"> application fee </w:t>
      </w:r>
      <w:r w:rsidR="00391FCD" w:rsidRPr="001F576E">
        <w:t xml:space="preserve">- </w:t>
      </w:r>
      <w:r w:rsidR="00B51585" w:rsidRPr="006867AA">
        <w:t>Th</w:t>
      </w:r>
      <w:r w:rsidR="00B51585">
        <w:t>e surplus revenue from the application fee is expected to be 9% of the relevant cost base and has moderate risk that users will be contributing to surplus revenue</w:t>
      </w:r>
      <w:r w:rsidR="00CE3D2D">
        <w:t xml:space="preserve">. </w:t>
      </w:r>
      <w:r w:rsidR="00627449">
        <w:t>Given the higher expected quantum of surplus revenue, i</w:t>
      </w:r>
      <w:r w:rsidR="00CE3D2D">
        <w:t xml:space="preserve">t </w:t>
      </w:r>
      <w:r w:rsidR="00CE3D2D" w:rsidRPr="006867AA">
        <w:t xml:space="preserve">scores the </w:t>
      </w:r>
      <w:r w:rsidR="00CE3D2D">
        <w:t>highe</w:t>
      </w:r>
      <w:r w:rsidR="00627449">
        <w:t>r than Option 1</w:t>
      </w:r>
      <w:r w:rsidR="00CE3D2D" w:rsidRPr="006867AA">
        <w:t xml:space="preserve"> for this criterion.</w:t>
      </w:r>
    </w:p>
    <w:p w14:paraId="5F0EA9BE" w14:textId="1C257797" w:rsidR="00D76AF7" w:rsidRDefault="00D76AF7" w:rsidP="00D76AF7">
      <w:pPr>
        <w:pStyle w:val="DJCSbody"/>
        <w:ind w:left="0"/>
      </w:pPr>
      <w:r>
        <w:t xml:space="preserve">A score of </w:t>
      </w:r>
      <w:r w:rsidR="00627449">
        <w:rPr>
          <w:b/>
          <w:bCs/>
        </w:rPr>
        <w:t>9.1</w:t>
      </w:r>
      <w:r w:rsidR="00B6639D">
        <w:t xml:space="preserve"> </w:t>
      </w:r>
      <w:r>
        <w:t>is assigned to this criterion.</w:t>
      </w:r>
    </w:p>
    <w:p w14:paraId="7E3F92CC" w14:textId="78700BB9" w:rsidR="00D76AF7" w:rsidRPr="001F576E" w:rsidRDefault="00D76AF7" w:rsidP="00D76AF7">
      <w:pPr>
        <w:pStyle w:val="DJCSbody"/>
        <w:ind w:left="0"/>
        <w:rPr>
          <w:b/>
        </w:rPr>
      </w:pPr>
      <w:r w:rsidRPr="001F576E">
        <w:rPr>
          <w:b/>
          <w:bCs/>
        </w:rPr>
        <w:t>Option 3: $</w:t>
      </w:r>
      <w:r w:rsidR="0099514E" w:rsidRPr="001F576E">
        <w:rPr>
          <w:b/>
          <w:bCs/>
        </w:rPr>
        <w:t>45</w:t>
      </w:r>
      <w:r w:rsidRPr="001F576E">
        <w:rPr>
          <w:b/>
          <w:bCs/>
        </w:rPr>
        <w:t xml:space="preserve"> application fee </w:t>
      </w:r>
      <w:r w:rsidR="00391FCD" w:rsidRPr="006867AA">
        <w:t xml:space="preserve">- </w:t>
      </w:r>
      <w:r w:rsidR="00627449" w:rsidRPr="006867AA">
        <w:t>Th</w:t>
      </w:r>
      <w:r w:rsidR="00627449">
        <w:t xml:space="preserve">e surplus revenue from the application fee is expected to be 12% of the relevant cost base and has the highest risk that users will be contributing to surplus revenue. Given the highest expected quantum of surplus revenue, it </w:t>
      </w:r>
      <w:r w:rsidR="00627449" w:rsidRPr="006867AA">
        <w:t xml:space="preserve">scores the </w:t>
      </w:r>
      <w:r w:rsidR="00627449">
        <w:t xml:space="preserve">highest </w:t>
      </w:r>
      <w:r w:rsidR="00627449" w:rsidRPr="006867AA">
        <w:t>for this criterion</w:t>
      </w:r>
      <w:r w:rsidR="00627449">
        <w:t xml:space="preserve"> compared to other options</w:t>
      </w:r>
      <w:r w:rsidR="00627449" w:rsidRPr="006867AA">
        <w:t>.</w:t>
      </w:r>
    </w:p>
    <w:p w14:paraId="1DB446A5" w14:textId="1FC48B6A" w:rsidR="00D76AF7" w:rsidRPr="00062801" w:rsidRDefault="00D76AF7" w:rsidP="001F576E">
      <w:pPr>
        <w:pStyle w:val="DJCSbody"/>
        <w:ind w:left="0"/>
      </w:pPr>
      <w:r>
        <w:t xml:space="preserve">A score of </w:t>
      </w:r>
      <w:r w:rsidR="00627449">
        <w:rPr>
          <w:b/>
          <w:bCs/>
        </w:rPr>
        <w:t>8.8</w:t>
      </w:r>
      <w:r w:rsidR="00B6639D">
        <w:t xml:space="preserve"> </w:t>
      </w:r>
      <w:r>
        <w:t>is assigned to this criterion.</w:t>
      </w:r>
      <w:r w:rsidR="00801E48">
        <w:t xml:space="preserve"> </w:t>
      </w:r>
      <w:r w:rsidR="00801E48">
        <w:rPr>
          <w:b/>
          <w:bCs/>
        </w:rPr>
        <w:t xml:space="preserve">  </w:t>
      </w:r>
    </w:p>
    <w:p w14:paraId="04EF9432" w14:textId="1C2C1327" w:rsidR="00B9437A" w:rsidRDefault="00B9437A" w:rsidP="001F576E">
      <w:pPr>
        <w:pStyle w:val="Heading3"/>
      </w:pPr>
      <w:r>
        <w:t>Summary of MCA fee levels assessment</w:t>
      </w:r>
    </w:p>
    <w:p w14:paraId="7F8D7845" w14:textId="0B166D20" w:rsidR="000D6757" w:rsidRDefault="00F844C8" w:rsidP="000D6757">
      <w:pPr>
        <w:pStyle w:val="DJCSbody"/>
        <w:ind w:left="0"/>
      </w:pPr>
      <w:r>
        <w:t xml:space="preserve">The table below outlines the results of the MCA for the debt recovery fee options. The weighted score for each option is calculated by multiplying the score for each criterion by the weight for that </w:t>
      </w:r>
      <w:r w:rsidR="00AB4397">
        <w:t>criterion and</w:t>
      </w:r>
      <w:r>
        <w:t xml:space="preserve"> summing the total to establish an overall weighted score for that option. </w:t>
      </w:r>
      <w:r w:rsidR="000D6757" w:rsidRPr="00383886">
        <w:t xml:space="preserve">Based on </w:t>
      </w:r>
      <w:r w:rsidR="000D6757" w:rsidRPr="0049648C">
        <w:t>the MCA</w:t>
      </w:r>
      <w:r w:rsidR="00792F78">
        <w:t xml:space="preserve">, </w:t>
      </w:r>
      <w:r w:rsidR="000D6757" w:rsidRPr="0049648C">
        <w:t xml:space="preserve">Option </w:t>
      </w:r>
      <w:r w:rsidR="000D6757">
        <w:t xml:space="preserve">1 – </w:t>
      </w:r>
      <w:r w:rsidR="000D6757" w:rsidRPr="000D6757">
        <w:rPr>
          <w:i/>
        </w:rPr>
        <w:t xml:space="preserve">$35 </w:t>
      </w:r>
      <w:r w:rsidR="00CB0103">
        <w:rPr>
          <w:i/>
        </w:rPr>
        <w:t>application</w:t>
      </w:r>
      <w:r w:rsidR="000D6757" w:rsidRPr="000D6757">
        <w:rPr>
          <w:i/>
        </w:rPr>
        <w:t xml:space="preserve"> fee level with cost recovery over 8 years </w:t>
      </w:r>
      <w:r w:rsidR="000D6757" w:rsidRPr="00383886">
        <w:t xml:space="preserve">scores highest against </w:t>
      </w:r>
      <w:r w:rsidR="000D6757">
        <w:t xml:space="preserve">the </w:t>
      </w:r>
      <w:r w:rsidR="000D6757" w:rsidRPr="00383886">
        <w:t>qualitative criteria</w:t>
      </w:r>
      <w:r w:rsidR="000D6757">
        <w:t xml:space="preserve"> and is thus the preferred fee level for the PRBS application fee.</w:t>
      </w:r>
    </w:p>
    <w:p w14:paraId="2C7DA83E" w14:textId="57DE113C" w:rsidR="00672B8F" w:rsidRDefault="00672B8F" w:rsidP="00BE5ED9">
      <w:pPr>
        <w:pStyle w:val="Caption"/>
        <w:keepNext/>
      </w:pPr>
      <w:r>
        <w:t xml:space="preserve">Table </w:t>
      </w:r>
      <w:r>
        <w:fldChar w:fldCharType="begin"/>
      </w:r>
      <w:r>
        <w:instrText xml:space="preserve"> SEQ Table \* ARABIC </w:instrText>
      </w:r>
      <w:r>
        <w:fldChar w:fldCharType="separate"/>
      </w:r>
      <w:r w:rsidR="00A50199">
        <w:rPr>
          <w:noProof/>
        </w:rPr>
        <w:t>14</w:t>
      </w:r>
      <w:r>
        <w:fldChar w:fldCharType="end"/>
      </w:r>
      <w:r>
        <w:t>: Weighted MCA scores by option</w:t>
      </w:r>
    </w:p>
    <w:tbl>
      <w:tblPr>
        <w:tblStyle w:val="DJRReporttablestyleNavy"/>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39"/>
        <w:gridCol w:w="1997"/>
        <w:gridCol w:w="1998"/>
        <w:gridCol w:w="1998"/>
        <w:gridCol w:w="1998"/>
      </w:tblGrid>
      <w:tr w:rsidR="00C356AC" w:rsidRPr="00B763BF" w14:paraId="237E2F34" w14:textId="77777777" w:rsidTr="00875517">
        <w:trPr>
          <w:cnfStyle w:val="100000000000" w:firstRow="1" w:lastRow="0" w:firstColumn="0" w:lastColumn="0" w:oddVBand="0" w:evenVBand="0" w:oddHBand="0" w:evenHBand="0" w:firstRowFirstColumn="0" w:firstRowLastColumn="0" w:lastRowFirstColumn="0" w:lastRowLastColumn="0"/>
          <w:trHeight w:val="559"/>
          <w:tblHeader/>
        </w:trPr>
        <w:tc>
          <w:tcPr>
            <w:tcW w:w="1843" w:type="dxa"/>
            <w:shd w:val="clear" w:color="auto" w:fill="16145F" w:themeFill="accent3"/>
          </w:tcPr>
          <w:p w14:paraId="2B3F8257" w14:textId="77777777" w:rsidR="00B9437A" w:rsidRPr="00DC18E7" w:rsidRDefault="00B9437A">
            <w:pPr>
              <w:pStyle w:val="Body"/>
              <w:spacing w:after="0"/>
              <w:jc w:val="center"/>
              <w:rPr>
                <w:sz w:val="20"/>
                <w:szCs w:val="20"/>
              </w:rPr>
            </w:pPr>
            <w:r w:rsidRPr="00C65BE3">
              <w:rPr>
                <w:sz w:val="20"/>
                <w:szCs w:val="20"/>
              </w:rPr>
              <w:t>Criterion</w:t>
            </w:r>
          </w:p>
        </w:tc>
        <w:tc>
          <w:tcPr>
            <w:tcW w:w="939" w:type="dxa"/>
            <w:shd w:val="clear" w:color="auto" w:fill="16145F" w:themeFill="accent3"/>
          </w:tcPr>
          <w:p w14:paraId="3E78113B" w14:textId="77777777" w:rsidR="00B9437A" w:rsidRPr="00B763BF" w:rsidRDefault="00B9437A">
            <w:pPr>
              <w:pStyle w:val="Body"/>
              <w:spacing w:after="0"/>
              <w:jc w:val="center"/>
              <w:rPr>
                <w:b w:val="0"/>
                <w:bCs/>
                <w:sz w:val="20"/>
                <w:szCs w:val="20"/>
              </w:rPr>
            </w:pPr>
            <w:r w:rsidRPr="00B763BF">
              <w:rPr>
                <w:bCs/>
                <w:sz w:val="20"/>
                <w:szCs w:val="20"/>
              </w:rPr>
              <w:t>Weight</w:t>
            </w:r>
          </w:p>
        </w:tc>
        <w:tc>
          <w:tcPr>
            <w:tcW w:w="1997" w:type="dxa"/>
            <w:shd w:val="clear" w:color="auto" w:fill="16145F" w:themeFill="accent3"/>
          </w:tcPr>
          <w:p w14:paraId="1F39E52B" w14:textId="77777777" w:rsidR="00B9437A" w:rsidRPr="00B763BF" w:rsidRDefault="00B9437A">
            <w:pPr>
              <w:pStyle w:val="Body"/>
              <w:spacing w:after="0"/>
              <w:jc w:val="center"/>
              <w:rPr>
                <w:b w:val="0"/>
                <w:bCs/>
                <w:sz w:val="20"/>
                <w:szCs w:val="20"/>
              </w:rPr>
            </w:pPr>
            <w:r w:rsidRPr="00B763BF">
              <w:rPr>
                <w:bCs/>
                <w:sz w:val="20"/>
                <w:szCs w:val="20"/>
              </w:rPr>
              <w:t>Base case</w:t>
            </w:r>
          </w:p>
        </w:tc>
        <w:tc>
          <w:tcPr>
            <w:tcW w:w="1998" w:type="dxa"/>
            <w:shd w:val="clear" w:color="auto" w:fill="16145F" w:themeFill="accent3"/>
          </w:tcPr>
          <w:p w14:paraId="0B196935" w14:textId="77777777" w:rsidR="00B9437A" w:rsidRPr="00B763BF" w:rsidRDefault="00B9437A">
            <w:pPr>
              <w:pStyle w:val="Body"/>
              <w:spacing w:after="0"/>
              <w:jc w:val="center"/>
              <w:rPr>
                <w:b w:val="0"/>
                <w:sz w:val="20"/>
                <w:szCs w:val="20"/>
              </w:rPr>
            </w:pPr>
            <w:r w:rsidRPr="00B763BF">
              <w:rPr>
                <w:sz w:val="20"/>
                <w:szCs w:val="20"/>
              </w:rPr>
              <w:t xml:space="preserve">Option </w:t>
            </w:r>
            <w:r>
              <w:rPr>
                <w:sz w:val="20"/>
                <w:szCs w:val="20"/>
              </w:rPr>
              <w:t>1</w:t>
            </w:r>
          </w:p>
        </w:tc>
        <w:tc>
          <w:tcPr>
            <w:tcW w:w="1998" w:type="dxa"/>
            <w:shd w:val="clear" w:color="auto" w:fill="16145F" w:themeFill="accent3"/>
          </w:tcPr>
          <w:p w14:paraId="68E5CDC6" w14:textId="77777777" w:rsidR="00B9437A" w:rsidRPr="00B763BF" w:rsidRDefault="00B9437A">
            <w:pPr>
              <w:pStyle w:val="Body"/>
              <w:spacing w:after="0"/>
              <w:jc w:val="center"/>
              <w:rPr>
                <w:bCs/>
                <w:sz w:val="20"/>
                <w:szCs w:val="20"/>
              </w:rPr>
            </w:pPr>
            <w:r w:rsidRPr="00B763BF">
              <w:rPr>
                <w:bCs/>
                <w:sz w:val="20"/>
                <w:szCs w:val="20"/>
              </w:rPr>
              <w:t xml:space="preserve">Option </w:t>
            </w:r>
            <w:r>
              <w:rPr>
                <w:bCs/>
                <w:sz w:val="20"/>
                <w:szCs w:val="20"/>
              </w:rPr>
              <w:t>2</w:t>
            </w:r>
          </w:p>
        </w:tc>
        <w:tc>
          <w:tcPr>
            <w:tcW w:w="1998" w:type="dxa"/>
            <w:shd w:val="clear" w:color="auto" w:fill="16145F" w:themeFill="accent3"/>
          </w:tcPr>
          <w:p w14:paraId="5314159F" w14:textId="77777777" w:rsidR="00B9437A" w:rsidRPr="00B763BF" w:rsidRDefault="00B9437A">
            <w:pPr>
              <w:pStyle w:val="Body"/>
              <w:spacing w:after="0"/>
              <w:jc w:val="center"/>
              <w:rPr>
                <w:bCs/>
                <w:sz w:val="20"/>
                <w:szCs w:val="20"/>
              </w:rPr>
            </w:pPr>
            <w:r w:rsidRPr="00B763BF">
              <w:rPr>
                <w:bCs/>
                <w:sz w:val="20"/>
                <w:szCs w:val="20"/>
              </w:rPr>
              <w:t>Option</w:t>
            </w:r>
            <w:r>
              <w:rPr>
                <w:bCs/>
                <w:sz w:val="20"/>
                <w:szCs w:val="20"/>
              </w:rPr>
              <w:t xml:space="preserve"> 3</w:t>
            </w:r>
          </w:p>
        </w:tc>
      </w:tr>
      <w:tr w:rsidR="00B9437A" w:rsidRPr="00B763BF" w14:paraId="36D0D383" w14:textId="77777777" w:rsidTr="001F576E">
        <w:tc>
          <w:tcPr>
            <w:tcW w:w="1843" w:type="dxa"/>
            <w:vAlign w:val="center"/>
          </w:tcPr>
          <w:p w14:paraId="3AE5AB4B" w14:textId="1221BC11" w:rsidR="00B9437A" w:rsidRPr="00B763BF" w:rsidRDefault="00B9437A">
            <w:pPr>
              <w:pStyle w:val="Body"/>
              <w:jc w:val="left"/>
            </w:pPr>
            <w:r w:rsidRPr="00B763BF">
              <w:t>Effectiveness</w:t>
            </w:r>
            <w:r w:rsidR="00805A54">
              <w:t xml:space="preserve"> and equity</w:t>
            </w:r>
          </w:p>
        </w:tc>
        <w:tc>
          <w:tcPr>
            <w:tcW w:w="939" w:type="dxa"/>
            <w:vAlign w:val="center"/>
          </w:tcPr>
          <w:p w14:paraId="17E92814" w14:textId="25A8919E" w:rsidR="00B9437A" w:rsidRPr="00B763BF" w:rsidRDefault="00627449">
            <w:pPr>
              <w:pStyle w:val="Body"/>
              <w:jc w:val="center"/>
            </w:pPr>
            <w:r>
              <w:rPr>
                <w:rFonts w:ascii="Arial" w:hAnsi="Arial" w:cs="Arial"/>
                <w:color w:val="000000"/>
              </w:rPr>
              <w:t>50</w:t>
            </w:r>
            <w:r w:rsidR="00B9437A" w:rsidRPr="00B763BF">
              <w:rPr>
                <w:rFonts w:ascii="Arial" w:hAnsi="Arial" w:cs="Arial"/>
                <w:color w:val="000000"/>
              </w:rPr>
              <w:t>%</w:t>
            </w:r>
          </w:p>
        </w:tc>
        <w:tc>
          <w:tcPr>
            <w:tcW w:w="1997" w:type="dxa"/>
            <w:vAlign w:val="center"/>
          </w:tcPr>
          <w:p w14:paraId="66B333D9" w14:textId="77777777" w:rsidR="00B9437A" w:rsidRPr="00B763BF" w:rsidRDefault="00B9437A">
            <w:pPr>
              <w:pStyle w:val="Body"/>
              <w:jc w:val="center"/>
            </w:pPr>
            <w:r w:rsidRPr="00B763BF">
              <w:rPr>
                <w:rFonts w:ascii="Arial" w:hAnsi="Arial" w:cs="Arial"/>
                <w:color w:val="000000"/>
              </w:rPr>
              <w:t>0</w:t>
            </w:r>
          </w:p>
        </w:tc>
        <w:tc>
          <w:tcPr>
            <w:tcW w:w="1998" w:type="dxa"/>
            <w:vAlign w:val="center"/>
          </w:tcPr>
          <w:p w14:paraId="03D8E899" w14:textId="3DF1F748" w:rsidR="00B9437A" w:rsidRPr="00BE5ED9" w:rsidRDefault="00616BDA">
            <w:pPr>
              <w:pStyle w:val="Body"/>
              <w:jc w:val="center"/>
              <w:rPr>
                <w:rFonts w:asciiTheme="majorHAnsi" w:hAnsiTheme="majorHAnsi" w:cstheme="majorHAnsi"/>
              </w:rPr>
            </w:pPr>
            <w:r w:rsidRPr="00BE5ED9" w:rsidDel="00195188">
              <w:rPr>
                <w:rFonts w:asciiTheme="majorHAnsi" w:hAnsiTheme="majorHAnsi" w:cstheme="majorHAnsi"/>
                <w:color w:val="000000"/>
              </w:rPr>
              <w:t>-2</w:t>
            </w:r>
            <w:r w:rsidR="00871A3E">
              <w:rPr>
                <w:rFonts w:asciiTheme="majorHAnsi" w:hAnsiTheme="majorHAnsi" w:cstheme="majorHAnsi"/>
                <w:color w:val="000000"/>
              </w:rPr>
              <w:t>.1</w:t>
            </w:r>
          </w:p>
        </w:tc>
        <w:tc>
          <w:tcPr>
            <w:tcW w:w="1998" w:type="dxa"/>
            <w:vAlign w:val="center"/>
          </w:tcPr>
          <w:p w14:paraId="335FE41D" w14:textId="1080C7E5" w:rsidR="00B9437A" w:rsidRPr="00BE5ED9" w:rsidRDefault="00B9437A">
            <w:pPr>
              <w:pStyle w:val="Body"/>
              <w:jc w:val="center"/>
              <w:rPr>
                <w:rFonts w:asciiTheme="majorHAnsi" w:hAnsiTheme="majorHAnsi" w:cstheme="majorHAnsi"/>
                <w:color w:val="000000"/>
              </w:rPr>
            </w:pPr>
            <w:r w:rsidRPr="00BE5ED9">
              <w:rPr>
                <w:rFonts w:asciiTheme="majorHAnsi" w:hAnsiTheme="majorHAnsi" w:cstheme="majorHAnsi"/>
                <w:color w:val="000000"/>
              </w:rPr>
              <w:t>-</w:t>
            </w:r>
            <w:r w:rsidR="00871A3E">
              <w:rPr>
                <w:rFonts w:asciiTheme="majorHAnsi" w:hAnsiTheme="majorHAnsi" w:cstheme="majorHAnsi"/>
                <w:color w:val="000000"/>
              </w:rPr>
              <w:t>3.3</w:t>
            </w:r>
          </w:p>
        </w:tc>
        <w:tc>
          <w:tcPr>
            <w:tcW w:w="1998" w:type="dxa"/>
            <w:vAlign w:val="center"/>
          </w:tcPr>
          <w:p w14:paraId="00BEFEA9" w14:textId="014182AF" w:rsidR="00B9437A" w:rsidRPr="00BE5ED9" w:rsidRDefault="009A6ED1">
            <w:pPr>
              <w:pStyle w:val="Body"/>
              <w:jc w:val="center"/>
              <w:rPr>
                <w:rFonts w:asciiTheme="majorHAnsi" w:hAnsiTheme="majorHAnsi" w:cstheme="majorHAnsi"/>
              </w:rPr>
            </w:pPr>
            <w:r w:rsidRPr="00BE5ED9" w:rsidDel="003F412C">
              <w:rPr>
                <w:rFonts w:asciiTheme="majorHAnsi" w:hAnsiTheme="majorHAnsi" w:cstheme="majorHAnsi"/>
                <w:color w:val="000000"/>
              </w:rPr>
              <w:t>-</w:t>
            </w:r>
            <w:r w:rsidR="00871A3E">
              <w:rPr>
                <w:rFonts w:asciiTheme="majorHAnsi" w:hAnsiTheme="majorHAnsi" w:cstheme="majorHAnsi"/>
                <w:color w:val="000000"/>
              </w:rPr>
              <w:t>4.</w:t>
            </w:r>
            <w:r w:rsidR="002206E8">
              <w:rPr>
                <w:rFonts w:asciiTheme="majorHAnsi" w:hAnsiTheme="majorHAnsi" w:cstheme="majorHAnsi"/>
                <w:color w:val="000000"/>
              </w:rPr>
              <w:t>4</w:t>
            </w:r>
            <w:r w:rsidR="00871A3E">
              <w:rPr>
                <w:rFonts w:asciiTheme="majorHAnsi" w:hAnsiTheme="majorHAnsi" w:cstheme="majorHAnsi"/>
                <w:color w:val="000000"/>
              </w:rPr>
              <w:t xml:space="preserve"> </w:t>
            </w:r>
          </w:p>
        </w:tc>
      </w:tr>
      <w:tr w:rsidR="00B9437A" w:rsidRPr="00B763BF" w14:paraId="7DBF91CF" w14:textId="77777777" w:rsidTr="001F576E">
        <w:tc>
          <w:tcPr>
            <w:tcW w:w="1843" w:type="dxa"/>
            <w:vAlign w:val="center"/>
          </w:tcPr>
          <w:p w14:paraId="044F220F" w14:textId="77777777" w:rsidR="00B9437A" w:rsidRPr="00B763BF" w:rsidRDefault="00B9437A">
            <w:pPr>
              <w:pStyle w:val="Body"/>
              <w:jc w:val="left"/>
            </w:pPr>
            <w:r w:rsidRPr="00B763BF">
              <w:t xml:space="preserve">Efficiency </w:t>
            </w:r>
          </w:p>
        </w:tc>
        <w:tc>
          <w:tcPr>
            <w:tcW w:w="939" w:type="dxa"/>
            <w:vAlign w:val="center"/>
          </w:tcPr>
          <w:p w14:paraId="6ADA4847" w14:textId="177667A4" w:rsidR="00B9437A" w:rsidRPr="00B763BF" w:rsidRDefault="00627449">
            <w:pPr>
              <w:pStyle w:val="Body"/>
              <w:jc w:val="center"/>
            </w:pPr>
            <w:r>
              <w:rPr>
                <w:rFonts w:ascii="Arial" w:hAnsi="Arial" w:cs="Arial"/>
                <w:color w:val="000000"/>
              </w:rPr>
              <w:t>2</w:t>
            </w:r>
            <w:r w:rsidR="00540EA0">
              <w:rPr>
                <w:rFonts w:ascii="Arial" w:hAnsi="Arial" w:cs="Arial"/>
                <w:color w:val="000000"/>
              </w:rPr>
              <w:t>5</w:t>
            </w:r>
            <w:r w:rsidR="00B9437A" w:rsidRPr="00B763BF">
              <w:rPr>
                <w:rFonts w:ascii="Arial" w:hAnsi="Arial" w:cs="Arial"/>
                <w:color w:val="000000"/>
              </w:rPr>
              <w:t>%</w:t>
            </w:r>
          </w:p>
        </w:tc>
        <w:tc>
          <w:tcPr>
            <w:tcW w:w="1997" w:type="dxa"/>
            <w:vAlign w:val="center"/>
          </w:tcPr>
          <w:p w14:paraId="5313B9C9" w14:textId="77777777" w:rsidR="00B9437A" w:rsidRPr="00B763BF" w:rsidRDefault="00B9437A">
            <w:pPr>
              <w:pStyle w:val="Body"/>
              <w:jc w:val="center"/>
            </w:pPr>
            <w:r w:rsidRPr="00B763BF">
              <w:rPr>
                <w:rFonts w:ascii="Arial" w:hAnsi="Arial" w:cs="Arial"/>
                <w:color w:val="000000"/>
              </w:rPr>
              <w:t>0</w:t>
            </w:r>
          </w:p>
        </w:tc>
        <w:tc>
          <w:tcPr>
            <w:tcW w:w="1998" w:type="dxa"/>
            <w:vAlign w:val="center"/>
          </w:tcPr>
          <w:p w14:paraId="36CB46BC" w14:textId="3472ABFC" w:rsidR="00B9437A" w:rsidRPr="00BE5ED9" w:rsidRDefault="00616BDA">
            <w:pPr>
              <w:pStyle w:val="Body"/>
              <w:jc w:val="center"/>
              <w:rPr>
                <w:rFonts w:asciiTheme="majorHAnsi" w:hAnsiTheme="majorHAnsi" w:cstheme="majorHAnsi"/>
              </w:rPr>
            </w:pPr>
            <w:r w:rsidRPr="00BE5ED9">
              <w:rPr>
                <w:rFonts w:asciiTheme="majorHAnsi" w:hAnsiTheme="majorHAnsi" w:cstheme="majorHAnsi"/>
                <w:color w:val="000000"/>
              </w:rPr>
              <w:t>8</w:t>
            </w:r>
          </w:p>
        </w:tc>
        <w:tc>
          <w:tcPr>
            <w:tcW w:w="1998" w:type="dxa"/>
            <w:vAlign w:val="center"/>
          </w:tcPr>
          <w:p w14:paraId="2F6577A9" w14:textId="2E3CBF3C" w:rsidR="00B9437A" w:rsidRPr="00BE5ED9" w:rsidRDefault="009A6ED1">
            <w:pPr>
              <w:pStyle w:val="Body"/>
              <w:jc w:val="center"/>
              <w:rPr>
                <w:rFonts w:asciiTheme="majorHAnsi" w:hAnsiTheme="majorHAnsi" w:cstheme="majorHAnsi"/>
                <w:color w:val="000000"/>
              </w:rPr>
            </w:pPr>
            <w:r w:rsidRPr="00BE5ED9">
              <w:rPr>
                <w:rFonts w:asciiTheme="majorHAnsi" w:hAnsiTheme="majorHAnsi" w:cstheme="majorHAnsi"/>
                <w:color w:val="000000"/>
              </w:rPr>
              <w:t>9.9</w:t>
            </w:r>
          </w:p>
        </w:tc>
        <w:tc>
          <w:tcPr>
            <w:tcW w:w="1998" w:type="dxa"/>
            <w:vAlign w:val="center"/>
          </w:tcPr>
          <w:p w14:paraId="62AC4E4E" w14:textId="6B812EB8" w:rsidR="00B9437A" w:rsidRPr="00BE5ED9" w:rsidRDefault="009A6ED1">
            <w:pPr>
              <w:pStyle w:val="Body"/>
              <w:jc w:val="center"/>
              <w:rPr>
                <w:rFonts w:asciiTheme="majorHAnsi" w:hAnsiTheme="majorHAnsi" w:cstheme="majorHAnsi"/>
              </w:rPr>
            </w:pPr>
            <w:r w:rsidRPr="00BE5ED9">
              <w:rPr>
                <w:rFonts w:asciiTheme="majorHAnsi" w:hAnsiTheme="majorHAnsi" w:cstheme="majorHAnsi"/>
                <w:color w:val="000000"/>
              </w:rPr>
              <w:t>10</w:t>
            </w:r>
          </w:p>
        </w:tc>
      </w:tr>
      <w:tr w:rsidR="00B9437A" w:rsidRPr="00B763BF" w14:paraId="3EB11380" w14:textId="77777777" w:rsidTr="001F576E">
        <w:tc>
          <w:tcPr>
            <w:tcW w:w="1843" w:type="dxa"/>
            <w:vAlign w:val="center"/>
          </w:tcPr>
          <w:p w14:paraId="3949BE9E" w14:textId="77777777" w:rsidR="00B9437A" w:rsidRPr="00B763BF" w:rsidRDefault="00B9437A">
            <w:pPr>
              <w:pStyle w:val="Body"/>
              <w:jc w:val="left"/>
            </w:pPr>
            <w:r w:rsidRPr="00B763BF">
              <w:lastRenderedPageBreak/>
              <w:t>User pay</w:t>
            </w:r>
            <w:r>
              <w:t>s</w:t>
            </w:r>
            <w:r w:rsidRPr="00B763BF">
              <w:t xml:space="preserve"> for </w:t>
            </w:r>
            <w:r>
              <w:t>costs</w:t>
            </w:r>
          </w:p>
        </w:tc>
        <w:tc>
          <w:tcPr>
            <w:tcW w:w="939" w:type="dxa"/>
            <w:vAlign w:val="center"/>
          </w:tcPr>
          <w:p w14:paraId="5D227628" w14:textId="17772951" w:rsidR="00B9437A" w:rsidRPr="00B763BF" w:rsidRDefault="00627449">
            <w:pPr>
              <w:pStyle w:val="Body"/>
              <w:jc w:val="center"/>
            </w:pPr>
            <w:r>
              <w:rPr>
                <w:rFonts w:ascii="Arial" w:hAnsi="Arial" w:cs="Arial"/>
                <w:color w:val="000000"/>
              </w:rPr>
              <w:t>25</w:t>
            </w:r>
            <w:r w:rsidR="00B9437A" w:rsidRPr="00B763BF">
              <w:rPr>
                <w:rFonts w:ascii="Arial" w:hAnsi="Arial" w:cs="Arial"/>
                <w:color w:val="000000"/>
              </w:rPr>
              <w:t>%</w:t>
            </w:r>
          </w:p>
        </w:tc>
        <w:tc>
          <w:tcPr>
            <w:tcW w:w="1997" w:type="dxa"/>
            <w:vAlign w:val="center"/>
          </w:tcPr>
          <w:p w14:paraId="0E1BD6AB" w14:textId="77777777" w:rsidR="00B9437A" w:rsidRPr="00B763BF" w:rsidRDefault="00B9437A">
            <w:pPr>
              <w:pStyle w:val="Body"/>
              <w:jc w:val="center"/>
            </w:pPr>
            <w:r w:rsidRPr="00B763BF">
              <w:rPr>
                <w:rFonts w:ascii="Arial" w:hAnsi="Arial" w:cs="Arial"/>
                <w:color w:val="000000"/>
              </w:rPr>
              <w:t>0</w:t>
            </w:r>
          </w:p>
        </w:tc>
        <w:tc>
          <w:tcPr>
            <w:tcW w:w="1998" w:type="dxa"/>
            <w:vAlign w:val="center"/>
          </w:tcPr>
          <w:p w14:paraId="5D071471" w14:textId="5178C86A" w:rsidR="00B9437A" w:rsidRPr="00BE5ED9" w:rsidRDefault="00627449">
            <w:pPr>
              <w:pStyle w:val="Body"/>
              <w:jc w:val="center"/>
              <w:rPr>
                <w:rFonts w:asciiTheme="majorHAnsi" w:hAnsiTheme="majorHAnsi" w:cstheme="majorHAnsi"/>
              </w:rPr>
            </w:pPr>
            <w:r>
              <w:rPr>
                <w:rFonts w:asciiTheme="majorHAnsi" w:hAnsiTheme="majorHAnsi" w:cstheme="majorHAnsi"/>
                <w:color w:val="000000"/>
              </w:rPr>
              <w:t>9.</w:t>
            </w:r>
            <w:r w:rsidR="00616BDA" w:rsidRPr="00BE5ED9">
              <w:rPr>
                <w:rFonts w:asciiTheme="majorHAnsi" w:hAnsiTheme="majorHAnsi" w:cstheme="majorHAnsi"/>
                <w:color w:val="000000"/>
              </w:rPr>
              <w:t>8</w:t>
            </w:r>
          </w:p>
        </w:tc>
        <w:tc>
          <w:tcPr>
            <w:tcW w:w="1998" w:type="dxa"/>
            <w:vAlign w:val="center"/>
          </w:tcPr>
          <w:p w14:paraId="73A82756" w14:textId="14A1B3FD" w:rsidR="00B9437A" w:rsidRPr="00BE5ED9" w:rsidRDefault="00627449">
            <w:pPr>
              <w:pStyle w:val="Body"/>
              <w:jc w:val="center"/>
              <w:rPr>
                <w:rFonts w:asciiTheme="majorHAnsi" w:hAnsiTheme="majorHAnsi" w:cstheme="majorHAnsi"/>
                <w:color w:val="000000"/>
              </w:rPr>
            </w:pPr>
            <w:r>
              <w:rPr>
                <w:rFonts w:asciiTheme="majorHAnsi" w:hAnsiTheme="majorHAnsi" w:cstheme="majorHAnsi"/>
                <w:color w:val="000000"/>
              </w:rPr>
              <w:t>9.1</w:t>
            </w:r>
          </w:p>
        </w:tc>
        <w:tc>
          <w:tcPr>
            <w:tcW w:w="1998" w:type="dxa"/>
            <w:vAlign w:val="center"/>
          </w:tcPr>
          <w:p w14:paraId="14FA0ADA" w14:textId="22CC25E9" w:rsidR="00B9437A" w:rsidRPr="00BE5ED9" w:rsidRDefault="00627449">
            <w:pPr>
              <w:pStyle w:val="Body"/>
              <w:jc w:val="center"/>
              <w:rPr>
                <w:rFonts w:asciiTheme="majorHAnsi" w:hAnsiTheme="majorHAnsi" w:cstheme="majorHAnsi"/>
              </w:rPr>
            </w:pPr>
            <w:r>
              <w:rPr>
                <w:rFonts w:asciiTheme="majorHAnsi" w:hAnsiTheme="majorHAnsi" w:cstheme="majorHAnsi"/>
                <w:color w:val="000000"/>
              </w:rPr>
              <w:t>8.8</w:t>
            </w:r>
          </w:p>
        </w:tc>
      </w:tr>
      <w:tr w:rsidR="00406E55" w:rsidRPr="00EF0820" w14:paraId="1D59E600" w14:textId="77777777">
        <w:tc>
          <w:tcPr>
            <w:tcW w:w="1843" w:type="dxa"/>
            <w:shd w:val="clear" w:color="auto" w:fill="D9D9D9" w:themeFill="background1" w:themeFillShade="D9"/>
          </w:tcPr>
          <w:p w14:paraId="2E02A9CF" w14:textId="77777777" w:rsidR="00B9437A" w:rsidRPr="00B763BF" w:rsidRDefault="00B9437A">
            <w:pPr>
              <w:pStyle w:val="Body"/>
              <w:rPr>
                <w:b/>
              </w:rPr>
            </w:pPr>
            <w:r w:rsidRPr="00B763BF">
              <w:rPr>
                <w:b/>
              </w:rPr>
              <w:t>Weighted score</w:t>
            </w:r>
          </w:p>
        </w:tc>
        <w:tc>
          <w:tcPr>
            <w:tcW w:w="939" w:type="dxa"/>
            <w:shd w:val="clear" w:color="auto" w:fill="D9D9D9" w:themeFill="background1" w:themeFillShade="D9"/>
            <w:vAlign w:val="center"/>
          </w:tcPr>
          <w:p w14:paraId="37393700" w14:textId="77777777" w:rsidR="00B9437A" w:rsidRPr="00B763BF" w:rsidRDefault="00B9437A">
            <w:pPr>
              <w:pStyle w:val="Body"/>
              <w:jc w:val="center"/>
              <w:rPr>
                <w:b/>
              </w:rPr>
            </w:pPr>
            <w:r w:rsidRPr="00B763BF">
              <w:rPr>
                <w:rFonts w:ascii="Arial" w:hAnsi="Arial" w:cs="Arial"/>
                <w:b/>
                <w:bCs/>
              </w:rPr>
              <w:t>100%</w:t>
            </w:r>
          </w:p>
        </w:tc>
        <w:tc>
          <w:tcPr>
            <w:tcW w:w="1997" w:type="dxa"/>
            <w:shd w:val="clear" w:color="auto" w:fill="D8D8D8" w:themeFill="background2"/>
            <w:vAlign w:val="center"/>
          </w:tcPr>
          <w:p w14:paraId="28FFDBCF" w14:textId="77777777" w:rsidR="00B9437A" w:rsidRPr="00B763BF" w:rsidRDefault="00B9437A">
            <w:pPr>
              <w:pStyle w:val="Body"/>
              <w:jc w:val="center"/>
              <w:rPr>
                <w:b/>
              </w:rPr>
            </w:pPr>
            <w:r w:rsidRPr="00B763BF">
              <w:rPr>
                <w:rFonts w:ascii="Arial" w:hAnsi="Arial" w:cs="Arial"/>
                <w:b/>
                <w:bCs/>
              </w:rPr>
              <w:t>0</w:t>
            </w:r>
          </w:p>
        </w:tc>
        <w:tc>
          <w:tcPr>
            <w:tcW w:w="1998" w:type="dxa"/>
            <w:shd w:val="clear" w:color="auto" w:fill="D8D8D8" w:themeFill="background2"/>
            <w:vAlign w:val="bottom"/>
          </w:tcPr>
          <w:p w14:paraId="7AA061BF" w14:textId="5E99C735" w:rsidR="00B9437A" w:rsidRPr="00BE5ED9" w:rsidRDefault="00860DF6">
            <w:pPr>
              <w:pStyle w:val="Body"/>
              <w:jc w:val="center"/>
              <w:rPr>
                <w:rFonts w:asciiTheme="majorHAnsi" w:hAnsiTheme="majorHAnsi" w:cstheme="majorHAnsi"/>
                <w:b/>
              </w:rPr>
            </w:pPr>
            <w:r>
              <w:rPr>
                <w:rFonts w:asciiTheme="majorHAnsi" w:hAnsiTheme="majorHAnsi" w:cstheme="majorHAnsi"/>
                <w:b/>
                <w:bCs/>
                <w:color w:val="000000"/>
              </w:rPr>
              <w:t>3.4</w:t>
            </w:r>
          </w:p>
        </w:tc>
        <w:tc>
          <w:tcPr>
            <w:tcW w:w="1998" w:type="dxa"/>
            <w:shd w:val="clear" w:color="auto" w:fill="D8D8D8" w:themeFill="background2"/>
            <w:vAlign w:val="bottom"/>
          </w:tcPr>
          <w:p w14:paraId="75D2DC83" w14:textId="241DE947" w:rsidR="00B9437A" w:rsidRPr="00BE5ED9" w:rsidRDefault="00860DF6">
            <w:pPr>
              <w:pStyle w:val="Body"/>
              <w:jc w:val="center"/>
              <w:rPr>
                <w:rFonts w:asciiTheme="majorHAnsi" w:hAnsiTheme="majorHAnsi" w:cstheme="majorHAnsi"/>
                <w:b/>
                <w:color w:val="000000"/>
              </w:rPr>
            </w:pPr>
            <w:r>
              <w:rPr>
                <w:rFonts w:asciiTheme="majorHAnsi" w:hAnsiTheme="majorHAnsi" w:cstheme="majorHAnsi"/>
                <w:b/>
                <w:bCs/>
                <w:color w:val="000000"/>
              </w:rPr>
              <w:t>3.1</w:t>
            </w:r>
          </w:p>
        </w:tc>
        <w:tc>
          <w:tcPr>
            <w:tcW w:w="1998" w:type="dxa"/>
            <w:shd w:val="clear" w:color="auto" w:fill="D8D8D8" w:themeFill="background2"/>
            <w:vAlign w:val="bottom"/>
          </w:tcPr>
          <w:p w14:paraId="35627ECF" w14:textId="7E9A5CC0" w:rsidR="00B9437A" w:rsidRPr="00BE5ED9" w:rsidRDefault="00860DF6">
            <w:pPr>
              <w:pStyle w:val="Body"/>
              <w:jc w:val="center"/>
              <w:rPr>
                <w:rFonts w:asciiTheme="majorHAnsi" w:hAnsiTheme="majorHAnsi" w:cstheme="majorHAnsi"/>
                <w:b/>
                <w:color w:val="000000"/>
              </w:rPr>
            </w:pPr>
            <w:r>
              <w:rPr>
                <w:rFonts w:asciiTheme="majorHAnsi" w:hAnsiTheme="majorHAnsi" w:cstheme="majorHAnsi"/>
                <w:b/>
                <w:bCs/>
                <w:color w:val="000000"/>
              </w:rPr>
              <w:t>2.5</w:t>
            </w:r>
          </w:p>
        </w:tc>
      </w:tr>
    </w:tbl>
    <w:p w14:paraId="7C609BF2" w14:textId="77777777" w:rsidR="00DF5D87" w:rsidRPr="00BC647A" w:rsidRDefault="00DF5D87" w:rsidP="00886D39">
      <w:pPr>
        <w:pStyle w:val="DJCSbody"/>
        <w:ind w:left="0"/>
        <w:rPr>
          <w:b/>
          <w:bCs/>
        </w:rPr>
      </w:pPr>
    </w:p>
    <w:p w14:paraId="513692C3" w14:textId="05FA7C19" w:rsidR="00CA3C50" w:rsidRDefault="009A1D9B" w:rsidP="00CA3C50">
      <w:pPr>
        <w:pStyle w:val="Heading2"/>
      </w:pPr>
      <w:bookmarkStart w:id="62" w:name="_Toc220522692"/>
      <w:bookmarkStart w:id="63" w:name="_Toc220522693"/>
      <w:bookmarkStart w:id="64" w:name="_Toc220522694"/>
      <w:bookmarkStart w:id="65" w:name="_Toc221890907"/>
      <w:bookmarkEnd w:id="62"/>
      <w:bookmarkEnd w:id="63"/>
      <w:bookmarkEnd w:id="64"/>
      <w:r>
        <w:t>Debt recovery f</w:t>
      </w:r>
      <w:r w:rsidR="003A5922">
        <w:t>ee o</w:t>
      </w:r>
      <w:r w:rsidR="00CA3C50">
        <w:t>ptions analysis</w:t>
      </w:r>
      <w:bookmarkEnd w:id="65"/>
      <w:r w:rsidR="00CA3C50">
        <w:t xml:space="preserve"> </w:t>
      </w:r>
    </w:p>
    <w:p w14:paraId="324861B2" w14:textId="219AB9A4" w:rsidR="008C7708" w:rsidRPr="00850BBD" w:rsidRDefault="00C86F5D" w:rsidP="00850BBD">
      <w:pPr>
        <w:pStyle w:val="DJCSbody"/>
        <w:ind w:left="0"/>
      </w:pPr>
      <w:r>
        <w:t xml:space="preserve">The purpose of this section is to examine the </w:t>
      </w:r>
      <w:r w:rsidR="009A1D9B">
        <w:t xml:space="preserve">debt recovery </w:t>
      </w:r>
      <w:r w:rsidR="00497970">
        <w:t xml:space="preserve">fee </w:t>
      </w:r>
      <w:r w:rsidR="00763D1B">
        <w:t xml:space="preserve">options </w:t>
      </w:r>
      <w:r w:rsidR="00376F0B">
        <w:t xml:space="preserve">for </w:t>
      </w:r>
      <w:r w:rsidR="00BE5880">
        <w:t>the PRBS</w:t>
      </w:r>
      <w:r w:rsidR="00D65BCB">
        <w:t xml:space="preserve"> </w:t>
      </w:r>
      <w:r w:rsidR="00FE711A">
        <w:t xml:space="preserve">that are outlined in Chapter 4, </w:t>
      </w:r>
      <w:r w:rsidR="00D65BCB">
        <w:t xml:space="preserve">using </w:t>
      </w:r>
      <w:r w:rsidR="00376F0B">
        <w:t xml:space="preserve">the MCA </w:t>
      </w:r>
      <w:r w:rsidR="00D65BCB">
        <w:t>criteria</w:t>
      </w:r>
      <w:r w:rsidR="00376F0B">
        <w:t xml:space="preserve"> outlined above</w:t>
      </w:r>
      <w:r w:rsidR="00BE5880">
        <w:t>.</w:t>
      </w:r>
      <w:r w:rsidR="00EE4047">
        <w:t xml:space="preserve"> </w:t>
      </w:r>
      <w:r w:rsidR="00211CA7">
        <w:t xml:space="preserve">In undertaking the analysis, it is </w:t>
      </w:r>
      <w:r w:rsidR="00805A98">
        <w:t>assume</w:t>
      </w:r>
      <w:r w:rsidR="00211CA7">
        <w:t xml:space="preserve">d </w:t>
      </w:r>
      <w:r w:rsidR="00805A98">
        <w:t xml:space="preserve">that </w:t>
      </w:r>
      <w:r w:rsidR="00211CA7">
        <w:t>a debt recovery fee would be prescribed in conjunction with a $35 application fee</w:t>
      </w:r>
      <w:r w:rsidR="003532CF">
        <w:t xml:space="preserve">, the preferred option for the application fee identified above. </w:t>
      </w:r>
    </w:p>
    <w:p w14:paraId="047E403E" w14:textId="2FBA481A" w:rsidR="000C79B4" w:rsidRDefault="000C79B4" w:rsidP="00CA3C50">
      <w:pPr>
        <w:pStyle w:val="Heading3"/>
      </w:pPr>
      <w:r>
        <w:t xml:space="preserve">Impact of debt recovery fee options </w:t>
      </w:r>
    </w:p>
    <w:p w14:paraId="773313B8" w14:textId="47D09C46" w:rsidR="00ED230E" w:rsidRDefault="00B9205C" w:rsidP="002C728B">
      <w:pPr>
        <w:pStyle w:val="DJCSbody"/>
        <w:ind w:left="0"/>
      </w:pPr>
      <w:r>
        <w:t xml:space="preserve">The table below outlines the </w:t>
      </w:r>
      <w:r w:rsidR="00ED230E">
        <w:t xml:space="preserve">calculated </w:t>
      </w:r>
      <w:r>
        <w:t xml:space="preserve">debt recovery fees under each option, and the estimated number of </w:t>
      </w:r>
      <w:r w:rsidR="001D05D1">
        <w:t xml:space="preserve">renters </w:t>
      </w:r>
      <w:r>
        <w:t>that would be charged the fee</w:t>
      </w:r>
      <w:r w:rsidR="00ED230E">
        <w:t xml:space="preserve"> under each option</w:t>
      </w:r>
      <w:r>
        <w:t xml:space="preserve">. </w:t>
      </w:r>
    </w:p>
    <w:p w14:paraId="52989876" w14:textId="32D426DA" w:rsidR="002C728B" w:rsidRDefault="00C337A0" w:rsidP="002C728B">
      <w:pPr>
        <w:pStyle w:val="DJCSbody"/>
        <w:ind w:left="0"/>
      </w:pPr>
      <w:r>
        <w:t xml:space="preserve">The </w:t>
      </w:r>
      <w:r w:rsidR="00915989">
        <w:t xml:space="preserve">debt recovery fee options below have been calculated on the basis that the fees recover the costs of </w:t>
      </w:r>
      <w:r w:rsidR="007C23B8">
        <w:t xml:space="preserve">Government’s </w:t>
      </w:r>
      <w:r w:rsidR="00915989">
        <w:t>internal debt recovery</w:t>
      </w:r>
      <w:r w:rsidR="00AD45ED">
        <w:t xml:space="preserve"> activities </w:t>
      </w:r>
      <w:r w:rsidR="001D5631">
        <w:t xml:space="preserve">(estimated at </w:t>
      </w:r>
      <w:r w:rsidR="001D5631" w:rsidRPr="007B11AC">
        <w:t>$0.314</w:t>
      </w:r>
      <w:r w:rsidR="001D5631">
        <w:t xml:space="preserve"> million, discounted) </w:t>
      </w:r>
      <w:r w:rsidR="00AD45ED">
        <w:t xml:space="preserve">over a period of 8 years. This </w:t>
      </w:r>
      <w:r w:rsidR="003239B4">
        <w:t xml:space="preserve">is </w:t>
      </w:r>
      <w:r w:rsidR="00AD45ED">
        <w:t xml:space="preserve">to ensure consistency with the preferred option for </w:t>
      </w:r>
      <w:r w:rsidR="00B9205C">
        <w:t xml:space="preserve">a $35 </w:t>
      </w:r>
      <w:r w:rsidR="00AD45ED">
        <w:t>application fee</w:t>
      </w:r>
      <w:r w:rsidR="00B9205C">
        <w:t xml:space="preserve"> which will recover </w:t>
      </w:r>
      <w:r w:rsidR="003239B4">
        <w:t xml:space="preserve">the general operating </w:t>
      </w:r>
      <w:r w:rsidR="00B9205C">
        <w:t xml:space="preserve">costs </w:t>
      </w:r>
      <w:r w:rsidR="003239B4">
        <w:t xml:space="preserve">of the PRBS and an estimated level of debt write-off </w:t>
      </w:r>
      <w:r w:rsidR="00B9205C">
        <w:t>over an 8-year period</w:t>
      </w:r>
      <w:r>
        <w:t>.</w:t>
      </w:r>
    </w:p>
    <w:p w14:paraId="1B3712E8" w14:textId="02E5213F" w:rsidR="00A5306A" w:rsidRDefault="00E70A22" w:rsidP="00A5306A">
      <w:pPr>
        <w:pStyle w:val="DJCSbody"/>
        <w:ind w:left="0"/>
      </w:pPr>
      <w:r>
        <w:t xml:space="preserve">While the debt recovery fee will be charged to all overdue </w:t>
      </w:r>
      <w:r w:rsidR="00477B31">
        <w:t>renters</w:t>
      </w:r>
      <w:r>
        <w:t xml:space="preserve"> at the start or end of stage 1B (depending on the option), </w:t>
      </w:r>
      <w:r w:rsidR="00853688">
        <w:t xml:space="preserve">it is inevitable that </w:t>
      </w:r>
      <w:r w:rsidR="0088462A">
        <w:t>a proportion of</w:t>
      </w:r>
      <w:r w:rsidR="00A06170">
        <w:t xml:space="preserve"> debts will be</w:t>
      </w:r>
      <w:r w:rsidR="0088462A">
        <w:t xml:space="preserve"> unrecoverable and therefore </w:t>
      </w:r>
      <w:r w:rsidR="00A06170">
        <w:t xml:space="preserve">some overdue </w:t>
      </w:r>
      <w:r w:rsidR="0046330A">
        <w:t>renters</w:t>
      </w:r>
      <w:r w:rsidR="00A06170">
        <w:t xml:space="preserve"> </w:t>
      </w:r>
      <w:r w:rsidR="0088462A">
        <w:t>will never pay the debt recovery fee. T</w:t>
      </w:r>
      <w:r w:rsidR="00A5306A">
        <w:t xml:space="preserve">he methodology for </w:t>
      </w:r>
      <w:r w:rsidR="0088462A">
        <w:t>calculating</w:t>
      </w:r>
      <w:r w:rsidR="00A5306A">
        <w:t xml:space="preserve"> the debt recovery fee (flat fee or percentage) takes </w:t>
      </w:r>
      <w:r w:rsidR="001637AD">
        <w:t xml:space="preserve">this </w:t>
      </w:r>
      <w:r w:rsidR="00A5306A">
        <w:t xml:space="preserve">into account. </w:t>
      </w:r>
      <w:r w:rsidR="00715893">
        <w:t>To ensure cost recovery, t</w:t>
      </w:r>
      <w:r w:rsidR="00A5306A">
        <w:t xml:space="preserve">he internal debt recovery costs </w:t>
      </w:r>
      <w:r w:rsidR="00D44923">
        <w:t xml:space="preserve">are </w:t>
      </w:r>
      <w:r w:rsidR="00FE6C3E">
        <w:t xml:space="preserve">spread </w:t>
      </w:r>
      <w:r w:rsidR="00EA24C5">
        <w:t>between the number of</w:t>
      </w:r>
      <w:r w:rsidR="00FE6C3E">
        <w:t xml:space="preserve"> overdue </w:t>
      </w:r>
      <w:r w:rsidR="0046330A">
        <w:t>renters</w:t>
      </w:r>
      <w:r w:rsidR="00FE6C3E">
        <w:t xml:space="preserve"> who </w:t>
      </w:r>
      <w:r w:rsidR="00EA24C5">
        <w:t>will pay their debts (including the debt recovery fee)</w:t>
      </w:r>
      <w:r w:rsidR="00B15B75">
        <w:t>. T</w:t>
      </w:r>
      <w:r w:rsidR="00F508B5">
        <w:t xml:space="preserve">hese are referred to as fee payers. </w:t>
      </w:r>
    </w:p>
    <w:p w14:paraId="4E072F2F" w14:textId="2B392C27" w:rsidR="00722F59" w:rsidRDefault="00973A62" w:rsidP="00A034F5">
      <w:pPr>
        <w:pStyle w:val="DJCSbody"/>
        <w:ind w:left="0"/>
      </w:pPr>
      <w:r>
        <w:t xml:space="preserve">The estimated number of fee payers is calculated </w:t>
      </w:r>
      <w:r w:rsidR="00A034F5">
        <w:t xml:space="preserve">using the assumptions </w:t>
      </w:r>
      <w:r w:rsidR="00C22B20">
        <w:t xml:space="preserve">for non-payment and debt recovery </w:t>
      </w:r>
      <w:r w:rsidR="00166AAA">
        <w:t xml:space="preserve">outlined in </w:t>
      </w:r>
      <w:r w:rsidR="00A24674">
        <w:t>Subchapter</w:t>
      </w:r>
      <w:r w:rsidR="00166AAA">
        <w:t xml:space="preserve"> </w:t>
      </w:r>
      <w:r w:rsidR="00166AAA">
        <w:fldChar w:fldCharType="begin"/>
      </w:r>
      <w:r w:rsidR="00166AAA">
        <w:instrText xml:space="preserve"> REF _Ref219388566 \r \h </w:instrText>
      </w:r>
      <w:r w:rsidR="00166AAA">
        <w:fldChar w:fldCharType="separate"/>
      </w:r>
      <w:r w:rsidR="00A50199">
        <w:t>5.2.1</w:t>
      </w:r>
      <w:r w:rsidR="00166AAA">
        <w:fldChar w:fldCharType="end"/>
      </w:r>
      <w:r w:rsidR="00FC0534">
        <w:t xml:space="preserve">, </w:t>
      </w:r>
      <w:r w:rsidR="005D5596">
        <w:t>and is based on</w:t>
      </w:r>
      <w:r w:rsidR="00FC0534">
        <w:t xml:space="preserve"> an estimated participation rate of 6</w:t>
      </w:r>
      <w:r w:rsidR="00536AD6">
        <w:t>3</w:t>
      </w:r>
      <w:r w:rsidR="00FC0534">
        <w:t xml:space="preserve">% </w:t>
      </w:r>
      <w:r w:rsidR="00AE10FB">
        <w:t>with a $35 application fee</w:t>
      </w:r>
      <w:r w:rsidR="005D5596">
        <w:t xml:space="preserve"> (the preferred option for the application fee)</w:t>
      </w:r>
      <w:r w:rsidR="003602DD">
        <w:t xml:space="preserve">. Broadly, </w:t>
      </w:r>
      <w:r w:rsidR="00947F70">
        <w:t xml:space="preserve">the modelling suggests </w:t>
      </w:r>
      <w:r w:rsidR="00B22FBD">
        <w:t xml:space="preserve">of </w:t>
      </w:r>
      <w:r w:rsidR="00CB53E8">
        <w:t>the ~5,</w:t>
      </w:r>
      <w:r w:rsidR="00A679A2">
        <w:t>5</w:t>
      </w:r>
      <w:r w:rsidR="00CB53E8">
        <w:t>00</w:t>
      </w:r>
      <w:r w:rsidR="00947F70">
        <w:t xml:space="preserve"> (</w:t>
      </w:r>
      <w:r w:rsidR="00B22FBD">
        <w:t>10%</w:t>
      </w:r>
      <w:r w:rsidR="00947F70">
        <w:t>)</w:t>
      </w:r>
      <w:r w:rsidR="00B22FBD">
        <w:t xml:space="preserve"> of </w:t>
      </w:r>
      <w:r w:rsidR="0046330A">
        <w:t>renters</w:t>
      </w:r>
      <w:r w:rsidR="00B22FBD">
        <w:t xml:space="preserve"> </w:t>
      </w:r>
      <w:r w:rsidR="005141D2">
        <w:t>who haven’t paid</w:t>
      </w:r>
      <w:r w:rsidR="00D51734">
        <w:t xml:space="preserve"> by the due date (at the start of </w:t>
      </w:r>
      <w:r w:rsidR="00DC180A">
        <w:t>s</w:t>
      </w:r>
      <w:r w:rsidR="00D51734">
        <w:t>tage 1B)</w:t>
      </w:r>
      <w:r w:rsidR="00722F59">
        <w:t>:</w:t>
      </w:r>
      <w:r w:rsidR="00D51734">
        <w:t xml:space="preserve"> </w:t>
      </w:r>
    </w:p>
    <w:p w14:paraId="790A9101" w14:textId="2F27F5C7" w:rsidR="00D7064A" w:rsidRDefault="00D7064A" w:rsidP="00722F59">
      <w:pPr>
        <w:pStyle w:val="DJCSbody"/>
        <w:numPr>
          <w:ilvl w:val="0"/>
          <w:numId w:val="87"/>
        </w:numPr>
      </w:pPr>
      <w:r>
        <w:t xml:space="preserve">~200, or </w:t>
      </w:r>
      <w:r w:rsidR="003B27F7">
        <w:t>4</w:t>
      </w:r>
      <w:r>
        <w:t xml:space="preserve">%, will pay by the end of </w:t>
      </w:r>
      <w:r w:rsidR="00A679A2">
        <w:t>s</w:t>
      </w:r>
      <w:r>
        <w:t>tage 1B</w:t>
      </w:r>
      <w:r w:rsidR="007C23B8">
        <w:t>,</w:t>
      </w:r>
    </w:p>
    <w:p w14:paraId="060B6E59" w14:textId="1C2A9344" w:rsidR="007E3AD6" w:rsidRDefault="00D7064A" w:rsidP="00722F59">
      <w:pPr>
        <w:pStyle w:val="DJCSbody"/>
        <w:numPr>
          <w:ilvl w:val="0"/>
          <w:numId w:val="87"/>
        </w:numPr>
      </w:pPr>
      <w:r>
        <w:t>~</w:t>
      </w:r>
      <w:r w:rsidR="00482992">
        <w:t>3,400</w:t>
      </w:r>
      <w:r w:rsidR="00445FDF">
        <w:t xml:space="preserve">, or </w:t>
      </w:r>
      <w:r w:rsidR="00A679A2">
        <w:t>62</w:t>
      </w:r>
      <w:r w:rsidR="00445FDF">
        <w:t xml:space="preserve">%, will pay </w:t>
      </w:r>
      <w:r w:rsidR="00A679A2">
        <w:t>via</w:t>
      </w:r>
      <w:r w:rsidR="007E3AD6">
        <w:t xml:space="preserve"> a DCA </w:t>
      </w:r>
      <w:r w:rsidR="001000A6">
        <w:t xml:space="preserve">(stage 2) </w:t>
      </w:r>
      <w:r w:rsidR="007E3AD6">
        <w:t xml:space="preserve">or </w:t>
      </w:r>
      <w:r w:rsidR="001000A6">
        <w:t xml:space="preserve">via recovery of debt through </w:t>
      </w:r>
      <w:r w:rsidR="00A679A2">
        <w:t>the second</w:t>
      </w:r>
      <w:r w:rsidR="001000A6">
        <w:t xml:space="preserve"> bond (stage 3) </w:t>
      </w:r>
      <w:r w:rsidR="007C23B8">
        <w:t>and</w:t>
      </w:r>
    </w:p>
    <w:p w14:paraId="5A2884F3" w14:textId="7EBC363E" w:rsidR="00A034F5" w:rsidRDefault="007E3AD6" w:rsidP="00722F59">
      <w:pPr>
        <w:pStyle w:val="DJCSbody"/>
        <w:numPr>
          <w:ilvl w:val="0"/>
          <w:numId w:val="87"/>
        </w:numPr>
      </w:pPr>
      <w:r>
        <w:t>~</w:t>
      </w:r>
      <w:r w:rsidR="008A7E28">
        <w:t>1,900</w:t>
      </w:r>
      <w:r>
        <w:t xml:space="preserve">, or </w:t>
      </w:r>
      <w:r w:rsidR="00B83E71">
        <w:t>34%</w:t>
      </w:r>
      <w:r w:rsidR="000A2DEF">
        <w:t>,</w:t>
      </w:r>
      <w:r w:rsidR="00B83E71">
        <w:t xml:space="preserve"> will never pay</w:t>
      </w:r>
      <w:r w:rsidR="008277DD">
        <w:t xml:space="preserve"> (and will therefore not pay a debt recovery fee). </w:t>
      </w:r>
    </w:p>
    <w:p w14:paraId="1C14CAF2" w14:textId="43E696CD" w:rsidR="001000A6" w:rsidRDefault="000A2DEF" w:rsidP="001F576E">
      <w:pPr>
        <w:pStyle w:val="DJCSbody"/>
        <w:ind w:left="0"/>
      </w:pPr>
      <w:r>
        <w:t>The rationale for these assumptions</w:t>
      </w:r>
      <w:r w:rsidR="001000A6">
        <w:t xml:space="preserve"> is detailed further </w:t>
      </w:r>
      <w:r w:rsidR="00022BD3">
        <w:t xml:space="preserve">as part of the preferred option outlined </w:t>
      </w:r>
      <w:r w:rsidR="001000A6">
        <w:t xml:space="preserve">in </w:t>
      </w:r>
      <w:r w:rsidR="00A24674">
        <w:t>Subchapter</w:t>
      </w:r>
      <w:r w:rsidR="001000A6">
        <w:t xml:space="preserve"> </w:t>
      </w:r>
      <w:r w:rsidR="00022BD3">
        <w:fldChar w:fldCharType="begin"/>
      </w:r>
      <w:r w:rsidR="00022BD3">
        <w:instrText xml:space="preserve"> REF _Ref219388968 \r \h </w:instrText>
      </w:r>
      <w:r w:rsidR="00022BD3">
        <w:fldChar w:fldCharType="separate"/>
      </w:r>
      <w:r w:rsidR="00A50199">
        <w:t>6.2.1</w:t>
      </w:r>
      <w:r w:rsidR="00022BD3">
        <w:fldChar w:fldCharType="end"/>
      </w:r>
      <w:r w:rsidR="00022BD3">
        <w:t xml:space="preserve">. </w:t>
      </w:r>
    </w:p>
    <w:p w14:paraId="63206900" w14:textId="4B5FABD6" w:rsidR="00C12680" w:rsidRDefault="00C12680" w:rsidP="007A43FF">
      <w:pPr>
        <w:pStyle w:val="Caption"/>
      </w:pPr>
      <w:bookmarkStart w:id="66" w:name="_Ref219396920"/>
      <w:r>
        <w:t xml:space="preserve">Table </w:t>
      </w:r>
      <w:bookmarkEnd w:id="66"/>
      <w:r w:rsidR="00672B8F">
        <w:t>16</w:t>
      </w:r>
      <w:r>
        <w:t xml:space="preserve">: Debt recovery fee options amounts and estimated </w:t>
      </w:r>
      <w:r w:rsidR="00441C19">
        <w:t xml:space="preserve">number of </w:t>
      </w:r>
      <w:r w:rsidR="000C3C17">
        <w:t xml:space="preserve">fee payers </w:t>
      </w:r>
    </w:p>
    <w:tbl>
      <w:tblPr>
        <w:tblStyle w:val="DJRReporttablestyleNavy"/>
        <w:tblW w:w="10391"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20"/>
        <w:gridCol w:w="3794"/>
        <w:gridCol w:w="3477"/>
      </w:tblGrid>
      <w:tr w:rsidR="003C23BE" w14:paraId="7EE592E8" w14:textId="77777777" w:rsidTr="001F576E">
        <w:trPr>
          <w:cnfStyle w:val="100000000000" w:firstRow="1" w:lastRow="0" w:firstColumn="0" w:lastColumn="0" w:oddVBand="0" w:evenVBand="0" w:oddHBand="0" w:evenHBand="0" w:firstRowFirstColumn="0" w:firstRowLastColumn="0" w:lastRowFirstColumn="0" w:lastRowLastColumn="0"/>
          <w:trHeight w:val="425"/>
          <w:tblHeader/>
        </w:trPr>
        <w:tc>
          <w:tcPr>
            <w:tcW w:w="3120" w:type="dxa"/>
            <w:tcBorders>
              <w:bottom w:val="nil"/>
            </w:tcBorders>
            <w:shd w:val="clear" w:color="auto" w:fill="16145F" w:themeFill="text2"/>
          </w:tcPr>
          <w:p w14:paraId="0EAD275E" w14:textId="77777777" w:rsidR="00B10774" w:rsidRDefault="00B10774" w:rsidP="00B10774">
            <w:pPr>
              <w:pStyle w:val="Body"/>
              <w:jc w:val="center"/>
            </w:pPr>
            <w:r>
              <w:t>Option</w:t>
            </w:r>
          </w:p>
        </w:tc>
        <w:tc>
          <w:tcPr>
            <w:tcW w:w="3794" w:type="dxa"/>
            <w:tcBorders>
              <w:bottom w:val="nil"/>
            </w:tcBorders>
            <w:shd w:val="clear" w:color="auto" w:fill="16145F" w:themeFill="accent3"/>
          </w:tcPr>
          <w:p w14:paraId="23CBEEC8" w14:textId="717AC86C" w:rsidR="00B10774" w:rsidRPr="000F65FE" w:rsidRDefault="00B10774" w:rsidP="00B10774">
            <w:pPr>
              <w:pStyle w:val="Body"/>
              <w:jc w:val="center"/>
            </w:pPr>
            <w:r w:rsidRPr="005C081A">
              <w:rPr>
                <w:color w:val="FFFFFF" w:themeColor="background1"/>
              </w:rPr>
              <w:t>Debt recovery fee</w:t>
            </w:r>
          </w:p>
        </w:tc>
        <w:tc>
          <w:tcPr>
            <w:tcW w:w="3477" w:type="dxa"/>
            <w:tcBorders>
              <w:bottom w:val="nil"/>
            </w:tcBorders>
            <w:shd w:val="clear" w:color="auto" w:fill="16145F" w:themeFill="accent3"/>
          </w:tcPr>
          <w:p w14:paraId="0E7D7B08" w14:textId="0E95EE7E" w:rsidR="00B10774" w:rsidRDefault="00B10774" w:rsidP="00B10774">
            <w:pPr>
              <w:pStyle w:val="Body"/>
              <w:jc w:val="center"/>
            </w:pPr>
            <w:r>
              <w:t>Estimated number of fee payers (year 1)</w:t>
            </w:r>
          </w:p>
        </w:tc>
      </w:tr>
      <w:tr w:rsidR="00272729" w:rsidRPr="00702400" w14:paraId="0A54E91A" w14:textId="77777777" w:rsidTr="001F576E">
        <w:trPr>
          <w:trHeight w:val="425"/>
        </w:trPr>
        <w:tc>
          <w:tcPr>
            <w:tcW w:w="3120" w:type="dxa"/>
            <w:tcBorders>
              <w:top w:val="nil"/>
              <w:bottom w:val="single" w:sz="4" w:space="0" w:color="auto"/>
            </w:tcBorders>
          </w:tcPr>
          <w:p w14:paraId="4841C68A" w14:textId="77777777" w:rsidR="00874585" w:rsidRPr="00D4229D" w:rsidRDefault="00874585">
            <w:pPr>
              <w:pStyle w:val="Body"/>
              <w:jc w:val="center"/>
              <w:rPr>
                <w:iCs/>
              </w:rPr>
            </w:pPr>
            <w:r w:rsidRPr="00D4229D">
              <w:rPr>
                <w:iCs/>
              </w:rPr>
              <w:t>Base case</w:t>
            </w:r>
          </w:p>
        </w:tc>
        <w:tc>
          <w:tcPr>
            <w:tcW w:w="3794" w:type="dxa"/>
            <w:tcBorders>
              <w:top w:val="nil"/>
              <w:bottom w:val="single" w:sz="4" w:space="0" w:color="auto"/>
            </w:tcBorders>
          </w:tcPr>
          <w:p w14:paraId="1E6A8A81" w14:textId="77777777" w:rsidR="00874585" w:rsidRPr="00D4229D" w:rsidRDefault="00874585">
            <w:pPr>
              <w:pStyle w:val="Body"/>
              <w:jc w:val="center"/>
              <w:rPr>
                <w:iCs/>
              </w:rPr>
            </w:pPr>
            <w:r w:rsidRPr="00D4229D">
              <w:rPr>
                <w:iCs/>
              </w:rPr>
              <w:t>$0</w:t>
            </w:r>
          </w:p>
        </w:tc>
        <w:tc>
          <w:tcPr>
            <w:tcW w:w="3477" w:type="dxa"/>
            <w:tcBorders>
              <w:top w:val="nil"/>
              <w:bottom w:val="single" w:sz="4" w:space="0" w:color="auto"/>
            </w:tcBorders>
          </w:tcPr>
          <w:p w14:paraId="39A8586C" w14:textId="1C2E253A" w:rsidR="00874585" w:rsidRPr="00D4229D" w:rsidRDefault="00874585">
            <w:pPr>
              <w:pStyle w:val="Body"/>
              <w:jc w:val="center"/>
              <w:rPr>
                <w:iCs/>
              </w:rPr>
            </w:pPr>
            <w:r>
              <w:rPr>
                <w:iCs/>
              </w:rPr>
              <w:t>0</w:t>
            </w:r>
          </w:p>
        </w:tc>
      </w:tr>
      <w:tr w:rsidR="00C356AC" w14:paraId="5734AF6C" w14:textId="77777777" w:rsidTr="001F576E">
        <w:trPr>
          <w:trHeight w:val="425"/>
        </w:trPr>
        <w:tc>
          <w:tcPr>
            <w:tcW w:w="3120" w:type="dxa"/>
            <w:tcBorders>
              <w:top w:val="single" w:sz="4" w:space="0" w:color="auto"/>
            </w:tcBorders>
          </w:tcPr>
          <w:p w14:paraId="767F30F5" w14:textId="77777777" w:rsidR="00874585" w:rsidRDefault="00874585">
            <w:pPr>
              <w:pStyle w:val="Body"/>
              <w:jc w:val="center"/>
            </w:pPr>
            <w:r>
              <w:t>Option 1</w:t>
            </w:r>
          </w:p>
        </w:tc>
        <w:tc>
          <w:tcPr>
            <w:tcW w:w="3794" w:type="dxa"/>
            <w:tcBorders>
              <w:top w:val="single" w:sz="4" w:space="0" w:color="auto"/>
            </w:tcBorders>
          </w:tcPr>
          <w:p w14:paraId="08860EC9" w14:textId="436B78D6" w:rsidR="00874585" w:rsidRPr="005F620A" w:rsidRDefault="00874585">
            <w:pPr>
              <w:pStyle w:val="Body"/>
              <w:jc w:val="center"/>
            </w:pPr>
            <w:r>
              <w:t>$12.</w:t>
            </w:r>
            <w:r w:rsidR="00696B9E">
              <w:t>80</w:t>
            </w:r>
          </w:p>
        </w:tc>
        <w:tc>
          <w:tcPr>
            <w:tcW w:w="3477" w:type="dxa"/>
            <w:tcBorders>
              <w:top w:val="single" w:sz="4" w:space="0" w:color="auto"/>
            </w:tcBorders>
          </w:tcPr>
          <w:p w14:paraId="6DFE7E00" w14:textId="7225D511" w:rsidR="00874585" w:rsidRPr="005F620A" w:rsidRDefault="00874585">
            <w:pPr>
              <w:pStyle w:val="Body"/>
              <w:jc w:val="center"/>
            </w:pPr>
            <w:r>
              <w:t>~3,600</w:t>
            </w:r>
          </w:p>
        </w:tc>
      </w:tr>
      <w:tr w:rsidR="00874585" w14:paraId="534F06F5" w14:textId="77777777" w:rsidTr="001F576E">
        <w:trPr>
          <w:trHeight w:val="425"/>
        </w:trPr>
        <w:tc>
          <w:tcPr>
            <w:tcW w:w="3120" w:type="dxa"/>
          </w:tcPr>
          <w:p w14:paraId="1B3AB1F4" w14:textId="77777777" w:rsidR="00874585" w:rsidRDefault="00874585" w:rsidP="00C12680">
            <w:pPr>
              <w:pStyle w:val="Body"/>
              <w:jc w:val="center"/>
            </w:pPr>
            <w:r>
              <w:lastRenderedPageBreak/>
              <w:t>Option 2</w:t>
            </w:r>
          </w:p>
        </w:tc>
        <w:tc>
          <w:tcPr>
            <w:tcW w:w="3794" w:type="dxa"/>
          </w:tcPr>
          <w:p w14:paraId="35C9B0D0" w14:textId="0D07714D" w:rsidR="00874585" w:rsidRPr="005F620A" w:rsidRDefault="00874585" w:rsidP="00C12680">
            <w:pPr>
              <w:pStyle w:val="Body"/>
              <w:jc w:val="center"/>
            </w:pPr>
            <w:r>
              <w:t>0.9</w:t>
            </w:r>
            <w:r w:rsidR="008F08DF">
              <w:t>6</w:t>
            </w:r>
            <w:r>
              <w:t>%</w:t>
            </w:r>
          </w:p>
        </w:tc>
        <w:tc>
          <w:tcPr>
            <w:tcW w:w="3477" w:type="dxa"/>
          </w:tcPr>
          <w:p w14:paraId="72F59B2D" w14:textId="19BF6989" w:rsidR="00874585" w:rsidRPr="005F620A" w:rsidRDefault="00874585" w:rsidP="00C12680">
            <w:pPr>
              <w:pStyle w:val="Body"/>
              <w:jc w:val="center"/>
            </w:pPr>
            <w:r w:rsidRPr="0056561B">
              <w:t>~3,600</w:t>
            </w:r>
          </w:p>
        </w:tc>
      </w:tr>
      <w:tr w:rsidR="00874585" w14:paraId="31CEE425" w14:textId="77777777" w:rsidTr="001F576E">
        <w:trPr>
          <w:trHeight w:val="412"/>
        </w:trPr>
        <w:tc>
          <w:tcPr>
            <w:tcW w:w="3120" w:type="dxa"/>
          </w:tcPr>
          <w:p w14:paraId="19CAB75A" w14:textId="77777777" w:rsidR="00874585" w:rsidRDefault="00874585" w:rsidP="00C12680">
            <w:pPr>
              <w:pStyle w:val="Body"/>
              <w:jc w:val="center"/>
            </w:pPr>
            <w:r>
              <w:t>Option 3</w:t>
            </w:r>
          </w:p>
        </w:tc>
        <w:tc>
          <w:tcPr>
            <w:tcW w:w="3794" w:type="dxa"/>
          </w:tcPr>
          <w:p w14:paraId="10E8C314" w14:textId="71925C5B" w:rsidR="00874585" w:rsidRDefault="00874585" w:rsidP="00C12680">
            <w:pPr>
              <w:pStyle w:val="Body"/>
              <w:jc w:val="center"/>
            </w:pPr>
            <w:r>
              <w:t>$13.</w:t>
            </w:r>
            <w:r w:rsidR="00A135C1">
              <w:t>46</w:t>
            </w:r>
          </w:p>
        </w:tc>
        <w:tc>
          <w:tcPr>
            <w:tcW w:w="3477" w:type="dxa"/>
          </w:tcPr>
          <w:p w14:paraId="5E74618A" w14:textId="505539CB" w:rsidR="00874585" w:rsidRPr="005F620A" w:rsidRDefault="00874585" w:rsidP="00C12680">
            <w:pPr>
              <w:pStyle w:val="Body"/>
              <w:jc w:val="center"/>
            </w:pPr>
            <w:r w:rsidRPr="0056561B">
              <w:t>~3,</w:t>
            </w:r>
            <w:r>
              <w:t>4</w:t>
            </w:r>
            <w:r w:rsidRPr="0056561B">
              <w:t>00</w:t>
            </w:r>
          </w:p>
        </w:tc>
      </w:tr>
      <w:tr w:rsidR="00874585" w14:paraId="35AE6D32" w14:textId="77777777" w:rsidTr="001F576E">
        <w:trPr>
          <w:trHeight w:val="412"/>
        </w:trPr>
        <w:tc>
          <w:tcPr>
            <w:tcW w:w="3120" w:type="dxa"/>
          </w:tcPr>
          <w:p w14:paraId="2A88CA2D" w14:textId="238B0402" w:rsidR="00874585" w:rsidRDefault="00874585" w:rsidP="00C12680">
            <w:pPr>
              <w:pStyle w:val="Body"/>
              <w:jc w:val="center"/>
            </w:pPr>
            <w:r>
              <w:t>Option 4</w:t>
            </w:r>
          </w:p>
        </w:tc>
        <w:tc>
          <w:tcPr>
            <w:tcW w:w="3794" w:type="dxa"/>
          </w:tcPr>
          <w:p w14:paraId="5CC0E1FC" w14:textId="16EDF08B" w:rsidR="00874585" w:rsidRDefault="00874585" w:rsidP="00C12680">
            <w:pPr>
              <w:pStyle w:val="Body"/>
              <w:jc w:val="center"/>
            </w:pPr>
            <w:r>
              <w:t>1.0</w:t>
            </w:r>
            <w:r w:rsidR="008F08DF">
              <w:t>3</w:t>
            </w:r>
            <w:r>
              <w:t>%</w:t>
            </w:r>
          </w:p>
        </w:tc>
        <w:tc>
          <w:tcPr>
            <w:tcW w:w="3477" w:type="dxa"/>
          </w:tcPr>
          <w:p w14:paraId="1906D1E1" w14:textId="5C280F8D" w:rsidR="00874585" w:rsidRPr="005F620A" w:rsidRDefault="00874585" w:rsidP="00C12680">
            <w:pPr>
              <w:pStyle w:val="Body"/>
              <w:jc w:val="center"/>
            </w:pPr>
            <w:r w:rsidRPr="0056561B">
              <w:t>~3,</w:t>
            </w:r>
            <w:r>
              <w:t>4</w:t>
            </w:r>
            <w:r w:rsidRPr="0056561B">
              <w:t>00</w:t>
            </w:r>
          </w:p>
        </w:tc>
      </w:tr>
    </w:tbl>
    <w:p w14:paraId="7137716B" w14:textId="7B6E4261" w:rsidR="00CA3C50" w:rsidRDefault="00CA3C50" w:rsidP="00CA3C50">
      <w:pPr>
        <w:pStyle w:val="Heading3"/>
      </w:pPr>
      <w:r>
        <w:t xml:space="preserve">Scoring </w:t>
      </w:r>
      <w:r w:rsidR="00F0412E">
        <w:t xml:space="preserve">of </w:t>
      </w:r>
      <w:r w:rsidR="000C79B4">
        <w:t xml:space="preserve">debt recovery </w:t>
      </w:r>
      <w:r w:rsidR="00F0412E">
        <w:t xml:space="preserve">fee options </w:t>
      </w:r>
      <w:r>
        <w:t>against MCA criteria</w:t>
      </w:r>
    </w:p>
    <w:p w14:paraId="7707104D" w14:textId="19A36DA9" w:rsidR="00CA3C50" w:rsidRPr="00595BEE" w:rsidRDefault="00CA3C50" w:rsidP="00CA3C50">
      <w:pPr>
        <w:pStyle w:val="Heading4"/>
        <w:ind w:left="0"/>
      </w:pPr>
      <w:r>
        <w:t>Effectiveness</w:t>
      </w:r>
      <w:r w:rsidR="00595BEE">
        <w:t xml:space="preserve">: </w:t>
      </w:r>
      <w:r w:rsidR="00595BEE" w:rsidRPr="00595BEE">
        <w:rPr>
          <w:rFonts w:cs="Arial"/>
          <w:b w:val="0"/>
          <w:bCs w:val="0"/>
          <w:i/>
          <w:iCs/>
          <w:color w:val="000000" w:themeColor="text1"/>
          <w:kern w:val="24"/>
        </w:rPr>
        <w:t>The fee should encourage participation in the PRBS</w:t>
      </w:r>
    </w:p>
    <w:p w14:paraId="2DB4DA66" w14:textId="7D035787" w:rsidR="002272A1" w:rsidRDefault="002611A6" w:rsidP="002272A1">
      <w:pPr>
        <w:pStyle w:val="DJCSbody"/>
        <w:ind w:left="0"/>
      </w:pPr>
      <w:r>
        <w:t xml:space="preserve">Prescribing a </w:t>
      </w:r>
      <w:r w:rsidR="007D0E64">
        <w:t>debt recovery fee</w:t>
      </w:r>
      <w:r w:rsidR="004614DD">
        <w:t xml:space="preserve"> </w:t>
      </w:r>
      <w:r w:rsidR="006F05DD">
        <w:t>may deter a small number of renters from participating</w:t>
      </w:r>
      <w:r w:rsidR="00421CF5">
        <w:t xml:space="preserve"> in the PRBS</w:t>
      </w:r>
      <w:r w:rsidR="001E4941">
        <w:t xml:space="preserve">. However, as the </w:t>
      </w:r>
      <w:r w:rsidR="007469D6">
        <w:t>amounts</w:t>
      </w:r>
      <w:r w:rsidR="00630919">
        <w:t xml:space="preserve"> </w:t>
      </w:r>
      <w:r w:rsidR="00F41334">
        <w:t xml:space="preserve">and </w:t>
      </w:r>
      <w:r w:rsidR="00630919">
        <w:t>percentages</w:t>
      </w:r>
      <w:r w:rsidR="001E4941">
        <w:t xml:space="preserve"> </w:t>
      </w:r>
      <w:r w:rsidR="00AA70C4">
        <w:t xml:space="preserve">outlined in </w:t>
      </w:r>
      <w:r w:rsidR="00AA70C4">
        <w:fldChar w:fldCharType="begin"/>
      </w:r>
      <w:r w:rsidR="00AA70C4">
        <w:instrText xml:space="preserve"> REF _Ref219396920 \h </w:instrText>
      </w:r>
      <w:r w:rsidR="00AA70C4">
        <w:fldChar w:fldCharType="separate"/>
      </w:r>
      <w:r w:rsidR="00A50199">
        <w:t xml:space="preserve">Table </w:t>
      </w:r>
      <w:r w:rsidR="00AA70C4">
        <w:fldChar w:fldCharType="end"/>
      </w:r>
      <w:r w:rsidR="00F41334">
        <w:t xml:space="preserve"> </w:t>
      </w:r>
      <w:r w:rsidR="001E4941">
        <w:t>are relatively low</w:t>
      </w:r>
      <w:r w:rsidR="00630919">
        <w:t xml:space="preserve"> across all four options</w:t>
      </w:r>
      <w:r w:rsidR="001E4941">
        <w:t>,</w:t>
      </w:r>
      <w:r w:rsidR="00421CF5">
        <w:t xml:space="preserve"> </w:t>
      </w:r>
      <w:r w:rsidR="00630919">
        <w:t>the fee</w:t>
      </w:r>
      <w:r w:rsidR="00421CF5">
        <w:t xml:space="preserve"> </w:t>
      </w:r>
      <w:r>
        <w:t xml:space="preserve">is </w:t>
      </w:r>
      <w:r w:rsidR="007D0E64">
        <w:t xml:space="preserve">unlikely to have a material impact on </w:t>
      </w:r>
      <w:r w:rsidR="00596248">
        <w:t xml:space="preserve">the overall participation rate of the </w:t>
      </w:r>
      <w:r w:rsidR="002D6F1E">
        <w:t>PRBS</w:t>
      </w:r>
      <w:r w:rsidR="007C23B8">
        <w:t xml:space="preserve">, </w:t>
      </w:r>
      <w:r w:rsidR="00596248">
        <w:t>relative to the base case</w:t>
      </w:r>
      <w:r w:rsidR="0016262B">
        <w:t xml:space="preserve">. </w:t>
      </w:r>
      <w:r w:rsidR="00421CF5">
        <w:t>T</w:t>
      </w:r>
      <w:r w:rsidR="00CB17AB">
        <w:t xml:space="preserve">he timing of when the fee is applied (at the start or end of stage 1B) is also unlikely to </w:t>
      </w:r>
      <w:r w:rsidR="00323C77">
        <w:t xml:space="preserve">influence a renter’s </w:t>
      </w:r>
      <w:r w:rsidR="00421CF5">
        <w:t xml:space="preserve">decision to participate. </w:t>
      </w:r>
      <w:r w:rsidR="00CA3C50">
        <w:t xml:space="preserve"> </w:t>
      </w:r>
    </w:p>
    <w:p w14:paraId="650952AE" w14:textId="332A5784" w:rsidR="00CA3C50" w:rsidRPr="000B7E1F" w:rsidRDefault="00970962" w:rsidP="00CA3C50">
      <w:pPr>
        <w:pStyle w:val="DJCSbody"/>
        <w:ind w:left="0"/>
      </w:pPr>
      <w:r>
        <w:t>T</w:t>
      </w:r>
      <w:r w:rsidR="0064298A">
        <w:t xml:space="preserve">he </w:t>
      </w:r>
      <w:r w:rsidR="00D46DA8">
        <w:t xml:space="preserve">4 </w:t>
      </w:r>
      <w:r w:rsidR="0064298A">
        <w:t>options</w:t>
      </w:r>
      <w:r w:rsidR="00A868F7">
        <w:t xml:space="preserve"> are only marginally less effective than the base case scenario</w:t>
      </w:r>
      <w:r w:rsidR="005162F9">
        <w:t xml:space="preserve"> </w:t>
      </w:r>
      <w:r w:rsidR="00A868F7">
        <w:t>where no debt recovery fees are prescribed for the PRBS</w:t>
      </w:r>
      <w:r w:rsidR="00534BAC">
        <w:t xml:space="preserve">. They </w:t>
      </w:r>
      <w:r w:rsidR="00CA3C50">
        <w:t xml:space="preserve">equally </w:t>
      </w:r>
      <w:r w:rsidR="00F62635">
        <w:t xml:space="preserve">score </w:t>
      </w:r>
      <w:r w:rsidR="00F62635" w:rsidRPr="79E303FA">
        <w:rPr>
          <w:b/>
          <w:bCs/>
        </w:rPr>
        <w:t>-</w:t>
      </w:r>
      <w:r w:rsidR="00FF54C3" w:rsidRPr="79E303FA">
        <w:rPr>
          <w:b/>
          <w:bCs/>
        </w:rPr>
        <w:t xml:space="preserve">1 </w:t>
      </w:r>
      <w:r w:rsidR="00CA3C50">
        <w:t>for effectiveness in the MC</w:t>
      </w:r>
      <w:r w:rsidR="005162F9">
        <w:t xml:space="preserve">A </w:t>
      </w:r>
      <w:r w:rsidR="00534BAC">
        <w:t xml:space="preserve">as </w:t>
      </w:r>
      <w:r w:rsidR="005162F9">
        <w:t>a</w:t>
      </w:r>
      <w:r w:rsidR="00890E21">
        <w:t xml:space="preserve">ny small impact on participation as a result of prescribing </w:t>
      </w:r>
      <w:r w:rsidR="00947636">
        <w:t>a</w:t>
      </w:r>
      <w:r w:rsidR="00890E21">
        <w:t xml:space="preserve"> debt recovery fee is likely to be similar across all four options</w:t>
      </w:r>
      <w:r w:rsidR="00CA3C50">
        <w:t>.</w:t>
      </w:r>
    </w:p>
    <w:p w14:paraId="3B823164" w14:textId="540A57AB" w:rsidR="00BE2760" w:rsidRDefault="007C055A" w:rsidP="00BE2760">
      <w:pPr>
        <w:pStyle w:val="Heading4"/>
        <w:ind w:left="0"/>
      </w:pPr>
      <w:r w:rsidRPr="00A406B3">
        <w:t>Efficiency</w:t>
      </w:r>
      <w:r w:rsidR="00970962">
        <w:t xml:space="preserve">: </w:t>
      </w:r>
      <w:r w:rsidR="00970962" w:rsidRPr="00970962">
        <w:rPr>
          <w:rFonts w:cs="Arial"/>
          <w:b w:val="0"/>
          <w:bCs w:val="0"/>
          <w:i/>
          <w:iCs/>
          <w:color w:val="000000" w:themeColor="text1"/>
          <w:kern w:val="24"/>
        </w:rPr>
        <w:t xml:space="preserve">The fee should enable recovery of PRBS operating costs for the </w:t>
      </w:r>
      <w:r w:rsidR="00953D7A">
        <w:rPr>
          <w:rFonts w:cs="Arial"/>
          <w:b w:val="0"/>
          <w:bCs w:val="0"/>
          <w:i/>
          <w:iCs/>
          <w:color w:val="000000" w:themeColor="text1"/>
          <w:kern w:val="24"/>
        </w:rPr>
        <w:t>Government</w:t>
      </w:r>
    </w:p>
    <w:p w14:paraId="5948472E" w14:textId="27C48295" w:rsidR="00761FF3" w:rsidRPr="00761FF3" w:rsidRDefault="00A02BDD" w:rsidP="00761FF3">
      <w:pPr>
        <w:pStyle w:val="DJCSbody"/>
        <w:ind w:left="0"/>
      </w:pPr>
      <w:r>
        <w:t>A</w:t>
      </w:r>
      <w:r w:rsidR="00761FF3">
        <w:t xml:space="preserve">ll </w:t>
      </w:r>
      <w:r w:rsidR="00D46DA8">
        <w:t xml:space="preserve">3 </w:t>
      </w:r>
      <w:r w:rsidR="00761FF3">
        <w:t xml:space="preserve">options seek to recover </w:t>
      </w:r>
      <w:r>
        <w:t xml:space="preserve">internal debt recovery costs </w:t>
      </w:r>
      <w:r w:rsidR="00761FF3">
        <w:t xml:space="preserve">through fees charged to renters who have overdue debts (with </w:t>
      </w:r>
      <w:r w:rsidR="00532367">
        <w:t>O</w:t>
      </w:r>
      <w:r w:rsidR="00761FF3">
        <w:t>ption</w:t>
      </w:r>
      <w:r w:rsidR="00532367">
        <w:t>s</w:t>
      </w:r>
      <w:r w:rsidR="00761FF3">
        <w:t xml:space="preserve"> </w:t>
      </w:r>
      <w:r w:rsidR="00455114">
        <w:t>3</w:t>
      </w:r>
      <w:r w:rsidR="00761FF3">
        <w:t xml:space="preserve"> and </w:t>
      </w:r>
      <w:r w:rsidR="00455114">
        <w:t>4</w:t>
      </w:r>
      <w:r w:rsidR="00761FF3">
        <w:t xml:space="preserve"> recovering from renters </w:t>
      </w:r>
      <w:r w:rsidR="00D54133">
        <w:t>with</w:t>
      </w:r>
      <w:r w:rsidR="00455114">
        <w:t xml:space="preserve"> overdue</w:t>
      </w:r>
      <w:r w:rsidR="00D54133">
        <w:t xml:space="preserve"> debts </w:t>
      </w:r>
      <w:r w:rsidR="006C6AA3">
        <w:t>at the end of stage 1B</w:t>
      </w:r>
      <w:r w:rsidR="00761FF3">
        <w:t xml:space="preserve">). </w:t>
      </w:r>
      <w:r w:rsidR="00A97266">
        <w:t xml:space="preserve">As noted </w:t>
      </w:r>
      <w:r w:rsidR="006847BA">
        <w:t xml:space="preserve">above, it is inevitable that </w:t>
      </w:r>
      <w:r w:rsidR="00761FF3">
        <w:t xml:space="preserve">a proportion of those with overdue </w:t>
      </w:r>
      <w:r w:rsidR="006847BA">
        <w:t xml:space="preserve">debts </w:t>
      </w:r>
      <w:r w:rsidR="00761FF3">
        <w:t xml:space="preserve">may never pay their debt or the debt recovery fee. However, the </w:t>
      </w:r>
      <w:r w:rsidR="0044652E">
        <w:t xml:space="preserve">calculation of the fee amount or percentage </w:t>
      </w:r>
      <w:r w:rsidR="00B65811">
        <w:t xml:space="preserve">in each option </w:t>
      </w:r>
      <w:r w:rsidR="0044652E">
        <w:t>takes this into account</w:t>
      </w:r>
      <w:r w:rsidR="007F1C9B">
        <w:t xml:space="preserve">. Given the uncertainty associated with the overall debt recovery process and assumptions for non-payment, there is </w:t>
      </w:r>
      <w:r w:rsidR="00793791">
        <w:t xml:space="preserve">some </w:t>
      </w:r>
      <w:r w:rsidR="00761FF3">
        <w:t xml:space="preserve">risk </w:t>
      </w:r>
      <w:r w:rsidR="007F1C9B">
        <w:t xml:space="preserve">in each option </w:t>
      </w:r>
      <w:r w:rsidR="009668B3">
        <w:t xml:space="preserve">that </w:t>
      </w:r>
      <w:r w:rsidR="007F1C9B">
        <w:t xml:space="preserve">the fee does </w:t>
      </w:r>
      <w:r w:rsidR="00761FF3">
        <w:t>not full</w:t>
      </w:r>
      <w:r w:rsidR="004F71C1">
        <w:t>y</w:t>
      </w:r>
      <w:r w:rsidR="00761FF3">
        <w:t xml:space="preserve"> recove</w:t>
      </w:r>
      <w:r w:rsidR="007F1C9B">
        <w:t xml:space="preserve">r </w:t>
      </w:r>
      <w:r w:rsidR="001A7E64">
        <w:t>Government’s</w:t>
      </w:r>
      <w:r w:rsidR="00761FF3">
        <w:t xml:space="preserve"> costs</w:t>
      </w:r>
      <w:r w:rsidR="00976E64">
        <w:t xml:space="preserve">. </w:t>
      </w:r>
      <w:r w:rsidR="00410755">
        <w:t>However, the</w:t>
      </w:r>
      <w:r w:rsidR="007F1C9B">
        <w:t xml:space="preserve"> costs of internal debt recovery are also very small, relative to the general operating costs of the scheme.</w:t>
      </w:r>
      <w:r w:rsidR="00AF04E6">
        <w:t xml:space="preserve"> </w:t>
      </w:r>
      <w:r w:rsidR="004874E7">
        <w:t xml:space="preserve">  </w:t>
      </w:r>
    </w:p>
    <w:p w14:paraId="26818D7C" w14:textId="49D2034E" w:rsidR="00B62090" w:rsidRPr="00B62090" w:rsidRDefault="008B40BB" w:rsidP="008B40BB">
      <w:pPr>
        <w:pStyle w:val="DJCSbody"/>
        <w:ind w:left="0"/>
      </w:pPr>
      <w:r>
        <w:t xml:space="preserve">As a result, the </w:t>
      </w:r>
      <w:r w:rsidR="00EF5CC9">
        <w:t xml:space="preserve">options </w:t>
      </w:r>
      <w:r>
        <w:t xml:space="preserve">cannot score 10 for this criterion, and instead </w:t>
      </w:r>
      <w:r w:rsidR="00EF5CC9">
        <w:t>equally</w:t>
      </w:r>
      <w:r>
        <w:t xml:space="preserve"> score </w:t>
      </w:r>
      <w:r w:rsidRPr="008B40BB">
        <w:rPr>
          <w:b/>
          <w:bCs/>
        </w:rPr>
        <w:t>9</w:t>
      </w:r>
      <w:r>
        <w:t xml:space="preserve"> for</w:t>
      </w:r>
      <w:r w:rsidR="00EF5CC9">
        <w:t xml:space="preserve"> efficiency</w:t>
      </w:r>
      <w:r w:rsidR="007F1C9B">
        <w:t xml:space="preserve">, noting </w:t>
      </w:r>
      <w:r w:rsidR="002449C2">
        <w:t>the revenue generated under each option remains the same</w:t>
      </w:r>
      <w:r w:rsidR="00EF5CC9">
        <w:t>.</w:t>
      </w:r>
    </w:p>
    <w:p w14:paraId="0C8BAA7E" w14:textId="0D2B6647" w:rsidR="00961535" w:rsidRPr="00491872" w:rsidRDefault="00961535" w:rsidP="00961535">
      <w:pPr>
        <w:pStyle w:val="Heading4"/>
        <w:ind w:left="0"/>
      </w:pPr>
      <w:r w:rsidRPr="00491872">
        <w:t xml:space="preserve">User pays for </w:t>
      </w:r>
      <w:r w:rsidR="00680208">
        <w:t>costs</w:t>
      </w:r>
      <w:r>
        <w:t xml:space="preserve">: </w:t>
      </w:r>
      <w:r w:rsidRPr="00EB4446">
        <w:rPr>
          <w:rFonts w:cs="Arial"/>
          <w:b w:val="0"/>
          <w:bCs w:val="0"/>
          <w:i/>
          <w:iCs/>
          <w:color w:val="000000" w:themeColor="text1"/>
          <w:kern w:val="24"/>
        </w:rPr>
        <w:t>The fee</w:t>
      </w:r>
      <w:r>
        <w:rPr>
          <w:rFonts w:cs="Arial"/>
          <w:b w:val="0"/>
          <w:bCs w:val="0"/>
          <w:i/>
          <w:iCs/>
          <w:color w:val="000000" w:themeColor="text1"/>
          <w:kern w:val="24"/>
        </w:rPr>
        <w:t xml:space="preserve"> </w:t>
      </w:r>
      <w:r w:rsidRPr="00EB4446">
        <w:rPr>
          <w:rFonts w:cs="Arial"/>
          <w:b w:val="0"/>
          <w:bCs w:val="0"/>
          <w:i/>
          <w:iCs/>
          <w:color w:val="000000" w:themeColor="text1"/>
          <w:kern w:val="24"/>
        </w:rPr>
        <w:t>should fairly reflect individuals’ participation in the PRBS</w:t>
      </w:r>
    </w:p>
    <w:p w14:paraId="31833A18" w14:textId="2668B1D9" w:rsidR="00130254" w:rsidRDefault="00B86522" w:rsidP="00C3788E">
      <w:pPr>
        <w:pStyle w:val="DJCSbody"/>
        <w:ind w:left="0"/>
      </w:pPr>
      <w:r>
        <w:t xml:space="preserve">Across all options, </w:t>
      </w:r>
      <w:r w:rsidR="00507DF5">
        <w:t xml:space="preserve">prescribing </w:t>
      </w:r>
      <w:r w:rsidR="00C67BD0">
        <w:t xml:space="preserve">a debt recovery fee </w:t>
      </w:r>
      <w:r w:rsidR="00E93452">
        <w:t xml:space="preserve">supports </w:t>
      </w:r>
      <w:r w:rsidR="00DD5DD7">
        <w:t xml:space="preserve">the </w:t>
      </w:r>
      <w:r w:rsidR="00047F00">
        <w:t>objective</w:t>
      </w:r>
      <w:r w:rsidR="00DD5DD7">
        <w:t xml:space="preserve"> of </w:t>
      </w:r>
      <w:r w:rsidR="008A4D50">
        <w:t>‘</w:t>
      </w:r>
      <w:r w:rsidR="00DD5DD7">
        <w:t xml:space="preserve">user pays for </w:t>
      </w:r>
      <w:r w:rsidR="00E86EA9">
        <w:t xml:space="preserve">costs’ more than the base case </w:t>
      </w:r>
      <w:r w:rsidR="00E55FB2">
        <w:t>w</w:t>
      </w:r>
      <w:r w:rsidR="00C055C1">
        <w:t>here no fees are charge</w:t>
      </w:r>
      <w:r w:rsidR="00245E9A">
        <w:t>d</w:t>
      </w:r>
      <w:r w:rsidR="00FD128A">
        <w:t xml:space="preserve"> and these costs</w:t>
      </w:r>
      <w:r w:rsidR="00E55FB2">
        <w:t xml:space="preserve"> </w:t>
      </w:r>
      <w:r w:rsidR="00FD128A">
        <w:t xml:space="preserve">are </w:t>
      </w:r>
      <w:r w:rsidR="00E55FB2">
        <w:t xml:space="preserve">funded through general tax revenue. </w:t>
      </w:r>
      <w:r w:rsidR="008A4D50">
        <w:t xml:space="preserve">For this reason, all </w:t>
      </w:r>
      <w:r w:rsidR="00450477">
        <w:t xml:space="preserve">debt recovery </w:t>
      </w:r>
      <w:r w:rsidR="00D45AA5">
        <w:t xml:space="preserve">fee </w:t>
      </w:r>
      <w:r w:rsidR="008A4D50">
        <w:t>options score more positively than the base case for this criterion</w:t>
      </w:r>
      <w:r w:rsidR="004D525E">
        <w:t xml:space="preserve">. </w:t>
      </w:r>
    </w:p>
    <w:p w14:paraId="1C2CCC56" w14:textId="371981D3" w:rsidR="00A51761" w:rsidRDefault="00E52895" w:rsidP="00C3788E">
      <w:pPr>
        <w:pStyle w:val="DJCSbody"/>
        <w:ind w:left="0"/>
      </w:pPr>
      <w:r>
        <w:t>However, none of the options can score 10 for this criterion as there is some level of c</w:t>
      </w:r>
      <w:r w:rsidR="008E7137">
        <w:t>ross-subsidisation</w:t>
      </w:r>
      <w:r w:rsidR="00AB4392">
        <w:t xml:space="preserve"> </w:t>
      </w:r>
      <w:r w:rsidR="008E7137">
        <w:t xml:space="preserve">across all </w:t>
      </w:r>
      <w:r w:rsidR="00AB4392">
        <w:t xml:space="preserve">options: </w:t>
      </w:r>
    </w:p>
    <w:p w14:paraId="0DB4BF12" w14:textId="0E4F8230" w:rsidR="00A51761" w:rsidRDefault="00B360E6" w:rsidP="001F576E">
      <w:pPr>
        <w:pStyle w:val="DJCSbody"/>
        <w:numPr>
          <w:ilvl w:val="0"/>
          <w:numId w:val="121"/>
        </w:numPr>
      </w:pPr>
      <w:r>
        <w:t xml:space="preserve">As explained above, </w:t>
      </w:r>
      <w:r w:rsidR="00E52895">
        <w:t xml:space="preserve">the </w:t>
      </w:r>
      <w:r w:rsidR="005B4E50">
        <w:t xml:space="preserve">debt recovery fee </w:t>
      </w:r>
      <w:r w:rsidR="00704FE6">
        <w:t>account</w:t>
      </w:r>
      <w:r w:rsidR="00E52895">
        <w:t>s</w:t>
      </w:r>
      <w:r w:rsidR="00E01C50">
        <w:t xml:space="preserve"> </w:t>
      </w:r>
      <w:r w:rsidR="00704FE6">
        <w:t>for</w:t>
      </w:r>
      <w:r w:rsidR="00E01C50">
        <w:t xml:space="preserve"> a rate of non-payment</w:t>
      </w:r>
      <w:r w:rsidR="00C43D91">
        <w:t xml:space="preserve"> by some renters with outstanding debt</w:t>
      </w:r>
      <w:r w:rsidR="005A1DF8">
        <w:t>.</w:t>
      </w:r>
      <w:r w:rsidR="00C43D91">
        <w:t xml:space="preserve"> Those who pay their debt and the debt recovery fee (fee payers) will be recovering the full internal debt recovery costs incurred by Government.</w:t>
      </w:r>
      <w:r w:rsidR="005A1DF8">
        <w:t xml:space="preserve"> </w:t>
      </w:r>
      <w:r w:rsidR="00E01C50">
        <w:t xml:space="preserve">This means that </w:t>
      </w:r>
      <w:r w:rsidR="00591BD0">
        <w:t>in</w:t>
      </w:r>
      <w:r w:rsidR="00E01C50">
        <w:t xml:space="preserve"> all </w:t>
      </w:r>
      <w:r w:rsidR="003F7C3C">
        <w:t>4</w:t>
      </w:r>
      <w:r w:rsidR="00E01C50">
        <w:t xml:space="preserve"> options, </w:t>
      </w:r>
      <w:r w:rsidR="00C43D91">
        <w:t>those who pay their debt recovery fee</w:t>
      </w:r>
      <w:r w:rsidR="00E01C50">
        <w:t xml:space="preserve"> will </w:t>
      </w:r>
      <w:r w:rsidR="00C43D91">
        <w:t xml:space="preserve">be paying </w:t>
      </w:r>
      <w:r w:rsidR="00E01C50">
        <w:t>for those who</w:t>
      </w:r>
      <w:r>
        <w:t xml:space="preserve"> </w:t>
      </w:r>
      <w:r w:rsidR="00157C81">
        <w:t xml:space="preserve">do not pay their debt but </w:t>
      </w:r>
      <w:r w:rsidR="00C43D91">
        <w:t xml:space="preserve">who </w:t>
      </w:r>
      <w:r w:rsidR="00157C81">
        <w:t xml:space="preserve">still incur costs to </w:t>
      </w:r>
      <w:r w:rsidR="001A7E64">
        <w:t>Government</w:t>
      </w:r>
      <w:r w:rsidR="00157C81">
        <w:t>.</w:t>
      </w:r>
      <w:r>
        <w:t xml:space="preserve"> </w:t>
      </w:r>
    </w:p>
    <w:p w14:paraId="2D3516E2" w14:textId="1842FCA0" w:rsidR="00A51761" w:rsidRDefault="00A51761" w:rsidP="001F576E">
      <w:pPr>
        <w:pStyle w:val="DJCSbody"/>
        <w:numPr>
          <w:ilvl w:val="0"/>
          <w:numId w:val="120"/>
        </w:numPr>
      </w:pPr>
      <w:r>
        <w:t>Charging a single debt recovery fee (flat fee or percentage) rather than a fee per notice also introduces a small amount of cross-subsidisation amongst fee payers</w:t>
      </w:r>
      <w:r w:rsidR="00887373">
        <w:t xml:space="preserve">, whereby fee payers are charged the same regardless of whether they pay after the first or last notice. </w:t>
      </w:r>
    </w:p>
    <w:p w14:paraId="2956BEF6" w14:textId="4706DB83" w:rsidR="00B86522" w:rsidRPr="00B86522" w:rsidRDefault="004D525E" w:rsidP="00C3788E">
      <w:pPr>
        <w:pStyle w:val="DJCSbody"/>
        <w:ind w:left="0"/>
      </w:pPr>
      <w:r>
        <w:lastRenderedPageBreak/>
        <w:t>T</w:t>
      </w:r>
      <w:r w:rsidR="008A4D50">
        <w:t xml:space="preserve">he </w:t>
      </w:r>
      <w:r w:rsidR="007B6B8E">
        <w:t xml:space="preserve">timing and </w:t>
      </w:r>
      <w:r w:rsidR="00451E41">
        <w:t xml:space="preserve">structure of </w:t>
      </w:r>
      <w:r w:rsidR="008A4D50">
        <w:t xml:space="preserve">the debt recovery fee under each option </w:t>
      </w:r>
      <w:r>
        <w:t xml:space="preserve">drives the variation in </w:t>
      </w:r>
      <w:r w:rsidR="003A117B">
        <w:t>scoring</w:t>
      </w:r>
      <w:r w:rsidR="00CD7C97">
        <w:t xml:space="preserve"> for this criterion</w:t>
      </w:r>
      <w:r w:rsidR="00F040ED">
        <w:t>, as outlined below</w:t>
      </w:r>
      <w:r w:rsidR="008A4D50">
        <w:t xml:space="preserve">. </w:t>
      </w:r>
      <w:r w:rsidR="000B27CF">
        <w:t xml:space="preserve"> </w:t>
      </w:r>
    </w:p>
    <w:p w14:paraId="47FF50FD" w14:textId="7A821301" w:rsidR="00C3788E" w:rsidRDefault="00C3788E" w:rsidP="00C3788E">
      <w:pPr>
        <w:pStyle w:val="DJCSbody"/>
        <w:ind w:left="0"/>
      </w:pPr>
      <w:r w:rsidRPr="008371E2">
        <w:rPr>
          <w:b/>
          <w:bCs/>
        </w:rPr>
        <w:t xml:space="preserve">Option </w:t>
      </w:r>
      <w:r w:rsidR="00574EF9">
        <w:rPr>
          <w:b/>
          <w:bCs/>
        </w:rPr>
        <w:t>1</w:t>
      </w:r>
      <w:r w:rsidR="00767C16">
        <w:rPr>
          <w:b/>
          <w:bCs/>
        </w:rPr>
        <w:t xml:space="preserve">: </w:t>
      </w:r>
      <w:r w:rsidR="00E56AFB">
        <w:rPr>
          <w:b/>
          <w:bCs/>
        </w:rPr>
        <w:t>Flat d</w:t>
      </w:r>
      <w:r w:rsidRPr="008371E2">
        <w:rPr>
          <w:b/>
          <w:bCs/>
        </w:rPr>
        <w:t>ebt recovery fee for all overdue debts</w:t>
      </w:r>
      <w:r w:rsidR="0035275C">
        <w:rPr>
          <w:b/>
          <w:bCs/>
        </w:rPr>
        <w:t xml:space="preserve"> (</w:t>
      </w:r>
      <w:r w:rsidR="009D4847">
        <w:rPr>
          <w:b/>
          <w:bCs/>
        </w:rPr>
        <w:t>start of s</w:t>
      </w:r>
      <w:r w:rsidR="0035275C">
        <w:rPr>
          <w:b/>
          <w:bCs/>
        </w:rPr>
        <w:t>tage 1B)</w:t>
      </w:r>
      <w:r>
        <w:rPr>
          <w:b/>
          <w:bCs/>
        </w:rPr>
        <w:t xml:space="preserve"> </w:t>
      </w:r>
      <w:r>
        <w:t>–</w:t>
      </w:r>
      <w:r w:rsidR="00CD7C97">
        <w:t xml:space="preserve"> </w:t>
      </w:r>
      <w:r w:rsidR="00890AC9">
        <w:t xml:space="preserve">the debt recovery fee in </w:t>
      </w:r>
      <w:r>
        <w:t xml:space="preserve">Option </w:t>
      </w:r>
      <w:r w:rsidR="00CD072D">
        <w:t>1</w:t>
      </w:r>
      <w:r>
        <w:t xml:space="preserve"> </w:t>
      </w:r>
      <w:r w:rsidR="00CC53F1">
        <w:t>is charged to</w:t>
      </w:r>
      <w:r w:rsidR="00047F00">
        <w:t xml:space="preserve"> </w:t>
      </w:r>
      <w:r w:rsidR="00047F00" w:rsidRPr="00CD7C97">
        <w:rPr>
          <w:i/>
          <w:iCs/>
        </w:rPr>
        <w:t>all</w:t>
      </w:r>
      <w:r w:rsidR="00047F00">
        <w:t xml:space="preserve"> participants with outstanding payments after the due date</w:t>
      </w:r>
      <w:r w:rsidR="003D5BDD">
        <w:t>, estimated at</w:t>
      </w:r>
      <w:r w:rsidR="001541D7">
        <w:t xml:space="preserve"> approximately 3,600 </w:t>
      </w:r>
      <w:r w:rsidR="0046330A">
        <w:t>renters</w:t>
      </w:r>
      <w:r w:rsidR="00CC53F1">
        <w:t xml:space="preserve">. </w:t>
      </w:r>
      <w:r w:rsidR="00BE4920">
        <w:t>That is,</w:t>
      </w:r>
      <w:r w:rsidR="00F040ED">
        <w:t xml:space="preserve"> all</w:t>
      </w:r>
      <w:r w:rsidR="00BE4920">
        <w:t xml:space="preserve"> </w:t>
      </w:r>
      <w:r w:rsidR="00F040ED">
        <w:t xml:space="preserve">renters </w:t>
      </w:r>
      <w:r w:rsidR="00BE4920">
        <w:t xml:space="preserve">that </w:t>
      </w:r>
      <w:r w:rsidR="00686C97">
        <w:t xml:space="preserve">generate the need for </w:t>
      </w:r>
      <w:r w:rsidR="00953D7A">
        <w:t>Government</w:t>
      </w:r>
      <w:r w:rsidR="00686C97">
        <w:t xml:space="preserve"> to undertake debt recovery activities ultimately cover </w:t>
      </w:r>
      <w:r w:rsidR="00047F00">
        <w:t xml:space="preserve">the </w:t>
      </w:r>
      <w:r w:rsidR="001A7E64">
        <w:t xml:space="preserve">Government’s </w:t>
      </w:r>
      <w:r w:rsidR="00047F00">
        <w:t xml:space="preserve">costs of </w:t>
      </w:r>
      <w:r w:rsidR="00686C97">
        <w:t>collecting the</w:t>
      </w:r>
      <w:r w:rsidR="00F040ED">
        <w:t>ir</w:t>
      </w:r>
      <w:r w:rsidR="00686C97">
        <w:t xml:space="preserve"> </w:t>
      </w:r>
      <w:r w:rsidR="00047F00">
        <w:t xml:space="preserve">debt. </w:t>
      </w:r>
      <w:r w:rsidR="000A6EE3">
        <w:t xml:space="preserve">A flat fee </w:t>
      </w:r>
      <w:r w:rsidR="00230BBA">
        <w:t>of $12.</w:t>
      </w:r>
      <w:r w:rsidR="00696B9E">
        <w:t>80</w:t>
      </w:r>
      <w:r w:rsidR="00230BBA">
        <w:t xml:space="preserve"> </w:t>
      </w:r>
      <w:r w:rsidR="003F6317">
        <w:t xml:space="preserve">spreads this cost base evenly across all </w:t>
      </w:r>
      <w:r w:rsidR="0046330A">
        <w:t>renters</w:t>
      </w:r>
      <w:r w:rsidR="003F6317">
        <w:t xml:space="preserve">. </w:t>
      </w:r>
      <w:r w:rsidR="00047F00">
        <w:t xml:space="preserve">For this reason, </w:t>
      </w:r>
      <w:r w:rsidR="00686C97">
        <w:t xml:space="preserve">this option most </w:t>
      </w:r>
      <w:r w:rsidR="00047F00">
        <w:t xml:space="preserve">closely reflects the objective of user pays for </w:t>
      </w:r>
      <w:r w:rsidR="00FB2056">
        <w:t>cost</w:t>
      </w:r>
      <w:r w:rsidR="00047F00">
        <w:t>, compared to</w:t>
      </w:r>
      <w:r>
        <w:t xml:space="preserve"> the base case</w:t>
      </w:r>
      <w:r w:rsidR="00576724">
        <w:t xml:space="preserve"> and the other three proposed options</w:t>
      </w:r>
      <w:r>
        <w:t xml:space="preserve">.  </w:t>
      </w:r>
    </w:p>
    <w:p w14:paraId="28D2E2E3" w14:textId="6729CEC6" w:rsidR="00C3788E" w:rsidRDefault="00C3788E" w:rsidP="00C3788E">
      <w:pPr>
        <w:pStyle w:val="DJCSbody"/>
        <w:ind w:left="0"/>
      </w:pPr>
      <w:r>
        <w:t xml:space="preserve">A score of </w:t>
      </w:r>
      <w:r>
        <w:rPr>
          <w:b/>
          <w:bCs/>
        </w:rPr>
        <w:t>9</w:t>
      </w:r>
      <w:r>
        <w:t xml:space="preserve"> is assigned for this criterion.</w:t>
      </w:r>
    </w:p>
    <w:p w14:paraId="0021489E" w14:textId="7DE315E9" w:rsidR="005D5F3C" w:rsidRDefault="00CA1545" w:rsidP="00C3788E">
      <w:pPr>
        <w:pStyle w:val="DJCSbody"/>
        <w:ind w:left="0"/>
      </w:pPr>
      <w:r w:rsidRPr="00CC4A0E">
        <w:rPr>
          <w:b/>
        </w:rPr>
        <w:t xml:space="preserve">Option 2: </w:t>
      </w:r>
      <w:r w:rsidR="00E56AFB">
        <w:rPr>
          <w:b/>
          <w:bCs/>
        </w:rPr>
        <w:t>P</w:t>
      </w:r>
      <w:r w:rsidRPr="001F576E">
        <w:rPr>
          <w:b/>
          <w:bCs/>
        </w:rPr>
        <w:t>ercentage-based debt recovery fee for all overdue debts (</w:t>
      </w:r>
      <w:r w:rsidR="009D4847">
        <w:rPr>
          <w:b/>
          <w:bCs/>
        </w:rPr>
        <w:t>start of s</w:t>
      </w:r>
      <w:r w:rsidRPr="001F576E">
        <w:rPr>
          <w:b/>
          <w:bCs/>
        </w:rPr>
        <w:t xml:space="preserve">tage 1B) </w:t>
      </w:r>
      <w:r w:rsidRPr="00CA1545">
        <w:t>–</w:t>
      </w:r>
      <w:r w:rsidR="00E47912">
        <w:t xml:space="preserve"> as in Option 1,</w:t>
      </w:r>
      <w:r w:rsidRPr="00CA1545">
        <w:t xml:space="preserve"> </w:t>
      </w:r>
      <w:r w:rsidR="009F1336">
        <w:t>the debt recovery fee in Option 2 is charged</w:t>
      </w:r>
      <w:r w:rsidRPr="00CA1545">
        <w:t xml:space="preserve"> </w:t>
      </w:r>
      <w:r w:rsidR="001217C8">
        <w:t xml:space="preserve">to </w:t>
      </w:r>
      <w:r w:rsidR="001217C8" w:rsidRPr="001F576E">
        <w:rPr>
          <w:i/>
          <w:iCs/>
        </w:rPr>
        <w:t>all</w:t>
      </w:r>
      <w:r w:rsidR="001217C8">
        <w:t xml:space="preserve"> participants </w:t>
      </w:r>
      <w:r w:rsidR="00D97ECE">
        <w:t>with overdue payments</w:t>
      </w:r>
      <w:r w:rsidR="00A027A5">
        <w:t xml:space="preserve">, estimated at approximately 3,600 </w:t>
      </w:r>
      <w:r w:rsidR="0046330A">
        <w:t>renters</w:t>
      </w:r>
      <w:r w:rsidR="00D97ECE">
        <w:t xml:space="preserve">. As such, this option </w:t>
      </w:r>
      <w:r w:rsidR="0088645E">
        <w:t>fulfils</w:t>
      </w:r>
      <w:r w:rsidR="00D97ECE">
        <w:t xml:space="preserve"> the objective of users pays for </w:t>
      </w:r>
      <w:r w:rsidR="00B15AD2">
        <w:t>costs</w:t>
      </w:r>
      <w:r w:rsidR="00D97ECE">
        <w:t xml:space="preserve"> to a sign</w:t>
      </w:r>
      <w:r w:rsidR="00D951EC">
        <w:t>ificant extent</w:t>
      </w:r>
      <w:r w:rsidR="005D5F3C">
        <w:t xml:space="preserve">. However, </w:t>
      </w:r>
      <w:r w:rsidR="00032059">
        <w:t xml:space="preserve">it does not score as highly as </w:t>
      </w:r>
      <w:r w:rsidR="004C1EFF">
        <w:t xml:space="preserve">the flat fee </w:t>
      </w:r>
      <w:r w:rsidR="00F26C1D">
        <w:t xml:space="preserve">in </w:t>
      </w:r>
      <w:r w:rsidR="00032059">
        <w:t>Option 1</w:t>
      </w:r>
      <w:r w:rsidR="004C1EFF">
        <w:t>.</w:t>
      </w:r>
      <w:r w:rsidR="00D82DBE">
        <w:t xml:space="preserve"> </w:t>
      </w:r>
      <w:r w:rsidR="00560921">
        <w:t>The</w:t>
      </w:r>
      <w:r w:rsidR="00DA32F2">
        <w:t xml:space="preserve"> </w:t>
      </w:r>
      <w:r w:rsidR="001A7E64">
        <w:t>Government’s</w:t>
      </w:r>
      <w:r w:rsidR="00DA32F2">
        <w:t xml:space="preserve"> costs to undertake</w:t>
      </w:r>
      <w:r w:rsidR="00F26C1D">
        <w:t xml:space="preserve"> </w:t>
      </w:r>
      <w:r w:rsidR="00DA32F2">
        <w:t xml:space="preserve">internal debt recovery activities </w:t>
      </w:r>
      <w:r w:rsidR="003C3FBB">
        <w:t xml:space="preserve">are the same </w:t>
      </w:r>
      <w:r w:rsidR="00183187">
        <w:t>for every</w:t>
      </w:r>
      <w:r w:rsidR="006568EC">
        <w:t xml:space="preserve"> </w:t>
      </w:r>
      <w:r w:rsidR="0046330A">
        <w:t>renter</w:t>
      </w:r>
      <w:r w:rsidR="00560921">
        <w:t xml:space="preserve">, </w:t>
      </w:r>
      <w:r w:rsidR="003C3FBB">
        <w:t xml:space="preserve">regardless of </w:t>
      </w:r>
      <w:r w:rsidR="004816A4">
        <w:t xml:space="preserve">the level of debt owed by the </w:t>
      </w:r>
      <w:r w:rsidR="0046330A">
        <w:t>renter</w:t>
      </w:r>
      <w:r w:rsidR="00183187">
        <w:t>.</w:t>
      </w:r>
      <w:r w:rsidR="00F26C1D">
        <w:t xml:space="preserve"> </w:t>
      </w:r>
      <w:r w:rsidR="0082346B">
        <w:t>A</w:t>
      </w:r>
      <w:r w:rsidR="00F26C1D">
        <w:t xml:space="preserve"> </w:t>
      </w:r>
      <w:r w:rsidR="009D6A48">
        <w:t>percentage-based debt recovery fee</w:t>
      </w:r>
      <w:r w:rsidR="00F26C1D">
        <w:t xml:space="preserve"> </w:t>
      </w:r>
      <w:r w:rsidR="0082346B">
        <w:t>therefore less closely</w:t>
      </w:r>
      <w:r w:rsidR="00F26C1D">
        <w:t xml:space="preserve"> reflect</w:t>
      </w:r>
      <w:r w:rsidR="0082346B">
        <w:t>s</w:t>
      </w:r>
      <w:r w:rsidR="00F26C1D">
        <w:t xml:space="preserve"> the </w:t>
      </w:r>
      <w:r w:rsidR="00A460E3">
        <w:t xml:space="preserve">flat incremental </w:t>
      </w:r>
      <w:r w:rsidR="00F26C1D">
        <w:t xml:space="preserve">costs the </w:t>
      </w:r>
      <w:r w:rsidR="0046330A">
        <w:t>renter</w:t>
      </w:r>
      <w:r w:rsidR="00F26C1D">
        <w:t xml:space="preserve"> generates</w:t>
      </w:r>
      <w:r w:rsidR="003C3FBB">
        <w:t xml:space="preserve">. </w:t>
      </w:r>
    </w:p>
    <w:p w14:paraId="640CC032" w14:textId="40743D22" w:rsidR="002F571C" w:rsidRDefault="002F571C" w:rsidP="002F571C">
      <w:pPr>
        <w:pStyle w:val="DJCSbody"/>
        <w:ind w:left="0"/>
      </w:pPr>
      <w:r>
        <w:t xml:space="preserve">A score of </w:t>
      </w:r>
      <w:r w:rsidR="00373050">
        <w:rPr>
          <w:b/>
          <w:bCs/>
        </w:rPr>
        <w:t>7</w:t>
      </w:r>
      <w:r>
        <w:rPr>
          <w:b/>
          <w:bCs/>
        </w:rPr>
        <w:t xml:space="preserve"> </w:t>
      </w:r>
      <w:r>
        <w:t>is assigned for this criterion.</w:t>
      </w:r>
    </w:p>
    <w:p w14:paraId="3D56E44C" w14:textId="1FCCFD96" w:rsidR="00C3788E" w:rsidRDefault="00C3788E" w:rsidP="00C3788E">
      <w:pPr>
        <w:pStyle w:val="DJCSbody"/>
        <w:ind w:left="0"/>
      </w:pPr>
      <w:r w:rsidRPr="008371E2">
        <w:rPr>
          <w:b/>
          <w:bCs/>
        </w:rPr>
        <w:t xml:space="preserve">Option </w:t>
      </w:r>
      <w:r w:rsidR="00C975E5">
        <w:rPr>
          <w:b/>
          <w:bCs/>
        </w:rPr>
        <w:t>3</w:t>
      </w:r>
      <w:r w:rsidR="00767C16">
        <w:rPr>
          <w:b/>
          <w:bCs/>
        </w:rPr>
        <w:t xml:space="preserve">: </w:t>
      </w:r>
      <w:r w:rsidR="009D4847">
        <w:rPr>
          <w:b/>
          <w:bCs/>
        </w:rPr>
        <w:t>F</w:t>
      </w:r>
      <w:r w:rsidRPr="008371E2">
        <w:rPr>
          <w:b/>
          <w:bCs/>
        </w:rPr>
        <w:t xml:space="preserve">lat debt recovery fee for debts </w:t>
      </w:r>
      <w:r w:rsidR="00671293">
        <w:rPr>
          <w:b/>
          <w:bCs/>
        </w:rPr>
        <w:t>referred to a DCA</w:t>
      </w:r>
      <w:r>
        <w:rPr>
          <w:b/>
          <w:bCs/>
        </w:rPr>
        <w:t xml:space="preserve"> </w:t>
      </w:r>
      <w:r w:rsidR="0035275C">
        <w:rPr>
          <w:b/>
          <w:bCs/>
        </w:rPr>
        <w:t>(</w:t>
      </w:r>
      <w:r w:rsidR="009D4847">
        <w:rPr>
          <w:b/>
          <w:bCs/>
        </w:rPr>
        <w:t>end of stage 1B</w:t>
      </w:r>
      <w:r w:rsidR="0035275C">
        <w:rPr>
          <w:b/>
          <w:bCs/>
        </w:rPr>
        <w:t>)</w:t>
      </w:r>
      <w:r w:rsidR="009D4847">
        <w:rPr>
          <w:b/>
          <w:bCs/>
        </w:rPr>
        <w:t xml:space="preserve"> </w:t>
      </w:r>
      <w:r>
        <w:t xml:space="preserve">– </w:t>
      </w:r>
      <w:r w:rsidR="00020E1D">
        <w:t xml:space="preserve">the debt recovery fee in </w:t>
      </w:r>
      <w:r w:rsidR="00C660FD">
        <w:t xml:space="preserve">Option </w:t>
      </w:r>
      <w:r w:rsidR="00576724">
        <w:t xml:space="preserve">3 </w:t>
      </w:r>
      <w:r w:rsidR="00D52629">
        <w:t xml:space="preserve">is marginally less successful in </w:t>
      </w:r>
      <w:r w:rsidR="0092072D">
        <w:t>reflect</w:t>
      </w:r>
      <w:r w:rsidR="00D52629">
        <w:t xml:space="preserve">ing </w:t>
      </w:r>
      <w:r w:rsidR="0092072D">
        <w:t xml:space="preserve">the </w:t>
      </w:r>
      <w:r w:rsidR="00AB6A8F">
        <w:t xml:space="preserve">user pays for </w:t>
      </w:r>
      <w:r w:rsidR="00BB488A">
        <w:t xml:space="preserve">cost </w:t>
      </w:r>
      <w:r w:rsidR="00D52629">
        <w:t>objective, compared to</w:t>
      </w:r>
      <w:r w:rsidR="00020E1D">
        <w:t xml:space="preserve"> Option</w:t>
      </w:r>
      <w:r w:rsidR="00A56AC6">
        <w:t>s</w:t>
      </w:r>
      <w:r w:rsidR="00020E1D">
        <w:t xml:space="preserve"> 1</w:t>
      </w:r>
      <w:r w:rsidR="00A56AC6">
        <w:t xml:space="preserve"> or 2</w:t>
      </w:r>
      <w:r w:rsidR="00020E1D">
        <w:t>.</w:t>
      </w:r>
      <w:r>
        <w:t xml:space="preserve"> </w:t>
      </w:r>
      <w:r w:rsidR="00020E1D">
        <w:t xml:space="preserve">This is because </w:t>
      </w:r>
      <w:r w:rsidR="00A219F4">
        <w:t>renters who pay their debts</w:t>
      </w:r>
      <w:r w:rsidR="00A74F34">
        <w:t xml:space="preserve"> late</w:t>
      </w:r>
      <w:r w:rsidR="009807F1">
        <w:t xml:space="preserve"> but before referral to a DCA</w:t>
      </w:r>
      <w:r w:rsidR="00A74F34">
        <w:t xml:space="preserve"> </w:t>
      </w:r>
      <w:r w:rsidR="0022193C">
        <w:t xml:space="preserve">are not charged a fee and therefore do </w:t>
      </w:r>
      <w:r w:rsidR="00C90773">
        <w:t xml:space="preserve">not </w:t>
      </w:r>
      <w:r w:rsidR="0022193C">
        <w:t xml:space="preserve">contribute to </w:t>
      </w:r>
      <w:r w:rsidR="007421D0">
        <w:t>the co</w:t>
      </w:r>
      <w:r w:rsidR="00935294">
        <w:t xml:space="preserve">st of </w:t>
      </w:r>
      <w:r w:rsidR="001A7E64">
        <w:t>Government’s</w:t>
      </w:r>
      <w:r w:rsidR="00C90773">
        <w:t xml:space="preserve"> internal debt recovery activities</w:t>
      </w:r>
      <w:r w:rsidR="00935294">
        <w:t xml:space="preserve">. </w:t>
      </w:r>
      <w:r w:rsidR="00147101">
        <w:t>However, the</w:t>
      </w:r>
      <w:r w:rsidR="009306AF">
        <w:t xml:space="preserve"> modelling suggests </w:t>
      </w:r>
      <w:r w:rsidR="006D3503">
        <w:t>the impact of th</w:t>
      </w:r>
      <w:r w:rsidR="00147101">
        <w:t>is</w:t>
      </w:r>
      <w:r w:rsidR="006D3503">
        <w:t xml:space="preserve"> on this criterion is likely to be relatively small</w:t>
      </w:r>
      <w:r w:rsidR="00147101">
        <w:t xml:space="preserve">. It is estimated </w:t>
      </w:r>
      <w:r w:rsidR="000F62BB">
        <w:t xml:space="preserve">approximately 200 </w:t>
      </w:r>
      <w:r w:rsidR="00A36A20">
        <w:t xml:space="preserve">renters with overdue debts </w:t>
      </w:r>
      <w:r w:rsidR="001254EA">
        <w:t xml:space="preserve">will </w:t>
      </w:r>
      <w:r w:rsidR="00A36A20">
        <w:t>pay before their debt is referred to a DCA (</w:t>
      </w:r>
      <w:r w:rsidR="009306AF">
        <w:t>during stage 1B</w:t>
      </w:r>
      <w:r w:rsidR="00A36A20">
        <w:t>)</w:t>
      </w:r>
      <w:r w:rsidR="009306AF">
        <w:t xml:space="preserve">, </w:t>
      </w:r>
      <w:r w:rsidR="004F140B">
        <w:t xml:space="preserve">and </w:t>
      </w:r>
      <w:r w:rsidR="000F62BB">
        <w:t xml:space="preserve">will not be </w:t>
      </w:r>
      <w:r w:rsidR="001254EA">
        <w:t>charged a fee</w:t>
      </w:r>
      <w:r w:rsidR="00D97A64">
        <w:t xml:space="preserve">. This results </w:t>
      </w:r>
      <w:r w:rsidR="00EF0042">
        <w:t xml:space="preserve">in a </w:t>
      </w:r>
      <w:r w:rsidR="00ED4052">
        <w:t xml:space="preserve">flat </w:t>
      </w:r>
      <w:r w:rsidR="00EF0042">
        <w:t xml:space="preserve">debt recovery fee that is </w:t>
      </w:r>
      <w:r w:rsidR="00233914">
        <w:t xml:space="preserve">only </w:t>
      </w:r>
      <w:r w:rsidR="00EF0042">
        <w:t>$0.8</w:t>
      </w:r>
      <w:r w:rsidR="00F608D2">
        <w:t>9</w:t>
      </w:r>
      <w:r w:rsidR="00EF0042">
        <w:t xml:space="preserve"> higher</w:t>
      </w:r>
      <w:r w:rsidR="00AD65AF">
        <w:t xml:space="preserve"> relative to Option 1</w:t>
      </w:r>
      <w:r w:rsidR="00233914">
        <w:t xml:space="preserve"> to ensure recovery of </w:t>
      </w:r>
      <w:r w:rsidR="001254EA">
        <w:t xml:space="preserve">the </w:t>
      </w:r>
      <w:r w:rsidR="00233914">
        <w:t xml:space="preserve">cost of </w:t>
      </w:r>
      <w:r w:rsidR="001A7E64">
        <w:t>Government’s</w:t>
      </w:r>
      <w:r w:rsidR="001254EA">
        <w:t xml:space="preserve"> internal debt recovery activities</w:t>
      </w:r>
      <w:r w:rsidR="000F62BB">
        <w:t>.</w:t>
      </w:r>
      <w:r w:rsidR="007E677F">
        <w:t xml:space="preserve"> </w:t>
      </w:r>
      <w:r>
        <w:t xml:space="preserve">It is </w:t>
      </w:r>
      <w:r w:rsidR="00756EC3">
        <w:t>marginally</w:t>
      </w:r>
      <w:r>
        <w:t xml:space="preserve"> </w:t>
      </w:r>
      <w:r w:rsidR="00AF44BD">
        <w:t xml:space="preserve">more </w:t>
      </w:r>
      <w:r>
        <w:t xml:space="preserve">fair than the percentage debt recovery fee in Option </w:t>
      </w:r>
      <w:r w:rsidR="008E204D">
        <w:t>4</w:t>
      </w:r>
      <w:r>
        <w:t xml:space="preserve">, </w:t>
      </w:r>
      <w:r w:rsidR="00E01C73">
        <w:t xml:space="preserve">as a flat fee </w:t>
      </w:r>
      <w:r w:rsidR="00AF44BD">
        <w:t xml:space="preserve">reflects the flat costs associated with users’ debt recovery more </w:t>
      </w:r>
      <w:r w:rsidR="00C93BD7">
        <w:t>accurately</w:t>
      </w:r>
      <w:r w:rsidR="00AF44BD">
        <w:t xml:space="preserve"> than a percentage-based fee</w:t>
      </w:r>
      <w:r w:rsidR="00E01C73">
        <w:t>.</w:t>
      </w:r>
      <w:r w:rsidR="00C21DED">
        <w:t xml:space="preserve">    </w:t>
      </w:r>
    </w:p>
    <w:p w14:paraId="4FB38544" w14:textId="40C24827" w:rsidR="006F5836" w:rsidRDefault="006F5836" w:rsidP="006F5836">
      <w:pPr>
        <w:pStyle w:val="DJCSbody"/>
        <w:ind w:left="0"/>
      </w:pPr>
      <w:r>
        <w:t xml:space="preserve">A score of </w:t>
      </w:r>
      <w:r w:rsidR="00373050">
        <w:rPr>
          <w:b/>
          <w:bCs/>
        </w:rPr>
        <w:t>8</w:t>
      </w:r>
      <w:r>
        <w:rPr>
          <w:b/>
          <w:bCs/>
        </w:rPr>
        <w:t xml:space="preserve"> </w:t>
      </w:r>
      <w:r>
        <w:t>is assigned for this criterion.</w:t>
      </w:r>
    </w:p>
    <w:p w14:paraId="7930A74E" w14:textId="0DFBB067" w:rsidR="0050248C" w:rsidRDefault="00C3788E" w:rsidP="0050248C">
      <w:pPr>
        <w:pStyle w:val="DJCSbody"/>
        <w:ind w:left="0"/>
      </w:pPr>
      <w:r w:rsidRPr="00406B38">
        <w:rPr>
          <w:b/>
        </w:rPr>
        <w:t xml:space="preserve">Option </w:t>
      </w:r>
      <w:r w:rsidR="0067222F" w:rsidRPr="00406B38">
        <w:rPr>
          <w:b/>
        </w:rPr>
        <w:t>4</w:t>
      </w:r>
      <w:r w:rsidR="00767C16" w:rsidRPr="00406B38">
        <w:rPr>
          <w:b/>
        </w:rPr>
        <w:t>:</w:t>
      </w:r>
      <w:r w:rsidRPr="00406B38">
        <w:rPr>
          <w:b/>
        </w:rPr>
        <w:t xml:space="preserve"> </w:t>
      </w:r>
      <w:r w:rsidR="00AA0B5F">
        <w:rPr>
          <w:b/>
        </w:rPr>
        <w:t>P</w:t>
      </w:r>
      <w:r w:rsidRPr="00406B38">
        <w:rPr>
          <w:b/>
        </w:rPr>
        <w:t xml:space="preserve">ercentage debt recovery fee for debts </w:t>
      </w:r>
      <w:r w:rsidR="00391CAA" w:rsidRPr="00406B38">
        <w:rPr>
          <w:b/>
        </w:rPr>
        <w:t>referred to a DCA</w:t>
      </w:r>
      <w:r w:rsidR="0035275C" w:rsidRPr="00406B38">
        <w:rPr>
          <w:b/>
        </w:rPr>
        <w:t xml:space="preserve"> (</w:t>
      </w:r>
      <w:r w:rsidR="00DA5E35">
        <w:rPr>
          <w:b/>
        </w:rPr>
        <w:t>end of stage 1B</w:t>
      </w:r>
      <w:r w:rsidR="0035275C" w:rsidRPr="00406B38">
        <w:rPr>
          <w:b/>
        </w:rPr>
        <w:t>)</w:t>
      </w:r>
      <w:r w:rsidR="00391CAA" w:rsidRPr="00406B38">
        <w:rPr>
          <w:b/>
        </w:rPr>
        <w:t xml:space="preserve"> </w:t>
      </w:r>
      <w:r w:rsidR="00C660FD" w:rsidRPr="00406B38">
        <w:t>–</w:t>
      </w:r>
      <w:r w:rsidR="004A4375" w:rsidRPr="00406B38">
        <w:t xml:space="preserve"> </w:t>
      </w:r>
      <w:r w:rsidR="00AB7601" w:rsidRPr="00406B38">
        <w:t xml:space="preserve">As per Option </w:t>
      </w:r>
      <w:r w:rsidR="00E82CAF" w:rsidRPr="00406B38">
        <w:t>3</w:t>
      </w:r>
      <w:r w:rsidR="00AB7601" w:rsidRPr="00406B38">
        <w:t xml:space="preserve">, this option </w:t>
      </w:r>
      <w:r w:rsidR="00646638" w:rsidRPr="00406B38">
        <w:t xml:space="preserve">scores </w:t>
      </w:r>
      <w:r w:rsidR="004A4375" w:rsidRPr="00406B38">
        <w:t xml:space="preserve">lower </w:t>
      </w:r>
      <w:r w:rsidR="0050248C" w:rsidRPr="00406B38">
        <w:t xml:space="preserve">than Option </w:t>
      </w:r>
      <w:r w:rsidR="007B7581" w:rsidRPr="00406B38">
        <w:t>1</w:t>
      </w:r>
      <w:r w:rsidR="0050248C" w:rsidRPr="001F576E">
        <w:t xml:space="preserve"> </w:t>
      </w:r>
      <w:r w:rsidR="00040151" w:rsidRPr="001F576E">
        <w:t>and 2</w:t>
      </w:r>
      <w:r w:rsidR="0050248C" w:rsidRPr="00406B38">
        <w:t xml:space="preserve"> as a debt recovery fee </w:t>
      </w:r>
      <w:r w:rsidR="004A4375" w:rsidRPr="00406B38">
        <w:t xml:space="preserve">is not charged </w:t>
      </w:r>
      <w:r w:rsidR="0050248C" w:rsidRPr="00406B38">
        <w:t xml:space="preserve">to participants who </w:t>
      </w:r>
      <w:r w:rsidR="009D3AB5" w:rsidRPr="00406B38">
        <w:t xml:space="preserve">have overdue debts </w:t>
      </w:r>
      <w:r w:rsidR="004A4375" w:rsidRPr="00406B38">
        <w:t xml:space="preserve">and pay before their debt is </w:t>
      </w:r>
      <w:r w:rsidR="009D3AB5" w:rsidRPr="00406B38">
        <w:t>referred to a DCA</w:t>
      </w:r>
      <w:r w:rsidR="0050248C" w:rsidRPr="00406B38">
        <w:t xml:space="preserve">. </w:t>
      </w:r>
      <w:r w:rsidR="00C5713A" w:rsidRPr="001F576E">
        <w:t>Further</w:t>
      </w:r>
      <w:r w:rsidR="0050248C" w:rsidRPr="00406B38">
        <w:t>,</w:t>
      </w:r>
      <w:r w:rsidR="00C5713A" w:rsidRPr="001F576E">
        <w:t xml:space="preserve"> noting that the costs of debt recovery do not vary </w:t>
      </w:r>
      <w:r w:rsidR="00C93BD7">
        <w:t xml:space="preserve">between </w:t>
      </w:r>
      <w:r w:rsidR="0046330A">
        <w:t>renters</w:t>
      </w:r>
      <w:r w:rsidR="005B7244">
        <w:t xml:space="preserve"> with </w:t>
      </w:r>
      <w:r w:rsidR="00C93BD7">
        <w:t xml:space="preserve">differing </w:t>
      </w:r>
      <w:r w:rsidR="005B7244" w:rsidRPr="001F576E">
        <w:t>level</w:t>
      </w:r>
      <w:r w:rsidR="00C93BD7">
        <w:t>s</w:t>
      </w:r>
      <w:r w:rsidR="005B7244">
        <w:t xml:space="preserve"> </w:t>
      </w:r>
      <w:r w:rsidR="005B7244" w:rsidRPr="001F576E">
        <w:t>of debt</w:t>
      </w:r>
      <w:r w:rsidR="00C5713A" w:rsidRPr="001F576E">
        <w:t xml:space="preserve">, </w:t>
      </w:r>
      <w:r w:rsidR="0050248C" w:rsidRPr="00406B38">
        <w:t xml:space="preserve">this option </w:t>
      </w:r>
      <w:r w:rsidR="005B7244" w:rsidRPr="001F576E">
        <w:t>less</w:t>
      </w:r>
      <w:r w:rsidR="001B0306" w:rsidRPr="00406B38">
        <w:t xml:space="preserve"> accurately reflect</w:t>
      </w:r>
      <w:r w:rsidR="00C93BD7">
        <w:t>s this criterion</w:t>
      </w:r>
      <w:r w:rsidR="005B7244">
        <w:t xml:space="preserve"> of</w:t>
      </w:r>
      <w:r w:rsidR="00A24818">
        <w:t xml:space="preserve"> user</w:t>
      </w:r>
      <w:r w:rsidR="0013370A" w:rsidRPr="001F576E">
        <w:t xml:space="preserve"> </w:t>
      </w:r>
      <w:r w:rsidR="005B7244" w:rsidRPr="001F576E">
        <w:t xml:space="preserve">pays for </w:t>
      </w:r>
      <w:r w:rsidR="00A24818" w:rsidRPr="00406B38">
        <w:t>cost</w:t>
      </w:r>
      <w:r w:rsidR="00C93BD7">
        <w:t>s</w:t>
      </w:r>
      <w:r w:rsidR="00A24818" w:rsidRPr="00406B38">
        <w:t xml:space="preserve"> than </w:t>
      </w:r>
      <w:r w:rsidR="007B7581" w:rsidRPr="00406B38">
        <w:t xml:space="preserve">Option </w:t>
      </w:r>
      <w:r w:rsidR="005B7244" w:rsidRPr="001F576E">
        <w:t>3</w:t>
      </w:r>
      <w:r w:rsidR="0050248C" w:rsidRPr="00406B38">
        <w:t>,</w:t>
      </w:r>
      <w:r w:rsidR="007B7581" w:rsidRPr="00406B38">
        <w:t xml:space="preserve"> </w:t>
      </w:r>
      <w:r w:rsidR="005B7244" w:rsidRPr="001F576E">
        <w:t>which has a flat debt recovery fee.</w:t>
      </w:r>
      <w:r w:rsidR="007B7581" w:rsidRPr="001F576E">
        <w:t xml:space="preserve"> </w:t>
      </w:r>
    </w:p>
    <w:p w14:paraId="545B1167" w14:textId="6E2613CF" w:rsidR="00FF314E" w:rsidRDefault="00FF314E" w:rsidP="00FF314E">
      <w:pPr>
        <w:pStyle w:val="DJCSbody"/>
        <w:ind w:left="0"/>
      </w:pPr>
      <w:r>
        <w:t xml:space="preserve">A score of </w:t>
      </w:r>
      <w:r w:rsidRPr="005C081A">
        <w:rPr>
          <w:b/>
        </w:rPr>
        <w:t>6</w:t>
      </w:r>
      <w:r>
        <w:rPr>
          <w:b/>
          <w:bCs/>
        </w:rPr>
        <w:t xml:space="preserve"> </w:t>
      </w:r>
      <w:r>
        <w:t>is assigned for this criterion.</w:t>
      </w:r>
    </w:p>
    <w:p w14:paraId="6F36DD89" w14:textId="75C58752" w:rsidR="004A2761" w:rsidRPr="00D51C5B" w:rsidRDefault="004A2761" w:rsidP="004A2761">
      <w:pPr>
        <w:pStyle w:val="Heading4"/>
        <w:ind w:left="0"/>
        <w:rPr>
          <w:rFonts w:cs="Arial"/>
          <w:b w:val="0"/>
          <w:bCs w:val="0"/>
          <w:i/>
          <w:iCs/>
          <w:color w:val="000000" w:themeColor="text1"/>
          <w:kern w:val="24"/>
        </w:rPr>
      </w:pPr>
      <w:r>
        <w:t xml:space="preserve">Equity: </w:t>
      </w:r>
      <w:r w:rsidRPr="00D51C5B">
        <w:rPr>
          <w:rFonts w:cs="Arial"/>
          <w:b w:val="0"/>
          <w:bCs w:val="0"/>
          <w:i/>
          <w:iCs/>
          <w:color w:val="000000" w:themeColor="text1"/>
          <w:kern w:val="24"/>
        </w:rPr>
        <w:t xml:space="preserve">The fee does not disproportionately </w:t>
      </w:r>
      <w:r w:rsidR="00245425">
        <w:rPr>
          <w:rFonts w:cs="Arial"/>
          <w:b w:val="0"/>
          <w:bCs w:val="0"/>
          <w:i/>
          <w:iCs/>
          <w:color w:val="000000" w:themeColor="text1"/>
          <w:kern w:val="24"/>
        </w:rPr>
        <w:t xml:space="preserve">or unfairly </w:t>
      </w:r>
      <w:r w:rsidRPr="00D51C5B">
        <w:rPr>
          <w:rFonts w:cs="Arial"/>
          <w:b w:val="0"/>
          <w:bCs w:val="0"/>
          <w:i/>
          <w:iCs/>
          <w:color w:val="000000" w:themeColor="text1"/>
          <w:kern w:val="24"/>
        </w:rPr>
        <w:t>limit access to those with a lower ability to pay</w:t>
      </w:r>
    </w:p>
    <w:p w14:paraId="46B432EC" w14:textId="0C37C81C" w:rsidR="00D51C5B" w:rsidRDefault="00D51C5B" w:rsidP="00E649D2">
      <w:pPr>
        <w:pStyle w:val="DJCSbody"/>
        <w:ind w:left="0"/>
      </w:pPr>
      <w:r>
        <w:t xml:space="preserve">Across all options, prescribing </w:t>
      </w:r>
      <w:r w:rsidR="00EE7A4E">
        <w:t>a debt recovery</w:t>
      </w:r>
      <w:r>
        <w:t xml:space="preserve"> fee</w:t>
      </w:r>
      <w:r w:rsidR="004F1508">
        <w:t xml:space="preserve"> </w:t>
      </w:r>
      <w:r>
        <w:t>for the PRBS</w:t>
      </w:r>
      <w:r w:rsidR="00982AE7">
        <w:t xml:space="preserve"> </w:t>
      </w:r>
      <w:r>
        <w:t xml:space="preserve">does </w:t>
      </w:r>
      <w:r w:rsidR="00D616DD">
        <w:t xml:space="preserve">present a </w:t>
      </w:r>
      <w:r w:rsidR="00982AE7">
        <w:t xml:space="preserve">small </w:t>
      </w:r>
      <w:r w:rsidR="00D616DD">
        <w:t xml:space="preserve">barrier to </w:t>
      </w:r>
      <w:r w:rsidR="00F578C1">
        <w:t xml:space="preserve">renters </w:t>
      </w:r>
      <w:r w:rsidR="00086200">
        <w:t xml:space="preserve">who have incurred debt and may already have a low ability to pay. Thus </w:t>
      </w:r>
      <w:r w:rsidR="004675C9">
        <w:t>any</w:t>
      </w:r>
      <w:r w:rsidR="00086200">
        <w:t xml:space="preserve"> debt recovery fee </w:t>
      </w:r>
      <w:r w:rsidR="002267E4">
        <w:t xml:space="preserve">would impact </w:t>
      </w:r>
      <w:r w:rsidR="00D616DD">
        <w:t xml:space="preserve">those with </w:t>
      </w:r>
      <w:r w:rsidR="00CC7263">
        <w:t xml:space="preserve">a lower </w:t>
      </w:r>
      <w:r w:rsidR="00D616DD">
        <w:t>ability to pay</w:t>
      </w:r>
      <w:r w:rsidR="00620240">
        <w:t xml:space="preserve">, </w:t>
      </w:r>
      <w:r w:rsidR="00A71E1F">
        <w:t xml:space="preserve">relative to the base </w:t>
      </w:r>
      <w:r>
        <w:t>case</w:t>
      </w:r>
      <w:r w:rsidR="00C14969">
        <w:t xml:space="preserve">. </w:t>
      </w:r>
      <w:r w:rsidR="00CA03F8">
        <w:t xml:space="preserve">For this reason, all options score negatively compared to the base case. </w:t>
      </w:r>
      <w:r w:rsidR="008B5113">
        <w:t xml:space="preserve">It is noted that under all options, renters will have the option to </w:t>
      </w:r>
      <w:r w:rsidR="00176DBF">
        <w:t>enter</w:t>
      </w:r>
      <w:r w:rsidR="008B5113">
        <w:t xml:space="preserve"> a payment plan</w:t>
      </w:r>
      <w:r w:rsidR="00825EED">
        <w:t xml:space="preserve">. This </w:t>
      </w:r>
      <w:r w:rsidR="008B5113">
        <w:t xml:space="preserve">is intended to support </w:t>
      </w:r>
      <w:r w:rsidR="0046330A">
        <w:t>renters</w:t>
      </w:r>
      <w:r w:rsidR="008B5113">
        <w:t xml:space="preserve"> with a lower ability to pay</w:t>
      </w:r>
      <w:r w:rsidR="00176DBF">
        <w:t xml:space="preserve"> and avoid </w:t>
      </w:r>
      <w:r w:rsidR="00D71678">
        <w:t>the need to</w:t>
      </w:r>
      <w:r w:rsidR="00825EED">
        <w:t xml:space="preserve"> charge</w:t>
      </w:r>
      <w:r w:rsidR="00D71678">
        <w:t xml:space="preserve"> </w:t>
      </w:r>
      <w:r w:rsidR="00825EED">
        <w:t xml:space="preserve">a </w:t>
      </w:r>
      <w:r w:rsidR="00176DBF">
        <w:t>debt recovery fee</w:t>
      </w:r>
      <w:r w:rsidR="008B5113">
        <w:t xml:space="preserve">. </w:t>
      </w:r>
      <w:r w:rsidR="00087534">
        <w:t>T</w:t>
      </w:r>
      <w:r w:rsidR="008B5113">
        <w:t>his analysis</w:t>
      </w:r>
      <w:r w:rsidR="00087534">
        <w:t xml:space="preserve"> </w:t>
      </w:r>
      <w:r w:rsidR="00C55625">
        <w:t xml:space="preserve">focuses on </w:t>
      </w:r>
      <w:r w:rsidR="00597E5E">
        <w:t>the</w:t>
      </w:r>
      <w:r w:rsidR="00CA03F8">
        <w:t xml:space="preserve"> </w:t>
      </w:r>
      <w:r w:rsidR="002D311B">
        <w:t xml:space="preserve">equity impacts of </w:t>
      </w:r>
      <w:r w:rsidR="00CA03F8">
        <w:t>different approaches for the debt recovery fee under each option</w:t>
      </w:r>
      <w:r w:rsidR="002D311B">
        <w:t>,</w:t>
      </w:r>
      <w:r w:rsidR="00CA03F8">
        <w:t xml:space="preserve"> </w:t>
      </w:r>
      <w:r w:rsidR="00DD6C12">
        <w:t xml:space="preserve">in instances where it is charged. </w:t>
      </w:r>
    </w:p>
    <w:p w14:paraId="649BE0A5" w14:textId="5F447930" w:rsidR="00D96F95" w:rsidRPr="00D96F95" w:rsidRDefault="00D96F95" w:rsidP="00D96F95">
      <w:pPr>
        <w:pStyle w:val="DJCSbody"/>
        <w:ind w:left="0"/>
        <w:rPr>
          <w:bCs/>
        </w:rPr>
      </w:pPr>
      <w:r w:rsidRPr="00D96F95">
        <w:rPr>
          <w:b/>
        </w:rPr>
        <w:t xml:space="preserve">Option 1: </w:t>
      </w:r>
      <w:r w:rsidR="005738A3">
        <w:rPr>
          <w:b/>
        </w:rPr>
        <w:t>Flat d</w:t>
      </w:r>
      <w:r w:rsidRPr="00D96F95">
        <w:rPr>
          <w:b/>
        </w:rPr>
        <w:t>ebt recovery fee for all overdue debts</w:t>
      </w:r>
      <w:r w:rsidRPr="00D96F95">
        <w:rPr>
          <w:b/>
          <w:bCs/>
        </w:rPr>
        <w:t xml:space="preserve"> </w:t>
      </w:r>
      <w:r w:rsidR="0035275C">
        <w:rPr>
          <w:b/>
          <w:bCs/>
        </w:rPr>
        <w:t>(</w:t>
      </w:r>
      <w:r w:rsidR="00DA5E35">
        <w:rPr>
          <w:b/>
          <w:bCs/>
        </w:rPr>
        <w:t>start of s</w:t>
      </w:r>
      <w:r w:rsidR="0035275C">
        <w:rPr>
          <w:b/>
          <w:bCs/>
        </w:rPr>
        <w:t>tage 1B)</w:t>
      </w:r>
      <w:r w:rsidR="001B493B">
        <w:rPr>
          <w:b/>
          <w:bCs/>
        </w:rPr>
        <w:t xml:space="preserve"> </w:t>
      </w:r>
      <w:r w:rsidRPr="00D96F95">
        <w:rPr>
          <w:b/>
        </w:rPr>
        <w:t xml:space="preserve">– </w:t>
      </w:r>
      <w:r w:rsidRPr="00D96F95">
        <w:rPr>
          <w:bCs/>
        </w:rPr>
        <w:t xml:space="preserve">Option 1 scores the most negatively for equity out of all options as it charges all renters with overdue payments a </w:t>
      </w:r>
      <w:r w:rsidR="00F8734E">
        <w:rPr>
          <w:bCs/>
        </w:rPr>
        <w:t xml:space="preserve">flat </w:t>
      </w:r>
      <w:r w:rsidRPr="00D96F95">
        <w:rPr>
          <w:bCs/>
        </w:rPr>
        <w:t xml:space="preserve">debt recovery fee </w:t>
      </w:r>
      <w:r w:rsidR="00B31743">
        <w:rPr>
          <w:bCs/>
        </w:rPr>
        <w:t xml:space="preserve">at the start of the </w:t>
      </w:r>
      <w:r w:rsidR="007E0073">
        <w:rPr>
          <w:bCs/>
        </w:rPr>
        <w:t xml:space="preserve">internal debt recovery period, regardless of how quickly the </w:t>
      </w:r>
      <w:r w:rsidR="0046330A">
        <w:rPr>
          <w:bCs/>
        </w:rPr>
        <w:t>renter</w:t>
      </w:r>
      <w:r w:rsidR="007E0073">
        <w:rPr>
          <w:bCs/>
        </w:rPr>
        <w:t xml:space="preserve"> makes payment</w:t>
      </w:r>
      <w:r w:rsidR="00CB5A94">
        <w:rPr>
          <w:bCs/>
        </w:rPr>
        <w:t xml:space="preserve"> after this point</w:t>
      </w:r>
      <w:r w:rsidR="00C96A8B">
        <w:rPr>
          <w:bCs/>
        </w:rPr>
        <w:t>.</w:t>
      </w:r>
      <w:r w:rsidR="002F57F5">
        <w:rPr>
          <w:bCs/>
        </w:rPr>
        <w:t xml:space="preserve"> </w:t>
      </w:r>
      <w:r w:rsidRPr="00D96F95">
        <w:rPr>
          <w:bCs/>
        </w:rPr>
        <w:t xml:space="preserve">This may impose greater financial pressure on renters repaying debt, especially those with a lower ability to pay, compared to the other options. </w:t>
      </w:r>
    </w:p>
    <w:p w14:paraId="4619E8D4" w14:textId="60EA0D50" w:rsidR="00E649D2" w:rsidRDefault="00E649D2" w:rsidP="00E649D2">
      <w:pPr>
        <w:pStyle w:val="DJCSbody"/>
        <w:ind w:left="0"/>
      </w:pPr>
      <w:r>
        <w:lastRenderedPageBreak/>
        <w:t xml:space="preserve">A score of </w:t>
      </w:r>
      <w:r w:rsidRPr="007C055A">
        <w:rPr>
          <w:b/>
          <w:bCs/>
        </w:rPr>
        <w:t>-</w:t>
      </w:r>
      <w:r w:rsidR="00244C54">
        <w:rPr>
          <w:b/>
          <w:bCs/>
        </w:rPr>
        <w:t>4</w:t>
      </w:r>
      <w:r>
        <w:t xml:space="preserve"> is assigned for this criterion.</w:t>
      </w:r>
    </w:p>
    <w:p w14:paraId="3BFA0B26" w14:textId="575A3844" w:rsidR="005A35C2" w:rsidRPr="00CA1545" w:rsidRDefault="005A35C2" w:rsidP="005A35C2">
      <w:pPr>
        <w:pStyle w:val="DJCSbody"/>
        <w:ind w:left="0"/>
      </w:pPr>
      <w:r w:rsidRPr="00DC18E7">
        <w:rPr>
          <w:b/>
          <w:bCs/>
        </w:rPr>
        <w:t xml:space="preserve">Option 2: </w:t>
      </w:r>
      <w:r w:rsidR="005738A3">
        <w:rPr>
          <w:b/>
          <w:bCs/>
        </w:rPr>
        <w:t>P</w:t>
      </w:r>
      <w:r w:rsidRPr="00DC18E7">
        <w:rPr>
          <w:b/>
          <w:bCs/>
        </w:rPr>
        <w:t>ercentage-based debt recovery fee for all overdue debts (</w:t>
      </w:r>
      <w:r w:rsidR="00DA5E35">
        <w:rPr>
          <w:b/>
          <w:bCs/>
        </w:rPr>
        <w:t>start of s</w:t>
      </w:r>
      <w:r w:rsidRPr="00DC18E7">
        <w:rPr>
          <w:b/>
          <w:bCs/>
        </w:rPr>
        <w:t xml:space="preserve">tage 1B) </w:t>
      </w:r>
      <w:r w:rsidRPr="00CA1545">
        <w:t xml:space="preserve">– </w:t>
      </w:r>
      <w:r w:rsidR="00F976F7">
        <w:t>Option 2 scores</w:t>
      </w:r>
      <w:r w:rsidR="00790E4E">
        <w:t xml:space="preserve"> </w:t>
      </w:r>
      <w:r w:rsidR="00CB0A33">
        <w:t xml:space="preserve">marginally </w:t>
      </w:r>
      <w:r w:rsidR="00790E4E">
        <w:t xml:space="preserve">higher than </w:t>
      </w:r>
      <w:r w:rsidR="00BB3CF9">
        <w:t xml:space="preserve">Option 1 for equity, </w:t>
      </w:r>
      <w:r w:rsidR="00CB0A33">
        <w:t>but only because</w:t>
      </w:r>
      <w:r w:rsidR="00BB3CF9">
        <w:t xml:space="preserve"> the debt recovery fee charged is proportionate to the debt incurred and may pose less of a barrier for renters with a small amount of debt, in comparison to a flat debt recovery fee. </w:t>
      </w:r>
      <w:r w:rsidR="00764963">
        <w:t>This</w:t>
      </w:r>
      <w:r w:rsidR="008D2710">
        <w:t xml:space="preserve"> option </w:t>
      </w:r>
      <w:r w:rsidR="00CB0A33">
        <w:t xml:space="preserve">does not score </w:t>
      </w:r>
      <w:r w:rsidR="00764963">
        <w:t>higher</w:t>
      </w:r>
      <w:r w:rsidR="008D2710">
        <w:t xml:space="preserve"> than Options 3 </w:t>
      </w:r>
      <w:r w:rsidR="00764963">
        <w:t>or</w:t>
      </w:r>
      <w:r w:rsidR="008D2710">
        <w:t xml:space="preserve"> 4</w:t>
      </w:r>
      <w:r w:rsidR="00764963">
        <w:t>, as in Option 2</w:t>
      </w:r>
      <w:r w:rsidR="008D2710">
        <w:t xml:space="preserve"> </w:t>
      </w:r>
      <w:r w:rsidR="008D2710" w:rsidRPr="00D96F95">
        <w:rPr>
          <w:bCs/>
        </w:rPr>
        <w:t xml:space="preserve">all renters with overdue payments </w:t>
      </w:r>
      <w:r w:rsidR="008D2710">
        <w:rPr>
          <w:bCs/>
        </w:rPr>
        <w:t xml:space="preserve">are charged </w:t>
      </w:r>
      <w:r w:rsidR="008D2710" w:rsidRPr="00D96F95">
        <w:rPr>
          <w:bCs/>
        </w:rPr>
        <w:t xml:space="preserve">a debt recovery fee </w:t>
      </w:r>
      <w:r w:rsidR="008D2710">
        <w:rPr>
          <w:bCs/>
        </w:rPr>
        <w:t>at the start of the internal debt recovery period</w:t>
      </w:r>
      <w:r w:rsidR="00764963">
        <w:rPr>
          <w:bCs/>
        </w:rPr>
        <w:t>. This</w:t>
      </w:r>
      <w:r w:rsidR="008D2710">
        <w:rPr>
          <w:bCs/>
        </w:rPr>
        <w:t xml:space="preserve"> imposes additional financial pressure on all </w:t>
      </w:r>
      <w:r w:rsidR="0046330A">
        <w:rPr>
          <w:bCs/>
        </w:rPr>
        <w:t>renters</w:t>
      </w:r>
      <w:r w:rsidR="008D2710">
        <w:rPr>
          <w:bCs/>
        </w:rPr>
        <w:t>, regardless of when they make payment after this point.</w:t>
      </w:r>
    </w:p>
    <w:p w14:paraId="00E65E25" w14:textId="336E51D1" w:rsidR="005A35C2" w:rsidRDefault="003E3611" w:rsidP="00E649D2">
      <w:pPr>
        <w:pStyle w:val="DJCSbody"/>
        <w:ind w:left="0"/>
      </w:pPr>
      <w:r>
        <w:t xml:space="preserve">A score of </w:t>
      </w:r>
      <w:r w:rsidRPr="001F576E">
        <w:rPr>
          <w:b/>
        </w:rPr>
        <w:t>-</w:t>
      </w:r>
      <w:r w:rsidR="00244C54">
        <w:rPr>
          <w:b/>
        </w:rPr>
        <w:t>3.5</w:t>
      </w:r>
      <w:r w:rsidRPr="001F576E">
        <w:rPr>
          <w:b/>
        </w:rPr>
        <w:t xml:space="preserve"> </w:t>
      </w:r>
      <w:r>
        <w:t xml:space="preserve">is assigned for this criterion. </w:t>
      </w:r>
    </w:p>
    <w:p w14:paraId="6B05E2BB" w14:textId="36E7FA4D" w:rsidR="0026141B" w:rsidRDefault="009236CB" w:rsidP="0026141B">
      <w:pPr>
        <w:pStyle w:val="DJCSbody"/>
        <w:ind w:left="0"/>
      </w:pPr>
      <w:r w:rsidRPr="79E303FA">
        <w:rPr>
          <w:b/>
          <w:bCs/>
        </w:rPr>
        <w:t xml:space="preserve">Option </w:t>
      </w:r>
      <w:r w:rsidR="005A35C2" w:rsidRPr="79E303FA">
        <w:rPr>
          <w:b/>
          <w:bCs/>
        </w:rPr>
        <w:t>3</w:t>
      </w:r>
      <w:r w:rsidR="00553B5F" w:rsidRPr="79E303FA">
        <w:rPr>
          <w:b/>
          <w:bCs/>
        </w:rPr>
        <w:t>:</w:t>
      </w:r>
      <w:r w:rsidRPr="79E303FA">
        <w:rPr>
          <w:b/>
          <w:bCs/>
        </w:rPr>
        <w:t xml:space="preserve"> </w:t>
      </w:r>
      <w:r w:rsidR="005738A3" w:rsidRPr="79E303FA">
        <w:rPr>
          <w:b/>
          <w:bCs/>
        </w:rPr>
        <w:t>F</w:t>
      </w:r>
      <w:r w:rsidR="008A7B01" w:rsidRPr="79E303FA">
        <w:rPr>
          <w:b/>
          <w:bCs/>
        </w:rPr>
        <w:t>lat debt recovery fee for</w:t>
      </w:r>
      <w:r w:rsidR="00C717E1" w:rsidRPr="79E303FA">
        <w:rPr>
          <w:b/>
          <w:bCs/>
        </w:rPr>
        <w:t xml:space="preserve"> debts</w:t>
      </w:r>
      <w:r w:rsidR="007C7F1B" w:rsidRPr="79E303FA">
        <w:rPr>
          <w:b/>
          <w:bCs/>
        </w:rPr>
        <w:t xml:space="preserve"> referred to a DCA</w:t>
      </w:r>
      <w:r w:rsidR="00046C41" w:rsidRPr="79E303FA">
        <w:rPr>
          <w:b/>
          <w:bCs/>
        </w:rPr>
        <w:t xml:space="preserve"> </w:t>
      </w:r>
      <w:r w:rsidR="0035275C" w:rsidRPr="79E303FA">
        <w:rPr>
          <w:b/>
          <w:bCs/>
        </w:rPr>
        <w:t>(</w:t>
      </w:r>
      <w:r w:rsidR="00DA5E35" w:rsidRPr="79E303FA">
        <w:rPr>
          <w:b/>
          <w:bCs/>
        </w:rPr>
        <w:t>end of s</w:t>
      </w:r>
      <w:r w:rsidR="0035275C" w:rsidRPr="79E303FA">
        <w:rPr>
          <w:b/>
          <w:bCs/>
        </w:rPr>
        <w:t xml:space="preserve">tage </w:t>
      </w:r>
      <w:r w:rsidR="00DA5E35" w:rsidRPr="79E303FA">
        <w:rPr>
          <w:b/>
          <w:bCs/>
        </w:rPr>
        <w:t>1B</w:t>
      </w:r>
      <w:r w:rsidR="0035275C" w:rsidRPr="79E303FA">
        <w:rPr>
          <w:b/>
          <w:bCs/>
        </w:rPr>
        <w:t xml:space="preserve">) </w:t>
      </w:r>
      <w:r w:rsidR="00164A85">
        <w:t>–</w:t>
      </w:r>
      <w:r w:rsidR="0026141B">
        <w:t xml:space="preserve"> </w:t>
      </w:r>
      <w:r w:rsidR="00015144">
        <w:t xml:space="preserve">The timing of the debt recovery fee under </w:t>
      </w:r>
      <w:r w:rsidR="000209FA">
        <w:t xml:space="preserve">Option </w:t>
      </w:r>
      <w:r w:rsidR="00B61A41">
        <w:t>3</w:t>
      </w:r>
      <w:r w:rsidR="000209FA">
        <w:t xml:space="preserve"> </w:t>
      </w:r>
      <w:r w:rsidR="00326A93">
        <w:t xml:space="preserve">scores marginally higher than the flat debt recovery fee </w:t>
      </w:r>
      <w:r w:rsidR="00D90057">
        <w:t>in Option 1,</w:t>
      </w:r>
      <w:r w:rsidR="00326A93">
        <w:t xml:space="preserve"> </w:t>
      </w:r>
      <w:r w:rsidR="00D90057">
        <w:t xml:space="preserve">as </w:t>
      </w:r>
      <w:r w:rsidR="00D622DA">
        <w:t xml:space="preserve">it provides a </w:t>
      </w:r>
      <w:r w:rsidR="00E821F3">
        <w:t xml:space="preserve">grace period for renters to pay their overdue debts without </w:t>
      </w:r>
      <w:r w:rsidR="00FD7A97">
        <w:t>being charged</w:t>
      </w:r>
      <w:r w:rsidR="00E821F3">
        <w:t xml:space="preserve"> a fee. </w:t>
      </w:r>
      <w:r w:rsidR="003D56F7">
        <w:t>L</w:t>
      </w:r>
      <w:r w:rsidR="00E96962">
        <w:t>ate paying</w:t>
      </w:r>
      <w:r w:rsidR="00436C5C">
        <w:t xml:space="preserve"> </w:t>
      </w:r>
      <w:r w:rsidR="00DC3789">
        <w:t xml:space="preserve">renters under this Option will pay a slightly higher debt recovery fee to cover the cost of </w:t>
      </w:r>
      <w:r w:rsidR="00940BBB">
        <w:t xml:space="preserve">Government’s </w:t>
      </w:r>
      <w:r w:rsidR="00DC3789">
        <w:t>internal debt recovery activities</w:t>
      </w:r>
      <w:r w:rsidR="00E96962">
        <w:t>, noting</w:t>
      </w:r>
      <w:r w:rsidR="00F51E67">
        <w:t xml:space="preserve"> that </w:t>
      </w:r>
      <w:r w:rsidR="009B5375">
        <w:t>renters who pay their debts late but before referral to a DCA are not charged a fee</w:t>
      </w:r>
      <w:r w:rsidR="00FF277B">
        <w:t xml:space="preserve"> and therefore do not contribute to these costs</w:t>
      </w:r>
      <w:r w:rsidR="00A54946">
        <w:t xml:space="preserve">. </w:t>
      </w:r>
      <w:r w:rsidR="005B37DA">
        <w:t>While this is</w:t>
      </w:r>
      <w:r w:rsidR="00B54FCD">
        <w:t xml:space="preserve"> a </w:t>
      </w:r>
      <w:r w:rsidR="00FF277B">
        <w:t>slightly</w:t>
      </w:r>
      <w:r w:rsidR="00B54FCD">
        <w:t xml:space="preserve"> less equitable outcome</w:t>
      </w:r>
      <w:r w:rsidR="00CD7D11">
        <w:t xml:space="preserve"> for </w:t>
      </w:r>
      <w:r w:rsidR="006714C9">
        <w:t>the</w:t>
      </w:r>
      <w:r w:rsidR="00005423">
        <w:t xml:space="preserve"> </w:t>
      </w:r>
      <w:r w:rsidR="00CD7D11">
        <w:t>renters</w:t>
      </w:r>
      <w:r w:rsidR="006714C9">
        <w:t xml:space="preserve"> who do pay this fee</w:t>
      </w:r>
      <w:r w:rsidR="00CD7D11">
        <w:t xml:space="preserve">, </w:t>
      </w:r>
      <w:r w:rsidR="008612C9">
        <w:t>on</w:t>
      </w:r>
      <w:r w:rsidR="0096709D">
        <w:t xml:space="preserve"> balance, it has been assessed that Option </w:t>
      </w:r>
      <w:r w:rsidR="003924AE">
        <w:t xml:space="preserve">3 </w:t>
      </w:r>
      <w:r w:rsidR="0096709D">
        <w:t>scores higher than Option 1</w:t>
      </w:r>
      <w:r w:rsidR="00940B28">
        <w:t>. This is because</w:t>
      </w:r>
      <w:r w:rsidR="00CF2B6B">
        <w:t xml:space="preserve"> the </w:t>
      </w:r>
      <w:r w:rsidR="00940B28">
        <w:t>Option 3</w:t>
      </w:r>
      <w:r w:rsidR="00CF2B6B">
        <w:t xml:space="preserve"> debt recovery</w:t>
      </w:r>
      <w:r w:rsidR="003E54D5">
        <w:t xml:space="preserve"> fee is </w:t>
      </w:r>
      <w:r w:rsidR="00940B28">
        <w:t>only minimally higher than the fee in Option 1</w:t>
      </w:r>
      <w:r w:rsidR="003E54D5">
        <w:t xml:space="preserve"> and </w:t>
      </w:r>
      <w:r w:rsidR="00FF703E">
        <w:t xml:space="preserve">renters are </w:t>
      </w:r>
      <w:r w:rsidR="00940B28">
        <w:t>already</w:t>
      </w:r>
      <w:r w:rsidR="00FF703E">
        <w:t xml:space="preserve"> given a 4-week period to repay their debt before </w:t>
      </w:r>
      <w:r w:rsidR="00940B28">
        <w:t>this</w:t>
      </w:r>
      <w:r w:rsidR="00FF703E">
        <w:t xml:space="preserve"> fee is charged.</w:t>
      </w:r>
    </w:p>
    <w:p w14:paraId="5BD81858" w14:textId="13B44C13" w:rsidR="0026141B" w:rsidRDefault="0026141B" w:rsidP="0026141B">
      <w:pPr>
        <w:pStyle w:val="DJCSbody"/>
        <w:ind w:left="0"/>
      </w:pPr>
      <w:r>
        <w:t xml:space="preserve">A score of </w:t>
      </w:r>
      <w:r w:rsidRPr="007C055A">
        <w:rPr>
          <w:b/>
          <w:bCs/>
        </w:rPr>
        <w:t>-</w:t>
      </w:r>
      <w:r w:rsidR="00F976F7">
        <w:rPr>
          <w:b/>
          <w:bCs/>
        </w:rPr>
        <w:t>3.5</w:t>
      </w:r>
      <w:r w:rsidR="00F976F7">
        <w:t xml:space="preserve"> </w:t>
      </w:r>
      <w:r>
        <w:t>is assigned for this criterion.</w:t>
      </w:r>
    </w:p>
    <w:p w14:paraId="0C2ABDEA" w14:textId="66C53F7C" w:rsidR="00EB33A4" w:rsidRDefault="002C6183" w:rsidP="00EB33A4">
      <w:pPr>
        <w:pStyle w:val="DJCSbody"/>
        <w:ind w:left="0"/>
      </w:pPr>
      <w:r w:rsidRPr="008371E2">
        <w:rPr>
          <w:b/>
        </w:rPr>
        <w:t xml:space="preserve">Option </w:t>
      </w:r>
      <w:r w:rsidR="005A35C2">
        <w:rPr>
          <w:b/>
        </w:rPr>
        <w:t>4</w:t>
      </w:r>
      <w:r w:rsidR="00DA5E35">
        <w:rPr>
          <w:b/>
        </w:rPr>
        <w:t>:</w:t>
      </w:r>
      <w:r w:rsidRPr="008371E2">
        <w:rPr>
          <w:b/>
        </w:rPr>
        <w:t xml:space="preserve"> </w:t>
      </w:r>
      <w:r w:rsidR="005738A3">
        <w:rPr>
          <w:b/>
        </w:rPr>
        <w:t>P</w:t>
      </w:r>
      <w:r w:rsidRPr="008371E2">
        <w:rPr>
          <w:b/>
        </w:rPr>
        <w:t>ercentage debt recovery fee for debts</w:t>
      </w:r>
      <w:r w:rsidR="00164A85">
        <w:rPr>
          <w:b/>
          <w:bCs/>
        </w:rPr>
        <w:t xml:space="preserve"> </w:t>
      </w:r>
      <w:r w:rsidR="007C7F1B">
        <w:rPr>
          <w:b/>
        </w:rPr>
        <w:t>referred to a DCA</w:t>
      </w:r>
      <w:r w:rsidR="00164A85" w:rsidDel="007C7F1B">
        <w:rPr>
          <w:b/>
          <w:bCs/>
        </w:rPr>
        <w:t xml:space="preserve"> </w:t>
      </w:r>
      <w:r w:rsidR="0035275C">
        <w:rPr>
          <w:b/>
          <w:bCs/>
        </w:rPr>
        <w:t>(</w:t>
      </w:r>
      <w:r w:rsidR="00DA5E35">
        <w:rPr>
          <w:b/>
          <w:bCs/>
        </w:rPr>
        <w:t>end of stage 1B</w:t>
      </w:r>
      <w:r w:rsidR="0035275C">
        <w:rPr>
          <w:b/>
          <w:bCs/>
        </w:rPr>
        <w:t>)</w:t>
      </w:r>
      <w:r w:rsidR="00DA5E35">
        <w:rPr>
          <w:b/>
          <w:bCs/>
        </w:rPr>
        <w:t xml:space="preserve"> </w:t>
      </w:r>
      <w:r w:rsidR="00F57AAF">
        <w:t>–</w:t>
      </w:r>
      <w:r w:rsidR="00EB33A4">
        <w:t xml:space="preserve"> </w:t>
      </w:r>
      <w:r w:rsidR="00EE6BC9">
        <w:t xml:space="preserve">The </w:t>
      </w:r>
      <w:r w:rsidR="00F66AFB">
        <w:t xml:space="preserve">equity considerations </w:t>
      </w:r>
      <w:r w:rsidR="00E216DF">
        <w:t>related to</w:t>
      </w:r>
      <w:r w:rsidR="00F66AFB">
        <w:t xml:space="preserve"> the timing of the debt recovery fee</w:t>
      </w:r>
      <w:r w:rsidR="00EE6BC9">
        <w:t xml:space="preserve"> </w:t>
      </w:r>
      <w:r w:rsidR="00E216DF">
        <w:t>in</w:t>
      </w:r>
      <w:r w:rsidR="00EB33A4">
        <w:t xml:space="preserve"> </w:t>
      </w:r>
      <w:r w:rsidR="00F57AAF">
        <w:t xml:space="preserve">Option </w:t>
      </w:r>
      <w:r w:rsidR="00172D80">
        <w:t>4 are</w:t>
      </w:r>
      <w:r w:rsidR="00EE6BC9">
        <w:t xml:space="preserve"> </w:t>
      </w:r>
      <w:r w:rsidR="00E216DF">
        <w:t>the same as</w:t>
      </w:r>
      <w:r w:rsidR="00EE6BC9">
        <w:t xml:space="preserve"> Option </w:t>
      </w:r>
      <w:r w:rsidR="00172D80">
        <w:t>3</w:t>
      </w:r>
      <w:r w:rsidR="00541C9B">
        <w:t xml:space="preserve">; that is, a </w:t>
      </w:r>
      <w:r w:rsidR="000617CB">
        <w:t xml:space="preserve">debt recovery fee at </w:t>
      </w:r>
      <w:r w:rsidR="00AD5F4F">
        <w:t>the point of</w:t>
      </w:r>
      <w:r w:rsidR="000617CB">
        <w:t xml:space="preserve"> DCA referral is considered slightly more equitable than </w:t>
      </w:r>
      <w:r w:rsidR="004A4C3D">
        <w:t xml:space="preserve">a fee for all </w:t>
      </w:r>
      <w:r w:rsidR="00507E2B">
        <w:t>late payments, as in Option</w:t>
      </w:r>
      <w:r w:rsidR="00172D80">
        <w:t>s</w:t>
      </w:r>
      <w:r w:rsidR="00507E2B">
        <w:t xml:space="preserve"> 1</w:t>
      </w:r>
      <w:r w:rsidR="00172D80">
        <w:t xml:space="preserve"> and 2</w:t>
      </w:r>
      <w:r w:rsidR="00E216DF">
        <w:t>.</w:t>
      </w:r>
      <w:r w:rsidR="00EE6BC9">
        <w:t xml:space="preserve"> </w:t>
      </w:r>
      <w:r w:rsidR="00BB3CF9">
        <w:t xml:space="preserve">Similarly to Option 2, </w:t>
      </w:r>
      <w:r w:rsidR="00EB33A4">
        <w:t xml:space="preserve">Option </w:t>
      </w:r>
      <w:r w:rsidR="00BB3CF9">
        <w:t xml:space="preserve">4 </w:t>
      </w:r>
      <w:r w:rsidR="00EB33A4">
        <w:t xml:space="preserve">scores </w:t>
      </w:r>
      <w:r w:rsidR="006C2E24">
        <w:t>higher than Option</w:t>
      </w:r>
      <w:r w:rsidR="007C6C23">
        <w:t xml:space="preserve">s 1 and </w:t>
      </w:r>
      <w:r w:rsidR="00BB3CF9">
        <w:t>3</w:t>
      </w:r>
      <w:r w:rsidR="00EB33A4">
        <w:t xml:space="preserve">, given </w:t>
      </w:r>
      <w:r w:rsidR="006C2E24">
        <w:t xml:space="preserve">the debt recovery fee charged is proportionate to the debt incurred and may be less burdensome </w:t>
      </w:r>
      <w:r w:rsidR="00937005">
        <w:t xml:space="preserve">for </w:t>
      </w:r>
      <w:r w:rsidR="00EB33A4">
        <w:t xml:space="preserve">renters </w:t>
      </w:r>
      <w:r w:rsidR="00937005">
        <w:t>with</w:t>
      </w:r>
      <w:r w:rsidR="00EB33A4">
        <w:t xml:space="preserve"> a small amount of debt owing,</w:t>
      </w:r>
      <w:r w:rsidR="00937005">
        <w:t xml:space="preserve"> in comparison to a flat debt recovery fee option</w:t>
      </w:r>
      <w:r w:rsidR="00EB33A4">
        <w:t xml:space="preserve">. </w:t>
      </w:r>
    </w:p>
    <w:p w14:paraId="09F2C333" w14:textId="1A9FB480" w:rsidR="00BB05D9" w:rsidRPr="00C717E1" w:rsidRDefault="00BB05D9" w:rsidP="00BB05D9">
      <w:pPr>
        <w:pStyle w:val="DJCSbody"/>
        <w:ind w:left="0"/>
      </w:pPr>
      <w:r>
        <w:t xml:space="preserve">A score of </w:t>
      </w:r>
      <w:r w:rsidRPr="007C055A">
        <w:rPr>
          <w:b/>
          <w:bCs/>
        </w:rPr>
        <w:t>-</w:t>
      </w:r>
      <w:r>
        <w:rPr>
          <w:b/>
          <w:bCs/>
        </w:rPr>
        <w:t>3</w:t>
      </w:r>
      <w:r>
        <w:t xml:space="preserve"> is assigned for this criterion.</w:t>
      </w:r>
    </w:p>
    <w:p w14:paraId="60509193" w14:textId="1CCAC81C" w:rsidR="00AF2CA4" w:rsidRPr="00D51C5B" w:rsidRDefault="00AF2CA4" w:rsidP="00AF2CA4">
      <w:pPr>
        <w:pStyle w:val="Heading4"/>
        <w:ind w:left="0"/>
        <w:rPr>
          <w:rFonts w:cs="Arial"/>
          <w:b w:val="0"/>
          <w:bCs w:val="0"/>
          <w:i/>
          <w:iCs/>
          <w:color w:val="000000" w:themeColor="text1"/>
          <w:kern w:val="24"/>
        </w:rPr>
      </w:pPr>
      <w:r>
        <w:t xml:space="preserve">Simplicity: </w:t>
      </w:r>
      <w:r w:rsidR="00617C49" w:rsidRPr="00617C49">
        <w:rPr>
          <w:rFonts w:cs="Arial"/>
          <w:b w:val="0"/>
          <w:bCs w:val="0"/>
          <w:i/>
          <w:iCs/>
          <w:color w:val="000000" w:themeColor="text1"/>
          <w:kern w:val="24"/>
        </w:rPr>
        <w:t>The fee should be easy to understand and simple to administer</w:t>
      </w:r>
    </w:p>
    <w:p w14:paraId="0DED948A" w14:textId="7507376D" w:rsidR="00AF2CA4" w:rsidRDefault="00AF2CA4" w:rsidP="00AF2CA4">
      <w:pPr>
        <w:pStyle w:val="DJCSbody"/>
        <w:ind w:left="0"/>
      </w:pPr>
      <w:r>
        <w:t xml:space="preserve">Across all options, prescribing a debt recovery fee for the PRBS </w:t>
      </w:r>
      <w:r w:rsidR="00617C49">
        <w:t>is less easy to understand and less simple to administer than the base case</w:t>
      </w:r>
      <w:r>
        <w:t xml:space="preserve">. For this reason, all options score negatively compared to the base case. </w:t>
      </w:r>
      <w:r w:rsidR="00A63FCB">
        <w:t xml:space="preserve">However, </w:t>
      </w:r>
      <w:r w:rsidR="00A836E5">
        <w:t>the</w:t>
      </w:r>
      <w:r w:rsidR="00612915">
        <w:t xml:space="preserve"> </w:t>
      </w:r>
      <w:r w:rsidR="00A63FCB">
        <w:t>flat debt recovery fee options</w:t>
      </w:r>
      <w:r w:rsidR="00A836E5">
        <w:t xml:space="preserve"> of Option 1 and Option 3</w:t>
      </w:r>
      <w:r w:rsidR="00A63FCB">
        <w:t xml:space="preserve"> are </w:t>
      </w:r>
      <w:r w:rsidR="00612915">
        <w:t xml:space="preserve">considered </w:t>
      </w:r>
      <w:r w:rsidR="00A836E5">
        <w:t xml:space="preserve">equally simpler to understand and administer than the percentage-based fee options in Option 2 and Option 4, which also score equally. </w:t>
      </w:r>
    </w:p>
    <w:p w14:paraId="6E682754" w14:textId="09720857" w:rsidR="00AF2CA4" w:rsidRPr="00D96F95" w:rsidRDefault="00AF2CA4" w:rsidP="00AF2CA4">
      <w:pPr>
        <w:pStyle w:val="DJCSbody"/>
        <w:ind w:left="0"/>
      </w:pPr>
      <w:r w:rsidRPr="79E303FA">
        <w:rPr>
          <w:b/>
          <w:bCs/>
        </w:rPr>
        <w:t>Option 1: Flat debt recovery fee for all overdue debts (start of stage 1B)</w:t>
      </w:r>
      <w:r>
        <w:t xml:space="preserve"> –</w:t>
      </w:r>
      <w:r w:rsidRPr="79E303FA">
        <w:rPr>
          <w:b/>
          <w:bCs/>
        </w:rPr>
        <w:t xml:space="preserve"> </w:t>
      </w:r>
      <w:r>
        <w:t xml:space="preserve">Option 1 </w:t>
      </w:r>
      <w:r w:rsidR="00E96305">
        <w:t>is considered to score moderately negative</w:t>
      </w:r>
      <w:r w:rsidR="00911810">
        <w:t>ly</w:t>
      </w:r>
      <w:r w:rsidR="00E96305">
        <w:t xml:space="preserve"> for simplicity</w:t>
      </w:r>
      <w:r w:rsidR="00911810">
        <w:t>,</w:t>
      </w:r>
      <w:r w:rsidR="00E96305">
        <w:t xml:space="preserve"> relative to the base case, as the existence of a debt recovery fee </w:t>
      </w:r>
      <w:r w:rsidR="0032399C">
        <w:t>may not always be easy for participants to understand and presents some administrative work for Government. However, the flat fee in this option is considered simpler than the percentage fee options in Option 2 and 4, hence why Option 1 and 3 score less negatively for simplicity than the other options.</w:t>
      </w:r>
    </w:p>
    <w:p w14:paraId="2CB9C05F" w14:textId="3DF7A445" w:rsidR="00AF2CA4" w:rsidRDefault="00AF2CA4" w:rsidP="00AF2CA4">
      <w:pPr>
        <w:pStyle w:val="DJCSbody"/>
        <w:ind w:left="0"/>
      </w:pPr>
      <w:r>
        <w:t xml:space="preserve">A score of </w:t>
      </w:r>
      <w:r w:rsidRPr="007C055A">
        <w:rPr>
          <w:b/>
          <w:bCs/>
        </w:rPr>
        <w:t>-</w:t>
      </w:r>
      <w:r w:rsidR="00FE7EF3">
        <w:rPr>
          <w:b/>
          <w:bCs/>
        </w:rPr>
        <w:t>3</w:t>
      </w:r>
      <w:r>
        <w:t xml:space="preserve"> is assigned for this criterion.</w:t>
      </w:r>
    </w:p>
    <w:p w14:paraId="6D15C3EA" w14:textId="519FCB54" w:rsidR="00AF2CA4" w:rsidRPr="00CA1545" w:rsidRDefault="00AF2CA4" w:rsidP="00AF2CA4">
      <w:pPr>
        <w:pStyle w:val="DJCSbody"/>
        <w:ind w:left="0"/>
      </w:pPr>
      <w:r w:rsidRPr="00DC18E7">
        <w:rPr>
          <w:b/>
          <w:bCs/>
        </w:rPr>
        <w:t xml:space="preserve">Option 2: </w:t>
      </w:r>
      <w:r>
        <w:rPr>
          <w:b/>
          <w:bCs/>
        </w:rPr>
        <w:t>P</w:t>
      </w:r>
      <w:r w:rsidRPr="00DC18E7">
        <w:rPr>
          <w:b/>
          <w:bCs/>
        </w:rPr>
        <w:t>ercentage-based debt recovery fee for all overdue debts (</w:t>
      </w:r>
      <w:r>
        <w:rPr>
          <w:b/>
          <w:bCs/>
        </w:rPr>
        <w:t>start of s</w:t>
      </w:r>
      <w:r w:rsidRPr="00DC18E7">
        <w:rPr>
          <w:b/>
          <w:bCs/>
        </w:rPr>
        <w:t xml:space="preserve">tage 1B) </w:t>
      </w:r>
      <w:r w:rsidRPr="00CA1545">
        <w:t xml:space="preserve">– </w:t>
      </w:r>
      <w:r>
        <w:t xml:space="preserve">Option 2 </w:t>
      </w:r>
      <w:r w:rsidR="0032399C">
        <w:t xml:space="preserve">is considered to score more negatively for simplicity, relative to the base case and relative to Option 1. </w:t>
      </w:r>
      <w:r w:rsidR="00E85507">
        <w:t xml:space="preserve">This is because a percentage-based fee is considered less easy to understand and administer than a flat fee option, which is a blanket amount charged to all debt-owing renters equally. </w:t>
      </w:r>
    </w:p>
    <w:p w14:paraId="7709EC2E" w14:textId="56F78476" w:rsidR="00AF2CA4" w:rsidRDefault="00AF2CA4" w:rsidP="00AF2CA4">
      <w:pPr>
        <w:pStyle w:val="DJCSbody"/>
        <w:ind w:left="0"/>
      </w:pPr>
      <w:r>
        <w:t xml:space="preserve">A score of </w:t>
      </w:r>
      <w:r w:rsidRPr="001F576E">
        <w:rPr>
          <w:b/>
        </w:rPr>
        <w:t>-</w:t>
      </w:r>
      <w:r>
        <w:rPr>
          <w:b/>
        </w:rPr>
        <w:t>5</w:t>
      </w:r>
      <w:r w:rsidRPr="001F576E">
        <w:rPr>
          <w:b/>
        </w:rPr>
        <w:t xml:space="preserve"> </w:t>
      </w:r>
      <w:r>
        <w:t xml:space="preserve">is assigned for this criterion. </w:t>
      </w:r>
    </w:p>
    <w:p w14:paraId="52B68A6F" w14:textId="386AD028" w:rsidR="00AF2CA4" w:rsidRDefault="00AF2CA4" w:rsidP="00AF2CA4">
      <w:pPr>
        <w:pStyle w:val="DJCSbody"/>
        <w:ind w:left="0"/>
      </w:pPr>
      <w:r w:rsidRPr="008371E2">
        <w:rPr>
          <w:b/>
        </w:rPr>
        <w:t xml:space="preserve">Option </w:t>
      </w:r>
      <w:r>
        <w:rPr>
          <w:b/>
        </w:rPr>
        <w:t>3:</w:t>
      </w:r>
      <w:r w:rsidRPr="008371E2">
        <w:rPr>
          <w:b/>
        </w:rPr>
        <w:t xml:space="preserve"> </w:t>
      </w:r>
      <w:r>
        <w:rPr>
          <w:b/>
        </w:rPr>
        <w:t>F</w:t>
      </w:r>
      <w:r w:rsidRPr="008371E2">
        <w:rPr>
          <w:b/>
        </w:rPr>
        <w:t>lat debt recovery fee for debts</w:t>
      </w:r>
      <w:r>
        <w:rPr>
          <w:b/>
        </w:rPr>
        <w:t xml:space="preserve"> referred to a DCA</w:t>
      </w:r>
      <w:r w:rsidRPr="008371E2" w:rsidDel="00046C41">
        <w:rPr>
          <w:b/>
        </w:rPr>
        <w:t xml:space="preserve"> </w:t>
      </w:r>
      <w:r>
        <w:rPr>
          <w:b/>
          <w:bCs/>
        </w:rPr>
        <w:t xml:space="preserve">(end of stage 1B) </w:t>
      </w:r>
      <w:r>
        <w:t>–</w:t>
      </w:r>
      <w:r w:rsidR="00E85507">
        <w:t xml:space="preserve"> As outlined for Option 1, flat debt recovery fee options such as in Option 3 score </w:t>
      </w:r>
      <w:r w:rsidR="00E85507">
        <w:rPr>
          <w:bCs/>
        </w:rPr>
        <w:t xml:space="preserve">moderately negatively for simplicity, relative to the base case, but score less negatively relative to percentage-based fee options. Option 3 scores equally to </w:t>
      </w:r>
      <w:r w:rsidR="00E85507">
        <w:rPr>
          <w:bCs/>
        </w:rPr>
        <w:lastRenderedPageBreak/>
        <w:t xml:space="preserve">Option 1 for simplicity. This is because </w:t>
      </w:r>
      <w:r w:rsidR="00BF08F7">
        <w:rPr>
          <w:bCs/>
        </w:rPr>
        <w:t xml:space="preserve">it is understood that there is not a difference in the ease of administration </w:t>
      </w:r>
      <w:r w:rsidR="00955344">
        <w:rPr>
          <w:bCs/>
        </w:rPr>
        <w:t xml:space="preserve">if the debt recovery fee is charged at the start or end of stage 1B.  </w:t>
      </w:r>
    </w:p>
    <w:p w14:paraId="3FE9A98D" w14:textId="2A67E206" w:rsidR="00AF2CA4" w:rsidRDefault="00AF2CA4" w:rsidP="00AF2CA4">
      <w:pPr>
        <w:pStyle w:val="DJCSbody"/>
        <w:ind w:left="0"/>
      </w:pPr>
      <w:r>
        <w:t xml:space="preserve">A score of </w:t>
      </w:r>
      <w:r w:rsidRPr="007C055A">
        <w:rPr>
          <w:b/>
          <w:bCs/>
        </w:rPr>
        <w:t>-</w:t>
      </w:r>
      <w:r>
        <w:rPr>
          <w:b/>
          <w:bCs/>
        </w:rPr>
        <w:t>3</w:t>
      </w:r>
      <w:r>
        <w:t xml:space="preserve"> is assigned for this criterion.</w:t>
      </w:r>
    </w:p>
    <w:p w14:paraId="021A6F47" w14:textId="28B5D78F" w:rsidR="00AF2CA4" w:rsidRDefault="00AF2CA4" w:rsidP="00AF2CA4">
      <w:pPr>
        <w:pStyle w:val="DJCSbody"/>
        <w:ind w:left="0"/>
      </w:pPr>
      <w:r w:rsidRPr="008371E2">
        <w:rPr>
          <w:b/>
        </w:rPr>
        <w:t xml:space="preserve">Option </w:t>
      </w:r>
      <w:r>
        <w:rPr>
          <w:b/>
        </w:rPr>
        <w:t>4:</w:t>
      </w:r>
      <w:r w:rsidRPr="008371E2">
        <w:rPr>
          <w:b/>
        </w:rPr>
        <w:t xml:space="preserve"> </w:t>
      </w:r>
      <w:r>
        <w:rPr>
          <w:b/>
        </w:rPr>
        <w:t>P</w:t>
      </w:r>
      <w:r w:rsidRPr="008371E2">
        <w:rPr>
          <w:b/>
        </w:rPr>
        <w:t>ercentage debt recovery fee for debts</w:t>
      </w:r>
      <w:r>
        <w:rPr>
          <w:b/>
          <w:bCs/>
        </w:rPr>
        <w:t xml:space="preserve"> </w:t>
      </w:r>
      <w:r>
        <w:rPr>
          <w:b/>
        </w:rPr>
        <w:t>referred to a DCA</w:t>
      </w:r>
      <w:r w:rsidDel="007C7F1B">
        <w:rPr>
          <w:b/>
          <w:bCs/>
        </w:rPr>
        <w:t xml:space="preserve"> </w:t>
      </w:r>
      <w:r>
        <w:rPr>
          <w:b/>
          <w:bCs/>
        </w:rPr>
        <w:t xml:space="preserve">(end of stage 1B) </w:t>
      </w:r>
      <w:r>
        <w:t>–</w:t>
      </w:r>
      <w:r w:rsidR="00A63FCB">
        <w:t xml:space="preserve"> </w:t>
      </w:r>
      <w:r w:rsidR="00955344">
        <w:t xml:space="preserve">Option 4 </w:t>
      </w:r>
      <w:r w:rsidR="00F157D1">
        <w:t>also scores negatively for simplicity, relative to the base case and relative to Options 1 and 3</w:t>
      </w:r>
      <w:r w:rsidR="008D38FE">
        <w:t xml:space="preserve">. Similarly to Option 2, the percentage-based fee option is considered less simple to understand or administer than a flat fee option, as percentage-based fee creates different fee amounts for every debt-owing renter. However, like Options 1 and 3, Option 4 scores equally to Option 2 as both percentage-based fee options are </w:t>
      </w:r>
      <w:r w:rsidR="0063417B">
        <w:t>equally simple to administer, regardless of whether they will be charged at the start or end of stage 1B.</w:t>
      </w:r>
    </w:p>
    <w:p w14:paraId="374265FC" w14:textId="771AC814" w:rsidR="00AF2CA4" w:rsidRPr="00C717E1" w:rsidRDefault="00AF2CA4" w:rsidP="00C717E1">
      <w:pPr>
        <w:pStyle w:val="DJCSbody"/>
        <w:ind w:left="0"/>
      </w:pPr>
      <w:r>
        <w:t xml:space="preserve">A score of </w:t>
      </w:r>
      <w:r w:rsidRPr="007C055A">
        <w:rPr>
          <w:b/>
          <w:bCs/>
        </w:rPr>
        <w:t>-</w:t>
      </w:r>
      <w:r w:rsidR="00FE7EF3">
        <w:rPr>
          <w:b/>
          <w:bCs/>
        </w:rPr>
        <w:t>5</w:t>
      </w:r>
      <w:r>
        <w:t xml:space="preserve"> is assigned for this criterion.</w:t>
      </w:r>
    </w:p>
    <w:p w14:paraId="32A00916" w14:textId="77777777" w:rsidR="00B56574" w:rsidRDefault="0049648C" w:rsidP="00CA3C50">
      <w:pPr>
        <w:pStyle w:val="Heading3"/>
      </w:pPr>
      <w:r>
        <w:t xml:space="preserve">Summary of </w:t>
      </w:r>
      <w:r w:rsidR="00D45E6A">
        <w:t>MCA fees assessment</w:t>
      </w:r>
    </w:p>
    <w:p w14:paraId="5FC178CD" w14:textId="708AA6A8" w:rsidR="00031968" w:rsidRDefault="00845EC8" w:rsidP="007B5E9D">
      <w:pPr>
        <w:pStyle w:val="DJCSbody"/>
        <w:ind w:left="0"/>
      </w:pPr>
      <w:r>
        <w:t xml:space="preserve">The table below outlines </w:t>
      </w:r>
      <w:r w:rsidR="00A91457">
        <w:t xml:space="preserve">the results </w:t>
      </w:r>
      <w:r w:rsidR="00745C62">
        <w:t xml:space="preserve">of the </w:t>
      </w:r>
      <w:r>
        <w:t xml:space="preserve">MCA </w:t>
      </w:r>
      <w:r w:rsidR="006157C5">
        <w:t xml:space="preserve">for </w:t>
      </w:r>
      <w:r w:rsidR="00F01137">
        <w:t xml:space="preserve">the debt recovery </w:t>
      </w:r>
      <w:r>
        <w:t>fee options.</w:t>
      </w:r>
      <w:r w:rsidR="007B5E9D">
        <w:t xml:space="preserve"> </w:t>
      </w:r>
      <w:r w:rsidR="002C2916">
        <w:t>The weighted score</w:t>
      </w:r>
      <w:r w:rsidR="00B31471">
        <w:t xml:space="preserve"> for each option</w:t>
      </w:r>
      <w:r w:rsidR="002C2916">
        <w:t xml:space="preserve"> is calculated by </w:t>
      </w:r>
      <w:r w:rsidR="007E3782">
        <w:t xml:space="preserve">multiplying </w:t>
      </w:r>
      <w:r w:rsidR="00BB389D">
        <w:t xml:space="preserve">the score for each criterion by </w:t>
      </w:r>
      <w:r w:rsidR="00F37023">
        <w:t xml:space="preserve">the </w:t>
      </w:r>
      <w:r w:rsidR="00BB389D">
        <w:t>weight</w:t>
      </w:r>
      <w:r w:rsidR="00FC1379">
        <w:t xml:space="preserve"> for that </w:t>
      </w:r>
      <w:r w:rsidR="00940BBB">
        <w:t>criterion and</w:t>
      </w:r>
      <w:r w:rsidR="000F51B2">
        <w:t xml:space="preserve"> summing </w:t>
      </w:r>
      <w:r w:rsidR="00321F30">
        <w:t>the total to establish an overall weighted score for that option</w:t>
      </w:r>
      <w:r w:rsidR="00BB389D">
        <w:t xml:space="preserve">. </w:t>
      </w:r>
      <w:r w:rsidR="007B5E9D" w:rsidRPr="00383886">
        <w:t xml:space="preserve">Based on </w:t>
      </w:r>
      <w:r w:rsidR="007B5E9D" w:rsidRPr="0049648C">
        <w:t xml:space="preserve">the MCA </w:t>
      </w:r>
      <w:r w:rsidR="009274D4">
        <w:t>analysis</w:t>
      </w:r>
      <w:r w:rsidR="007B5E9D" w:rsidRPr="00383886">
        <w:t xml:space="preserve">, </w:t>
      </w:r>
      <w:r w:rsidR="007B5E9D" w:rsidRPr="0049648C">
        <w:t xml:space="preserve">Option </w:t>
      </w:r>
      <w:r w:rsidR="00031968">
        <w:t>1</w:t>
      </w:r>
      <w:r w:rsidR="007B5E9D">
        <w:t xml:space="preserve"> – </w:t>
      </w:r>
      <w:r w:rsidR="009274D4">
        <w:rPr>
          <w:i/>
        </w:rPr>
        <w:t xml:space="preserve">Flat </w:t>
      </w:r>
      <w:r w:rsidR="00031968" w:rsidRPr="00031968">
        <w:rPr>
          <w:i/>
        </w:rPr>
        <w:t xml:space="preserve">debt recovery fee for all overdue debts </w:t>
      </w:r>
      <w:r w:rsidR="007B5E9D" w:rsidRPr="00383886">
        <w:t xml:space="preserve">scores highest against </w:t>
      </w:r>
      <w:r w:rsidR="007B5E9D">
        <w:t xml:space="preserve">the </w:t>
      </w:r>
      <w:r w:rsidR="007B5E9D" w:rsidRPr="00383886">
        <w:t>qualitative criteria</w:t>
      </w:r>
      <w:r w:rsidR="007B5E9D">
        <w:t xml:space="preserve"> and is thus the preferred </w:t>
      </w:r>
      <w:r w:rsidR="00F75CF7">
        <w:t xml:space="preserve">debt recovery </w:t>
      </w:r>
      <w:r w:rsidR="007B5E9D">
        <w:t>fee for the PRB</w:t>
      </w:r>
      <w:r w:rsidR="00031968">
        <w:t>S.</w:t>
      </w:r>
    </w:p>
    <w:p w14:paraId="73EB1281" w14:textId="2A6BAC12" w:rsidR="00F74838" w:rsidRDefault="00F5349A" w:rsidP="00CA3C50">
      <w:pPr>
        <w:pStyle w:val="Caption"/>
      </w:pPr>
      <w:r>
        <w:t xml:space="preserve">Table </w:t>
      </w:r>
      <w:r w:rsidR="00672B8F">
        <w:t>17</w:t>
      </w:r>
      <w:r w:rsidR="00F74838">
        <w:t xml:space="preserve">: </w:t>
      </w:r>
      <w:r w:rsidR="009D7D88">
        <w:t>Weighted MCA scores by option</w:t>
      </w:r>
    </w:p>
    <w:tbl>
      <w:tblPr>
        <w:tblStyle w:val="DJRReporttablestyleNavy"/>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39"/>
        <w:gridCol w:w="1540"/>
        <w:gridCol w:w="1541"/>
        <w:gridCol w:w="1540"/>
        <w:gridCol w:w="1541"/>
        <w:gridCol w:w="1541"/>
      </w:tblGrid>
      <w:tr w:rsidR="00420237" w:rsidRPr="00B763BF" w14:paraId="765F9E81" w14:textId="0B7485B6" w:rsidTr="00D2349D">
        <w:trPr>
          <w:cnfStyle w:val="100000000000" w:firstRow="1" w:lastRow="0" w:firstColumn="0" w:lastColumn="0" w:oddVBand="0" w:evenVBand="0" w:oddHBand="0" w:evenHBand="0" w:firstRowFirstColumn="0" w:firstRowLastColumn="0" w:lastRowFirstColumn="0" w:lastRowLastColumn="0"/>
          <w:trHeight w:val="559"/>
          <w:tblHeader/>
        </w:trPr>
        <w:tc>
          <w:tcPr>
            <w:tcW w:w="1843" w:type="dxa"/>
            <w:shd w:val="clear" w:color="auto" w:fill="16145F" w:themeFill="accent3"/>
          </w:tcPr>
          <w:p w14:paraId="1C31CE82" w14:textId="7EC64B3E" w:rsidR="007C6C23" w:rsidRPr="001F576E" w:rsidRDefault="00B31471" w:rsidP="004E13B6">
            <w:pPr>
              <w:pStyle w:val="Body"/>
              <w:spacing w:after="0"/>
              <w:jc w:val="center"/>
              <w:rPr>
                <w:sz w:val="20"/>
                <w:szCs w:val="20"/>
              </w:rPr>
            </w:pPr>
            <w:r w:rsidRPr="00C65BE3">
              <w:rPr>
                <w:sz w:val="20"/>
                <w:szCs w:val="20"/>
              </w:rPr>
              <w:t>Criterion</w:t>
            </w:r>
          </w:p>
        </w:tc>
        <w:tc>
          <w:tcPr>
            <w:tcW w:w="939" w:type="dxa"/>
            <w:shd w:val="clear" w:color="auto" w:fill="16145F" w:themeFill="accent3"/>
          </w:tcPr>
          <w:p w14:paraId="5A979420" w14:textId="77777777" w:rsidR="007C6C23" w:rsidRPr="00B763BF" w:rsidRDefault="007C6C23" w:rsidP="004E13B6">
            <w:pPr>
              <w:pStyle w:val="Body"/>
              <w:spacing w:after="0"/>
              <w:jc w:val="center"/>
              <w:rPr>
                <w:b w:val="0"/>
                <w:bCs/>
                <w:sz w:val="20"/>
                <w:szCs w:val="20"/>
              </w:rPr>
            </w:pPr>
            <w:r w:rsidRPr="00B763BF">
              <w:rPr>
                <w:bCs/>
                <w:sz w:val="20"/>
                <w:szCs w:val="20"/>
              </w:rPr>
              <w:t>Weight</w:t>
            </w:r>
          </w:p>
        </w:tc>
        <w:tc>
          <w:tcPr>
            <w:tcW w:w="1540" w:type="dxa"/>
            <w:shd w:val="clear" w:color="auto" w:fill="16145F" w:themeFill="accent3"/>
          </w:tcPr>
          <w:p w14:paraId="0629F670" w14:textId="77777777" w:rsidR="007C6C23" w:rsidRPr="00B763BF" w:rsidRDefault="007C6C23" w:rsidP="004E13B6">
            <w:pPr>
              <w:pStyle w:val="Body"/>
              <w:spacing w:after="0"/>
              <w:jc w:val="center"/>
              <w:rPr>
                <w:b w:val="0"/>
                <w:bCs/>
                <w:sz w:val="20"/>
                <w:szCs w:val="20"/>
              </w:rPr>
            </w:pPr>
            <w:r w:rsidRPr="00B763BF">
              <w:rPr>
                <w:bCs/>
                <w:sz w:val="20"/>
                <w:szCs w:val="20"/>
              </w:rPr>
              <w:t>Base case</w:t>
            </w:r>
          </w:p>
        </w:tc>
        <w:tc>
          <w:tcPr>
            <w:tcW w:w="1541" w:type="dxa"/>
            <w:shd w:val="clear" w:color="auto" w:fill="16145F" w:themeFill="accent3"/>
          </w:tcPr>
          <w:p w14:paraId="31A74496" w14:textId="5D290FDF" w:rsidR="007C6C23" w:rsidRPr="00B763BF" w:rsidRDefault="007C6C23" w:rsidP="004E13B6">
            <w:pPr>
              <w:pStyle w:val="Body"/>
              <w:spacing w:after="0"/>
              <w:jc w:val="center"/>
              <w:rPr>
                <w:b w:val="0"/>
                <w:sz w:val="20"/>
                <w:szCs w:val="20"/>
              </w:rPr>
            </w:pPr>
            <w:r w:rsidRPr="00B763BF">
              <w:rPr>
                <w:sz w:val="20"/>
                <w:szCs w:val="20"/>
              </w:rPr>
              <w:t xml:space="preserve">Option </w:t>
            </w:r>
            <w:r w:rsidR="00A417CC">
              <w:rPr>
                <w:sz w:val="20"/>
                <w:szCs w:val="20"/>
              </w:rPr>
              <w:t>1</w:t>
            </w:r>
          </w:p>
        </w:tc>
        <w:tc>
          <w:tcPr>
            <w:tcW w:w="1540" w:type="dxa"/>
            <w:shd w:val="clear" w:color="auto" w:fill="16145F" w:themeFill="accent3"/>
          </w:tcPr>
          <w:p w14:paraId="78FEF11A" w14:textId="64DE69E3" w:rsidR="007C6C23" w:rsidRPr="00B763BF" w:rsidRDefault="007C6C23" w:rsidP="004E13B6">
            <w:pPr>
              <w:pStyle w:val="Body"/>
              <w:spacing w:after="0"/>
              <w:jc w:val="center"/>
              <w:rPr>
                <w:bCs/>
                <w:sz w:val="20"/>
                <w:szCs w:val="20"/>
              </w:rPr>
            </w:pPr>
            <w:r w:rsidRPr="00B763BF">
              <w:rPr>
                <w:bCs/>
                <w:sz w:val="20"/>
                <w:szCs w:val="20"/>
              </w:rPr>
              <w:t xml:space="preserve">Option </w:t>
            </w:r>
            <w:r w:rsidR="00A417CC">
              <w:rPr>
                <w:bCs/>
                <w:sz w:val="20"/>
                <w:szCs w:val="20"/>
              </w:rPr>
              <w:t>2</w:t>
            </w:r>
          </w:p>
        </w:tc>
        <w:tc>
          <w:tcPr>
            <w:tcW w:w="1541" w:type="dxa"/>
            <w:shd w:val="clear" w:color="auto" w:fill="16145F" w:themeFill="accent3"/>
          </w:tcPr>
          <w:p w14:paraId="67745EA4" w14:textId="34438550" w:rsidR="007C6C23" w:rsidRPr="00B763BF" w:rsidRDefault="007C6C23" w:rsidP="004E13B6">
            <w:pPr>
              <w:pStyle w:val="Body"/>
              <w:spacing w:after="0"/>
              <w:jc w:val="center"/>
              <w:rPr>
                <w:bCs/>
                <w:sz w:val="20"/>
                <w:szCs w:val="20"/>
              </w:rPr>
            </w:pPr>
            <w:r w:rsidRPr="00B763BF">
              <w:rPr>
                <w:bCs/>
                <w:sz w:val="20"/>
                <w:szCs w:val="20"/>
              </w:rPr>
              <w:t>Option</w:t>
            </w:r>
            <w:r w:rsidR="00A417CC">
              <w:rPr>
                <w:bCs/>
                <w:sz w:val="20"/>
                <w:szCs w:val="20"/>
              </w:rPr>
              <w:t xml:space="preserve"> 3</w:t>
            </w:r>
          </w:p>
        </w:tc>
        <w:tc>
          <w:tcPr>
            <w:tcW w:w="1541" w:type="dxa"/>
            <w:shd w:val="clear" w:color="auto" w:fill="16145F" w:themeFill="text2"/>
          </w:tcPr>
          <w:p w14:paraId="1BE9A003" w14:textId="477C3194" w:rsidR="00E83C71" w:rsidRPr="00B763BF" w:rsidRDefault="00D2349D" w:rsidP="004E13B6">
            <w:pPr>
              <w:pStyle w:val="Body"/>
              <w:spacing w:after="0"/>
              <w:jc w:val="center"/>
              <w:rPr>
                <w:bCs/>
                <w:sz w:val="20"/>
                <w:szCs w:val="20"/>
              </w:rPr>
            </w:pPr>
            <w:r>
              <w:rPr>
                <w:bCs/>
                <w:sz w:val="20"/>
                <w:szCs w:val="20"/>
              </w:rPr>
              <w:t>Option 4</w:t>
            </w:r>
          </w:p>
        </w:tc>
      </w:tr>
      <w:tr w:rsidR="007C6C23" w:rsidRPr="00B763BF" w14:paraId="459A1D41" w14:textId="1F9D8E56" w:rsidTr="00BE5ED9">
        <w:tc>
          <w:tcPr>
            <w:tcW w:w="1843" w:type="dxa"/>
            <w:vAlign w:val="center"/>
          </w:tcPr>
          <w:p w14:paraId="4D50AE67" w14:textId="77777777" w:rsidR="007C6C23" w:rsidRPr="00B763BF" w:rsidRDefault="007C6C23">
            <w:pPr>
              <w:pStyle w:val="Body"/>
              <w:jc w:val="left"/>
            </w:pPr>
            <w:r w:rsidRPr="00B763BF">
              <w:t>Effectiveness</w:t>
            </w:r>
          </w:p>
        </w:tc>
        <w:tc>
          <w:tcPr>
            <w:tcW w:w="939" w:type="dxa"/>
            <w:vAlign w:val="center"/>
          </w:tcPr>
          <w:p w14:paraId="2B3F82DB" w14:textId="7FB4F677" w:rsidR="007C6C23" w:rsidRPr="00B763BF" w:rsidRDefault="001D466B" w:rsidP="00A417CC">
            <w:pPr>
              <w:pStyle w:val="Body"/>
              <w:jc w:val="center"/>
            </w:pPr>
            <w:r>
              <w:rPr>
                <w:rFonts w:ascii="Aptos Narrow" w:hAnsi="Aptos Narrow"/>
                <w:color w:val="000000"/>
              </w:rPr>
              <w:t>25%</w:t>
            </w:r>
          </w:p>
        </w:tc>
        <w:tc>
          <w:tcPr>
            <w:tcW w:w="1540" w:type="dxa"/>
            <w:vAlign w:val="center"/>
          </w:tcPr>
          <w:p w14:paraId="3E8BD271" w14:textId="77777777" w:rsidR="007C6C23" w:rsidRPr="00B763BF" w:rsidRDefault="007C6C23">
            <w:pPr>
              <w:pStyle w:val="Body"/>
              <w:jc w:val="center"/>
            </w:pPr>
            <w:r w:rsidRPr="00B763BF">
              <w:rPr>
                <w:rFonts w:ascii="Arial" w:hAnsi="Arial" w:cs="Arial"/>
                <w:color w:val="000000"/>
              </w:rPr>
              <w:t>0</w:t>
            </w:r>
          </w:p>
        </w:tc>
        <w:tc>
          <w:tcPr>
            <w:tcW w:w="1541" w:type="dxa"/>
            <w:vAlign w:val="center"/>
          </w:tcPr>
          <w:p w14:paraId="638B519F" w14:textId="73C9E23D" w:rsidR="007C6C23" w:rsidRPr="00B763BF" w:rsidRDefault="001972BD">
            <w:pPr>
              <w:pStyle w:val="Body"/>
              <w:jc w:val="center"/>
            </w:pPr>
            <w:r>
              <w:rPr>
                <w:rFonts w:ascii="Aptos Narrow" w:hAnsi="Aptos Narrow"/>
                <w:color w:val="000000"/>
              </w:rPr>
              <w:t>-1</w:t>
            </w:r>
          </w:p>
        </w:tc>
        <w:tc>
          <w:tcPr>
            <w:tcW w:w="1540" w:type="dxa"/>
            <w:vAlign w:val="center"/>
          </w:tcPr>
          <w:p w14:paraId="72C7234A" w14:textId="4C3C85BD" w:rsidR="007C6C23" w:rsidRPr="00B763BF" w:rsidRDefault="007A1751">
            <w:pPr>
              <w:pStyle w:val="Body"/>
              <w:jc w:val="center"/>
              <w:rPr>
                <w:rFonts w:ascii="Arial" w:hAnsi="Arial" w:cs="Arial"/>
                <w:color w:val="000000"/>
              </w:rPr>
            </w:pPr>
            <w:r>
              <w:rPr>
                <w:rFonts w:ascii="Aptos Narrow" w:hAnsi="Aptos Narrow"/>
                <w:color w:val="000000"/>
              </w:rPr>
              <w:t>-1</w:t>
            </w:r>
          </w:p>
        </w:tc>
        <w:tc>
          <w:tcPr>
            <w:tcW w:w="1541" w:type="dxa"/>
            <w:vAlign w:val="center"/>
          </w:tcPr>
          <w:p w14:paraId="5CA1C89D" w14:textId="5C82EFF4" w:rsidR="007C6C23" w:rsidRPr="00B763BF" w:rsidRDefault="007A1751">
            <w:pPr>
              <w:pStyle w:val="Body"/>
              <w:jc w:val="center"/>
            </w:pPr>
            <w:r>
              <w:rPr>
                <w:rFonts w:ascii="Aptos Narrow" w:hAnsi="Aptos Narrow"/>
                <w:color w:val="000000"/>
              </w:rPr>
              <w:t>-1</w:t>
            </w:r>
          </w:p>
        </w:tc>
        <w:tc>
          <w:tcPr>
            <w:tcW w:w="1541" w:type="dxa"/>
            <w:vAlign w:val="center"/>
          </w:tcPr>
          <w:p w14:paraId="4DE1C04D" w14:textId="704BC6A3" w:rsidR="00E83C71" w:rsidRPr="00B763BF" w:rsidRDefault="007A1751">
            <w:pPr>
              <w:pStyle w:val="Body"/>
              <w:jc w:val="center"/>
              <w:rPr>
                <w:rFonts w:ascii="Arial" w:hAnsi="Arial" w:cs="Arial"/>
                <w:color w:val="000000"/>
              </w:rPr>
            </w:pPr>
            <w:r>
              <w:rPr>
                <w:rFonts w:ascii="Aptos Narrow" w:hAnsi="Aptos Narrow"/>
                <w:color w:val="000000"/>
              </w:rPr>
              <w:t>-1</w:t>
            </w:r>
          </w:p>
        </w:tc>
      </w:tr>
      <w:tr w:rsidR="007C6C23" w:rsidRPr="00B763BF" w14:paraId="43FB824F" w14:textId="5702B8F2" w:rsidTr="00BE5ED9">
        <w:tc>
          <w:tcPr>
            <w:tcW w:w="1843" w:type="dxa"/>
            <w:vAlign w:val="center"/>
          </w:tcPr>
          <w:p w14:paraId="446127DF" w14:textId="77777777" w:rsidR="007C6C23" w:rsidRPr="00B763BF" w:rsidRDefault="007C6C23">
            <w:pPr>
              <w:pStyle w:val="Body"/>
              <w:jc w:val="left"/>
            </w:pPr>
            <w:r w:rsidRPr="00B763BF">
              <w:t xml:space="preserve">Efficiency </w:t>
            </w:r>
          </w:p>
        </w:tc>
        <w:tc>
          <w:tcPr>
            <w:tcW w:w="939" w:type="dxa"/>
            <w:vAlign w:val="center"/>
          </w:tcPr>
          <w:p w14:paraId="5E436702" w14:textId="26105127" w:rsidR="007C6C23" w:rsidRPr="00B763BF" w:rsidRDefault="001D466B" w:rsidP="00A417CC">
            <w:pPr>
              <w:pStyle w:val="Body"/>
              <w:jc w:val="center"/>
            </w:pPr>
            <w:r>
              <w:rPr>
                <w:rFonts w:ascii="Aptos Narrow" w:hAnsi="Aptos Narrow"/>
                <w:color w:val="000000"/>
              </w:rPr>
              <w:t>25%</w:t>
            </w:r>
          </w:p>
        </w:tc>
        <w:tc>
          <w:tcPr>
            <w:tcW w:w="1540" w:type="dxa"/>
            <w:vAlign w:val="center"/>
          </w:tcPr>
          <w:p w14:paraId="5AD39F20" w14:textId="77777777" w:rsidR="007C6C23" w:rsidRPr="00B763BF" w:rsidRDefault="007C6C23">
            <w:pPr>
              <w:pStyle w:val="Body"/>
              <w:jc w:val="center"/>
            </w:pPr>
            <w:r w:rsidRPr="00B763BF">
              <w:rPr>
                <w:rFonts w:ascii="Arial" w:hAnsi="Arial" w:cs="Arial"/>
                <w:color w:val="000000"/>
              </w:rPr>
              <w:t>0</w:t>
            </w:r>
          </w:p>
        </w:tc>
        <w:tc>
          <w:tcPr>
            <w:tcW w:w="1541" w:type="dxa"/>
            <w:vAlign w:val="center"/>
          </w:tcPr>
          <w:p w14:paraId="4061C2EF" w14:textId="5B061B69" w:rsidR="007C6C23" w:rsidRPr="00B763BF" w:rsidRDefault="001972BD">
            <w:pPr>
              <w:pStyle w:val="Body"/>
              <w:jc w:val="center"/>
            </w:pPr>
            <w:r>
              <w:rPr>
                <w:rFonts w:ascii="Aptos Narrow" w:hAnsi="Aptos Narrow"/>
                <w:color w:val="000000"/>
              </w:rPr>
              <w:t>9</w:t>
            </w:r>
          </w:p>
        </w:tc>
        <w:tc>
          <w:tcPr>
            <w:tcW w:w="1540" w:type="dxa"/>
            <w:vAlign w:val="center"/>
          </w:tcPr>
          <w:p w14:paraId="01801023" w14:textId="1456679C" w:rsidR="007C6C23" w:rsidRPr="00B763BF" w:rsidRDefault="007A1751">
            <w:pPr>
              <w:pStyle w:val="Body"/>
              <w:jc w:val="center"/>
              <w:rPr>
                <w:rFonts w:ascii="Arial" w:hAnsi="Arial" w:cs="Arial"/>
                <w:color w:val="000000"/>
              </w:rPr>
            </w:pPr>
            <w:r>
              <w:rPr>
                <w:rFonts w:ascii="Aptos Narrow" w:hAnsi="Aptos Narrow"/>
                <w:color w:val="000000"/>
              </w:rPr>
              <w:t>9</w:t>
            </w:r>
          </w:p>
        </w:tc>
        <w:tc>
          <w:tcPr>
            <w:tcW w:w="1541" w:type="dxa"/>
            <w:vAlign w:val="center"/>
          </w:tcPr>
          <w:p w14:paraId="28F7C2DE" w14:textId="51D184B1" w:rsidR="007C6C23" w:rsidRPr="00B763BF" w:rsidRDefault="007A1751">
            <w:pPr>
              <w:pStyle w:val="Body"/>
              <w:jc w:val="center"/>
            </w:pPr>
            <w:r>
              <w:rPr>
                <w:rFonts w:ascii="Aptos Narrow" w:hAnsi="Aptos Narrow"/>
                <w:color w:val="000000"/>
              </w:rPr>
              <w:t>9</w:t>
            </w:r>
          </w:p>
        </w:tc>
        <w:tc>
          <w:tcPr>
            <w:tcW w:w="1541" w:type="dxa"/>
            <w:vAlign w:val="center"/>
          </w:tcPr>
          <w:p w14:paraId="58088D85" w14:textId="6DDC5CE7" w:rsidR="00E83C71" w:rsidRPr="00B763BF" w:rsidRDefault="007A1751">
            <w:pPr>
              <w:pStyle w:val="Body"/>
              <w:jc w:val="center"/>
              <w:rPr>
                <w:rFonts w:ascii="Arial" w:hAnsi="Arial" w:cs="Arial"/>
                <w:color w:val="000000"/>
              </w:rPr>
            </w:pPr>
            <w:r>
              <w:rPr>
                <w:rFonts w:ascii="Aptos Narrow" w:hAnsi="Aptos Narrow"/>
                <w:color w:val="000000"/>
              </w:rPr>
              <w:t>9</w:t>
            </w:r>
          </w:p>
        </w:tc>
      </w:tr>
      <w:tr w:rsidR="00F02053" w:rsidRPr="00B763BF" w14:paraId="5AC11E13" w14:textId="77777777" w:rsidTr="00BE5ED9">
        <w:tc>
          <w:tcPr>
            <w:tcW w:w="1843" w:type="dxa"/>
            <w:vAlign w:val="center"/>
          </w:tcPr>
          <w:p w14:paraId="3DB5969C" w14:textId="2BDAB76C" w:rsidR="00F02053" w:rsidRPr="00B763BF" w:rsidRDefault="001D466B" w:rsidP="00F02053">
            <w:pPr>
              <w:pStyle w:val="Body"/>
              <w:jc w:val="left"/>
            </w:pPr>
            <w:r>
              <w:t>Equity</w:t>
            </w:r>
          </w:p>
        </w:tc>
        <w:tc>
          <w:tcPr>
            <w:tcW w:w="939" w:type="dxa"/>
            <w:vAlign w:val="center"/>
          </w:tcPr>
          <w:p w14:paraId="7A5FAB19" w14:textId="4EDC7557" w:rsidR="00F02053" w:rsidRPr="00B763BF" w:rsidRDefault="00F02053" w:rsidP="00F02053">
            <w:pPr>
              <w:pStyle w:val="Body"/>
              <w:jc w:val="center"/>
              <w:rPr>
                <w:rFonts w:ascii="Arial" w:hAnsi="Arial" w:cs="Arial"/>
                <w:color w:val="000000"/>
              </w:rPr>
            </w:pPr>
            <w:r>
              <w:rPr>
                <w:rFonts w:ascii="Aptos Narrow" w:hAnsi="Aptos Narrow"/>
                <w:color w:val="000000"/>
              </w:rPr>
              <w:t>20%</w:t>
            </w:r>
          </w:p>
        </w:tc>
        <w:tc>
          <w:tcPr>
            <w:tcW w:w="1540" w:type="dxa"/>
            <w:vAlign w:val="center"/>
          </w:tcPr>
          <w:p w14:paraId="4333CDE0" w14:textId="7A8E6737" w:rsidR="00F02053" w:rsidRPr="00B763BF" w:rsidRDefault="00F02053" w:rsidP="00F02053">
            <w:pPr>
              <w:pStyle w:val="Body"/>
              <w:jc w:val="center"/>
              <w:rPr>
                <w:rFonts w:ascii="Arial" w:hAnsi="Arial" w:cs="Arial"/>
                <w:color w:val="000000"/>
              </w:rPr>
            </w:pPr>
            <w:r w:rsidRPr="00B763BF">
              <w:rPr>
                <w:rFonts w:ascii="Arial" w:hAnsi="Arial" w:cs="Arial"/>
                <w:color w:val="000000"/>
              </w:rPr>
              <w:t>0</w:t>
            </w:r>
          </w:p>
        </w:tc>
        <w:tc>
          <w:tcPr>
            <w:tcW w:w="1541" w:type="dxa"/>
            <w:vAlign w:val="center"/>
          </w:tcPr>
          <w:p w14:paraId="356DE484" w14:textId="441A964D" w:rsidR="00F02053" w:rsidRPr="00B763BF" w:rsidRDefault="00F02053" w:rsidP="00F02053">
            <w:pPr>
              <w:pStyle w:val="Body"/>
              <w:jc w:val="center"/>
              <w:rPr>
                <w:rFonts w:ascii="Arial" w:hAnsi="Arial" w:cs="Arial"/>
                <w:color w:val="000000"/>
              </w:rPr>
            </w:pPr>
            <w:r>
              <w:rPr>
                <w:rFonts w:ascii="Aptos Narrow" w:hAnsi="Aptos Narrow"/>
                <w:color w:val="000000"/>
              </w:rPr>
              <w:t>-4</w:t>
            </w:r>
          </w:p>
        </w:tc>
        <w:tc>
          <w:tcPr>
            <w:tcW w:w="1540" w:type="dxa"/>
            <w:vAlign w:val="center"/>
          </w:tcPr>
          <w:p w14:paraId="53E46322" w14:textId="4B04E269" w:rsidR="00F02053" w:rsidRDefault="00F02053" w:rsidP="00F02053">
            <w:pPr>
              <w:pStyle w:val="Body"/>
              <w:jc w:val="center"/>
              <w:rPr>
                <w:rFonts w:ascii="Arial" w:hAnsi="Arial" w:cs="Arial"/>
                <w:color w:val="000000"/>
              </w:rPr>
            </w:pPr>
            <w:r>
              <w:rPr>
                <w:rFonts w:ascii="Aptos Narrow" w:hAnsi="Aptos Narrow"/>
                <w:color w:val="000000"/>
              </w:rPr>
              <w:t>-3.5</w:t>
            </w:r>
          </w:p>
        </w:tc>
        <w:tc>
          <w:tcPr>
            <w:tcW w:w="1541" w:type="dxa"/>
            <w:vAlign w:val="center"/>
          </w:tcPr>
          <w:p w14:paraId="7BBBFE9E" w14:textId="156EB934" w:rsidR="00F02053" w:rsidRDefault="00F02053" w:rsidP="00F02053">
            <w:pPr>
              <w:pStyle w:val="Body"/>
              <w:jc w:val="center"/>
              <w:rPr>
                <w:rFonts w:ascii="Arial" w:hAnsi="Arial" w:cs="Arial"/>
                <w:color w:val="000000"/>
              </w:rPr>
            </w:pPr>
            <w:r>
              <w:rPr>
                <w:rFonts w:ascii="Aptos Narrow" w:hAnsi="Aptos Narrow"/>
                <w:color w:val="000000"/>
              </w:rPr>
              <w:t>-3.5</w:t>
            </w:r>
          </w:p>
        </w:tc>
        <w:tc>
          <w:tcPr>
            <w:tcW w:w="1541" w:type="dxa"/>
            <w:vAlign w:val="center"/>
          </w:tcPr>
          <w:p w14:paraId="7623E97C" w14:textId="53C3B850" w:rsidR="00F02053" w:rsidRDefault="00F02053" w:rsidP="00F02053">
            <w:pPr>
              <w:pStyle w:val="Body"/>
              <w:jc w:val="center"/>
              <w:rPr>
                <w:rFonts w:ascii="Arial" w:hAnsi="Arial" w:cs="Arial"/>
                <w:color w:val="000000"/>
              </w:rPr>
            </w:pPr>
            <w:r>
              <w:rPr>
                <w:rFonts w:ascii="Aptos Narrow" w:hAnsi="Aptos Narrow"/>
                <w:color w:val="000000"/>
              </w:rPr>
              <w:t>-3</w:t>
            </w:r>
          </w:p>
        </w:tc>
      </w:tr>
      <w:tr w:rsidR="007C6C23" w:rsidRPr="00B763BF" w14:paraId="77563E7F" w14:textId="1BEA2CA0" w:rsidTr="00BE5ED9">
        <w:tc>
          <w:tcPr>
            <w:tcW w:w="1843" w:type="dxa"/>
            <w:vAlign w:val="center"/>
          </w:tcPr>
          <w:p w14:paraId="22C2F6DE" w14:textId="616341A0" w:rsidR="007C6C23" w:rsidRPr="00B763BF" w:rsidRDefault="007C6C23">
            <w:pPr>
              <w:pStyle w:val="Body"/>
              <w:jc w:val="left"/>
            </w:pPr>
            <w:r w:rsidRPr="00B763BF">
              <w:t>User pay</w:t>
            </w:r>
            <w:r w:rsidR="00680208">
              <w:t>s</w:t>
            </w:r>
            <w:r w:rsidRPr="00B763BF">
              <w:t xml:space="preserve"> for </w:t>
            </w:r>
            <w:r w:rsidR="00680208">
              <w:t>costs</w:t>
            </w:r>
          </w:p>
        </w:tc>
        <w:tc>
          <w:tcPr>
            <w:tcW w:w="939" w:type="dxa"/>
            <w:vAlign w:val="center"/>
          </w:tcPr>
          <w:p w14:paraId="2C855C7F" w14:textId="39E50B9F" w:rsidR="007C6C23" w:rsidRPr="00B763BF" w:rsidRDefault="001D466B" w:rsidP="00A417CC">
            <w:pPr>
              <w:pStyle w:val="Body"/>
              <w:jc w:val="center"/>
            </w:pPr>
            <w:r>
              <w:rPr>
                <w:rFonts w:ascii="Aptos Narrow" w:hAnsi="Aptos Narrow"/>
                <w:color w:val="000000"/>
              </w:rPr>
              <w:t>20%</w:t>
            </w:r>
          </w:p>
        </w:tc>
        <w:tc>
          <w:tcPr>
            <w:tcW w:w="1540" w:type="dxa"/>
            <w:vAlign w:val="center"/>
          </w:tcPr>
          <w:p w14:paraId="133A304F" w14:textId="77777777" w:rsidR="007C6C23" w:rsidRPr="00B763BF" w:rsidRDefault="007C6C23">
            <w:pPr>
              <w:pStyle w:val="Body"/>
              <w:jc w:val="center"/>
            </w:pPr>
            <w:r w:rsidRPr="00B763BF">
              <w:rPr>
                <w:rFonts w:ascii="Arial" w:hAnsi="Arial" w:cs="Arial"/>
                <w:color w:val="000000"/>
              </w:rPr>
              <w:t>0</w:t>
            </w:r>
          </w:p>
        </w:tc>
        <w:tc>
          <w:tcPr>
            <w:tcW w:w="1541" w:type="dxa"/>
            <w:vAlign w:val="center"/>
          </w:tcPr>
          <w:p w14:paraId="74C78B75" w14:textId="22FB966D" w:rsidR="007C6C23" w:rsidRPr="00B763BF" w:rsidRDefault="001972BD">
            <w:pPr>
              <w:pStyle w:val="Body"/>
              <w:jc w:val="center"/>
            </w:pPr>
            <w:r>
              <w:rPr>
                <w:rFonts w:ascii="Aptos Narrow" w:hAnsi="Aptos Narrow"/>
                <w:color w:val="000000"/>
              </w:rPr>
              <w:t>9</w:t>
            </w:r>
          </w:p>
        </w:tc>
        <w:tc>
          <w:tcPr>
            <w:tcW w:w="1540" w:type="dxa"/>
            <w:vAlign w:val="center"/>
          </w:tcPr>
          <w:p w14:paraId="263E0130" w14:textId="28C687E6" w:rsidR="007C6C23" w:rsidRPr="00B763BF" w:rsidRDefault="007A1751">
            <w:pPr>
              <w:pStyle w:val="Body"/>
              <w:jc w:val="center"/>
              <w:rPr>
                <w:rFonts w:ascii="Arial" w:hAnsi="Arial" w:cs="Arial"/>
                <w:color w:val="000000"/>
              </w:rPr>
            </w:pPr>
            <w:r>
              <w:rPr>
                <w:rFonts w:ascii="Aptos Narrow" w:hAnsi="Aptos Narrow"/>
                <w:color w:val="000000"/>
              </w:rPr>
              <w:t>7</w:t>
            </w:r>
          </w:p>
        </w:tc>
        <w:tc>
          <w:tcPr>
            <w:tcW w:w="1541" w:type="dxa"/>
            <w:vAlign w:val="center"/>
          </w:tcPr>
          <w:p w14:paraId="33C067AE" w14:textId="63585426" w:rsidR="007C6C23" w:rsidRPr="00B763BF" w:rsidRDefault="007A1751">
            <w:pPr>
              <w:pStyle w:val="Body"/>
              <w:jc w:val="center"/>
            </w:pPr>
            <w:r>
              <w:rPr>
                <w:rFonts w:ascii="Aptos Narrow" w:hAnsi="Aptos Narrow"/>
                <w:color w:val="000000"/>
              </w:rPr>
              <w:t>8</w:t>
            </w:r>
          </w:p>
        </w:tc>
        <w:tc>
          <w:tcPr>
            <w:tcW w:w="1541" w:type="dxa"/>
            <w:vAlign w:val="center"/>
          </w:tcPr>
          <w:p w14:paraId="6BB2B3B4" w14:textId="4EA12E97" w:rsidR="00E83C71" w:rsidRDefault="007A1751">
            <w:pPr>
              <w:pStyle w:val="Body"/>
              <w:jc w:val="center"/>
              <w:rPr>
                <w:rFonts w:ascii="Arial" w:hAnsi="Arial" w:cs="Arial"/>
                <w:color w:val="000000"/>
              </w:rPr>
            </w:pPr>
            <w:r>
              <w:rPr>
                <w:rFonts w:ascii="Aptos Narrow" w:hAnsi="Aptos Narrow"/>
                <w:color w:val="000000"/>
              </w:rPr>
              <w:t>6</w:t>
            </w:r>
          </w:p>
        </w:tc>
      </w:tr>
      <w:tr w:rsidR="007C6C23" w:rsidRPr="00B763BF" w14:paraId="0C81A392" w14:textId="641AAC48" w:rsidTr="00BE5ED9">
        <w:tc>
          <w:tcPr>
            <w:tcW w:w="1843" w:type="dxa"/>
            <w:vAlign w:val="center"/>
          </w:tcPr>
          <w:p w14:paraId="42A8887F" w14:textId="18852934" w:rsidR="007C6C23" w:rsidRPr="00B763BF" w:rsidRDefault="001D466B">
            <w:pPr>
              <w:pStyle w:val="Body"/>
              <w:jc w:val="left"/>
            </w:pPr>
            <w:r>
              <w:t>Simplicity</w:t>
            </w:r>
          </w:p>
        </w:tc>
        <w:tc>
          <w:tcPr>
            <w:tcW w:w="939" w:type="dxa"/>
            <w:vAlign w:val="center"/>
          </w:tcPr>
          <w:p w14:paraId="56893B70" w14:textId="478A7B45" w:rsidR="007C6C23" w:rsidRPr="00B763BF" w:rsidRDefault="001D466B" w:rsidP="00A417CC">
            <w:pPr>
              <w:pStyle w:val="Body"/>
              <w:jc w:val="center"/>
            </w:pPr>
            <w:r>
              <w:rPr>
                <w:rFonts w:ascii="Aptos Narrow" w:hAnsi="Aptos Narrow"/>
                <w:color w:val="000000"/>
              </w:rPr>
              <w:t>10%</w:t>
            </w:r>
          </w:p>
        </w:tc>
        <w:tc>
          <w:tcPr>
            <w:tcW w:w="1540" w:type="dxa"/>
            <w:vAlign w:val="center"/>
          </w:tcPr>
          <w:p w14:paraId="69BA2694" w14:textId="26A7D591" w:rsidR="007C6C23" w:rsidRPr="00B763BF" w:rsidRDefault="001972BD">
            <w:pPr>
              <w:pStyle w:val="Body"/>
              <w:jc w:val="center"/>
            </w:pPr>
            <w:r>
              <w:rPr>
                <w:rFonts w:ascii="Arial" w:hAnsi="Arial" w:cs="Arial"/>
                <w:color w:val="000000"/>
              </w:rPr>
              <w:t>0</w:t>
            </w:r>
          </w:p>
        </w:tc>
        <w:tc>
          <w:tcPr>
            <w:tcW w:w="1541" w:type="dxa"/>
            <w:vAlign w:val="center"/>
          </w:tcPr>
          <w:p w14:paraId="79E03625" w14:textId="44148D1E" w:rsidR="007C6C23" w:rsidRPr="00B763BF" w:rsidRDefault="001972BD">
            <w:pPr>
              <w:pStyle w:val="Body"/>
              <w:jc w:val="center"/>
            </w:pPr>
            <w:r>
              <w:rPr>
                <w:rFonts w:ascii="Aptos Narrow" w:hAnsi="Aptos Narrow"/>
                <w:color w:val="000000"/>
              </w:rPr>
              <w:t>-3</w:t>
            </w:r>
          </w:p>
        </w:tc>
        <w:tc>
          <w:tcPr>
            <w:tcW w:w="1540" w:type="dxa"/>
            <w:vAlign w:val="center"/>
          </w:tcPr>
          <w:p w14:paraId="298A1437" w14:textId="58C45A2E" w:rsidR="007C6C23" w:rsidRPr="00B763BF" w:rsidRDefault="007A1751">
            <w:pPr>
              <w:pStyle w:val="Body"/>
              <w:jc w:val="center"/>
              <w:rPr>
                <w:rFonts w:ascii="Arial" w:hAnsi="Arial" w:cs="Arial"/>
                <w:color w:val="000000"/>
              </w:rPr>
            </w:pPr>
            <w:r>
              <w:rPr>
                <w:rFonts w:ascii="Aptos Narrow" w:hAnsi="Aptos Narrow"/>
                <w:color w:val="000000"/>
              </w:rPr>
              <w:t>-5</w:t>
            </w:r>
          </w:p>
        </w:tc>
        <w:tc>
          <w:tcPr>
            <w:tcW w:w="1541" w:type="dxa"/>
            <w:vAlign w:val="center"/>
          </w:tcPr>
          <w:p w14:paraId="313655AD" w14:textId="795AEC1F" w:rsidR="007C6C23" w:rsidRPr="00B763BF" w:rsidRDefault="007A1751">
            <w:pPr>
              <w:pStyle w:val="Body"/>
              <w:jc w:val="center"/>
            </w:pPr>
            <w:r>
              <w:rPr>
                <w:rFonts w:ascii="Aptos Narrow" w:hAnsi="Aptos Narrow"/>
                <w:color w:val="000000"/>
              </w:rPr>
              <w:t>-3</w:t>
            </w:r>
          </w:p>
        </w:tc>
        <w:tc>
          <w:tcPr>
            <w:tcW w:w="1541" w:type="dxa"/>
            <w:vAlign w:val="center"/>
          </w:tcPr>
          <w:p w14:paraId="0D6E1412" w14:textId="09CA9965" w:rsidR="00E83C71" w:rsidRPr="00B763BF" w:rsidRDefault="007A1751">
            <w:pPr>
              <w:pStyle w:val="Body"/>
              <w:jc w:val="center"/>
              <w:rPr>
                <w:rFonts w:ascii="Arial" w:hAnsi="Arial" w:cs="Arial"/>
                <w:color w:val="000000"/>
              </w:rPr>
            </w:pPr>
            <w:r>
              <w:rPr>
                <w:rFonts w:ascii="Aptos Narrow" w:hAnsi="Aptos Narrow"/>
                <w:color w:val="000000"/>
              </w:rPr>
              <w:t>-5</w:t>
            </w:r>
          </w:p>
        </w:tc>
      </w:tr>
      <w:tr w:rsidR="00AF708D" w:rsidRPr="00EF0820" w14:paraId="114C5B3C" w14:textId="1E4E0B42" w:rsidTr="00BE5ED9">
        <w:tc>
          <w:tcPr>
            <w:tcW w:w="1843" w:type="dxa"/>
            <w:shd w:val="clear" w:color="auto" w:fill="D9D9D9" w:themeFill="background1" w:themeFillShade="D9"/>
          </w:tcPr>
          <w:p w14:paraId="646CC3B8" w14:textId="77777777" w:rsidR="004D6643" w:rsidRPr="00B763BF" w:rsidRDefault="004D6643" w:rsidP="004D6643">
            <w:pPr>
              <w:pStyle w:val="Body"/>
              <w:rPr>
                <w:b/>
              </w:rPr>
            </w:pPr>
            <w:r w:rsidRPr="00B763BF">
              <w:rPr>
                <w:b/>
              </w:rPr>
              <w:t>Weighted score</w:t>
            </w:r>
          </w:p>
        </w:tc>
        <w:tc>
          <w:tcPr>
            <w:tcW w:w="939" w:type="dxa"/>
            <w:shd w:val="clear" w:color="auto" w:fill="D9D9D9" w:themeFill="background1" w:themeFillShade="D9"/>
            <w:vAlign w:val="center"/>
          </w:tcPr>
          <w:p w14:paraId="3B9D6613" w14:textId="77777777" w:rsidR="004D6643" w:rsidRPr="00B763BF" w:rsidRDefault="004D6643" w:rsidP="004D6643">
            <w:pPr>
              <w:pStyle w:val="Body"/>
              <w:jc w:val="center"/>
              <w:rPr>
                <w:b/>
              </w:rPr>
            </w:pPr>
            <w:r w:rsidRPr="00B763BF">
              <w:rPr>
                <w:rFonts w:ascii="Arial" w:hAnsi="Arial" w:cs="Arial"/>
                <w:b/>
                <w:bCs/>
              </w:rPr>
              <w:t>100%</w:t>
            </w:r>
          </w:p>
        </w:tc>
        <w:tc>
          <w:tcPr>
            <w:tcW w:w="1540" w:type="dxa"/>
            <w:shd w:val="clear" w:color="auto" w:fill="D8D8D8" w:themeFill="background2"/>
            <w:vAlign w:val="center"/>
          </w:tcPr>
          <w:p w14:paraId="2061C6E3" w14:textId="77777777" w:rsidR="004D6643" w:rsidRPr="00B763BF" w:rsidRDefault="004D6643" w:rsidP="004D6643">
            <w:pPr>
              <w:pStyle w:val="Body"/>
              <w:jc w:val="center"/>
              <w:rPr>
                <w:b/>
              </w:rPr>
            </w:pPr>
            <w:r w:rsidRPr="00B763BF">
              <w:rPr>
                <w:rFonts w:ascii="Arial" w:hAnsi="Arial" w:cs="Arial"/>
                <w:b/>
                <w:bCs/>
              </w:rPr>
              <w:t>0</w:t>
            </w:r>
          </w:p>
        </w:tc>
        <w:tc>
          <w:tcPr>
            <w:tcW w:w="1541" w:type="dxa"/>
            <w:shd w:val="clear" w:color="auto" w:fill="D8D8D8" w:themeFill="background2"/>
            <w:vAlign w:val="bottom"/>
          </w:tcPr>
          <w:p w14:paraId="44311317" w14:textId="006B3D41" w:rsidR="004D6643" w:rsidRPr="00B763BF" w:rsidRDefault="008A7ACF" w:rsidP="004D6643">
            <w:pPr>
              <w:pStyle w:val="Body"/>
              <w:jc w:val="center"/>
              <w:rPr>
                <w:b/>
              </w:rPr>
            </w:pPr>
            <w:r w:rsidRPr="00BE5ED9">
              <w:rPr>
                <w:rFonts w:ascii="Aptos Narrow" w:hAnsi="Aptos Narrow"/>
                <w:b/>
                <w:color w:val="000000"/>
              </w:rPr>
              <w:t>2.7</w:t>
            </w:r>
          </w:p>
        </w:tc>
        <w:tc>
          <w:tcPr>
            <w:tcW w:w="1540" w:type="dxa"/>
            <w:shd w:val="clear" w:color="auto" w:fill="D8D8D8" w:themeFill="background2"/>
            <w:vAlign w:val="bottom"/>
          </w:tcPr>
          <w:p w14:paraId="29B61FF1" w14:textId="2D19925F" w:rsidR="004D6643" w:rsidRPr="00B763BF" w:rsidRDefault="008A7ACF" w:rsidP="004D6643">
            <w:pPr>
              <w:pStyle w:val="Body"/>
              <w:jc w:val="center"/>
              <w:rPr>
                <w:rFonts w:ascii="Arial" w:hAnsi="Arial" w:cs="Arial"/>
                <w:b/>
                <w:color w:val="000000"/>
              </w:rPr>
            </w:pPr>
            <w:r w:rsidRPr="00BE5ED9">
              <w:rPr>
                <w:rFonts w:ascii="Aptos Narrow" w:hAnsi="Aptos Narrow"/>
                <w:b/>
                <w:color w:val="000000"/>
              </w:rPr>
              <w:t>2.2</w:t>
            </w:r>
          </w:p>
        </w:tc>
        <w:tc>
          <w:tcPr>
            <w:tcW w:w="1541" w:type="dxa"/>
            <w:shd w:val="clear" w:color="auto" w:fill="D8D8D8" w:themeFill="background2"/>
            <w:vAlign w:val="bottom"/>
          </w:tcPr>
          <w:p w14:paraId="4AF41813" w14:textId="3185F4B2" w:rsidR="004D6643" w:rsidRPr="000D0DAF" w:rsidRDefault="008A7ACF" w:rsidP="004D6643">
            <w:pPr>
              <w:pStyle w:val="Body"/>
              <w:jc w:val="center"/>
              <w:rPr>
                <w:rFonts w:ascii="Arial" w:hAnsi="Arial" w:cs="Arial"/>
                <w:b/>
                <w:bCs/>
                <w:color w:val="000000"/>
              </w:rPr>
            </w:pPr>
            <w:r w:rsidRPr="00BE5ED9">
              <w:rPr>
                <w:rFonts w:ascii="Aptos Narrow" w:hAnsi="Aptos Narrow"/>
                <w:b/>
                <w:color w:val="000000"/>
              </w:rPr>
              <w:t>2.6</w:t>
            </w:r>
          </w:p>
        </w:tc>
        <w:tc>
          <w:tcPr>
            <w:tcW w:w="1541" w:type="dxa"/>
            <w:shd w:val="clear" w:color="auto" w:fill="D8D8D8" w:themeFill="background2"/>
            <w:vAlign w:val="bottom"/>
          </w:tcPr>
          <w:p w14:paraId="2D59F1CF" w14:textId="2A1AC3C0" w:rsidR="004D6643" w:rsidRPr="00AA1C75" w:rsidRDefault="008A7ACF" w:rsidP="004D6643">
            <w:pPr>
              <w:pStyle w:val="Body"/>
              <w:jc w:val="center"/>
              <w:rPr>
                <w:rFonts w:ascii="Arial" w:hAnsi="Arial" w:cs="Arial"/>
                <w:b/>
                <w:color w:val="000000"/>
              </w:rPr>
            </w:pPr>
            <w:r w:rsidRPr="00BE5ED9">
              <w:rPr>
                <w:rFonts w:ascii="Aptos Narrow" w:hAnsi="Aptos Narrow"/>
                <w:b/>
                <w:color w:val="000000"/>
              </w:rPr>
              <w:t>2.1</w:t>
            </w:r>
          </w:p>
        </w:tc>
      </w:tr>
    </w:tbl>
    <w:p w14:paraId="47144419" w14:textId="4B96778A" w:rsidR="00E876BB" w:rsidRDefault="00E876BB" w:rsidP="00031968">
      <w:pPr>
        <w:pStyle w:val="Body"/>
      </w:pPr>
    </w:p>
    <w:p w14:paraId="7FFAD1B1" w14:textId="77777777" w:rsidR="00E876BB" w:rsidRDefault="00E876BB">
      <w:pPr>
        <w:rPr>
          <w:rFonts w:asciiTheme="minorHAnsi" w:eastAsia="Lucida Grande" w:hAnsiTheme="minorHAnsi" w:cstheme="minorHAnsi"/>
          <w:sz w:val="22"/>
          <w:szCs w:val="22"/>
        </w:rPr>
      </w:pPr>
      <w:r>
        <w:br w:type="page"/>
      </w:r>
    </w:p>
    <w:p w14:paraId="047502B1" w14:textId="77777777" w:rsidR="00CA3C50" w:rsidRPr="000F65FE" w:rsidRDefault="00CA3C50" w:rsidP="00CA3C50">
      <w:pPr>
        <w:pStyle w:val="Heading1"/>
      </w:pPr>
      <w:bookmarkStart w:id="67" w:name="_Toc220522696"/>
      <w:bookmarkStart w:id="68" w:name="_Toc190415680"/>
      <w:bookmarkStart w:id="69" w:name="_Toc190415681"/>
      <w:bookmarkStart w:id="70" w:name="_Toc190415682"/>
      <w:bookmarkStart w:id="71" w:name="_Toc190415683"/>
      <w:bookmarkStart w:id="72" w:name="_Toc190415684"/>
      <w:bookmarkStart w:id="73" w:name="_Toc190415685"/>
      <w:bookmarkStart w:id="74" w:name="_Toc190415686"/>
      <w:bookmarkStart w:id="75" w:name="_Toc190415687"/>
      <w:bookmarkStart w:id="76" w:name="_Toc190415688"/>
      <w:bookmarkStart w:id="77" w:name="_Toc221890908"/>
      <w:bookmarkEnd w:id="67"/>
      <w:bookmarkEnd w:id="68"/>
      <w:bookmarkEnd w:id="69"/>
      <w:bookmarkEnd w:id="70"/>
      <w:bookmarkEnd w:id="71"/>
      <w:bookmarkEnd w:id="72"/>
      <w:bookmarkEnd w:id="73"/>
      <w:bookmarkEnd w:id="74"/>
      <w:bookmarkEnd w:id="75"/>
      <w:bookmarkEnd w:id="76"/>
      <w:r>
        <w:lastRenderedPageBreak/>
        <w:t>P</w:t>
      </w:r>
      <w:r w:rsidRPr="000F65FE">
        <w:t>referred option</w:t>
      </w:r>
      <w:bookmarkEnd w:id="77"/>
    </w:p>
    <w:p w14:paraId="17F4E757" w14:textId="48105CA1" w:rsidR="00A21C8C" w:rsidRDefault="006D107F" w:rsidP="00CA3C50">
      <w:pPr>
        <w:pStyle w:val="Heading2"/>
      </w:pPr>
      <w:bookmarkStart w:id="78" w:name="_Toc221890909"/>
      <w:r>
        <w:t xml:space="preserve">Summary of the preferred </w:t>
      </w:r>
      <w:r w:rsidR="00B36BA3">
        <w:t>option</w:t>
      </w:r>
      <w:bookmarkEnd w:id="78"/>
    </w:p>
    <w:p w14:paraId="4D012875" w14:textId="5FD47730" w:rsidR="003B3812" w:rsidRDefault="00117320" w:rsidP="003B3812">
      <w:pPr>
        <w:pStyle w:val="DJCSbody"/>
        <w:ind w:left="0"/>
      </w:pPr>
      <w:r>
        <w:t xml:space="preserve">Note that in the Regulations, the proposed fee amounts are expressed as fee units to correspond with the preferred dollar amount for the fee. </w:t>
      </w:r>
      <w:r w:rsidR="000A2CDE" w:rsidRPr="000A2CDE">
        <w:t xml:space="preserve">Following </w:t>
      </w:r>
      <w:r w:rsidR="00B83E1C">
        <w:t xml:space="preserve">the </w:t>
      </w:r>
      <w:r w:rsidR="00280E32">
        <w:t>MCA</w:t>
      </w:r>
      <w:r w:rsidR="000A2CDE" w:rsidRPr="000A2CDE">
        <w:t xml:space="preserve"> of </w:t>
      </w:r>
      <w:r w:rsidR="00B83E1C">
        <w:t xml:space="preserve">the </w:t>
      </w:r>
      <w:r w:rsidR="00E876BB">
        <w:t xml:space="preserve">application fee and debt recovery </w:t>
      </w:r>
      <w:r w:rsidR="000A2CDE" w:rsidRPr="000A2CDE">
        <w:t xml:space="preserve">fee </w:t>
      </w:r>
      <w:r w:rsidR="00B83E1C">
        <w:t>options</w:t>
      </w:r>
      <w:r w:rsidR="003B3812">
        <w:t xml:space="preserve">, the proposed prescribed fee amounts </w:t>
      </w:r>
      <w:r>
        <w:t>and corresponding fee units are:</w:t>
      </w:r>
    </w:p>
    <w:p w14:paraId="4079DF1B" w14:textId="0C4A8588" w:rsidR="003B3812" w:rsidRDefault="003B3812" w:rsidP="003B3812">
      <w:pPr>
        <w:pStyle w:val="DJCSbody"/>
        <w:numPr>
          <w:ilvl w:val="0"/>
          <w:numId w:val="31"/>
        </w:numPr>
      </w:pPr>
      <w:r w:rsidRPr="00E4566F">
        <w:rPr>
          <w:b/>
          <w:bCs/>
        </w:rPr>
        <w:t>A</w:t>
      </w:r>
      <w:r>
        <w:rPr>
          <w:b/>
          <w:bCs/>
        </w:rPr>
        <w:t xml:space="preserve">n application </w:t>
      </w:r>
      <w:r w:rsidRPr="00E4566F">
        <w:rPr>
          <w:b/>
          <w:bCs/>
        </w:rPr>
        <w:t>fee of $</w:t>
      </w:r>
      <w:r>
        <w:rPr>
          <w:b/>
          <w:bCs/>
        </w:rPr>
        <w:t>35.00</w:t>
      </w:r>
      <w:r w:rsidR="00280E32">
        <w:rPr>
          <w:b/>
        </w:rPr>
        <w:t xml:space="preserve"> </w:t>
      </w:r>
      <w:r w:rsidR="00117320">
        <w:rPr>
          <w:b/>
          <w:bCs/>
        </w:rPr>
        <w:t>(2.08 fee units)</w:t>
      </w:r>
      <w:r w:rsidR="00280E32">
        <w:t xml:space="preserve"> –</w:t>
      </w:r>
      <w:r w:rsidRPr="00E4566F">
        <w:t xml:space="preserve"> </w:t>
      </w:r>
      <w:r>
        <w:t>a flat fee charged to all participants of the PRBS, with the purpose of recovering</w:t>
      </w:r>
      <w:r w:rsidRPr="001C16E7">
        <w:t xml:space="preserve"> the </w:t>
      </w:r>
      <w:r w:rsidR="002D6F1E">
        <w:t>PRBS’</w:t>
      </w:r>
      <w:r w:rsidRPr="001C16E7">
        <w:t xml:space="preserve"> </w:t>
      </w:r>
      <w:r>
        <w:t xml:space="preserve">general </w:t>
      </w:r>
      <w:r w:rsidRPr="001C16E7">
        <w:t xml:space="preserve">operating costs and </w:t>
      </w:r>
      <w:r w:rsidR="003812C6">
        <w:t>estimated</w:t>
      </w:r>
      <w:r w:rsidRPr="001C16E7">
        <w:t xml:space="preserve"> debt</w:t>
      </w:r>
      <w:r>
        <w:t xml:space="preserve"> write-off</w:t>
      </w:r>
      <w:r w:rsidRPr="001C16E7">
        <w:t>.</w:t>
      </w:r>
    </w:p>
    <w:p w14:paraId="4AE331C1" w14:textId="147E5442" w:rsidR="00050568" w:rsidRDefault="003B3812" w:rsidP="00BE5ED9">
      <w:pPr>
        <w:pStyle w:val="DJCSbody"/>
        <w:numPr>
          <w:ilvl w:val="0"/>
          <w:numId w:val="31"/>
        </w:numPr>
      </w:pPr>
      <w:r w:rsidRPr="00795103">
        <w:rPr>
          <w:b/>
          <w:bCs/>
        </w:rPr>
        <w:t>A debt recovery fee of $1</w:t>
      </w:r>
      <w:r>
        <w:rPr>
          <w:b/>
          <w:bCs/>
        </w:rPr>
        <w:t>2.</w:t>
      </w:r>
      <w:r w:rsidR="00696B9E" w:rsidRPr="00696B9E">
        <w:rPr>
          <w:b/>
          <w:bCs/>
        </w:rPr>
        <w:t>80</w:t>
      </w:r>
      <w:r w:rsidR="00280E32" w:rsidRPr="00696B9E">
        <w:rPr>
          <w:b/>
        </w:rPr>
        <w:t xml:space="preserve"> </w:t>
      </w:r>
      <w:r w:rsidR="00117320" w:rsidRPr="00696B9E">
        <w:rPr>
          <w:b/>
          <w:bCs/>
        </w:rPr>
        <w:t>(0.7</w:t>
      </w:r>
      <w:r w:rsidR="00600375">
        <w:rPr>
          <w:b/>
          <w:bCs/>
        </w:rPr>
        <w:t>6</w:t>
      </w:r>
      <w:r w:rsidR="00117320" w:rsidRPr="00696B9E">
        <w:rPr>
          <w:b/>
          <w:bCs/>
        </w:rPr>
        <w:t xml:space="preserve"> fee units)</w:t>
      </w:r>
      <w:r w:rsidR="00280E32">
        <w:t xml:space="preserve"> – </w:t>
      </w:r>
      <w:r w:rsidRPr="00E4566F">
        <w:t xml:space="preserve">charged </w:t>
      </w:r>
      <w:r w:rsidRPr="00795103">
        <w:rPr>
          <w:lang w:val="en-US"/>
        </w:rPr>
        <w:t>only to renters who have an overdue debt beyond the specified payment due date</w:t>
      </w:r>
      <w:r w:rsidR="00CB5542">
        <w:rPr>
          <w:lang w:val="en-US"/>
        </w:rPr>
        <w:t xml:space="preserve"> (start of stage 1B)</w:t>
      </w:r>
      <w:r>
        <w:rPr>
          <w:lang w:val="en-US"/>
        </w:rPr>
        <w:t xml:space="preserve">, with the purpose of recovering the costs of </w:t>
      </w:r>
      <w:r w:rsidR="00280E32">
        <w:rPr>
          <w:lang w:val="en-US"/>
        </w:rPr>
        <w:t>Government’s</w:t>
      </w:r>
      <w:r>
        <w:rPr>
          <w:lang w:val="en-US"/>
        </w:rPr>
        <w:t xml:space="preserve"> debt recovery actions</w:t>
      </w:r>
      <w:r w:rsidRPr="00795103">
        <w:rPr>
          <w:lang w:val="en-US"/>
        </w:rPr>
        <w:t xml:space="preserve">. </w:t>
      </w:r>
      <w:r w:rsidRPr="001C16E7">
        <w:t>This ensures that the costs associated with debt recovery are borne by those who generate them, rather than being distributed across all participants</w:t>
      </w:r>
      <w:r w:rsidR="00C64487" w:rsidRPr="00C64487">
        <w:t>.</w:t>
      </w:r>
      <w:r w:rsidR="00C64487" w:rsidRPr="00C64487" w:rsidDel="003B235D">
        <w:t xml:space="preserve"> </w:t>
      </w:r>
    </w:p>
    <w:p w14:paraId="6461F214" w14:textId="4BBF3E67" w:rsidR="001D0E76" w:rsidRDefault="0010097E" w:rsidP="00FD665D">
      <w:pPr>
        <w:pStyle w:val="DJCSbody"/>
        <w:ind w:left="0"/>
      </w:pPr>
      <w:r>
        <w:t xml:space="preserve">The </w:t>
      </w:r>
      <w:r w:rsidR="0098172E">
        <w:t xml:space="preserve">Government </w:t>
      </w:r>
      <w:r w:rsidR="00B47671">
        <w:t xml:space="preserve">considers that </w:t>
      </w:r>
      <w:r w:rsidR="0075563F">
        <w:t xml:space="preserve">the </w:t>
      </w:r>
      <w:r w:rsidR="00B47671">
        <w:t xml:space="preserve">preferred fee </w:t>
      </w:r>
      <w:r w:rsidR="0075563F">
        <w:t>options</w:t>
      </w:r>
      <w:r w:rsidR="00D326E9">
        <w:t xml:space="preserve"> </w:t>
      </w:r>
      <w:r w:rsidR="00FE64F9">
        <w:t>will best balance the objectives of the PRBS</w:t>
      </w:r>
      <w:r w:rsidR="00186FA7">
        <w:t>, relative to the other options considered</w:t>
      </w:r>
      <w:r w:rsidR="00D5357E">
        <w:t xml:space="preserve">. </w:t>
      </w:r>
      <w:r w:rsidR="00B94CE5">
        <w:t>Although charging fees will reduce participation in the PRBS relative to the base case where there are no fees, the Government’s preferred options are fees that are affordable for most renters and will support broad access to and participation in the PRBS. Based on elasticity modelling, the $35 application fee is expected to result in a participation rate of approximately 6</w:t>
      </w:r>
      <w:r w:rsidR="00745C14">
        <w:t>3</w:t>
      </w:r>
      <w:r w:rsidR="00B94CE5">
        <w:t xml:space="preserve">%, which was higher than the other application fee options considered (see elasticity modelling in Appendix A). </w:t>
      </w:r>
    </w:p>
    <w:p w14:paraId="7A49EC14" w14:textId="1365E58C" w:rsidR="0003269C" w:rsidRDefault="00B94CE5" w:rsidP="001D0E76">
      <w:pPr>
        <w:pStyle w:val="DJCSbody"/>
        <w:ind w:left="0"/>
      </w:pPr>
      <w:r>
        <w:t xml:space="preserve">The preferred fee options </w:t>
      </w:r>
      <w:r w:rsidR="0009271E">
        <w:t xml:space="preserve">will support </w:t>
      </w:r>
      <w:r w:rsidR="0055507B">
        <w:t xml:space="preserve">the </w:t>
      </w:r>
      <w:r w:rsidR="0064340D">
        <w:t>recover</w:t>
      </w:r>
      <w:r w:rsidR="0055507B">
        <w:t>y of</w:t>
      </w:r>
      <w:r w:rsidR="00DC3B34">
        <w:t xml:space="preserve"> </w:t>
      </w:r>
      <w:r w:rsidR="0010097E">
        <w:t xml:space="preserve">the </w:t>
      </w:r>
      <w:r w:rsidR="002D6F1E">
        <w:t xml:space="preserve">PRBS’ </w:t>
      </w:r>
      <w:r w:rsidR="0010097E">
        <w:t xml:space="preserve">general operational costs and </w:t>
      </w:r>
      <w:r w:rsidR="00186FA7">
        <w:t xml:space="preserve">estimated </w:t>
      </w:r>
      <w:r w:rsidR="0010097E">
        <w:t>debt write off</w:t>
      </w:r>
      <w:r w:rsidR="00260022">
        <w:t>, as well as the costs of internal debt recovery activities</w:t>
      </w:r>
      <w:r w:rsidR="00904342">
        <w:t xml:space="preserve">. </w:t>
      </w:r>
      <w:r w:rsidR="00F304C7">
        <w:t>The</w:t>
      </w:r>
      <w:r w:rsidR="0055507B">
        <w:t xml:space="preserve"> </w:t>
      </w:r>
      <w:r w:rsidR="009A7291">
        <w:t>application fee level of</w:t>
      </w:r>
      <w:r w:rsidR="004F45D9">
        <w:t xml:space="preserve"> $35 </w:t>
      </w:r>
      <w:r w:rsidR="009A7291">
        <w:t xml:space="preserve">(combined with the debt recovery fee of </w:t>
      </w:r>
      <w:r w:rsidR="00F304C7">
        <w:t>$12.</w:t>
      </w:r>
      <w:r w:rsidR="00696B9E">
        <w:t>80</w:t>
      </w:r>
      <w:r w:rsidR="009A7291">
        <w:t>)</w:t>
      </w:r>
      <w:r w:rsidR="00F304C7">
        <w:t xml:space="preserve"> will support the recovery of </w:t>
      </w:r>
      <w:r w:rsidR="009A7291">
        <w:t>Government’s</w:t>
      </w:r>
      <w:r w:rsidR="00F304C7">
        <w:t xml:space="preserve"> costs over a period of 8 years</w:t>
      </w:r>
      <w:r w:rsidR="00D5700D">
        <w:t xml:space="preserve">. This was </w:t>
      </w:r>
      <w:r w:rsidR="004F45D9">
        <w:t xml:space="preserve">preferred </w:t>
      </w:r>
      <w:r w:rsidR="00D5700D">
        <w:t xml:space="preserve">to </w:t>
      </w:r>
      <w:r w:rsidR="00E46FA5">
        <w:t xml:space="preserve">other options with </w:t>
      </w:r>
      <w:r w:rsidR="00D5700D">
        <w:t>shorter cost recovery time horizons</w:t>
      </w:r>
      <w:r w:rsidR="00E46FA5">
        <w:t xml:space="preserve"> and</w:t>
      </w:r>
      <w:r w:rsidR="00AA0F25">
        <w:t xml:space="preserve"> higher application fees, due to the equity impacts </w:t>
      </w:r>
      <w:r w:rsidR="005D4736">
        <w:t xml:space="preserve">of a higher fee </w:t>
      </w:r>
      <w:r w:rsidR="00AA0F25">
        <w:t xml:space="preserve">in limiting accessibility and participation in the PRBS. </w:t>
      </w:r>
      <w:r w:rsidR="00537E05">
        <w:t xml:space="preserve">While robust modelling and sensitivity analysis has been undertaken through this RIS, there is a level of uncertainty about the </w:t>
      </w:r>
      <w:r w:rsidR="0040259A">
        <w:t>PRBS participation rate, the</w:t>
      </w:r>
      <w:r w:rsidR="00537E05">
        <w:t xml:space="preserve"> total fee revenue, PRBS costs and projected debt write off that will occur once the PRBS is operational. To account for this uncertainty, </w:t>
      </w:r>
      <w:r w:rsidR="00E67523">
        <w:t xml:space="preserve">a </w:t>
      </w:r>
      <w:r w:rsidR="00537E05">
        <w:t>more conservative cost recovery time horizon</w:t>
      </w:r>
      <w:r w:rsidR="00E67523">
        <w:t xml:space="preserve"> of 8 years </w:t>
      </w:r>
      <w:r w:rsidR="00537E05">
        <w:t xml:space="preserve">will enable Government to reduce the risk that </w:t>
      </w:r>
      <w:r w:rsidR="00B956A1">
        <w:t xml:space="preserve">the </w:t>
      </w:r>
      <w:r w:rsidR="00537E05">
        <w:t xml:space="preserve">costs remain unrecovered at the end of the 10-year duration of the Regulations and evaluate </w:t>
      </w:r>
      <w:r w:rsidR="00E20018">
        <w:t xml:space="preserve">whether any </w:t>
      </w:r>
      <w:r w:rsidR="00DD1DF7">
        <w:t xml:space="preserve">future </w:t>
      </w:r>
      <w:r w:rsidR="00E20018">
        <w:t>changes to the fee amounts are require</w:t>
      </w:r>
      <w:r w:rsidR="00DD1DF7">
        <w:t>d to support an appropriate level of cost recovery</w:t>
      </w:r>
      <w:r w:rsidR="00537E05">
        <w:t>.</w:t>
      </w:r>
    </w:p>
    <w:p w14:paraId="1D674560" w14:textId="7EB30B76" w:rsidR="00F02A59" w:rsidRDefault="00BD23C1" w:rsidP="00FC372E">
      <w:pPr>
        <w:pStyle w:val="DJCSbody"/>
        <w:ind w:left="0"/>
      </w:pPr>
      <w:r>
        <w:t>Both</w:t>
      </w:r>
      <w:r w:rsidR="009A7291">
        <w:t xml:space="preserve"> preferred fee options </w:t>
      </w:r>
      <w:r>
        <w:t xml:space="preserve">best supported the objective of user pays for cost relative to the other options considered. </w:t>
      </w:r>
      <w:r w:rsidR="00AE6916">
        <w:t>Relative to the other application fee level options, the</w:t>
      </w:r>
      <w:r w:rsidR="007617CB">
        <w:t xml:space="preserve"> </w:t>
      </w:r>
      <w:r w:rsidR="00FA1CF7">
        <w:t xml:space="preserve">$35 </w:t>
      </w:r>
      <w:r w:rsidR="007617CB">
        <w:t xml:space="preserve">application fee </w:t>
      </w:r>
      <w:r w:rsidR="00B460A4">
        <w:t>minimise</w:t>
      </w:r>
      <w:r w:rsidR="00582E14">
        <w:t>d</w:t>
      </w:r>
      <w:r w:rsidR="00B460A4">
        <w:t xml:space="preserve"> </w:t>
      </w:r>
      <w:r w:rsidR="001C70D3">
        <w:t xml:space="preserve">the </w:t>
      </w:r>
      <w:r w:rsidR="00A065F6">
        <w:t>risk of users contributing to surplus revenue</w:t>
      </w:r>
      <w:r w:rsidR="00AE6916">
        <w:t xml:space="preserve">, </w:t>
      </w:r>
      <w:r w:rsidR="005F18B4">
        <w:t xml:space="preserve">given the options </w:t>
      </w:r>
      <w:r w:rsidR="0092588E">
        <w:t xml:space="preserve">are estimated to </w:t>
      </w:r>
      <w:r w:rsidR="005F18B4">
        <w:t>achieve full cost recovery before 10 years</w:t>
      </w:r>
      <w:r w:rsidR="00EB72C6">
        <w:t>. T</w:t>
      </w:r>
      <w:r w:rsidR="00FA1CF7">
        <w:t>h</w:t>
      </w:r>
      <w:r w:rsidR="0010097E">
        <w:t xml:space="preserve">e </w:t>
      </w:r>
      <w:r w:rsidR="00B13F26">
        <w:t xml:space="preserve">chosen </w:t>
      </w:r>
      <w:r w:rsidR="009E3B86">
        <w:t xml:space="preserve">flat </w:t>
      </w:r>
      <w:r w:rsidR="0010097E">
        <w:t xml:space="preserve">debt recovery fee applies </w:t>
      </w:r>
      <w:r w:rsidR="00EF798E">
        <w:t xml:space="preserve">evenly across </w:t>
      </w:r>
      <w:r w:rsidR="00B13F26">
        <w:t xml:space="preserve">all </w:t>
      </w:r>
      <w:r w:rsidR="00EF798E">
        <w:t xml:space="preserve">users </w:t>
      </w:r>
      <w:r w:rsidR="0010097E">
        <w:t xml:space="preserve">who </w:t>
      </w:r>
      <w:r w:rsidR="009E3B86">
        <w:t xml:space="preserve">generate the need for </w:t>
      </w:r>
      <w:r w:rsidR="00BC57FB">
        <w:t>Government</w:t>
      </w:r>
      <w:r w:rsidR="009E3B86">
        <w:t xml:space="preserve"> to undertake internal debt recovery activities for their </w:t>
      </w:r>
      <w:r w:rsidR="0010097E">
        <w:t>overdue payments.</w:t>
      </w:r>
      <w:r w:rsidR="00F72DBA">
        <w:t xml:space="preserve"> </w:t>
      </w:r>
    </w:p>
    <w:p w14:paraId="73BEED09" w14:textId="4B313787" w:rsidR="004F08F3" w:rsidRDefault="009D0F7D" w:rsidP="00FC372E">
      <w:pPr>
        <w:pStyle w:val="DJCSbody"/>
        <w:ind w:left="0"/>
      </w:pPr>
      <w:r>
        <w:t>The</w:t>
      </w:r>
      <w:r w:rsidR="009F5422">
        <w:t xml:space="preserve"> proposed</w:t>
      </w:r>
      <w:r w:rsidR="00F72DBA">
        <w:t xml:space="preserve"> </w:t>
      </w:r>
      <w:r w:rsidR="009F5422">
        <w:t xml:space="preserve">timing of the </w:t>
      </w:r>
      <w:r w:rsidR="00F72DBA">
        <w:t xml:space="preserve">preferred debt recovery fee </w:t>
      </w:r>
      <w:r w:rsidR="009F5422">
        <w:t xml:space="preserve">(at the start of </w:t>
      </w:r>
      <w:r w:rsidR="008D6A7E">
        <w:t>s</w:t>
      </w:r>
      <w:r w:rsidR="009F5422">
        <w:t xml:space="preserve">tage 1B) </w:t>
      </w:r>
      <w:r w:rsidR="002E7750">
        <w:t xml:space="preserve">may have </w:t>
      </w:r>
      <w:r w:rsidR="009F5422">
        <w:t xml:space="preserve">some equity impacts </w:t>
      </w:r>
      <w:r w:rsidR="00EB72C6">
        <w:rPr>
          <w:bCs/>
        </w:rPr>
        <w:t>by</w:t>
      </w:r>
      <w:r w:rsidR="00EB72C6" w:rsidRPr="00D96F95">
        <w:rPr>
          <w:bCs/>
        </w:rPr>
        <w:t xml:space="preserve"> </w:t>
      </w:r>
      <w:r w:rsidR="009F5422" w:rsidRPr="00D96F95">
        <w:rPr>
          <w:bCs/>
        </w:rPr>
        <w:t>impos</w:t>
      </w:r>
      <w:r w:rsidR="009F5422">
        <w:rPr>
          <w:bCs/>
        </w:rPr>
        <w:t xml:space="preserve">ing </w:t>
      </w:r>
      <w:r w:rsidR="009F5422" w:rsidRPr="00D96F95">
        <w:rPr>
          <w:bCs/>
        </w:rPr>
        <w:t>greater financial pressure on renters repaying debt, especially those with a lower ability to pay</w:t>
      </w:r>
      <w:r>
        <w:rPr>
          <w:bCs/>
        </w:rPr>
        <w:t>. However,</w:t>
      </w:r>
      <w:r w:rsidR="009F5422" w:rsidRPr="00D96F95">
        <w:rPr>
          <w:bCs/>
        </w:rPr>
        <w:t xml:space="preserve"> compared to the other options</w:t>
      </w:r>
      <w:r w:rsidR="009F5422">
        <w:rPr>
          <w:bCs/>
        </w:rPr>
        <w:t xml:space="preserve">, </w:t>
      </w:r>
      <w:r w:rsidR="00D4134B">
        <w:rPr>
          <w:bCs/>
        </w:rPr>
        <w:t>this</w:t>
      </w:r>
      <w:r w:rsidR="00F3588B">
        <w:rPr>
          <w:bCs/>
        </w:rPr>
        <w:t xml:space="preserve"> was still the preferred option </w:t>
      </w:r>
      <w:r w:rsidR="006A75C5">
        <w:rPr>
          <w:bCs/>
        </w:rPr>
        <w:t xml:space="preserve">given its relatively strong support for the </w:t>
      </w:r>
      <w:r w:rsidR="00086B32">
        <w:rPr>
          <w:bCs/>
        </w:rPr>
        <w:t xml:space="preserve">broader objectives </w:t>
      </w:r>
      <w:r w:rsidR="006A75C5">
        <w:rPr>
          <w:bCs/>
        </w:rPr>
        <w:t xml:space="preserve">of </w:t>
      </w:r>
      <w:r w:rsidR="00086B32">
        <w:rPr>
          <w:bCs/>
        </w:rPr>
        <w:t xml:space="preserve">the Regulations, </w:t>
      </w:r>
      <w:r w:rsidR="006301AC">
        <w:rPr>
          <w:bCs/>
        </w:rPr>
        <w:t xml:space="preserve">which are </w:t>
      </w:r>
      <w:r w:rsidR="00086B32">
        <w:rPr>
          <w:bCs/>
        </w:rPr>
        <w:t>outlined in Su</w:t>
      </w:r>
      <w:r w:rsidR="006301AC">
        <w:rPr>
          <w:bCs/>
        </w:rPr>
        <w:t>b</w:t>
      </w:r>
      <w:r w:rsidR="00086B32">
        <w:rPr>
          <w:bCs/>
        </w:rPr>
        <w:t>chapter 3.2.1</w:t>
      </w:r>
      <w:r w:rsidR="006A75C5">
        <w:rPr>
          <w:bCs/>
        </w:rPr>
        <w:t>.</w:t>
      </w:r>
      <w:r w:rsidR="00E912DF">
        <w:rPr>
          <w:bCs/>
        </w:rPr>
        <w:t xml:space="preserve"> </w:t>
      </w:r>
      <w:r w:rsidR="00F000DF">
        <w:t xml:space="preserve">The </w:t>
      </w:r>
      <w:r w:rsidR="00EA4F94">
        <w:t xml:space="preserve">table below outlines the estimated cost base the selected fees will recover, and the estimated number of </w:t>
      </w:r>
      <w:r w:rsidR="00B35A04">
        <w:t>fee payers (in year one).</w:t>
      </w:r>
      <w:r w:rsidR="006D2885">
        <w:t xml:space="preserve"> </w:t>
      </w:r>
    </w:p>
    <w:p w14:paraId="7E98747E" w14:textId="476742E7" w:rsidR="00A21498" w:rsidRDefault="00F906C0" w:rsidP="00CA3C50">
      <w:pPr>
        <w:pStyle w:val="Caption"/>
      </w:pPr>
      <w:r>
        <w:t xml:space="preserve">Table </w:t>
      </w:r>
      <w:r w:rsidR="00672B8F">
        <w:t>18</w:t>
      </w:r>
      <w:r w:rsidR="00DA7543">
        <w:t xml:space="preserve">: </w:t>
      </w:r>
      <w:r w:rsidR="002343A0">
        <w:t>Fee amounts</w:t>
      </w:r>
      <w:r w:rsidR="00F716E2">
        <w:t xml:space="preserve">, cost base and estimated number of payees for preferred option </w:t>
      </w:r>
    </w:p>
    <w:tbl>
      <w:tblPr>
        <w:tblStyle w:val="ListTable3-Accent2"/>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27" w:type="dxa"/>
        </w:tblCellMar>
        <w:tblLook w:val="0420" w:firstRow="1" w:lastRow="0" w:firstColumn="0" w:lastColumn="0" w:noHBand="0" w:noVBand="1"/>
      </w:tblPr>
      <w:tblGrid>
        <w:gridCol w:w="1549"/>
        <w:gridCol w:w="1423"/>
        <w:gridCol w:w="2268"/>
        <w:gridCol w:w="1985"/>
        <w:gridCol w:w="3143"/>
      </w:tblGrid>
      <w:tr w:rsidR="00CA3C50" w:rsidRPr="00371A7A" w14:paraId="5D33276A" w14:textId="77777777" w:rsidTr="008E7AE6">
        <w:trPr>
          <w:cnfStyle w:val="100000000000" w:firstRow="1" w:lastRow="0" w:firstColumn="0" w:lastColumn="0" w:oddVBand="0" w:evenVBand="0" w:oddHBand="0" w:evenHBand="0" w:firstRowFirstColumn="0" w:firstRowLastColumn="0" w:lastRowFirstColumn="0" w:lastRowLastColumn="0"/>
          <w:trHeight w:val="295"/>
        </w:trPr>
        <w:tc>
          <w:tcPr>
            <w:tcW w:w="1549" w:type="dxa"/>
            <w:shd w:val="clear" w:color="auto" w:fill="16145F" w:themeFill="text2"/>
          </w:tcPr>
          <w:p w14:paraId="39B9FA4A" w14:textId="77777777" w:rsidR="00CA3C50" w:rsidRPr="00DA7543" w:rsidRDefault="00CA3C50">
            <w:pPr>
              <w:pStyle w:val="DJCSbody"/>
              <w:ind w:left="0"/>
              <w:rPr>
                <w:sz w:val="20"/>
                <w:szCs w:val="18"/>
              </w:rPr>
            </w:pPr>
            <w:r w:rsidRPr="00DA7543">
              <w:rPr>
                <w:sz w:val="20"/>
                <w:szCs w:val="18"/>
              </w:rPr>
              <w:t>Fee</w:t>
            </w:r>
          </w:p>
        </w:tc>
        <w:tc>
          <w:tcPr>
            <w:tcW w:w="1423" w:type="dxa"/>
            <w:shd w:val="clear" w:color="auto" w:fill="16145F" w:themeFill="text2"/>
          </w:tcPr>
          <w:p w14:paraId="2EC3ADBE" w14:textId="77777777" w:rsidR="00CA3C50" w:rsidRPr="00DA7543" w:rsidRDefault="00CA3C50">
            <w:pPr>
              <w:pStyle w:val="DJCSbody"/>
              <w:ind w:left="0"/>
              <w:jc w:val="center"/>
              <w:rPr>
                <w:sz w:val="20"/>
                <w:szCs w:val="18"/>
              </w:rPr>
            </w:pPr>
            <w:r w:rsidRPr="00DA7543">
              <w:rPr>
                <w:sz w:val="20"/>
                <w:szCs w:val="18"/>
              </w:rPr>
              <w:t>Fee amount (Year 1)</w:t>
            </w:r>
          </w:p>
        </w:tc>
        <w:tc>
          <w:tcPr>
            <w:tcW w:w="2268" w:type="dxa"/>
            <w:shd w:val="clear" w:color="auto" w:fill="16145F" w:themeFill="text2"/>
          </w:tcPr>
          <w:p w14:paraId="23ED2918" w14:textId="5F7E756D" w:rsidR="00CA3C50" w:rsidRPr="00DA7543" w:rsidRDefault="00CA3C50">
            <w:pPr>
              <w:pStyle w:val="DJCSbody"/>
              <w:ind w:left="0"/>
              <w:jc w:val="center"/>
              <w:rPr>
                <w:sz w:val="20"/>
                <w:szCs w:val="18"/>
              </w:rPr>
            </w:pPr>
            <w:r w:rsidRPr="00DA7543">
              <w:rPr>
                <w:sz w:val="20"/>
                <w:szCs w:val="18"/>
              </w:rPr>
              <w:t xml:space="preserve">Estimated cost base to recover </w:t>
            </w:r>
            <w:r w:rsidR="00E32ECD">
              <w:rPr>
                <w:sz w:val="20"/>
                <w:szCs w:val="18"/>
              </w:rPr>
              <w:t>after</w:t>
            </w:r>
            <w:r w:rsidRPr="00DA7543">
              <w:rPr>
                <w:sz w:val="20"/>
                <w:szCs w:val="18"/>
              </w:rPr>
              <w:t xml:space="preserve"> </w:t>
            </w:r>
            <w:r w:rsidR="0036584B">
              <w:rPr>
                <w:sz w:val="20"/>
                <w:szCs w:val="18"/>
              </w:rPr>
              <w:t>10</w:t>
            </w:r>
            <w:r w:rsidRPr="00DA7543">
              <w:rPr>
                <w:sz w:val="20"/>
                <w:szCs w:val="18"/>
              </w:rPr>
              <w:t xml:space="preserve"> years (discounted)</w:t>
            </w:r>
          </w:p>
        </w:tc>
        <w:tc>
          <w:tcPr>
            <w:tcW w:w="1985" w:type="dxa"/>
            <w:shd w:val="clear" w:color="auto" w:fill="16145F" w:themeFill="text2"/>
          </w:tcPr>
          <w:p w14:paraId="5C4E33BE" w14:textId="77777777" w:rsidR="00CA3C50" w:rsidRPr="00DA7543" w:rsidRDefault="00CA3C50">
            <w:pPr>
              <w:pStyle w:val="DJCSbody"/>
              <w:ind w:left="0"/>
              <w:jc w:val="center"/>
              <w:rPr>
                <w:sz w:val="20"/>
                <w:szCs w:val="18"/>
              </w:rPr>
            </w:pPr>
            <w:r w:rsidRPr="00DA7543">
              <w:rPr>
                <w:sz w:val="20"/>
                <w:szCs w:val="18"/>
              </w:rPr>
              <w:t>Estimated number of fee payers (Year 1)</w:t>
            </w:r>
          </w:p>
        </w:tc>
        <w:tc>
          <w:tcPr>
            <w:tcW w:w="3143" w:type="dxa"/>
            <w:shd w:val="clear" w:color="auto" w:fill="16145F" w:themeFill="text2"/>
          </w:tcPr>
          <w:p w14:paraId="3F23D870" w14:textId="77777777" w:rsidR="00CA3C50" w:rsidRPr="00DA7543" w:rsidRDefault="00CA3C50">
            <w:pPr>
              <w:pStyle w:val="DJCSbody"/>
              <w:ind w:left="-126"/>
              <w:rPr>
                <w:sz w:val="20"/>
                <w:szCs w:val="18"/>
              </w:rPr>
            </w:pPr>
            <w:r w:rsidRPr="00DA7543">
              <w:rPr>
                <w:sz w:val="20"/>
                <w:szCs w:val="18"/>
              </w:rPr>
              <w:t xml:space="preserve">Rationale </w:t>
            </w:r>
          </w:p>
        </w:tc>
      </w:tr>
      <w:tr w:rsidR="00CA3C50" w:rsidRPr="00371A7A" w14:paraId="597549F1" w14:textId="77777777">
        <w:trPr>
          <w:cnfStyle w:val="000000100000" w:firstRow="0" w:lastRow="0" w:firstColumn="0" w:lastColumn="0" w:oddVBand="0" w:evenVBand="0" w:oddHBand="1" w:evenHBand="0" w:firstRowFirstColumn="0" w:firstRowLastColumn="0" w:lastRowFirstColumn="0" w:lastRowLastColumn="0"/>
          <w:trHeight w:val="394"/>
        </w:trPr>
        <w:tc>
          <w:tcPr>
            <w:tcW w:w="1549" w:type="dxa"/>
            <w:tcBorders>
              <w:top w:val="none" w:sz="0" w:space="0" w:color="auto"/>
              <w:bottom w:val="none" w:sz="0" w:space="0" w:color="auto"/>
            </w:tcBorders>
            <w:hideMark/>
          </w:tcPr>
          <w:p w14:paraId="0E7BE879" w14:textId="29C211B5" w:rsidR="00CA3C50" w:rsidRPr="00371A7A" w:rsidRDefault="000D39FF">
            <w:pPr>
              <w:pStyle w:val="DJCSbody"/>
              <w:ind w:left="0"/>
              <w:rPr>
                <w:sz w:val="20"/>
                <w:szCs w:val="18"/>
              </w:rPr>
            </w:pPr>
            <w:r>
              <w:rPr>
                <w:b/>
                <w:sz w:val="20"/>
                <w:szCs w:val="18"/>
              </w:rPr>
              <w:lastRenderedPageBreak/>
              <w:t>Application</w:t>
            </w:r>
            <w:r w:rsidRPr="00371A7A">
              <w:rPr>
                <w:b/>
                <w:sz w:val="20"/>
                <w:szCs w:val="18"/>
              </w:rPr>
              <w:t xml:space="preserve"> </w:t>
            </w:r>
            <w:r w:rsidR="00CA3C50" w:rsidRPr="00371A7A">
              <w:rPr>
                <w:b/>
                <w:sz w:val="20"/>
                <w:szCs w:val="18"/>
              </w:rPr>
              <w:t xml:space="preserve">fee </w:t>
            </w:r>
          </w:p>
        </w:tc>
        <w:tc>
          <w:tcPr>
            <w:tcW w:w="1423" w:type="dxa"/>
            <w:tcBorders>
              <w:top w:val="none" w:sz="0" w:space="0" w:color="auto"/>
              <w:bottom w:val="none" w:sz="0" w:space="0" w:color="auto"/>
            </w:tcBorders>
          </w:tcPr>
          <w:p w14:paraId="42923110" w14:textId="394E9973" w:rsidR="00CA3C50" w:rsidRPr="00DA7543" w:rsidRDefault="00CA3C50">
            <w:pPr>
              <w:pStyle w:val="DJCSbody"/>
              <w:ind w:left="0"/>
              <w:jc w:val="center"/>
              <w:rPr>
                <w:sz w:val="20"/>
                <w:szCs w:val="18"/>
              </w:rPr>
            </w:pPr>
            <w:r w:rsidRPr="00DA7543">
              <w:rPr>
                <w:sz w:val="20"/>
                <w:szCs w:val="18"/>
              </w:rPr>
              <w:t>$3</w:t>
            </w:r>
            <w:r w:rsidR="00F4181D">
              <w:rPr>
                <w:sz w:val="20"/>
                <w:szCs w:val="18"/>
              </w:rPr>
              <w:t>5.00</w:t>
            </w:r>
          </w:p>
        </w:tc>
        <w:tc>
          <w:tcPr>
            <w:tcW w:w="2268" w:type="dxa"/>
            <w:tcBorders>
              <w:top w:val="none" w:sz="0" w:space="0" w:color="auto"/>
              <w:bottom w:val="none" w:sz="0" w:space="0" w:color="auto"/>
            </w:tcBorders>
            <w:hideMark/>
          </w:tcPr>
          <w:p w14:paraId="7D711B1C" w14:textId="045D753E" w:rsidR="00CA3C50" w:rsidRPr="00371A7A" w:rsidRDefault="00CA3C50">
            <w:pPr>
              <w:pStyle w:val="DJCSbody"/>
              <w:ind w:left="0"/>
              <w:jc w:val="center"/>
              <w:rPr>
                <w:sz w:val="20"/>
                <w:szCs w:val="18"/>
              </w:rPr>
            </w:pPr>
            <w:r w:rsidRPr="00371A7A">
              <w:rPr>
                <w:sz w:val="20"/>
                <w:szCs w:val="18"/>
              </w:rPr>
              <w:t>$</w:t>
            </w:r>
            <w:r w:rsidR="00E91CAC">
              <w:rPr>
                <w:sz w:val="20"/>
                <w:szCs w:val="18"/>
              </w:rPr>
              <w:t>23.76</w:t>
            </w:r>
            <w:r w:rsidRPr="00371A7A">
              <w:rPr>
                <w:sz w:val="20"/>
                <w:szCs w:val="18"/>
              </w:rPr>
              <w:t>m opex + $</w:t>
            </w:r>
            <w:r w:rsidR="00E32ECD">
              <w:rPr>
                <w:sz w:val="20"/>
                <w:szCs w:val="18"/>
              </w:rPr>
              <w:t>2</w:t>
            </w:r>
            <w:r w:rsidR="0036584B">
              <w:rPr>
                <w:sz w:val="20"/>
                <w:szCs w:val="18"/>
              </w:rPr>
              <w:t>9.38</w:t>
            </w:r>
            <w:r w:rsidRPr="00371A7A">
              <w:rPr>
                <w:sz w:val="20"/>
                <w:szCs w:val="18"/>
              </w:rPr>
              <w:t>m debt write off</w:t>
            </w:r>
          </w:p>
        </w:tc>
        <w:tc>
          <w:tcPr>
            <w:tcW w:w="1985" w:type="dxa"/>
            <w:tcBorders>
              <w:top w:val="none" w:sz="0" w:space="0" w:color="auto"/>
              <w:bottom w:val="none" w:sz="0" w:space="0" w:color="auto"/>
            </w:tcBorders>
            <w:hideMark/>
          </w:tcPr>
          <w:p w14:paraId="7729FB60" w14:textId="49B7ECC4" w:rsidR="00CA3C50" w:rsidRPr="00371A7A" w:rsidRDefault="00CA3C50">
            <w:pPr>
              <w:pStyle w:val="DJCSbody"/>
              <w:ind w:left="0"/>
              <w:jc w:val="center"/>
              <w:rPr>
                <w:sz w:val="20"/>
                <w:szCs w:val="18"/>
              </w:rPr>
            </w:pPr>
            <w:r>
              <w:rPr>
                <w:sz w:val="20"/>
                <w:szCs w:val="18"/>
              </w:rPr>
              <w:t>~</w:t>
            </w:r>
            <w:r w:rsidRPr="00371A7A">
              <w:rPr>
                <w:sz w:val="20"/>
                <w:szCs w:val="18"/>
              </w:rPr>
              <w:t>1</w:t>
            </w:r>
            <w:r>
              <w:rPr>
                <w:sz w:val="20"/>
                <w:szCs w:val="18"/>
              </w:rPr>
              <w:t>5</w:t>
            </w:r>
            <w:r w:rsidR="00271914">
              <w:rPr>
                <w:sz w:val="20"/>
                <w:szCs w:val="18"/>
              </w:rPr>
              <w:t>6</w:t>
            </w:r>
            <w:r w:rsidRPr="00371A7A">
              <w:rPr>
                <w:sz w:val="20"/>
                <w:szCs w:val="18"/>
              </w:rPr>
              <w:t>,0</w:t>
            </w:r>
            <w:r>
              <w:rPr>
                <w:sz w:val="20"/>
                <w:szCs w:val="18"/>
              </w:rPr>
              <w:t>00</w:t>
            </w:r>
          </w:p>
        </w:tc>
        <w:tc>
          <w:tcPr>
            <w:tcW w:w="3143" w:type="dxa"/>
            <w:tcBorders>
              <w:top w:val="none" w:sz="0" w:space="0" w:color="auto"/>
              <w:bottom w:val="none" w:sz="0" w:space="0" w:color="auto"/>
            </w:tcBorders>
            <w:hideMark/>
          </w:tcPr>
          <w:p w14:paraId="209D9BF8" w14:textId="152E1F54" w:rsidR="00CA3C50" w:rsidRPr="00371A7A" w:rsidRDefault="00CA3C50">
            <w:pPr>
              <w:pStyle w:val="DJCSbody"/>
              <w:ind w:left="-126"/>
              <w:rPr>
                <w:sz w:val="20"/>
                <w:szCs w:val="18"/>
              </w:rPr>
            </w:pPr>
            <w:r w:rsidRPr="00371A7A">
              <w:rPr>
                <w:sz w:val="20"/>
                <w:szCs w:val="18"/>
              </w:rPr>
              <w:t xml:space="preserve">Fee paid by those who participate in the </w:t>
            </w:r>
            <w:r w:rsidR="002D6F1E">
              <w:rPr>
                <w:sz w:val="20"/>
                <w:szCs w:val="18"/>
              </w:rPr>
              <w:t>PRBS</w:t>
            </w:r>
            <w:r w:rsidRPr="00DA7543">
              <w:rPr>
                <w:sz w:val="20"/>
                <w:szCs w:val="18"/>
              </w:rPr>
              <w:t>, estimated at ~6</w:t>
            </w:r>
            <w:r w:rsidR="00E055BE">
              <w:rPr>
                <w:sz w:val="20"/>
                <w:szCs w:val="18"/>
              </w:rPr>
              <w:t>2</w:t>
            </w:r>
            <w:r w:rsidRPr="00DA7543">
              <w:rPr>
                <w:sz w:val="20"/>
                <w:szCs w:val="18"/>
              </w:rPr>
              <w:t xml:space="preserve">% </w:t>
            </w:r>
            <w:r w:rsidR="00703A27">
              <w:rPr>
                <w:sz w:val="20"/>
                <w:szCs w:val="18"/>
              </w:rPr>
              <w:t>of bonds ported each year</w:t>
            </w:r>
          </w:p>
        </w:tc>
      </w:tr>
      <w:tr w:rsidR="00CA3C50" w:rsidRPr="00371A7A" w14:paraId="74546D0D" w14:textId="77777777">
        <w:trPr>
          <w:trHeight w:val="1454"/>
        </w:trPr>
        <w:tc>
          <w:tcPr>
            <w:tcW w:w="1549" w:type="dxa"/>
            <w:hideMark/>
          </w:tcPr>
          <w:p w14:paraId="03A27C05" w14:textId="77777777" w:rsidR="00CA3C50" w:rsidRPr="00371A7A" w:rsidRDefault="00CA3C50">
            <w:pPr>
              <w:pStyle w:val="DJCSbody"/>
              <w:ind w:left="0"/>
              <w:rPr>
                <w:sz w:val="20"/>
                <w:szCs w:val="18"/>
              </w:rPr>
            </w:pPr>
            <w:r w:rsidRPr="00371A7A">
              <w:rPr>
                <w:b/>
                <w:sz w:val="20"/>
                <w:szCs w:val="18"/>
              </w:rPr>
              <w:t>Debt recovery fee</w:t>
            </w:r>
          </w:p>
        </w:tc>
        <w:tc>
          <w:tcPr>
            <w:tcW w:w="1423" w:type="dxa"/>
          </w:tcPr>
          <w:p w14:paraId="0B7C7AA6" w14:textId="6AA5D585" w:rsidR="00CA3C50" w:rsidRPr="00DA7543" w:rsidRDefault="00CA3C50">
            <w:pPr>
              <w:pStyle w:val="DJCSbody"/>
              <w:ind w:left="0"/>
              <w:jc w:val="center"/>
              <w:rPr>
                <w:sz w:val="20"/>
                <w:szCs w:val="18"/>
              </w:rPr>
            </w:pPr>
            <w:r w:rsidRPr="00DA7543">
              <w:rPr>
                <w:sz w:val="20"/>
                <w:szCs w:val="18"/>
              </w:rPr>
              <w:t>$1</w:t>
            </w:r>
            <w:r w:rsidR="00F4181D">
              <w:rPr>
                <w:sz w:val="20"/>
                <w:szCs w:val="18"/>
              </w:rPr>
              <w:t>2.</w:t>
            </w:r>
            <w:r w:rsidR="00696B9E">
              <w:rPr>
                <w:sz w:val="20"/>
                <w:szCs w:val="18"/>
              </w:rPr>
              <w:t>80</w:t>
            </w:r>
          </w:p>
        </w:tc>
        <w:tc>
          <w:tcPr>
            <w:tcW w:w="2268" w:type="dxa"/>
            <w:hideMark/>
          </w:tcPr>
          <w:p w14:paraId="4179F9F0" w14:textId="6AB32318" w:rsidR="00CA3C50" w:rsidRPr="00371A7A" w:rsidRDefault="00CA3C50">
            <w:pPr>
              <w:pStyle w:val="DJCSbody"/>
              <w:ind w:left="0"/>
              <w:jc w:val="center"/>
              <w:rPr>
                <w:sz w:val="20"/>
                <w:szCs w:val="18"/>
              </w:rPr>
            </w:pPr>
            <w:r w:rsidRPr="00371A7A">
              <w:rPr>
                <w:sz w:val="20"/>
                <w:szCs w:val="18"/>
              </w:rPr>
              <w:t>$0.</w:t>
            </w:r>
            <w:r w:rsidR="00DD4BEA">
              <w:rPr>
                <w:sz w:val="20"/>
                <w:szCs w:val="18"/>
              </w:rPr>
              <w:t>406</w:t>
            </w:r>
            <w:r w:rsidRPr="00371A7A">
              <w:rPr>
                <w:sz w:val="20"/>
                <w:szCs w:val="18"/>
              </w:rPr>
              <w:t>m opex</w:t>
            </w:r>
          </w:p>
        </w:tc>
        <w:tc>
          <w:tcPr>
            <w:tcW w:w="1985" w:type="dxa"/>
            <w:hideMark/>
          </w:tcPr>
          <w:p w14:paraId="7F763889" w14:textId="1A14315E" w:rsidR="00CA3C50" w:rsidRPr="00371A7A" w:rsidRDefault="00CA3C50">
            <w:pPr>
              <w:pStyle w:val="DJCSbody"/>
              <w:ind w:left="0"/>
              <w:jc w:val="center"/>
              <w:rPr>
                <w:sz w:val="20"/>
                <w:szCs w:val="18"/>
              </w:rPr>
            </w:pPr>
            <w:r w:rsidRPr="00371A7A">
              <w:rPr>
                <w:sz w:val="20"/>
                <w:szCs w:val="18"/>
              </w:rPr>
              <w:t>~</w:t>
            </w:r>
            <w:r w:rsidR="00271914">
              <w:rPr>
                <w:sz w:val="20"/>
                <w:szCs w:val="18"/>
              </w:rPr>
              <w:t>3</w:t>
            </w:r>
            <w:r w:rsidRPr="00371A7A">
              <w:rPr>
                <w:sz w:val="20"/>
                <w:szCs w:val="18"/>
              </w:rPr>
              <w:t>,</w:t>
            </w:r>
            <w:r w:rsidR="00271914">
              <w:rPr>
                <w:sz w:val="20"/>
                <w:szCs w:val="18"/>
              </w:rPr>
              <w:t>6</w:t>
            </w:r>
            <w:r w:rsidRPr="00371A7A">
              <w:rPr>
                <w:sz w:val="20"/>
                <w:szCs w:val="18"/>
              </w:rPr>
              <w:t>00</w:t>
            </w:r>
          </w:p>
        </w:tc>
        <w:tc>
          <w:tcPr>
            <w:tcW w:w="3143" w:type="dxa"/>
            <w:hideMark/>
          </w:tcPr>
          <w:p w14:paraId="7563E37E" w14:textId="6EF4A4F9" w:rsidR="00703A27" w:rsidRDefault="00CA3C50" w:rsidP="00703A27">
            <w:pPr>
              <w:pStyle w:val="DJCSbody"/>
              <w:ind w:left="-111"/>
              <w:rPr>
                <w:sz w:val="20"/>
                <w:szCs w:val="18"/>
              </w:rPr>
            </w:pPr>
            <w:r w:rsidRPr="00371A7A">
              <w:rPr>
                <w:sz w:val="20"/>
                <w:szCs w:val="18"/>
              </w:rPr>
              <w:t xml:space="preserve">Fee paid by those </w:t>
            </w:r>
            <w:r w:rsidR="00E83457">
              <w:rPr>
                <w:sz w:val="20"/>
                <w:szCs w:val="18"/>
              </w:rPr>
              <w:t>who have an overdue debt</w:t>
            </w:r>
            <w:r w:rsidRPr="00371A7A">
              <w:rPr>
                <w:sz w:val="20"/>
                <w:szCs w:val="18"/>
              </w:rPr>
              <w:t xml:space="preserve"> </w:t>
            </w:r>
          </w:p>
          <w:p w14:paraId="141B3F34" w14:textId="0448F2D4" w:rsidR="00CA3C50" w:rsidRPr="00371A7A" w:rsidRDefault="00CA3C50" w:rsidP="00703A27">
            <w:pPr>
              <w:pStyle w:val="DJCSbody"/>
              <w:ind w:left="-111"/>
              <w:rPr>
                <w:sz w:val="20"/>
                <w:szCs w:val="18"/>
              </w:rPr>
            </w:pPr>
            <w:r w:rsidRPr="00371A7A">
              <w:rPr>
                <w:sz w:val="20"/>
                <w:szCs w:val="18"/>
              </w:rPr>
              <w:t xml:space="preserve">Note: in practice, the fee will be charged to all </w:t>
            </w:r>
            <w:r>
              <w:rPr>
                <w:sz w:val="20"/>
                <w:szCs w:val="18"/>
              </w:rPr>
              <w:t>~</w:t>
            </w:r>
            <w:r w:rsidR="00DE0FC5">
              <w:rPr>
                <w:sz w:val="20"/>
                <w:szCs w:val="18"/>
              </w:rPr>
              <w:t>5</w:t>
            </w:r>
            <w:r w:rsidRPr="00371A7A">
              <w:rPr>
                <w:sz w:val="20"/>
                <w:szCs w:val="18"/>
              </w:rPr>
              <w:t>,</w:t>
            </w:r>
            <w:r w:rsidR="00DE0FC5">
              <w:rPr>
                <w:sz w:val="20"/>
                <w:szCs w:val="18"/>
              </w:rPr>
              <w:t>5</w:t>
            </w:r>
            <w:r w:rsidRPr="00371A7A">
              <w:rPr>
                <w:sz w:val="20"/>
                <w:szCs w:val="18"/>
              </w:rPr>
              <w:t xml:space="preserve">00 </w:t>
            </w:r>
            <w:r w:rsidR="0046330A">
              <w:rPr>
                <w:sz w:val="20"/>
                <w:szCs w:val="18"/>
              </w:rPr>
              <w:t>renters</w:t>
            </w:r>
            <w:r w:rsidR="0046330A" w:rsidRPr="00371A7A">
              <w:rPr>
                <w:sz w:val="20"/>
                <w:szCs w:val="18"/>
              </w:rPr>
              <w:t xml:space="preserve"> </w:t>
            </w:r>
            <w:r w:rsidRPr="00371A7A">
              <w:rPr>
                <w:sz w:val="20"/>
                <w:szCs w:val="18"/>
              </w:rPr>
              <w:t xml:space="preserve">who have outstanding debts, but of those </w:t>
            </w:r>
            <w:r>
              <w:rPr>
                <w:sz w:val="20"/>
                <w:szCs w:val="18"/>
              </w:rPr>
              <w:t>~</w:t>
            </w:r>
            <w:r w:rsidR="00BE0C3A">
              <w:rPr>
                <w:sz w:val="20"/>
                <w:szCs w:val="18"/>
              </w:rPr>
              <w:t>1,9</w:t>
            </w:r>
            <w:r>
              <w:rPr>
                <w:sz w:val="20"/>
                <w:szCs w:val="18"/>
              </w:rPr>
              <w:t>00</w:t>
            </w:r>
            <w:r w:rsidRPr="00371A7A">
              <w:rPr>
                <w:sz w:val="20"/>
                <w:szCs w:val="18"/>
              </w:rPr>
              <w:t xml:space="preserve"> are estimated to not pay</w:t>
            </w:r>
            <w:r>
              <w:rPr>
                <w:sz w:val="20"/>
                <w:szCs w:val="18"/>
              </w:rPr>
              <w:t>.</w:t>
            </w:r>
          </w:p>
        </w:tc>
      </w:tr>
    </w:tbl>
    <w:p w14:paraId="65E890A5" w14:textId="75564E1F" w:rsidR="00140071" w:rsidRDefault="00140071" w:rsidP="00140071">
      <w:pPr>
        <w:pStyle w:val="DJCSbody"/>
        <w:ind w:left="0"/>
        <w:rPr>
          <w:i/>
          <w:sz w:val="20"/>
          <w:szCs w:val="18"/>
          <w:lang w:val="en-US"/>
        </w:rPr>
      </w:pPr>
      <w:r w:rsidRPr="00140071">
        <w:rPr>
          <w:i/>
          <w:iCs/>
          <w:sz w:val="20"/>
          <w:szCs w:val="18"/>
          <w:lang w:val="en-US"/>
        </w:rPr>
        <w:t xml:space="preserve">Note: Fee amount multiplied by number of fee payers will not necessarily add to the estimated cost base as the model assumes number of fee payers increases over </w:t>
      </w:r>
      <w:r w:rsidR="009E1AFF">
        <w:rPr>
          <w:i/>
          <w:iCs/>
          <w:sz w:val="20"/>
          <w:szCs w:val="18"/>
          <w:lang w:val="en-US"/>
        </w:rPr>
        <w:t>10</w:t>
      </w:r>
      <w:r w:rsidRPr="00140071">
        <w:rPr>
          <w:i/>
          <w:iCs/>
          <w:sz w:val="20"/>
          <w:szCs w:val="18"/>
          <w:lang w:val="en-US"/>
        </w:rPr>
        <w:t xml:space="preserve"> years. </w:t>
      </w:r>
    </w:p>
    <w:p w14:paraId="0525A25C" w14:textId="4C245931" w:rsidR="00F3588B" w:rsidRDefault="00F3588B" w:rsidP="001F576E">
      <w:pPr>
        <w:pStyle w:val="DJCSbody"/>
        <w:ind w:left="0"/>
      </w:pPr>
      <w:r>
        <w:t xml:space="preserve">As outlined in </w:t>
      </w:r>
      <w:r w:rsidR="00A24674">
        <w:t>Subchapter</w:t>
      </w:r>
      <w:r>
        <w:t xml:space="preserve"> 4.2, if a debt is not recovered by Government in stages 1A and 1B of the debt management and recovery </w:t>
      </w:r>
      <w:r w:rsidR="00BC57FB">
        <w:t>process and</w:t>
      </w:r>
      <w:r>
        <w:t xml:space="preserve"> </w:t>
      </w:r>
      <w:r w:rsidR="00B25EF1">
        <w:t xml:space="preserve">a </w:t>
      </w:r>
      <w:r w:rsidR="003E50D7">
        <w:t>DCA</w:t>
      </w:r>
      <w:r>
        <w:t xml:space="preserve"> </w:t>
      </w:r>
      <w:r w:rsidR="00B25EF1">
        <w:t xml:space="preserve">is required </w:t>
      </w:r>
      <w:r>
        <w:t xml:space="preserve">under stage 2, an external debt recovery fee may apply. This fee will not be prescribed in the Regulations as this fee will be dependent on the external debt recovery agency fees outlined in future commercial agreements. </w:t>
      </w:r>
    </w:p>
    <w:p w14:paraId="32E531CF" w14:textId="6320CBEF" w:rsidR="005E7BF8" w:rsidRDefault="005E7BF8" w:rsidP="005E7BF8">
      <w:pPr>
        <w:pStyle w:val="DJCSbody"/>
        <w:ind w:left="0"/>
      </w:pPr>
      <w:r>
        <w:t xml:space="preserve">Further detail on the preferred option is outlined throughout this section. </w:t>
      </w:r>
    </w:p>
    <w:p w14:paraId="56DE55B6" w14:textId="28C8870A" w:rsidR="00942B14" w:rsidRPr="00A13FA0" w:rsidRDefault="00942B14" w:rsidP="00942B14">
      <w:pPr>
        <w:pStyle w:val="Heading3"/>
      </w:pPr>
      <w:r w:rsidRPr="00A13FA0">
        <w:t xml:space="preserve">Cashflow impact of the preferred option </w:t>
      </w:r>
    </w:p>
    <w:p w14:paraId="37C886D7" w14:textId="2E0533D2" w:rsidR="00343329" w:rsidRDefault="00877B6C" w:rsidP="00343329">
      <w:pPr>
        <w:pStyle w:val="DJCSbody"/>
        <w:ind w:left="0"/>
      </w:pPr>
      <w:r w:rsidRPr="00BC4074">
        <w:rPr>
          <w:lang w:val="en-US"/>
        </w:rPr>
        <w:t xml:space="preserve">The table </w:t>
      </w:r>
      <w:r>
        <w:rPr>
          <w:lang w:val="en-US"/>
        </w:rPr>
        <w:t xml:space="preserve">below </w:t>
      </w:r>
      <w:r w:rsidRPr="00BC4074">
        <w:rPr>
          <w:lang w:val="en-US"/>
        </w:rPr>
        <w:t>provide</w:t>
      </w:r>
      <w:r>
        <w:rPr>
          <w:lang w:val="en-US"/>
        </w:rPr>
        <w:t>s</w:t>
      </w:r>
      <w:r w:rsidRPr="00BC4074">
        <w:rPr>
          <w:lang w:val="en-US"/>
        </w:rPr>
        <w:t xml:space="preserve"> </w:t>
      </w:r>
      <w:r>
        <w:rPr>
          <w:lang w:val="en-US"/>
        </w:rPr>
        <w:t xml:space="preserve">a forecast of </w:t>
      </w:r>
      <w:r w:rsidRPr="00BC4074">
        <w:rPr>
          <w:lang w:val="en-US"/>
        </w:rPr>
        <w:t xml:space="preserve">the </w:t>
      </w:r>
      <w:r>
        <w:rPr>
          <w:lang w:val="en-US"/>
        </w:rPr>
        <w:t xml:space="preserve">Government’s expected </w:t>
      </w:r>
      <w:r w:rsidRPr="00BC4074">
        <w:rPr>
          <w:lang w:val="en-US"/>
        </w:rPr>
        <w:t xml:space="preserve">cashflows </w:t>
      </w:r>
      <w:r>
        <w:rPr>
          <w:lang w:val="en-US"/>
        </w:rPr>
        <w:t xml:space="preserve">for the preferred option over the first </w:t>
      </w:r>
      <w:r w:rsidR="001C5C78">
        <w:rPr>
          <w:lang w:val="en-US"/>
        </w:rPr>
        <w:t>10</w:t>
      </w:r>
      <w:r>
        <w:rPr>
          <w:lang w:val="en-US"/>
        </w:rPr>
        <w:t xml:space="preserve"> years of the operation of the PRBS</w:t>
      </w:r>
      <w:r w:rsidR="00D82C04">
        <w:rPr>
          <w:lang w:val="en-US"/>
        </w:rPr>
        <w:t>, discounted at 4</w:t>
      </w:r>
      <w:r w:rsidR="00A33A1D">
        <w:rPr>
          <w:lang w:val="en-US"/>
        </w:rPr>
        <w:t>%</w:t>
      </w:r>
      <w:r w:rsidR="00D82C04">
        <w:rPr>
          <w:lang w:val="en-US"/>
        </w:rPr>
        <w:t xml:space="preserve"> per annum (based on Guidance from the Department of Treasury and Finance</w:t>
      </w:r>
      <w:r w:rsidR="00447E1D">
        <w:rPr>
          <w:lang w:val="en-US"/>
        </w:rPr>
        <w:t>)</w:t>
      </w:r>
      <w:r w:rsidR="00D82C04">
        <w:rPr>
          <w:rStyle w:val="FootnoteReference"/>
        </w:rPr>
        <w:footnoteReference w:id="54"/>
      </w:r>
      <w:r w:rsidR="00D82C04">
        <w:rPr>
          <w:lang w:val="en-US"/>
        </w:rPr>
        <w:t xml:space="preserve">. </w:t>
      </w:r>
      <w:r w:rsidR="00152B7C">
        <w:rPr>
          <w:lang w:val="en-US"/>
        </w:rPr>
        <w:t xml:space="preserve">This </w:t>
      </w:r>
      <w:r w:rsidR="0094329E">
        <w:rPr>
          <w:lang w:val="en-US"/>
        </w:rPr>
        <w:t xml:space="preserve">demonstrates </w:t>
      </w:r>
      <w:r w:rsidR="00BA3367">
        <w:rPr>
          <w:lang w:val="en-US"/>
        </w:rPr>
        <w:t xml:space="preserve">how </w:t>
      </w:r>
      <w:r w:rsidR="00343329" w:rsidRPr="00343329">
        <w:t>the fee</w:t>
      </w:r>
      <w:r w:rsidR="00BA3367">
        <w:t xml:space="preserve"> revenue</w:t>
      </w:r>
      <w:r w:rsidR="00343329" w:rsidRPr="00343329">
        <w:t xml:space="preserve"> </w:t>
      </w:r>
      <w:r w:rsidR="00BA3367">
        <w:t>‘</w:t>
      </w:r>
      <w:r w:rsidR="00343329" w:rsidRPr="00343329">
        <w:t>breaks even</w:t>
      </w:r>
      <w:r w:rsidR="00BA3367">
        <w:t xml:space="preserve">’ with </w:t>
      </w:r>
      <w:r w:rsidR="00B823AB">
        <w:t>operating costs and estimated debt write off</w:t>
      </w:r>
      <w:r w:rsidR="00343329" w:rsidRPr="00343329">
        <w:t xml:space="preserve"> over a</w:t>
      </w:r>
      <w:r w:rsidR="009F47C4">
        <w:t>n</w:t>
      </w:r>
      <w:r w:rsidR="00343329" w:rsidRPr="00343329">
        <w:t xml:space="preserve"> </w:t>
      </w:r>
      <w:r w:rsidR="0067503B">
        <w:t>8</w:t>
      </w:r>
      <w:r w:rsidR="0050155E">
        <w:t>-</w:t>
      </w:r>
      <w:r w:rsidR="00343329" w:rsidRPr="00343329">
        <w:t>year duration.</w:t>
      </w:r>
      <w:r w:rsidR="00343329" w:rsidRPr="00343329">
        <w:rPr>
          <w:b/>
          <w:bCs/>
        </w:rPr>
        <w:t xml:space="preserve"> </w:t>
      </w:r>
      <w:r w:rsidR="00B823AB">
        <w:t xml:space="preserve">It is likely there will </w:t>
      </w:r>
      <w:r w:rsidR="00343329" w:rsidRPr="00343329">
        <w:t xml:space="preserve">be levels of under or over-recovery in each individual year given the debt recovery profile changing over time. </w:t>
      </w:r>
    </w:p>
    <w:p w14:paraId="7A4211EE" w14:textId="7C6BB095" w:rsidR="009B4D09" w:rsidRDefault="006C3BD4" w:rsidP="00BE5ED9">
      <w:pPr>
        <w:pStyle w:val="DJCSbody"/>
        <w:ind w:left="0"/>
      </w:pPr>
      <w:r>
        <w:t xml:space="preserve">The </w:t>
      </w:r>
      <w:r w:rsidR="001C5C78">
        <w:t>10</w:t>
      </w:r>
      <w:r w:rsidR="00153598">
        <w:t>-</w:t>
      </w:r>
      <w:r>
        <w:t xml:space="preserve">year cashflows also demonstrate how the </w:t>
      </w:r>
      <w:r w:rsidR="00AD341C">
        <w:t xml:space="preserve">Government’s </w:t>
      </w:r>
      <w:r>
        <w:t xml:space="preserve">debt write off </w:t>
      </w:r>
      <w:r w:rsidR="00343329" w:rsidRPr="00343329">
        <w:t xml:space="preserve">balance </w:t>
      </w:r>
      <w:r w:rsidR="00AD341C">
        <w:t xml:space="preserve">from the </w:t>
      </w:r>
      <w:r w:rsidR="00252C91">
        <w:t xml:space="preserve">PRBS </w:t>
      </w:r>
      <w:r>
        <w:t xml:space="preserve">will slowly </w:t>
      </w:r>
      <w:r w:rsidR="00043E63">
        <w:t xml:space="preserve">decline as debts are </w:t>
      </w:r>
      <w:r w:rsidR="00D801FA">
        <w:t>recovered through debt recovery mechanisms</w:t>
      </w:r>
      <w:r w:rsidR="002017E3">
        <w:t xml:space="preserve"> (particularly the mechanism to recover </w:t>
      </w:r>
      <w:r w:rsidR="00A531B0">
        <w:t xml:space="preserve">outstanding </w:t>
      </w:r>
      <w:r w:rsidR="002017E3">
        <w:t xml:space="preserve">debts through </w:t>
      </w:r>
      <w:r w:rsidR="00BD388A">
        <w:t xml:space="preserve">second </w:t>
      </w:r>
      <w:r w:rsidR="002017E3">
        <w:t>bonds</w:t>
      </w:r>
      <w:r w:rsidR="009B2BA8">
        <w:t>),</w:t>
      </w:r>
      <w:r w:rsidR="002017E3">
        <w:t xml:space="preserve"> </w:t>
      </w:r>
      <w:r w:rsidR="00153598">
        <w:t xml:space="preserve">reaching </w:t>
      </w:r>
      <w:r w:rsidR="00343329" w:rsidRPr="00343329">
        <w:t xml:space="preserve">a steady-state </w:t>
      </w:r>
      <w:r w:rsidR="00153598">
        <w:t xml:space="preserve">level after approximately </w:t>
      </w:r>
      <w:r w:rsidR="00343329" w:rsidRPr="00343329">
        <w:t xml:space="preserve">5 </w:t>
      </w:r>
      <w:r w:rsidR="00153598">
        <w:t>years</w:t>
      </w:r>
      <w:r w:rsidR="009B2BA8">
        <w:t xml:space="preserve"> </w:t>
      </w:r>
      <w:r w:rsidR="00343329" w:rsidRPr="00343329">
        <w:t xml:space="preserve">as the </w:t>
      </w:r>
      <w:r w:rsidR="00252C91">
        <w:t>PRBS</w:t>
      </w:r>
      <w:r w:rsidR="00252C91" w:rsidRPr="00343329">
        <w:t xml:space="preserve"> </w:t>
      </w:r>
      <w:r w:rsidR="00343329" w:rsidRPr="00343329">
        <w:t>matures</w:t>
      </w:r>
      <w:r w:rsidR="009B2BA8">
        <w:t xml:space="preserve">. After this point, the </w:t>
      </w:r>
      <w:r w:rsidR="00441037">
        <w:t xml:space="preserve">debt write off balance will rise in </w:t>
      </w:r>
      <w:r w:rsidR="0068578D">
        <w:t xml:space="preserve">accordance </w:t>
      </w:r>
      <w:r w:rsidR="00441037">
        <w:t xml:space="preserve">with </w:t>
      </w:r>
      <w:r w:rsidR="007727E6">
        <w:t>the general number and value of bonds</w:t>
      </w:r>
      <w:r w:rsidR="009577B2">
        <w:t xml:space="preserve"> </w:t>
      </w:r>
      <w:r w:rsidR="0068578D">
        <w:t xml:space="preserve">ported via the PRBS, driven by factors such as rising population and rent. </w:t>
      </w:r>
      <w:r w:rsidR="00343329" w:rsidRPr="00343329">
        <w:t xml:space="preserve">Revenue from the </w:t>
      </w:r>
      <w:r w:rsidR="00CB0103">
        <w:t>application</w:t>
      </w:r>
      <w:r w:rsidR="00872CCC">
        <w:t xml:space="preserve"> </w:t>
      </w:r>
      <w:r w:rsidR="00343329" w:rsidRPr="00343329">
        <w:t xml:space="preserve">fee is expected to cover the costs of the </w:t>
      </w:r>
      <w:r w:rsidR="007B1442">
        <w:t xml:space="preserve">debt write off </w:t>
      </w:r>
      <w:r w:rsidR="00343329" w:rsidRPr="00343329">
        <w:t xml:space="preserve">over the </w:t>
      </w:r>
      <w:r w:rsidR="001C5C78">
        <w:t xml:space="preserve">modelled </w:t>
      </w:r>
      <w:r w:rsidR="00343329" w:rsidRPr="00343329">
        <w:t>duration.</w:t>
      </w:r>
    </w:p>
    <w:p w14:paraId="028730FB" w14:textId="44995C18" w:rsidR="007E4119" w:rsidRDefault="007E4119" w:rsidP="007E4119">
      <w:pPr>
        <w:pStyle w:val="Caption"/>
      </w:pPr>
      <w:r>
        <w:t xml:space="preserve">Table </w:t>
      </w:r>
      <w:r>
        <w:fldChar w:fldCharType="begin"/>
      </w:r>
      <w:r>
        <w:instrText xml:space="preserve"> SEQ Table \* ARABIC </w:instrText>
      </w:r>
      <w:r>
        <w:fldChar w:fldCharType="separate"/>
      </w:r>
      <w:r w:rsidR="00A50199">
        <w:rPr>
          <w:noProof/>
        </w:rPr>
        <w:t>15</w:t>
      </w:r>
      <w:r>
        <w:fldChar w:fldCharType="end"/>
      </w:r>
      <w:r>
        <w:t>: Ten-year cashflows (discounted) for the preferred option ($’000s), Years 1-6</w:t>
      </w:r>
    </w:p>
    <w:tbl>
      <w:tblPr>
        <w:tblStyle w:val="TableGrid"/>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1276"/>
        <w:gridCol w:w="1276"/>
        <w:gridCol w:w="1276"/>
        <w:gridCol w:w="1276"/>
        <w:gridCol w:w="1276"/>
        <w:gridCol w:w="1276"/>
      </w:tblGrid>
      <w:tr w:rsidR="00420237" w14:paraId="4768FE27" w14:textId="3C507E93" w:rsidTr="001F576E">
        <w:tc>
          <w:tcPr>
            <w:tcW w:w="2687" w:type="dxa"/>
            <w:shd w:val="clear" w:color="auto" w:fill="16145F" w:themeFill="text2"/>
          </w:tcPr>
          <w:p w14:paraId="53B6D950" w14:textId="4CE2E506" w:rsidR="00965BBA" w:rsidRPr="00F05B35" w:rsidRDefault="00965BBA" w:rsidP="00F05B35">
            <w:pPr>
              <w:pStyle w:val="DJCSbody"/>
              <w:ind w:left="0"/>
              <w:jc w:val="left"/>
              <w:rPr>
                <w:b/>
                <w:color w:val="FFFFFF" w:themeColor="background1"/>
              </w:rPr>
            </w:pPr>
            <w:r w:rsidRPr="00F05B35">
              <w:rPr>
                <w:b/>
                <w:bCs/>
                <w:color w:val="FFFFFF" w:themeColor="background1"/>
              </w:rPr>
              <w:t>Cashflow</w:t>
            </w:r>
            <w:r w:rsidR="001C5FC1" w:rsidRPr="00F05B35">
              <w:rPr>
                <w:b/>
                <w:bCs/>
                <w:color w:val="FFFFFF" w:themeColor="background1"/>
              </w:rPr>
              <w:t>s</w:t>
            </w:r>
            <w:r w:rsidR="00FE0CB2" w:rsidRPr="00F05B35">
              <w:rPr>
                <w:b/>
                <w:bCs/>
                <w:color w:val="FFFFFF" w:themeColor="background1"/>
              </w:rPr>
              <w:t xml:space="preserve"> for the</w:t>
            </w:r>
            <w:r w:rsidR="001C5FC1" w:rsidRPr="00F05B35">
              <w:rPr>
                <w:b/>
                <w:bCs/>
                <w:color w:val="FFFFFF" w:themeColor="background1"/>
              </w:rPr>
              <w:t xml:space="preserve"> </w:t>
            </w:r>
            <w:r w:rsidR="00FE0CB2" w:rsidRPr="00F05B35">
              <w:rPr>
                <w:b/>
                <w:bCs/>
                <w:color w:val="FFFFFF" w:themeColor="background1"/>
              </w:rPr>
              <w:t>p</w:t>
            </w:r>
            <w:r w:rsidR="00E36607" w:rsidRPr="00F05B35">
              <w:rPr>
                <w:b/>
                <w:bCs/>
                <w:color w:val="FFFFFF" w:themeColor="background1"/>
              </w:rPr>
              <w:t xml:space="preserve">referred </w:t>
            </w:r>
            <w:r w:rsidR="00FE0CB2" w:rsidRPr="00F05B35">
              <w:rPr>
                <w:b/>
                <w:bCs/>
                <w:color w:val="FFFFFF" w:themeColor="background1"/>
              </w:rPr>
              <w:t>o</w:t>
            </w:r>
            <w:r w:rsidR="00E36607" w:rsidRPr="00F05B35">
              <w:rPr>
                <w:b/>
                <w:bCs/>
                <w:color w:val="FFFFFF" w:themeColor="background1"/>
              </w:rPr>
              <w:t>ption</w:t>
            </w:r>
            <w:r w:rsidR="00FE0CB2" w:rsidRPr="00F05B35">
              <w:rPr>
                <w:b/>
                <w:bCs/>
                <w:color w:val="FFFFFF" w:themeColor="background1"/>
              </w:rPr>
              <w:t xml:space="preserve"> over </w:t>
            </w:r>
            <w:r w:rsidR="000E32A3">
              <w:rPr>
                <w:b/>
                <w:bCs/>
                <w:color w:val="FFFFFF" w:themeColor="background1"/>
              </w:rPr>
              <w:t>ten</w:t>
            </w:r>
            <w:r w:rsidR="000E32A3" w:rsidRPr="00F05B35">
              <w:rPr>
                <w:b/>
                <w:bCs/>
                <w:color w:val="FFFFFF" w:themeColor="background1"/>
              </w:rPr>
              <w:t xml:space="preserve"> </w:t>
            </w:r>
            <w:r w:rsidR="00FE0CB2" w:rsidRPr="00F05B35">
              <w:rPr>
                <w:b/>
                <w:bCs/>
                <w:color w:val="FFFFFF" w:themeColor="background1"/>
              </w:rPr>
              <w:t>years ($’000s)</w:t>
            </w:r>
          </w:p>
        </w:tc>
        <w:tc>
          <w:tcPr>
            <w:tcW w:w="1276" w:type="dxa"/>
            <w:shd w:val="clear" w:color="auto" w:fill="16145F" w:themeFill="text2"/>
          </w:tcPr>
          <w:p w14:paraId="28BBA3A9" w14:textId="77777777" w:rsidR="00965BBA" w:rsidRPr="00F05B35" w:rsidRDefault="00965BBA" w:rsidP="00C80D47">
            <w:pPr>
              <w:pStyle w:val="DJCSbody"/>
              <w:ind w:left="0"/>
              <w:jc w:val="center"/>
              <w:rPr>
                <w:b/>
                <w:color w:val="FFFFFF" w:themeColor="background1"/>
              </w:rPr>
            </w:pPr>
            <w:r w:rsidRPr="00F05B35">
              <w:rPr>
                <w:b/>
                <w:color w:val="FFFFFF" w:themeColor="background1"/>
              </w:rPr>
              <w:t>Y1</w:t>
            </w:r>
          </w:p>
        </w:tc>
        <w:tc>
          <w:tcPr>
            <w:tcW w:w="1276" w:type="dxa"/>
            <w:shd w:val="clear" w:color="auto" w:fill="16145F" w:themeFill="text2"/>
          </w:tcPr>
          <w:p w14:paraId="41825CD1" w14:textId="77777777" w:rsidR="00965BBA" w:rsidRPr="00F05B35" w:rsidRDefault="00965BBA" w:rsidP="00C80D47">
            <w:pPr>
              <w:pStyle w:val="DJCSbody"/>
              <w:ind w:left="0"/>
              <w:jc w:val="center"/>
              <w:rPr>
                <w:b/>
                <w:color w:val="FFFFFF" w:themeColor="background1"/>
              </w:rPr>
            </w:pPr>
            <w:r w:rsidRPr="00F05B35">
              <w:rPr>
                <w:b/>
                <w:color w:val="FFFFFF" w:themeColor="background1"/>
              </w:rPr>
              <w:t>Y2</w:t>
            </w:r>
          </w:p>
        </w:tc>
        <w:tc>
          <w:tcPr>
            <w:tcW w:w="1276" w:type="dxa"/>
            <w:shd w:val="clear" w:color="auto" w:fill="16145F" w:themeFill="text2"/>
          </w:tcPr>
          <w:p w14:paraId="412F9046" w14:textId="77777777" w:rsidR="00965BBA" w:rsidRPr="00F05B35" w:rsidRDefault="00965BBA" w:rsidP="00C80D47">
            <w:pPr>
              <w:pStyle w:val="DJCSbody"/>
              <w:ind w:left="0"/>
              <w:jc w:val="center"/>
              <w:rPr>
                <w:b/>
                <w:color w:val="FFFFFF" w:themeColor="background1"/>
              </w:rPr>
            </w:pPr>
            <w:r w:rsidRPr="00F05B35">
              <w:rPr>
                <w:b/>
                <w:color w:val="FFFFFF" w:themeColor="background1"/>
              </w:rPr>
              <w:t>Y3</w:t>
            </w:r>
          </w:p>
        </w:tc>
        <w:tc>
          <w:tcPr>
            <w:tcW w:w="1276" w:type="dxa"/>
            <w:shd w:val="clear" w:color="auto" w:fill="16145F" w:themeFill="text2"/>
          </w:tcPr>
          <w:p w14:paraId="58BE98CE" w14:textId="77777777" w:rsidR="00965BBA" w:rsidRPr="00F05B35" w:rsidRDefault="00965BBA" w:rsidP="00C80D47">
            <w:pPr>
              <w:pStyle w:val="DJCSbody"/>
              <w:ind w:left="0"/>
              <w:jc w:val="center"/>
              <w:rPr>
                <w:b/>
                <w:color w:val="FFFFFF" w:themeColor="background1"/>
              </w:rPr>
            </w:pPr>
            <w:r w:rsidRPr="00F05B35">
              <w:rPr>
                <w:b/>
                <w:color w:val="FFFFFF" w:themeColor="background1"/>
              </w:rPr>
              <w:t>Y4</w:t>
            </w:r>
          </w:p>
        </w:tc>
        <w:tc>
          <w:tcPr>
            <w:tcW w:w="1276" w:type="dxa"/>
            <w:shd w:val="clear" w:color="auto" w:fill="002060"/>
          </w:tcPr>
          <w:p w14:paraId="20BB7DB3" w14:textId="48CF512F" w:rsidR="007D6126" w:rsidRPr="00F05B35" w:rsidRDefault="00361EFB" w:rsidP="00C80D47">
            <w:pPr>
              <w:pStyle w:val="DJCSbody"/>
              <w:ind w:left="0"/>
              <w:jc w:val="center"/>
              <w:rPr>
                <w:b/>
                <w:color w:val="FFFFFF" w:themeColor="background1"/>
              </w:rPr>
            </w:pPr>
            <w:r w:rsidRPr="00F05B35">
              <w:rPr>
                <w:b/>
                <w:color w:val="FFFFFF" w:themeColor="background1"/>
              </w:rPr>
              <w:t>Y</w:t>
            </w:r>
            <w:r>
              <w:rPr>
                <w:b/>
                <w:color w:val="FFFFFF" w:themeColor="background1"/>
              </w:rPr>
              <w:t>5</w:t>
            </w:r>
          </w:p>
        </w:tc>
        <w:tc>
          <w:tcPr>
            <w:tcW w:w="1276" w:type="dxa"/>
            <w:shd w:val="clear" w:color="auto" w:fill="002060"/>
          </w:tcPr>
          <w:p w14:paraId="53D1FF2A" w14:textId="2961CF3D" w:rsidR="007D6126" w:rsidRPr="00F05B35" w:rsidRDefault="00361EFB" w:rsidP="00C80D47">
            <w:pPr>
              <w:pStyle w:val="DJCSbody"/>
              <w:ind w:left="0"/>
              <w:jc w:val="center"/>
              <w:rPr>
                <w:b/>
                <w:color w:val="FFFFFF" w:themeColor="background1"/>
              </w:rPr>
            </w:pPr>
            <w:r>
              <w:rPr>
                <w:b/>
                <w:color w:val="FFFFFF" w:themeColor="background1"/>
              </w:rPr>
              <w:t>Y6</w:t>
            </w:r>
          </w:p>
        </w:tc>
      </w:tr>
      <w:tr w:rsidR="00965BBA" w14:paraId="2E88D19D" w14:textId="10AAC4A3" w:rsidTr="001F576E">
        <w:tc>
          <w:tcPr>
            <w:tcW w:w="2687" w:type="dxa"/>
            <w:shd w:val="clear" w:color="auto" w:fill="16145F" w:themeFill="text2"/>
          </w:tcPr>
          <w:p w14:paraId="21EAF0D1" w14:textId="6D43E4D1" w:rsidR="00965BBA" w:rsidRPr="008D13EC" w:rsidRDefault="00CB0103" w:rsidP="00A5673B">
            <w:pPr>
              <w:pStyle w:val="DJCSbody"/>
              <w:ind w:left="0"/>
              <w:jc w:val="left"/>
              <w:rPr>
                <w:color w:val="FFFFFF" w:themeColor="background1"/>
              </w:rPr>
            </w:pPr>
            <w:r>
              <w:rPr>
                <w:color w:val="FFFFFF" w:themeColor="background1"/>
              </w:rPr>
              <w:t>Application</w:t>
            </w:r>
            <w:r w:rsidR="00965BBA" w:rsidRPr="008D13EC">
              <w:rPr>
                <w:color w:val="FFFFFF" w:themeColor="background1"/>
              </w:rPr>
              <w:t xml:space="preserve"> Fee Revenue</w:t>
            </w:r>
          </w:p>
        </w:tc>
        <w:tc>
          <w:tcPr>
            <w:tcW w:w="1276" w:type="dxa"/>
          </w:tcPr>
          <w:p w14:paraId="4D2542D0" w14:textId="4A6242AF" w:rsidR="00965BBA" w:rsidRDefault="009316B7" w:rsidP="00C80D47">
            <w:pPr>
              <w:pStyle w:val="DJCSbody"/>
              <w:ind w:left="0"/>
              <w:jc w:val="center"/>
            </w:pPr>
            <w:r>
              <w:t>$</w:t>
            </w:r>
            <w:r w:rsidR="00965BBA">
              <w:t>5,</w:t>
            </w:r>
            <w:r w:rsidR="00A93A38">
              <w:t>3</w:t>
            </w:r>
            <w:r w:rsidR="00C163E2">
              <w:t>38</w:t>
            </w:r>
          </w:p>
        </w:tc>
        <w:tc>
          <w:tcPr>
            <w:tcW w:w="1276" w:type="dxa"/>
          </w:tcPr>
          <w:p w14:paraId="29810AF1" w14:textId="36A50579" w:rsidR="00965BBA" w:rsidRDefault="009316B7" w:rsidP="00C80D47">
            <w:pPr>
              <w:pStyle w:val="DJCSbody"/>
              <w:ind w:left="0"/>
              <w:jc w:val="center"/>
            </w:pPr>
            <w:r>
              <w:t>$</w:t>
            </w:r>
            <w:r w:rsidR="00965BBA">
              <w:t>5,</w:t>
            </w:r>
            <w:r w:rsidR="00A93A38">
              <w:t>3</w:t>
            </w:r>
            <w:r w:rsidR="00C163E2">
              <w:t>51</w:t>
            </w:r>
          </w:p>
        </w:tc>
        <w:tc>
          <w:tcPr>
            <w:tcW w:w="1276" w:type="dxa"/>
          </w:tcPr>
          <w:p w14:paraId="568D902C" w14:textId="73CFBAE3" w:rsidR="00965BBA" w:rsidRDefault="009316B7" w:rsidP="00C80D47">
            <w:pPr>
              <w:pStyle w:val="DJCSbody"/>
              <w:ind w:left="0"/>
              <w:jc w:val="center"/>
            </w:pPr>
            <w:r>
              <w:t>$</w:t>
            </w:r>
            <w:r w:rsidR="00965BBA">
              <w:t>5,</w:t>
            </w:r>
            <w:r w:rsidR="00A93A38">
              <w:t>3</w:t>
            </w:r>
            <w:r w:rsidR="00A60037">
              <w:t>64</w:t>
            </w:r>
          </w:p>
        </w:tc>
        <w:tc>
          <w:tcPr>
            <w:tcW w:w="1276" w:type="dxa"/>
          </w:tcPr>
          <w:p w14:paraId="0FE0D2E9" w14:textId="03417EB2" w:rsidR="00965BBA" w:rsidRDefault="009316B7" w:rsidP="00C80D47">
            <w:pPr>
              <w:pStyle w:val="DJCSbody"/>
              <w:ind w:left="0"/>
              <w:jc w:val="center"/>
            </w:pPr>
            <w:r>
              <w:t>$</w:t>
            </w:r>
            <w:r w:rsidR="00965BBA">
              <w:t>5,</w:t>
            </w:r>
            <w:r w:rsidR="00A93A38">
              <w:t>3</w:t>
            </w:r>
            <w:r w:rsidR="00A60037">
              <w:t>76</w:t>
            </w:r>
          </w:p>
        </w:tc>
        <w:tc>
          <w:tcPr>
            <w:tcW w:w="1276" w:type="dxa"/>
          </w:tcPr>
          <w:p w14:paraId="38059223" w14:textId="02A61942" w:rsidR="007D6126" w:rsidRDefault="00361EFB" w:rsidP="00C80D47">
            <w:pPr>
              <w:pStyle w:val="DJCSbody"/>
              <w:ind w:left="0"/>
              <w:jc w:val="center"/>
            </w:pPr>
            <w:r>
              <w:t>$5,3</w:t>
            </w:r>
            <w:r w:rsidR="00A60037">
              <w:t>89</w:t>
            </w:r>
          </w:p>
        </w:tc>
        <w:tc>
          <w:tcPr>
            <w:tcW w:w="1276" w:type="dxa"/>
          </w:tcPr>
          <w:p w14:paraId="48C40AE0" w14:textId="39239AFF" w:rsidR="007D6126" w:rsidRDefault="00361EFB" w:rsidP="00C80D47">
            <w:pPr>
              <w:pStyle w:val="DJCSbody"/>
              <w:ind w:left="0"/>
              <w:jc w:val="center"/>
            </w:pPr>
            <w:r>
              <w:t>$5,</w:t>
            </w:r>
            <w:r w:rsidR="00A60037">
              <w:t>401</w:t>
            </w:r>
          </w:p>
        </w:tc>
      </w:tr>
      <w:tr w:rsidR="00965BBA" w14:paraId="7F055D18" w14:textId="5DFC2079" w:rsidTr="001F576E">
        <w:tc>
          <w:tcPr>
            <w:tcW w:w="2687" w:type="dxa"/>
            <w:shd w:val="clear" w:color="auto" w:fill="16145F" w:themeFill="text2"/>
          </w:tcPr>
          <w:p w14:paraId="51DE4AF4" w14:textId="77777777" w:rsidR="00965BBA" w:rsidRPr="008D13EC" w:rsidRDefault="00965BBA" w:rsidP="00F05B35">
            <w:pPr>
              <w:pStyle w:val="DJCSbody"/>
              <w:ind w:left="0"/>
              <w:jc w:val="left"/>
              <w:rPr>
                <w:color w:val="FFFFFF" w:themeColor="background1"/>
              </w:rPr>
            </w:pPr>
            <w:r w:rsidRPr="008D13EC">
              <w:rPr>
                <w:color w:val="FFFFFF" w:themeColor="background1"/>
              </w:rPr>
              <w:t>Debt Recovery Fee Revenue</w:t>
            </w:r>
          </w:p>
        </w:tc>
        <w:tc>
          <w:tcPr>
            <w:tcW w:w="1276" w:type="dxa"/>
          </w:tcPr>
          <w:p w14:paraId="57EE4117" w14:textId="7B9CE30C" w:rsidR="00965BBA" w:rsidRDefault="009316B7" w:rsidP="00C80D47">
            <w:pPr>
              <w:pStyle w:val="DJCSbody"/>
              <w:ind w:left="0"/>
              <w:jc w:val="center"/>
            </w:pPr>
            <w:r>
              <w:t>$</w:t>
            </w:r>
            <w:r w:rsidR="00BB3143">
              <w:t>1</w:t>
            </w:r>
            <w:r w:rsidR="00A93A38">
              <w:t>8</w:t>
            </w:r>
          </w:p>
        </w:tc>
        <w:tc>
          <w:tcPr>
            <w:tcW w:w="1276" w:type="dxa"/>
          </w:tcPr>
          <w:p w14:paraId="6A43F003" w14:textId="15C6CFC8" w:rsidR="00965BBA" w:rsidRDefault="009316B7" w:rsidP="00C80D47">
            <w:pPr>
              <w:pStyle w:val="DJCSbody"/>
              <w:ind w:left="0"/>
              <w:jc w:val="center"/>
            </w:pPr>
            <w:r>
              <w:t>$</w:t>
            </w:r>
            <w:r w:rsidR="00BB3143">
              <w:t>3</w:t>
            </w:r>
            <w:r w:rsidR="00A93A38">
              <w:t>2</w:t>
            </w:r>
          </w:p>
        </w:tc>
        <w:tc>
          <w:tcPr>
            <w:tcW w:w="1276" w:type="dxa"/>
          </w:tcPr>
          <w:p w14:paraId="4B5B8911" w14:textId="2169F85F" w:rsidR="00965BBA" w:rsidRDefault="009316B7" w:rsidP="00C80D47">
            <w:pPr>
              <w:pStyle w:val="DJCSbody"/>
              <w:ind w:left="0"/>
              <w:jc w:val="center"/>
            </w:pPr>
            <w:r>
              <w:t>$</w:t>
            </w:r>
            <w:r w:rsidR="00A93A38">
              <w:t>40</w:t>
            </w:r>
          </w:p>
        </w:tc>
        <w:tc>
          <w:tcPr>
            <w:tcW w:w="1276" w:type="dxa"/>
          </w:tcPr>
          <w:p w14:paraId="11A6332F" w14:textId="60FEF473" w:rsidR="00965BBA" w:rsidRDefault="00BB332B" w:rsidP="00C80D47">
            <w:pPr>
              <w:pStyle w:val="DJCSbody"/>
              <w:ind w:left="0"/>
              <w:jc w:val="center"/>
            </w:pPr>
            <w:r>
              <w:t>$43</w:t>
            </w:r>
          </w:p>
        </w:tc>
        <w:tc>
          <w:tcPr>
            <w:tcW w:w="1276" w:type="dxa"/>
          </w:tcPr>
          <w:p w14:paraId="2C91CE07" w14:textId="69737509" w:rsidR="007D6126" w:rsidRDefault="00361EFB" w:rsidP="00C80D47">
            <w:pPr>
              <w:pStyle w:val="DJCSbody"/>
              <w:ind w:left="0"/>
              <w:jc w:val="center"/>
            </w:pPr>
            <w:r>
              <w:t>$45</w:t>
            </w:r>
          </w:p>
        </w:tc>
        <w:tc>
          <w:tcPr>
            <w:tcW w:w="1276" w:type="dxa"/>
          </w:tcPr>
          <w:p w14:paraId="7099A407" w14:textId="0D5DBB28" w:rsidR="007D6126" w:rsidRDefault="00361EFB" w:rsidP="00C80D47">
            <w:pPr>
              <w:pStyle w:val="DJCSbody"/>
              <w:ind w:left="0"/>
              <w:jc w:val="center"/>
            </w:pPr>
            <w:r>
              <w:t>$45</w:t>
            </w:r>
          </w:p>
        </w:tc>
      </w:tr>
      <w:tr w:rsidR="00965BBA" w14:paraId="02F4085C" w14:textId="1F9C5944" w:rsidTr="001F576E">
        <w:tc>
          <w:tcPr>
            <w:tcW w:w="2687" w:type="dxa"/>
            <w:shd w:val="clear" w:color="auto" w:fill="16145F" w:themeFill="text2"/>
          </w:tcPr>
          <w:p w14:paraId="0BD158C9" w14:textId="60ECA550" w:rsidR="00965BBA" w:rsidRPr="008D13EC" w:rsidRDefault="00965BBA" w:rsidP="00F05B35">
            <w:pPr>
              <w:pStyle w:val="DJCSbody"/>
              <w:ind w:left="0"/>
              <w:jc w:val="left"/>
              <w:rPr>
                <w:color w:val="FFFFFF" w:themeColor="background1"/>
              </w:rPr>
            </w:pPr>
            <w:r w:rsidRPr="008D13EC">
              <w:rPr>
                <w:color w:val="FFFFFF" w:themeColor="background1"/>
              </w:rPr>
              <w:t>Annual Operating Cost</w:t>
            </w:r>
          </w:p>
        </w:tc>
        <w:tc>
          <w:tcPr>
            <w:tcW w:w="1276" w:type="dxa"/>
          </w:tcPr>
          <w:p w14:paraId="7947BC41" w14:textId="6E02787F"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2B07C0">
              <w:rPr>
                <w:color w:val="FF0000"/>
              </w:rPr>
              <w:t>534</w:t>
            </w:r>
          </w:p>
        </w:tc>
        <w:tc>
          <w:tcPr>
            <w:tcW w:w="1276" w:type="dxa"/>
          </w:tcPr>
          <w:p w14:paraId="500E1461" w14:textId="40A35927"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2B07C0">
              <w:rPr>
                <w:color w:val="FF0000"/>
              </w:rPr>
              <w:t>497</w:t>
            </w:r>
          </w:p>
        </w:tc>
        <w:tc>
          <w:tcPr>
            <w:tcW w:w="1276" w:type="dxa"/>
          </w:tcPr>
          <w:p w14:paraId="4730B65D" w14:textId="43745175"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2B07C0">
              <w:rPr>
                <w:color w:val="FF0000"/>
              </w:rPr>
              <w:t>461</w:t>
            </w:r>
          </w:p>
        </w:tc>
        <w:tc>
          <w:tcPr>
            <w:tcW w:w="1276" w:type="dxa"/>
          </w:tcPr>
          <w:p w14:paraId="32D0E18E" w14:textId="356125E2"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D91354">
              <w:rPr>
                <w:color w:val="FF0000"/>
              </w:rPr>
              <w:t>426</w:t>
            </w:r>
          </w:p>
        </w:tc>
        <w:tc>
          <w:tcPr>
            <w:tcW w:w="1276" w:type="dxa"/>
          </w:tcPr>
          <w:p w14:paraId="59F787AC" w14:textId="5FE19BAF" w:rsidR="007D6126" w:rsidRPr="009316B7" w:rsidRDefault="00361EFB" w:rsidP="00C80D47">
            <w:pPr>
              <w:pStyle w:val="DJCSbody"/>
              <w:ind w:left="0"/>
              <w:jc w:val="center"/>
              <w:rPr>
                <w:color w:val="FF0000"/>
              </w:rPr>
            </w:pPr>
            <w:r w:rsidRPr="009316B7">
              <w:rPr>
                <w:color w:val="FF0000"/>
              </w:rPr>
              <w:t>-$2,</w:t>
            </w:r>
            <w:r>
              <w:rPr>
                <w:color w:val="FF0000"/>
              </w:rPr>
              <w:t>391</w:t>
            </w:r>
          </w:p>
        </w:tc>
        <w:tc>
          <w:tcPr>
            <w:tcW w:w="1276" w:type="dxa"/>
          </w:tcPr>
          <w:p w14:paraId="081CB358" w14:textId="6D1E8494" w:rsidR="007D6126" w:rsidRPr="009316B7" w:rsidRDefault="00361EFB" w:rsidP="00C80D47">
            <w:pPr>
              <w:pStyle w:val="DJCSbody"/>
              <w:ind w:left="0"/>
              <w:jc w:val="center"/>
              <w:rPr>
                <w:color w:val="FF0000"/>
              </w:rPr>
            </w:pPr>
            <w:r w:rsidRPr="009316B7">
              <w:rPr>
                <w:color w:val="FF0000"/>
              </w:rPr>
              <w:t>-$2,</w:t>
            </w:r>
            <w:r>
              <w:rPr>
                <w:color w:val="FF0000"/>
              </w:rPr>
              <w:t>356</w:t>
            </w:r>
          </w:p>
        </w:tc>
      </w:tr>
      <w:tr w:rsidR="00965BBA" w14:paraId="5C236B9D" w14:textId="0D0E8082" w:rsidTr="001F576E">
        <w:tc>
          <w:tcPr>
            <w:tcW w:w="2687" w:type="dxa"/>
            <w:shd w:val="clear" w:color="auto" w:fill="16145F" w:themeFill="text2"/>
          </w:tcPr>
          <w:p w14:paraId="66F1614D" w14:textId="2FF4CC93" w:rsidR="00965BBA" w:rsidRPr="008D13EC" w:rsidRDefault="002A149C" w:rsidP="00924FA4">
            <w:pPr>
              <w:pStyle w:val="DJCSbody"/>
              <w:ind w:left="0"/>
              <w:jc w:val="left"/>
              <w:rPr>
                <w:color w:val="FFFFFF" w:themeColor="background1"/>
              </w:rPr>
            </w:pPr>
            <w:r w:rsidRPr="008D13EC">
              <w:rPr>
                <w:color w:val="FFFFFF" w:themeColor="background1"/>
              </w:rPr>
              <w:lastRenderedPageBreak/>
              <w:t>Debt Deficit Balance</w:t>
            </w:r>
          </w:p>
        </w:tc>
        <w:tc>
          <w:tcPr>
            <w:tcW w:w="1276" w:type="dxa"/>
          </w:tcPr>
          <w:p w14:paraId="552EA36F" w14:textId="25FE04F2"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00D91354">
              <w:rPr>
                <w:color w:val="FF0000"/>
              </w:rPr>
              <w:t>4,9</w:t>
            </w:r>
            <w:r w:rsidR="00EB7DE1">
              <w:rPr>
                <w:color w:val="FF0000"/>
              </w:rPr>
              <w:t>65</w:t>
            </w:r>
          </w:p>
        </w:tc>
        <w:tc>
          <w:tcPr>
            <w:tcW w:w="1276" w:type="dxa"/>
          </w:tcPr>
          <w:p w14:paraId="7940CFB5" w14:textId="1D4D4677"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3,</w:t>
            </w:r>
            <w:r w:rsidR="00D91354">
              <w:rPr>
                <w:color w:val="FF0000"/>
              </w:rPr>
              <w:t>5</w:t>
            </w:r>
            <w:r w:rsidR="008C3CA8">
              <w:rPr>
                <w:color w:val="FF0000"/>
              </w:rPr>
              <w:t>70</w:t>
            </w:r>
          </w:p>
        </w:tc>
        <w:tc>
          <w:tcPr>
            <w:tcW w:w="1276" w:type="dxa"/>
          </w:tcPr>
          <w:p w14:paraId="466D52A8" w14:textId="3894F5CF"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8C3CA8">
              <w:rPr>
                <w:color w:val="FF0000"/>
              </w:rPr>
              <w:t>921</w:t>
            </w:r>
          </w:p>
        </w:tc>
        <w:tc>
          <w:tcPr>
            <w:tcW w:w="1276" w:type="dxa"/>
          </w:tcPr>
          <w:p w14:paraId="6B08D344" w14:textId="45A6D0FA" w:rsidR="00965BBA" w:rsidRPr="009316B7" w:rsidRDefault="00965BBA" w:rsidP="00C80D47">
            <w:pPr>
              <w:pStyle w:val="DJCSbody"/>
              <w:ind w:left="0"/>
              <w:jc w:val="center"/>
              <w:rPr>
                <w:color w:val="FF0000"/>
              </w:rPr>
            </w:pPr>
            <w:r w:rsidRPr="009316B7">
              <w:rPr>
                <w:color w:val="FF0000"/>
              </w:rPr>
              <w:t>-</w:t>
            </w:r>
            <w:r w:rsidR="009316B7" w:rsidRPr="009316B7">
              <w:rPr>
                <w:color w:val="FF0000"/>
              </w:rPr>
              <w:t>$</w:t>
            </w:r>
            <w:r w:rsidRPr="009316B7">
              <w:rPr>
                <w:color w:val="FF0000"/>
              </w:rPr>
              <w:t>2,</w:t>
            </w:r>
            <w:r w:rsidR="008C3CA8">
              <w:rPr>
                <w:color w:val="FF0000"/>
              </w:rPr>
              <w:t>602</w:t>
            </w:r>
          </w:p>
        </w:tc>
        <w:tc>
          <w:tcPr>
            <w:tcW w:w="1276" w:type="dxa"/>
          </w:tcPr>
          <w:p w14:paraId="69C496F1" w14:textId="2BABEB4D" w:rsidR="007D6126" w:rsidRPr="009316B7" w:rsidRDefault="00361EFB" w:rsidP="00C80D47">
            <w:pPr>
              <w:pStyle w:val="DJCSbody"/>
              <w:ind w:left="0"/>
              <w:jc w:val="center"/>
              <w:rPr>
                <w:color w:val="FF0000"/>
              </w:rPr>
            </w:pPr>
            <w:r w:rsidRPr="009316B7">
              <w:rPr>
                <w:color w:val="FF0000"/>
              </w:rPr>
              <w:t>-$2,</w:t>
            </w:r>
            <w:r>
              <w:rPr>
                <w:color w:val="FF0000"/>
              </w:rPr>
              <w:t>4</w:t>
            </w:r>
            <w:r w:rsidR="008C3CA8">
              <w:rPr>
                <w:color w:val="FF0000"/>
              </w:rPr>
              <w:t>47</w:t>
            </w:r>
          </w:p>
        </w:tc>
        <w:tc>
          <w:tcPr>
            <w:tcW w:w="1276" w:type="dxa"/>
          </w:tcPr>
          <w:p w14:paraId="35DF7BD6" w14:textId="7D6EB2B3" w:rsidR="007D6126" w:rsidRPr="009316B7" w:rsidRDefault="00361EFB" w:rsidP="00C80D47">
            <w:pPr>
              <w:pStyle w:val="DJCSbody"/>
              <w:ind w:left="0"/>
              <w:jc w:val="center"/>
              <w:rPr>
                <w:color w:val="FF0000"/>
              </w:rPr>
            </w:pPr>
            <w:r w:rsidRPr="009316B7">
              <w:rPr>
                <w:color w:val="FF0000"/>
              </w:rPr>
              <w:t>-$2,</w:t>
            </w:r>
            <w:r>
              <w:rPr>
                <w:color w:val="FF0000"/>
              </w:rPr>
              <w:t>4</w:t>
            </w:r>
            <w:r w:rsidR="008C3CA8">
              <w:rPr>
                <w:color w:val="FF0000"/>
              </w:rPr>
              <w:t>88</w:t>
            </w:r>
          </w:p>
        </w:tc>
      </w:tr>
      <w:tr w:rsidR="00965BBA" w14:paraId="06E46271" w14:textId="2EFCB6AE" w:rsidTr="001F576E">
        <w:tc>
          <w:tcPr>
            <w:tcW w:w="2687" w:type="dxa"/>
            <w:shd w:val="clear" w:color="auto" w:fill="16145F" w:themeFill="text2"/>
          </w:tcPr>
          <w:p w14:paraId="55E44E2F" w14:textId="77777777" w:rsidR="00965BBA" w:rsidRPr="00B33671" w:rsidRDefault="00965BBA" w:rsidP="00924FA4">
            <w:pPr>
              <w:pStyle w:val="DJCSbody"/>
              <w:ind w:left="0"/>
              <w:jc w:val="left"/>
              <w:rPr>
                <w:b/>
                <w:bCs/>
                <w:color w:val="FFFFFF" w:themeColor="background1"/>
              </w:rPr>
            </w:pPr>
            <w:r>
              <w:rPr>
                <w:b/>
                <w:bCs/>
                <w:color w:val="FFFFFF" w:themeColor="background1"/>
              </w:rPr>
              <w:t>Total</w:t>
            </w:r>
          </w:p>
        </w:tc>
        <w:tc>
          <w:tcPr>
            <w:tcW w:w="1276" w:type="dxa"/>
          </w:tcPr>
          <w:p w14:paraId="32984D59" w14:textId="1ACA730B" w:rsidR="00965BBA" w:rsidRPr="00BE5ED9" w:rsidRDefault="00965BBA" w:rsidP="00C80D47">
            <w:pPr>
              <w:pStyle w:val="DJCSbody"/>
              <w:ind w:left="0"/>
              <w:jc w:val="center"/>
              <w:rPr>
                <w:b/>
                <w:bCs/>
                <w:color w:val="FF0000"/>
              </w:rPr>
            </w:pPr>
            <w:r w:rsidRPr="00BE5ED9">
              <w:rPr>
                <w:b/>
                <w:bCs/>
                <w:color w:val="FF0000"/>
              </w:rPr>
              <w:t>-</w:t>
            </w:r>
            <w:r w:rsidR="009316B7" w:rsidRPr="00BE5ED9">
              <w:rPr>
                <w:b/>
                <w:bCs/>
                <w:color w:val="FF0000"/>
              </w:rPr>
              <w:t>$</w:t>
            </w:r>
            <w:r w:rsidRPr="00BE5ED9">
              <w:rPr>
                <w:b/>
                <w:bCs/>
                <w:color w:val="FF0000"/>
              </w:rPr>
              <w:t>2,</w:t>
            </w:r>
            <w:r w:rsidR="002F3531" w:rsidRPr="00BE5ED9">
              <w:rPr>
                <w:b/>
                <w:bCs/>
                <w:color w:val="FF0000"/>
              </w:rPr>
              <w:t>1</w:t>
            </w:r>
            <w:r w:rsidR="00F50FEE" w:rsidRPr="00BE5ED9">
              <w:rPr>
                <w:b/>
                <w:bCs/>
                <w:color w:val="FF0000"/>
              </w:rPr>
              <w:t>4</w:t>
            </w:r>
            <w:r w:rsidR="002F3531" w:rsidRPr="00BE5ED9">
              <w:rPr>
                <w:b/>
                <w:bCs/>
                <w:color w:val="FF0000"/>
              </w:rPr>
              <w:t>2</w:t>
            </w:r>
          </w:p>
        </w:tc>
        <w:tc>
          <w:tcPr>
            <w:tcW w:w="1276" w:type="dxa"/>
          </w:tcPr>
          <w:p w14:paraId="17DC14DE" w14:textId="63AC23C4" w:rsidR="00965BBA" w:rsidRPr="00BE5ED9" w:rsidRDefault="00965BBA" w:rsidP="00C80D47">
            <w:pPr>
              <w:pStyle w:val="DJCSbody"/>
              <w:ind w:left="0"/>
              <w:jc w:val="center"/>
              <w:rPr>
                <w:b/>
                <w:bCs/>
                <w:color w:val="FF0000"/>
              </w:rPr>
            </w:pPr>
            <w:r w:rsidRPr="00BE5ED9">
              <w:rPr>
                <w:b/>
                <w:bCs/>
                <w:color w:val="FF0000"/>
              </w:rPr>
              <w:t>-</w:t>
            </w:r>
            <w:r w:rsidR="009316B7" w:rsidRPr="00BE5ED9">
              <w:rPr>
                <w:b/>
                <w:bCs/>
                <w:color w:val="FF0000"/>
              </w:rPr>
              <w:t>$</w:t>
            </w:r>
            <w:r w:rsidR="002F3531" w:rsidRPr="00BE5ED9">
              <w:rPr>
                <w:b/>
                <w:bCs/>
                <w:color w:val="FF0000"/>
              </w:rPr>
              <w:t>6</w:t>
            </w:r>
            <w:r w:rsidR="00F50FEE" w:rsidRPr="00BE5ED9">
              <w:rPr>
                <w:b/>
                <w:bCs/>
                <w:color w:val="FF0000"/>
              </w:rPr>
              <w:t>83</w:t>
            </w:r>
          </w:p>
        </w:tc>
        <w:tc>
          <w:tcPr>
            <w:tcW w:w="1276" w:type="dxa"/>
          </w:tcPr>
          <w:p w14:paraId="711951B3" w14:textId="5DE50DF0" w:rsidR="00965BBA" w:rsidRPr="00BE5ED9" w:rsidRDefault="009726F2" w:rsidP="00C80D47">
            <w:pPr>
              <w:pStyle w:val="DJCSbody"/>
              <w:ind w:left="0"/>
              <w:jc w:val="center"/>
              <w:rPr>
                <w:b/>
                <w:bCs/>
                <w:color w:val="FF0000"/>
              </w:rPr>
            </w:pPr>
            <w:r w:rsidRPr="00BE5ED9">
              <w:rPr>
                <w:b/>
                <w:bCs/>
              </w:rPr>
              <w:t>$2</w:t>
            </w:r>
            <w:r w:rsidR="00F50FEE" w:rsidRPr="00BE5ED9">
              <w:rPr>
                <w:b/>
                <w:bCs/>
              </w:rPr>
              <w:t>1</w:t>
            </w:r>
          </w:p>
        </w:tc>
        <w:tc>
          <w:tcPr>
            <w:tcW w:w="1276" w:type="dxa"/>
          </w:tcPr>
          <w:p w14:paraId="7360440C" w14:textId="37549411" w:rsidR="00965BBA" w:rsidRPr="00BE5ED9" w:rsidRDefault="009316B7" w:rsidP="00C80D47">
            <w:pPr>
              <w:pStyle w:val="DJCSbody"/>
              <w:ind w:left="0"/>
              <w:jc w:val="center"/>
              <w:rPr>
                <w:b/>
                <w:bCs/>
              </w:rPr>
            </w:pPr>
            <w:r w:rsidRPr="00BE5ED9">
              <w:rPr>
                <w:b/>
                <w:bCs/>
              </w:rPr>
              <w:t>$</w:t>
            </w:r>
            <w:r w:rsidR="009726F2" w:rsidRPr="00BE5ED9">
              <w:rPr>
                <w:b/>
                <w:bCs/>
              </w:rPr>
              <w:t>3</w:t>
            </w:r>
            <w:r w:rsidR="00F50FEE" w:rsidRPr="00BE5ED9">
              <w:rPr>
                <w:b/>
                <w:bCs/>
              </w:rPr>
              <w:t>90</w:t>
            </w:r>
          </w:p>
        </w:tc>
        <w:tc>
          <w:tcPr>
            <w:tcW w:w="1276" w:type="dxa"/>
          </w:tcPr>
          <w:p w14:paraId="7C86BB12" w14:textId="42C12EE3" w:rsidR="007D6126" w:rsidRDefault="00361EFB" w:rsidP="00C80D47">
            <w:pPr>
              <w:pStyle w:val="DJCSbody"/>
              <w:ind w:left="0"/>
              <w:jc w:val="center"/>
              <w:rPr>
                <w:b/>
              </w:rPr>
            </w:pPr>
            <w:r>
              <w:rPr>
                <w:b/>
                <w:bCs/>
              </w:rPr>
              <w:t>$59</w:t>
            </w:r>
            <w:r w:rsidR="00F50FEE">
              <w:rPr>
                <w:b/>
                <w:bCs/>
              </w:rPr>
              <w:t>6</w:t>
            </w:r>
          </w:p>
        </w:tc>
        <w:tc>
          <w:tcPr>
            <w:tcW w:w="1276" w:type="dxa"/>
          </w:tcPr>
          <w:p w14:paraId="57C38C89" w14:textId="083084B9" w:rsidR="007D6126" w:rsidRDefault="00361EFB" w:rsidP="00C80D47">
            <w:pPr>
              <w:pStyle w:val="DJCSbody"/>
              <w:ind w:left="0"/>
              <w:jc w:val="center"/>
              <w:rPr>
                <w:b/>
              </w:rPr>
            </w:pPr>
            <w:r>
              <w:rPr>
                <w:b/>
                <w:bCs/>
              </w:rPr>
              <w:t>$</w:t>
            </w:r>
            <w:r w:rsidR="00F50FEE">
              <w:rPr>
                <w:b/>
                <w:bCs/>
              </w:rPr>
              <w:t>602</w:t>
            </w:r>
          </w:p>
        </w:tc>
      </w:tr>
    </w:tbl>
    <w:p w14:paraId="6C64135C" w14:textId="77777777" w:rsidR="00245303" w:rsidRDefault="00245303" w:rsidP="00245303">
      <w:pPr>
        <w:pStyle w:val="Caption"/>
        <w:keepNext/>
      </w:pPr>
    </w:p>
    <w:p w14:paraId="02A142C0" w14:textId="2B038E09" w:rsidR="00BC4074" w:rsidRPr="00BC4074" w:rsidRDefault="00245303" w:rsidP="00BE5ED9">
      <w:pPr>
        <w:pStyle w:val="Caption"/>
        <w:keepNext/>
      </w:pPr>
      <w:r>
        <w:t xml:space="preserve">Table </w:t>
      </w:r>
      <w:r>
        <w:fldChar w:fldCharType="begin"/>
      </w:r>
      <w:r>
        <w:instrText xml:space="preserve"> SEQ Table \* ARABIC </w:instrText>
      </w:r>
      <w:r>
        <w:fldChar w:fldCharType="separate"/>
      </w:r>
      <w:r w:rsidR="00A50199">
        <w:rPr>
          <w:noProof/>
        </w:rPr>
        <w:t>16</w:t>
      </w:r>
      <w:r>
        <w:fldChar w:fldCharType="end"/>
      </w:r>
      <w:r>
        <w:t xml:space="preserve">: </w:t>
      </w:r>
      <w:r w:rsidRPr="0080482B">
        <w:t xml:space="preserve">Ten-year cashflows (discounted) for the preferred option ($’000s), Years </w:t>
      </w:r>
      <w:r>
        <w:t>7-10</w:t>
      </w:r>
    </w:p>
    <w:tbl>
      <w:tblPr>
        <w:tblStyle w:val="TableGrid"/>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276"/>
        <w:gridCol w:w="1276"/>
        <w:gridCol w:w="1275"/>
        <w:gridCol w:w="1276"/>
        <w:gridCol w:w="1276"/>
      </w:tblGrid>
      <w:tr w:rsidR="007D4706" w14:paraId="0C3A951A" w14:textId="1EF9D3A4" w:rsidTr="00BE5ED9">
        <w:tc>
          <w:tcPr>
            <w:tcW w:w="2689" w:type="dxa"/>
            <w:shd w:val="clear" w:color="auto" w:fill="16145F" w:themeFill="text2"/>
          </w:tcPr>
          <w:p w14:paraId="7F8A6DFA" w14:textId="649A0E45" w:rsidR="005B62A0" w:rsidRPr="00F05B35" w:rsidRDefault="006003F0" w:rsidP="001F576E">
            <w:pPr>
              <w:pStyle w:val="DJCSbody"/>
              <w:ind w:left="0"/>
              <w:jc w:val="left"/>
              <w:rPr>
                <w:b/>
                <w:color w:val="FFFFFF" w:themeColor="background1"/>
              </w:rPr>
            </w:pPr>
            <w:r w:rsidRPr="00F05B35">
              <w:rPr>
                <w:b/>
                <w:color w:val="FFFFFF" w:themeColor="background1"/>
              </w:rPr>
              <w:t>Cashflow</w:t>
            </w:r>
            <w:r w:rsidR="00294188">
              <w:rPr>
                <w:b/>
                <w:color w:val="FFFFFF" w:themeColor="background1"/>
              </w:rPr>
              <w:t xml:space="preserve"> for the </w:t>
            </w:r>
            <w:r w:rsidR="00294188" w:rsidRPr="00F05B35">
              <w:rPr>
                <w:b/>
                <w:bCs/>
                <w:color w:val="FFFFFF" w:themeColor="background1"/>
              </w:rPr>
              <w:t xml:space="preserve">preferred option over </w:t>
            </w:r>
            <w:r w:rsidR="00294188">
              <w:rPr>
                <w:b/>
                <w:bCs/>
                <w:color w:val="FFFFFF" w:themeColor="background1"/>
              </w:rPr>
              <w:t>ten</w:t>
            </w:r>
            <w:r w:rsidR="00294188" w:rsidRPr="00F05B35">
              <w:rPr>
                <w:b/>
                <w:bCs/>
                <w:color w:val="FFFFFF" w:themeColor="background1"/>
              </w:rPr>
              <w:t xml:space="preserve"> years ($’000s)</w:t>
            </w:r>
          </w:p>
        </w:tc>
        <w:tc>
          <w:tcPr>
            <w:tcW w:w="1275" w:type="dxa"/>
            <w:shd w:val="clear" w:color="auto" w:fill="16145F" w:themeFill="text2"/>
          </w:tcPr>
          <w:p w14:paraId="7CAA12CB" w14:textId="5D58F359" w:rsidR="005B62A0" w:rsidRPr="00F05B35" w:rsidRDefault="00BB3143" w:rsidP="009316B7">
            <w:pPr>
              <w:pStyle w:val="DJCSbody"/>
              <w:ind w:left="0"/>
              <w:jc w:val="center"/>
              <w:rPr>
                <w:b/>
                <w:color w:val="FFFFFF" w:themeColor="background1"/>
              </w:rPr>
            </w:pPr>
            <w:r w:rsidRPr="00F05B35">
              <w:rPr>
                <w:b/>
                <w:color w:val="FFFFFF" w:themeColor="background1"/>
              </w:rPr>
              <w:t>Y</w:t>
            </w:r>
            <w:r w:rsidR="00361EFB">
              <w:rPr>
                <w:b/>
                <w:color w:val="FFFFFF" w:themeColor="background1"/>
              </w:rPr>
              <w:t>7</w:t>
            </w:r>
          </w:p>
        </w:tc>
        <w:tc>
          <w:tcPr>
            <w:tcW w:w="1276" w:type="dxa"/>
            <w:shd w:val="clear" w:color="auto" w:fill="16145F" w:themeFill="text2"/>
          </w:tcPr>
          <w:p w14:paraId="239FFA25" w14:textId="387C9644" w:rsidR="005B62A0" w:rsidRPr="00F05B35" w:rsidRDefault="00BB3143" w:rsidP="009316B7">
            <w:pPr>
              <w:pStyle w:val="DJCSbody"/>
              <w:ind w:left="0"/>
              <w:jc w:val="center"/>
              <w:rPr>
                <w:b/>
                <w:color w:val="FFFFFF" w:themeColor="background1"/>
              </w:rPr>
            </w:pPr>
            <w:r w:rsidRPr="00F05B35">
              <w:rPr>
                <w:b/>
                <w:color w:val="FFFFFF" w:themeColor="background1"/>
              </w:rPr>
              <w:t>Y</w:t>
            </w:r>
            <w:r w:rsidR="00361EFB">
              <w:rPr>
                <w:b/>
                <w:color w:val="FFFFFF" w:themeColor="background1"/>
              </w:rPr>
              <w:t>8</w:t>
            </w:r>
          </w:p>
        </w:tc>
        <w:tc>
          <w:tcPr>
            <w:tcW w:w="1276" w:type="dxa"/>
            <w:shd w:val="clear" w:color="auto" w:fill="16145F" w:themeFill="text2"/>
          </w:tcPr>
          <w:p w14:paraId="4B4C35C8" w14:textId="1E9D8EFD" w:rsidR="005B62A0" w:rsidRPr="00F05B35" w:rsidRDefault="00BB3143" w:rsidP="009316B7">
            <w:pPr>
              <w:pStyle w:val="DJCSbody"/>
              <w:ind w:left="0"/>
              <w:jc w:val="center"/>
              <w:rPr>
                <w:b/>
                <w:color w:val="FFFFFF" w:themeColor="background1"/>
              </w:rPr>
            </w:pPr>
            <w:r w:rsidRPr="00F05B35">
              <w:rPr>
                <w:b/>
                <w:color w:val="FFFFFF" w:themeColor="background1"/>
              </w:rPr>
              <w:t>Y</w:t>
            </w:r>
            <w:r w:rsidR="00361EFB">
              <w:rPr>
                <w:b/>
                <w:color w:val="FFFFFF" w:themeColor="background1"/>
              </w:rPr>
              <w:t>9</w:t>
            </w:r>
          </w:p>
        </w:tc>
        <w:tc>
          <w:tcPr>
            <w:tcW w:w="1275" w:type="dxa"/>
            <w:shd w:val="clear" w:color="auto" w:fill="16145F" w:themeFill="text2"/>
          </w:tcPr>
          <w:p w14:paraId="45B8196A" w14:textId="1D83430C" w:rsidR="005B62A0" w:rsidRPr="00F05B35" w:rsidRDefault="00361EFB" w:rsidP="009316B7">
            <w:pPr>
              <w:pStyle w:val="DJCSbody"/>
              <w:ind w:left="0"/>
              <w:jc w:val="center"/>
              <w:rPr>
                <w:b/>
                <w:color w:val="FFFFFF" w:themeColor="background1"/>
              </w:rPr>
            </w:pPr>
            <w:r>
              <w:rPr>
                <w:b/>
                <w:color w:val="FFFFFF" w:themeColor="background1"/>
              </w:rPr>
              <w:t>Y10</w:t>
            </w:r>
          </w:p>
        </w:tc>
        <w:tc>
          <w:tcPr>
            <w:tcW w:w="1276" w:type="dxa"/>
            <w:shd w:val="clear" w:color="auto" w:fill="16145F" w:themeFill="text2"/>
          </w:tcPr>
          <w:p w14:paraId="083C4BF4" w14:textId="1F748CAA" w:rsidR="005B62A0" w:rsidRPr="005B62A0" w:rsidRDefault="005B62A0" w:rsidP="001F576E">
            <w:pPr>
              <w:pStyle w:val="DJCSbody"/>
              <w:ind w:left="0"/>
              <w:jc w:val="center"/>
              <w:rPr>
                <w:color w:val="FFFFFF" w:themeColor="background1"/>
              </w:rPr>
            </w:pPr>
            <w:r w:rsidRPr="005B62A0">
              <w:rPr>
                <w:b/>
                <w:bCs/>
                <w:color w:val="FFFFFF" w:themeColor="background1"/>
              </w:rPr>
              <w:t>Total</w:t>
            </w:r>
            <w:r w:rsidR="00361EFB">
              <w:rPr>
                <w:b/>
                <w:bCs/>
                <w:color w:val="FFFFFF" w:themeColor="background1"/>
              </w:rPr>
              <w:t xml:space="preserve"> </w:t>
            </w:r>
            <w:r w:rsidR="006003F0">
              <w:rPr>
                <w:b/>
                <w:bCs/>
                <w:color w:val="FFFFFF" w:themeColor="background1"/>
              </w:rPr>
              <w:br/>
            </w:r>
            <w:r w:rsidR="00361EFB">
              <w:rPr>
                <w:b/>
                <w:bCs/>
                <w:color w:val="FFFFFF" w:themeColor="background1"/>
              </w:rPr>
              <w:t>(8-Years</w:t>
            </w:r>
            <w:r w:rsidR="006003F0">
              <w:rPr>
                <w:b/>
                <w:bCs/>
                <w:color w:val="FFFFFF" w:themeColor="background1"/>
              </w:rPr>
              <w:t>)</w:t>
            </w:r>
          </w:p>
        </w:tc>
        <w:tc>
          <w:tcPr>
            <w:tcW w:w="1276" w:type="dxa"/>
            <w:shd w:val="clear" w:color="auto" w:fill="002060"/>
          </w:tcPr>
          <w:p w14:paraId="1FF26DEB" w14:textId="25421EAB" w:rsidR="006003F0" w:rsidRPr="005B62A0" w:rsidRDefault="006003F0" w:rsidP="001B0EA6">
            <w:pPr>
              <w:pStyle w:val="DJCSbody"/>
              <w:ind w:left="0"/>
              <w:jc w:val="center"/>
              <w:rPr>
                <w:b/>
                <w:bCs/>
                <w:color w:val="FFFFFF" w:themeColor="background1"/>
              </w:rPr>
            </w:pPr>
            <w:r w:rsidRPr="005B62A0">
              <w:rPr>
                <w:b/>
                <w:bCs/>
                <w:color w:val="FFFFFF" w:themeColor="background1"/>
              </w:rPr>
              <w:t>Total</w:t>
            </w:r>
            <w:r w:rsidR="00315FD1">
              <w:rPr>
                <w:b/>
                <w:bCs/>
                <w:color w:val="FFFFFF" w:themeColor="background1"/>
              </w:rPr>
              <w:br/>
              <w:t>(10-Years)</w:t>
            </w:r>
            <w:r>
              <w:rPr>
                <w:b/>
                <w:bCs/>
                <w:color w:val="FFFFFF" w:themeColor="background1"/>
              </w:rPr>
              <w:t xml:space="preserve"> </w:t>
            </w:r>
          </w:p>
        </w:tc>
      </w:tr>
      <w:tr w:rsidR="005B62A0" w14:paraId="0BFDF9C6" w14:textId="618A0F49" w:rsidTr="00BE5ED9">
        <w:tc>
          <w:tcPr>
            <w:tcW w:w="2689" w:type="dxa"/>
            <w:shd w:val="clear" w:color="auto" w:fill="16145F" w:themeFill="text2"/>
          </w:tcPr>
          <w:p w14:paraId="3E76C888" w14:textId="41942E8D" w:rsidR="005B62A0" w:rsidRPr="00965BBA" w:rsidRDefault="00CB0103" w:rsidP="00965BBA">
            <w:pPr>
              <w:pStyle w:val="DJCSbody"/>
              <w:ind w:left="0"/>
              <w:jc w:val="left"/>
              <w:rPr>
                <w:color w:val="FFFFFF" w:themeColor="background1"/>
              </w:rPr>
            </w:pPr>
            <w:r>
              <w:rPr>
                <w:color w:val="FFFFFF" w:themeColor="background1"/>
              </w:rPr>
              <w:t>Application</w:t>
            </w:r>
            <w:r w:rsidR="005B62A0" w:rsidRPr="00965BBA">
              <w:rPr>
                <w:color w:val="FFFFFF" w:themeColor="background1"/>
              </w:rPr>
              <w:t xml:space="preserve"> Fee Revenue</w:t>
            </w:r>
          </w:p>
        </w:tc>
        <w:tc>
          <w:tcPr>
            <w:tcW w:w="1275" w:type="dxa"/>
          </w:tcPr>
          <w:p w14:paraId="6DF7EB2F" w14:textId="486060E8" w:rsidR="005B62A0" w:rsidRDefault="006003F0" w:rsidP="00965BBA">
            <w:pPr>
              <w:pStyle w:val="DJCSbody"/>
              <w:ind w:left="0"/>
              <w:jc w:val="center"/>
            </w:pPr>
            <w:r>
              <w:t>$5,</w:t>
            </w:r>
            <w:r w:rsidR="00DF65BF">
              <w:t>414</w:t>
            </w:r>
          </w:p>
        </w:tc>
        <w:tc>
          <w:tcPr>
            <w:tcW w:w="1276" w:type="dxa"/>
          </w:tcPr>
          <w:p w14:paraId="5B066BD9" w14:textId="34728ADC" w:rsidR="005B62A0" w:rsidRDefault="006003F0" w:rsidP="00965BBA">
            <w:pPr>
              <w:pStyle w:val="DJCSbody"/>
              <w:ind w:left="0"/>
              <w:jc w:val="center"/>
            </w:pPr>
            <w:r>
              <w:t>$5,</w:t>
            </w:r>
            <w:r w:rsidR="00DF65BF">
              <w:t>426</w:t>
            </w:r>
          </w:p>
        </w:tc>
        <w:tc>
          <w:tcPr>
            <w:tcW w:w="1276" w:type="dxa"/>
          </w:tcPr>
          <w:p w14:paraId="206454C0" w14:textId="2945E6F3" w:rsidR="005B62A0" w:rsidRDefault="00223FB9" w:rsidP="00965BBA">
            <w:pPr>
              <w:pStyle w:val="DJCSbody"/>
              <w:ind w:left="0"/>
              <w:jc w:val="center"/>
            </w:pPr>
            <w:r>
              <w:t>$</w:t>
            </w:r>
            <w:r w:rsidR="005B62A0">
              <w:t>5,</w:t>
            </w:r>
            <w:r w:rsidR="00DF65BF">
              <w:t>439</w:t>
            </w:r>
          </w:p>
        </w:tc>
        <w:tc>
          <w:tcPr>
            <w:tcW w:w="1275" w:type="dxa"/>
          </w:tcPr>
          <w:p w14:paraId="44141953" w14:textId="79B9C7A0" w:rsidR="005B62A0" w:rsidRDefault="005B62A0" w:rsidP="00965BBA">
            <w:pPr>
              <w:pStyle w:val="DJCSbody"/>
              <w:ind w:left="0"/>
              <w:jc w:val="center"/>
            </w:pPr>
            <w:r>
              <w:t>$5,</w:t>
            </w:r>
            <w:r w:rsidR="00DF65BF">
              <w:t>452</w:t>
            </w:r>
          </w:p>
        </w:tc>
        <w:tc>
          <w:tcPr>
            <w:tcW w:w="1276" w:type="dxa"/>
          </w:tcPr>
          <w:p w14:paraId="24E54E6A" w14:textId="2BF9A98B" w:rsidR="005B62A0" w:rsidRDefault="00BB3143" w:rsidP="00965BBA">
            <w:pPr>
              <w:pStyle w:val="DJCSbody"/>
              <w:ind w:left="0"/>
              <w:jc w:val="center"/>
            </w:pPr>
            <w:r>
              <w:rPr>
                <w:b/>
                <w:bCs/>
              </w:rPr>
              <w:t>$</w:t>
            </w:r>
            <w:r w:rsidR="0070161E">
              <w:rPr>
                <w:b/>
                <w:bCs/>
              </w:rPr>
              <w:t>4</w:t>
            </w:r>
            <w:r w:rsidR="008F6EE4">
              <w:rPr>
                <w:b/>
                <w:bCs/>
              </w:rPr>
              <w:t>3,060</w:t>
            </w:r>
          </w:p>
        </w:tc>
        <w:tc>
          <w:tcPr>
            <w:tcW w:w="1276" w:type="dxa"/>
          </w:tcPr>
          <w:p w14:paraId="18A8A24A" w14:textId="23E9F750" w:rsidR="006003F0" w:rsidRDefault="0029004B" w:rsidP="006003F0">
            <w:pPr>
              <w:pStyle w:val="DJCSbody"/>
              <w:ind w:left="0"/>
              <w:jc w:val="center"/>
              <w:rPr>
                <w:b/>
                <w:bCs/>
              </w:rPr>
            </w:pPr>
            <w:r>
              <w:rPr>
                <w:b/>
                <w:bCs/>
              </w:rPr>
              <w:t>$53,</w:t>
            </w:r>
            <w:r w:rsidR="000A32F6">
              <w:rPr>
                <w:b/>
                <w:bCs/>
              </w:rPr>
              <w:t>951</w:t>
            </w:r>
          </w:p>
        </w:tc>
      </w:tr>
      <w:tr w:rsidR="005B62A0" w14:paraId="25C6CC7E" w14:textId="6EA35D0A" w:rsidTr="00BE5ED9">
        <w:tc>
          <w:tcPr>
            <w:tcW w:w="2689" w:type="dxa"/>
            <w:shd w:val="clear" w:color="auto" w:fill="16145F" w:themeFill="text2"/>
          </w:tcPr>
          <w:p w14:paraId="2963DC6D" w14:textId="77777777" w:rsidR="005B62A0" w:rsidRPr="00965BBA" w:rsidRDefault="005B62A0" w:rsidP="00965BBA">
            <w:pPr>
              <w:pStyle w:val="DJCSbody"/>
              <w:ind w:left="0"/>
              <w:jc w:val="left"/>
              <w:rPr>
                <w:color w:val="FFFFFF" w:themeColor="background1"/>
              </w:rPr>
            </w:pPr>
            <w:r w:rsidRPr="00965BBA">
              <w:rPr>
                <w:color w:val="FFFFFF" w:themeColor="background1"/>
              </w:rPr>
              <w:t>Debt Recovery Fee Revenue</w:t>
            </w:r>
          </w:p>
        </w:tc>
        <w:tc>
          <w:tcPr>
            <w:tcW w:w="1275" w:type="dxa"/>
          </w:tcPr>
          <w:p w14:paraId="770BFD9D" w14:textId="0EA42361" w:rsidR="005B62A0" w:rsidRDefault="006003F0" w:rsidP="00965BBA">
            <w:pPr>
              <w:pStyle w:val="DJCSbody"/>
              <w:ind w:left="0"/>
              <w:jc w:val="center"/>
            </w:pPr>
            <w:r>
              <w:t>$45</w:t>
            </w:r>
          </w:p>
        </w:tc>
        <w:tc>
          <w:tcPr>
            <w:tcW w:w="1276" w:type="dxa"/>
          </w:tcPr>
          <w:p w14:paraId="220D5CD5" w14:textId="72D5C600" w:rsidR="005B62A0" w:rsidRDefault="006003F0" w:rsidP="00965BBA">
            <w:pPr>
              <w:pStyle w:val="DJCSbody"/>
              <w:ind w:left="0"/>
              <w:jc w:val="center"/>
            </w:pPr>
            <w:r>
              <w:t>$46</w:t>
            </w:r>
          </w:p>
        </w:tc>
        <w:tc>
          <w:tcPr>
            <w:tcW w:w="1276" w:type="dxa"/>
          </w:tcPr>
          <w:p w14:paraId="75AF2753" w14:textId="61C18C48" w:rsidR="005B62A0" w:rsidRDefault="00223FB9" w:rsidP="00965BBA">
            <w:pPr>
              <w:pStyle w:val="DJCSbody"/>
              <w:ind w:left="0"/>
              <w:jc w:val="center"/>
            </w:pPr>
            <w:r>
              <w:t>$</w:t>
            </w:r>
            <w:r w:rsidR="00BB3143">
              <w:t>4</w:t>
            </w:r>
            <w:r w:rsidR="00696146">
              <w:t>6</w:t>
            </w:r>
          </w:p>
        </w:tc>
        <w:tc>
          <w:tcPr>
            <w:tcW w:w="1275" w:type="dxa"/>
          </w:tcPr>
          <w:p w14:paraId="5B849416" w14:textId="1925F786" w:rsidR="005B62A0" w:rsidRDefault="005B62A0" w:rsidP="00965BBA">
            <w:pPr>
              <w:pStyle w:val="DJCSbody"/>
              <w:ind w:left="0"/>
              <w:jc w:val="center"/>
            </w:pPr>
            <w:r>
              <w:t>$</w:t>
            </w:r>
            <w:r w:rsidR="00BB3143">
              <w:t>4</w:t>
            </w:r>
            <w:r w:rsidR="00B235F9">
              <w:t>6</w:t>
            </w:r>
          </w:p>
        </w:tc>
        <w:tc>
          <w:tcPr>
            <w:tcW w:w="1276" w:type="dxa"/>
          </w:tcPr>
          <w:p w14:paraId="7EE156AB" w14:textId="2D0855ED" w:rsidR="005B62A0" w:rsidRDefault="005B62A0" w:rsidP="00965BBA">
            <w:pPr>
              <w:pStyle w:val="DJCSbody"/>
              <w:ind w:left="0"/>
              <w:jc w:val="center"/>
            </w:pPr>
            <w:r>
              <w:rPr>
                <w:b/>
                <w:bCs/>
              </w:rPr>
              <w:t>$</w:t>
            </w:r>
            <w:r w:rsidR="00BB3143" w:rsidRPr="00B33671">
              <w:rPr>
                <w:b/>
                <w:bCs/>
              </w:rPr>
              <w:t>3</w:t>
            </w:r>
            <w:r w:rsidR="00B235F9">
              <w:rPr>
                <w:b/>
                <w:bCs/>
              </w:rPr>
              <w:t>14</w:t>
            </w:r>
          </w:p>
        </w:tc>
        <w:tc>
          <w:tcPr>
            <w:tcW w:w="1276" w:type="dxa"/>
          </w:tcPr>
          <w:p w14:paraId="4A1FC075" w14:textId="592F864A" w:rsidR="006003F0" w:rsidRDefault="0029004B" w:rsidP="006003F0">
            <w:pPr>
              <w:pStyle w:val="DJCSbody"/>
              <w:ind w:left="0"/>
              <w:jc w:val="center"/>
              <w:rPr>
                <w:b/>
                <w:bCs/>
              </w:rPr>
            </w:pPr>
            <w:r>
              <w:rPr>
                <w:b/>
                <w:bCs/>
              </w:rPr>
              <w:t>$40</w:t>
            </w:r>
            <w:r w:rsidR="000A32F6">
              <w:rPr>
                <w:b/>
                <w:bCs/>
              </w:rPr>
              <w:t>6</w:t>
            </w:r>
          </w:p>
        </w:tc>
      </w:tr>
      <w:tr w:rsidR="005B62A0" w14:paraId="7ED84824" w14:textId="605DA7B0" w:rsidTr="00BE5ED9">
        <w:tc>
          <w:tcPr>
            <w:tcW w:w="2689" w:type="dxa"/>
            <w:shd w:val="clear" w:color="auto" w:fill="16145F" w:themeFill="text2"/>
          </w:tcPr>
          <w:p w14:paraId="569FC6AD" w14:textId="77777777" w:rsidR="005B62A0" w:rsidRPr="00965BBA" w:rsidRDefault="005B62A0" w:rsidP="00965BBA">
            <w:pPr>
              <w:pStyle w:val="DJCSbody"/>
              <w:ind w:left="0"/>
              <w:jc w:val="left"/>
              <w:rPr>
                <w:color w:val="FFFFFF" w:themeColor="background1"/>
              </w:rPr>
            </w:pPr>
            <w:r w:rsidRPr="00965BBA">
              <w:rPr>
                <w:color w:val="FFFFFF" w:themeColor="background1"/>
              </w:rPr>
              <w:t>Annual Operating Cost</w:t>
            </w:r>
          </w:p>
        </w:tc>
        <w:tc>
          <w:tcPr>
            <w:tcW w:w="1275" w:type="dxa"/>
          </w:tcPr>
          <w:p w14:paraId="4A95D0EF" w14:textId="7A2B3481" w:rsidR="005B62A0" w:rsidRPr="009316B7" w:rsidRDefault="006003F0" w:rsidP="00965BBA">
            <w:pPr>
              <w:pStyle w:val="DJCSbody"/>
              <w:ind w:left="0"/>
              <w:jc w:val="center"/>
              <w:rPr>
                <w:color w:val="FF0000"/>
              </w:rPr>
            </w:pPr>
            <w:r w:rsidRPr="009316B7">
              <w:rPr>
                <w:color w:val="FF0000"/>
              </w:rPr>
              <w:t>-$2,</w:t>
            </w:r>
            <w:r>
              <w:rPr>
                <w:color w:val="FF0000"/>
              </w:rPr>
              <w:t>322</w:t>
            </w:r>
          </w:p>
        </w:tc>
        <w:tc>
          <w:tcPr>
            <w:tcW w:w="1276" w:type="dxa"/>
          </w:tcPr>
          <w:p w14:paraId="707D44DA" w14:textId="0993E0C8" w:rsidR="005B62A0" w:rsidRPr="009316B7" w:rsidRDefault="006003F0" w:rsidP="00965BBA">
            <w:pPr>
              <w:pStyle w:val="DJCSbody"/>
              <w:ind w:left="0"/>
              <w:jc w:val="center"/>
              <w:rPr>
                <w:color w:val="FF0000"/>
              </w:rPr>
            </w:pPr>
            <w:r w:rsidRPr="009316B7">
              <w:rPr>
                <w:color w:val="FF0000"/>
              </w:rPr>
              <w:t>-$2,</w:t>
            </w:r>
            <w:r>
              <w:rPr>
                <w:color w:val="FF0000"/>
              </w:rPr>
              <w:t>289</w:t>
            </w:r>
          </w:p>
        </w:tc>
        <w:tc>
          <w:tcPr>
            <w:tcW w:w="1276" w:type="dxa"/>
          </w:tcPr>
          <w:p w14:paraId="10C74BD8" w14:textId="2AE93332" w:rsidR="005B62A0" w:rsidRPr="009316B7" w:rsidRDefault="00377A11" w:rsidP="00965BBA">
            <w:pPr>
              <w:pStyle w:val="DJCSbody"/>
              <w:ind w:left="0"/>
              <w:jc w:val="center"/>
              <w:rPr>
                <w:color w:val="FF0000"/>
              </w:rPr>
            </w:pPr>
            <w:r w:rsidRPr="009316B7">
              <w:rPr>
                <w:color w:val="FF0000"/>
              </w:rPr>
              <w:t>-$2,</w:t>
            </w:r>
            <w:r>
              <w:rPr>
                <w:color w:val="FF0000"/>
              </w:rPr>
              <w:t>256</w:t>
            </w:r>
          </w:p>
        </w:tc>
        <w:tc>
          <w:tcPr>
            <w:tcW w:w="1275" w:type="dxa"/>
          </w:tcPr>
          <w:p w14:paraId="48B55FA1" w14:textId="5ED69FD2" w:rsidR="005B62A0" w:rsidRPr="009316B7" w:rsidRDefault="00377A11" w:rsidP="00965BBA">
            <w:pPr>
              <w:pStyle w:val="DJCSbody"/>
              <w:ind w:left="0"/>
              <w:jc w:val="center"/>
              <w:rPr>
                <w:color w:val="FF0000"/>
              </w:rPr>
            </w:pPr>
            <w:r w:rsidRPr="009316B7">
              <w:rPr>
                <w:color w:val="FF0000"/>
              </w:rPr>
              <w:t>-$2,</w:t>
            </w:r>
            <w:r>
              <w:rPr>
                <w:color w:val="FF0000"/>
              </w:rPr>
              <w:t>223</w:t>
            </w:r>
          </w:p>
        </w:tc>
        <w:tc>
          <w:tcPr>
            <w:tcW w:w="1276" w:type="dxa"/>
          </w:tcPr>
          <w:p w14:paraId="556AD773" w14:textId="1906C71F" w:rsidR="005B62A0" w:rsidRPr="009316B7" w:rsidRDefault="00377A11" w:rsidP="00965BBA">
            <w:pPr>
              <w:pStyle w:val="DJCSbody"/>
              <w:ind w:left="0"/>
              <w:jc w:val="center"/>
              <w:rPr>
                <w:color w:val="FF0000"/>
              </w:rPr>
            </w:pPr>
            <w:r w:rsidRPr="009316B7">
              <w:rPr>
                <w:b/>
                <w:bCs/>
                <w:color w:val="FF0000"/>
              </w:rPr>
              <w:t>-$</w:t>
            </w:r>
            <w:r>
              <w:rPr>
                <w:b/>
                <w:bCs/>
                <w:color w:val="FF0000"/>
              </w:rPr>
              <w:t>19,277</w:t>
            </w:r>
          </w:p>
        </w:tc>
        <w:tc>
          <w:tcPr>
            <w:tcW w:w="1276" w:type="dxa"/>
          </w:tcPr>
          <w:p w14:paraId="211F200A" w14:textId="23EE7965" w:rsidR="006003F0" w:rsidRPr="009316B7" w:rsidRDefault="00377A11" w:rsidP="006003F0">
            <w:pPr>
              <w:pStyle w:val="DJCSbody"/>
              <w:ind w:left="0"/>
              <w:jc w:val="center"/>
              <w:rPr>
                <w:b/>
                <w:bCs/>
                <w:color w:val="FF0000"/>
              </w:rPr>
            </w:pPr>
            <w:r w:rsidRPr="009316B7">
              <w:rPr>
                <w:b/>
                <w:bCs/>
                <w:color w:val="FF0000"/>
              </w:rPr>
              <w:t>-$</w:t>
            </w:r>
            <w:r>
              <w:rPr>
                <w:b/>
                <w:bCs/>
                <w:color w:val="FF0000"/>
              </w:rPr>
              <w:t>23,757</w:t>
            </w:r>
          </w:p>
        </w:tc>
      </w:tr>
      <w:tr w:rsidR="005B62A0" w14:paraId="07E68450" w14:textId="682B1A1D" w:rsidTr="00BE5ED9">
        <w:tc>
          <w:tcPr>
            <w:tcW w:w="2689" w:type="dxa"/>
            <w:shd w:val="clear" w:color="auto" w:fill="16145F" w:themeFill="text2"/>
          </w:tcPr>
          <w:p w14:paraId="4A548676" w14:textId="77777777" w:rsidR="005B62A0" w:rsidRPr="00965BBA" w:rsidRDefault="005B62A0" w:rsidP="00965BBA">
            <w:pPr>
              <w:pStyle w:val="DJCSbody"/>
              <w:ind w:left="0"/>
              <w:jc w:val="left"/>
              <w:rPr>
                <w:color w:val="FFFFFF" w:themeColor="background1"/>
              </w:rPr>
            </w:pPr>
            <w:r w:rsidRPr="00965BBA">
              <w:rPr>
                <w:color w:val="FFFFFF" w:themeColor="background1"/>
              </w:rPr>
              <w:t>Debt Deficit Balance</w:t>
            </w:r>
          </w:p>
        </w:tc>
        <w:tc>
          <w:tcPr>
            <w:tcW w:w="1275" w:type="dxa"/>
          </w:tcPr>
          <w:p w14:paraId="27B74099" w14:textId="0F3FA073" w:rsidR="005B62A0" w:rsidRPr="009316B7" w:rsidRDefault="006003F0" w:rsidP="00965BBA">
            <w:pPr>
              <w:pStyle w:val="DJCSbody"/>
              <w:ind w:left="0"/>
              <w:jc w:val="center"/>
              <w:rPr>
                <w:color w:val="FF0000"/>
              </w:rPr>
            </w:pPr>
            <w:r w:rsidRPr="009316B7">
              <w:rPr>
                <w:color w:val="FF0000"/>
              </w:rPr>
              <w:t>-$2,</w:t>
            </w:r>
            <w:r>
              <w:rPr>
                <w:color w:val="FF0000"/>
              </w:rPr>
              <w:t>5</w:t>
            </w:r>
            <w:r w:rsidR="00E45309">
              <w:rPr>
                <w:color w:val="FF0000"/>
              </w:rPr>
              <w:t>30</w:t>
            </w:r>
          </w:p>
        </w:tc>
        <w:tc>
          <w:tcPr>
            <w:tcW w:w="1276" w:type="dxa"/>
          </w:tcPr>
          <w:p w14:paraId="3C35FE5B" w14:textId="16FB0DE8" w:rsidR="005B62A0" w:rsidRPr="009316B7" w:rsidRDefault="006003F0" w:rsidP="00965BBA">
            <w:pPr>
              <w:pStyle w:val="DJCSbody"/>
              <w:ind w:left="0"/>
              <w:jc w:val="center"/>
              <w:rPr>
                <w:color w:val="FF0000"/>
              </w:rPr>
            </w:pPr>
            <w:r w:rsidRPr="009316B7">
              <w:rPr>
                <w:color w:val="FF0000"/>
              </w:rPr>
              <w:t>-$2,</w:t>
            </w:r>
            <w:r>
              <w:rPr>
                <w:color w:val="FF0000"/>
              </w:rPr>
              <w:t>5</w:t>
            </w:r>
            <w:r w:rsidR="00E45309">
              <w:rPr>
                <w:color w:val="FF0000"/>
              </w:rPr>
              <w:t>74</w:t>
            </w:r>
          </w:p>
        </w:tc>
        <w:tc>
          <w:tcPr>
            <w:tcW w:w="1276" w:type="dxa"/>
          </w:tcPr>
          <w:p w14:paraId="7E6BBB8D" w14:textId="3851449D" w:rsidR="005B62A0" w:rsidRPr="009316B7" w:rsidRDefault="005B62A0" w:rsidP="00965BBA">
            <w:pPr>
              <w:pStyle w:val="DJCSbody"/>
              <w:ind w:left="0"/>
              <w:jc w:val="center"/>
              <w:rPr>
                <w:color w:val="FF0000"/>
              </w:rPr>
            </w:pPr>
            <w:r w:rsidRPr="009316B7">
              <w:rPr>
                <w:color w:val="FF0000"/>
              </w:rPr>
              <w:t>-</w:t>
            </w:r>
            <w:r w:rsidR="00223FB9" w:rsidRPr="009316B7">
              <w:rPr>
                <w:color w:val="FF0000"/>
              </w:rPr>
              <w:t>$</w:t>
            </w:r>
            <w:r w:rsidRPr="009316B7">
              <w:rPr>
                <w:color w:val="FF0000"/>
              </w:rPr>
              <w:t>2,</w:t>
            </w:r>
            <w:r w:rsidR="00E45309">
              <w:rPr>
                <w:color w:val="FF0000"/>
              </w:rPr>
              <w:t>617</w:t>
            </w:r>
          </w:p>
        </w:tc>
        <w:tc>
          <w:tcPr>
            <w:tcW w:w="1275" w:type="dxa"/>
          </w:tcPr>
          <w:p w14:paraId="06070FE8" w14:textId="20C211E1" w:rsidR="005B62A0" w:rsidRPr="009316B7" w:rsidRDefault="005B62A0" w:rsidP="00965BBA">
            <w:pPr>
              <w:pStyle w:val="DJCSbody"/>
              <w:ind w:left="0"/>
              <w:jc w:val="center"/>
              <w:rPr>
                <w:color w:val="FF0000"/>
              </w:rPr>
            </w:pPr>
            <w:r w:rsidRPr="009316B7">
              <w:rPr>
                <w:color w:val="FF0000"/>
              </w:rPr>
              <w:t>-$2,</w:t>
            </w:r>
            <w:r w:rsidR="00E45309">
              <w:rPr>
                <w:color w:val="FF0000"/>
              </w:rPr>
              <w:t>662</w:t>
            </w:r>
          </w:p>
        </w:tc>
        <w:tc>
          <w:tcPr>
            <w:tcW w:w="1276" w:type="dxa"/>
          </w:tcPr>
          <w:p w14:paraId="26E70639" w14:textId="5034AC38" w:rsidR="005B62A0" w:rsidRPr="009316B7" w:rsidRDefault="00BB3143" w:rsidP="00965BBA">
            <w:pPr>
              <w:pStyle w:val="DJCSbody"/>
              <w:ind w:left="0"/>
              <w:jc w:val="center"/>
              <w:rPr>
                <w:color w:val="FF0000"/>
              </w:rPr>
            </w:pPr>
            <w:r w:rsidRPr="009316B7">
              <w:rPr>
                <w:b/>
                <w:bCs/>
                <w:color w:val="FF0000"/>
              </w:rPr>
              <w:t>-$</w:t>
            </w:r>
            <w:r w:rsidR="00820645">
              <w:rPr>
                <w:b/>
                <w:bCs/>
                <w:color w:val="FF0000"/>
              </w:rPr>
              <w:t>2</w:t>
            </w:r>
            <w:r w:rsidR="008F6EE4">
              <w:rPr>
                <w:b/>
                <w:bCs/>
                <w:color w:val="FF0000"/>
              </w:rPr>
              <w:t>4,097</w:t>
            </w:r>
          </w:p>
        </w:tc>
        <w:tc>
          <w:tcPr>
            <w:tcW w:w="1276" w:type="dxa"/>
          </w:tcPr>
          <w:p w14:paraId="7B613251" w14:textId="0FBFC520" w:rsidR="006003F0" w:rsidRPr="009316B7" w:rsidRDefault="00071FFD" w:rsidP="006003F0">
            <w:pPr>
              <w:pStyle w:val="DJCSbody"/>
              <w:ind w:left="0"/>
              <w:jc w:val="center"/>
              <w:rPr>
                <w:b/>
                <w:bCs/>
                <w:color w:val="FF0000"/>
              </w:rPr>
            </w:pPr>
            <w:r w:rsidRPr="009316B7">
              <w:rPr>
                <w:b/>
                <w:bCs/>
                <w:color w:val="FF0000"/>
              </w:rPr>
              <w:t>-$</w:t>
            </w:r>
            <w:r>
              <w:rPr>
                <w:b/>
                <w:bCs/>
                <w:color w:val="FF0000"/>
              </w:rPr>
              <w:t>2</w:t>
            </w:r>
            <w:r w:rsidR="00657ED5">
              <w:rPr>
                <w:b/>
                <w:bCs/>
                <w:color w:val="FF0000"/>
              </w:rPr>
              <w:t>9,376</w:t>
            </w:r>
          </w:p>
        </w:tc>
      </w:tr>
      <w:tr w:rsidR="005B62A0" w14:paraId="50B10F91" w14:textId="6DF0F9E7" w:rsidTr="00BE5ED9">
        <w:tc>
          <w:tcPr>
            <w:tcW w:w="2689" w:type="dxa"/>
            <w:shd w:val="clear" w:color="auto" w:fill="16145F" w:themeFill="text2"/>
          </w:tcPr>
          <w:p w14:paraId="316EAF1B" w14:textId="77777777" w:rsidR="005B62A0" w:rsidRPr="009C300A" w:rsidRDefault="005B62A0" w:rsidP="00965BBA">
            <w:pPr>
              <w:pStyle w:val="DJCSbody"/>
              <w:ind w:left="0"/>
              <w:jc w:val="left"/>
              <w:rPr>
                <w:b/>
                <w:bCs/>
                <w:color w:val="FFFFFF" w:themeColor="background1"/>
              </w:rPr>
            </w:pPr>
            <w:r w:rsidRPr="009C300A">
              <w:rPr>
                <w:b/>
                <w:bCs/>
                <w:color w:val="FFFFFF" w:themeColor="background1"/>
              </w:rPr>
              <w:t>Total</w:t>
            </w:r>
          </w:p>
        </w:tc>
        <w:tc>
          <w:tcPr>
            <w:tcW w:w="1275" w:type="dxa"/>
          </w:tcPr>
          <w:p w14:paraId="7E406191" w14:textId="4AFA1BDD" w:rsidR="005B62A0" w:rsidRPr="009C300A" w:rsidRDefault="00223FB9" w:rsidP="00965BBA">
            <w:pPr>
              <w:pStyle w:val="DJCSbody"/>
              <w:ind w:left="0"/>
              <w:jc w:val="center"/>
              <w:rPr>
                <w:b/>
                <w:bCs/>
              </w:rPr>
            </w:pPr>
            <w:r>
              <w:rPr>
                <w:b/>
                <w:bCs/>
              </w:rPr>
              <w:t>$</w:t>
            </w:r>
            <w:r w:rsidR="0048057A">
              <w:rPr>
                <w:b/>
                <w:bCs/>
              </w:rPr>
              <w:t>606</w:t>
            </w:r>
          </w:p>
        </w:tc>
        <w:tc>
          <w:tcPr>
            <w:tcW w:w="1276" w:type="dxa"/>
          </w:tcPr>
          <w:p w14:paraId="06EBF1D0" w14:textId="780BD2CF" w:rsidR="005B62A0" w:rsidRPr="009C300A" w:rsidRDefault="00223FB9" w:rsidP="00965BBA">
            <w:pPr>
              <w:pStyle w:val="DJCSbody"/>
              <w:ind w:left="0"/>
              <w:jc w:val="center"/>
              <w:rPr>
                <w:b/>
                <w:bCs/>
              </w:rPr>
            </w:pPr>
            <w:r>
              <w:rPr>
                <w:b/>
                <w:bCs/>
              </w:rPr>
              <w:t>$</w:t>
            </w:r>
            <w:r w:rsidR="0048057A">
              <w:rPr>
                <w:b/>
                <w:bCs/>
              </w:rPr>
              <w:t>609</w:t>
            </w:r>
          </w:p>
        </w:tc>
        <w:tc>
          <w:tcPr>
            <w:tcW w:w="1276" w:type="dxa"/>
          </w:tcPr>
          <w:p w14:paraId="24A86F0A" w14:textId="78A3541E" w:rsidR="005B62A0" w:rsidRPr="009C300A" w:rsidRDefault="00223FB9" w:rsidP="00965BBA">
            <w:pPr>
              <w:pStyle w:val="DJCSbody"/>
              <w:ind w:left="0"/>
              <w:jc w:val="center"/>
              <w:rPr>
                <w:b/>
                <w:bCs/>
              </w:rPr>
            </w:pPr>
            <w:r>
              <w:rPr>
                <w:b/>
                <w:bCs/>
              </w:rPr>
              <w:t>$</w:t>
            </w:r>
            <w:r w:rsidR="006252DC">
              <w:rPr>
                <w:b/>
                <w:bCs/>
              </w:rPr>
              <w:t>6</w:t>
            </w:r>
            <w:r w:rsidR="008F6EE4">
              <w:rPr>
                <w:b/>
                <w:bCs/>
              </w:rPr>
              <w:t>12</w:t>
            </w:r>
          </w:p>
        </w:tc>
        <w:tc>
          <w:tcPr>
            <w:tcW w:w="1275" w:type="dxa"/>
          </w:tcPr>
          <w:p w14:paraId="6CB88821" w14:textId="2CDF0C18" w:rsidR="005B62A0" w:rsidRPr="009C300A" w:rsidRDefault="005B62A0" w:rsidP="00965BBA">
            <w:pPr>
              <w:pStyle w:val="DJCSbody"/>
              <w:ind w:left="0"/>
              <w:jc w:val="center"/>
              <w:rPr>
                <w:b/>
                <w:bCs/>
              </w:rPr>
            </w:pPr>
            <w:r w:rsidRPr="009C300A">
              <w:rPr>
                <w:b/>
                <w:bCs/>
              </w:rPr>
              <w:t>$</w:t>
            </w:r>
            <w:r w:rsidR="006252DC">
              <w:rPr>
                <w:b/>
                <w:bCs/>
              </w:rPr>
              <w:t>6</w:t>
            </w:r>
            <w:r w:rsidR="008F6EE4">
              <w:rPr>
                <w:b/>
                <w:bCs/>
              </w:rPr>
              <w:t>12</w:t>
            </w:r>
          </w:p>
        </w:tc>
        <w:tc>
          <w:tcPr>
            <w:tcW w:w="1276" w:type="dxa"/>
          </w:tcPr>
          <w:p w14:paraId="2A09AFFC" w14:textId="77777777" w:rsidR="005B62A0" w:rsidRDefault="005B62A0" w:rsidP="00965BBA">
            <w:pPr>
              <w:pStyle w:val="DJCSbody"/>
              <w:ind w:left="0"/>
              <w:jc w:val="center"/>
            </w:pPr>
            <w:r>
              <w:rPr>
                <w:b/>
                <w:bCs/>
              </w:rPr>
              <w:t>$0</w:t>
            </w:r>
          </w:p>
        </w:tc>
        <w:tc>
          <w:tcPr>
            <w:tcW w:w="1276" w:type="dxa"/>
          </w:tcPr>
          <w:p w14:paraId="7C7E0E7D" w14:textId="03DFBEAD" w:rsidR="006003F0" w:rsidRDefault="00071FFD" w:rsidP="00965BBA">
            <w:pPr>
              <w:pStyle w:val="DJCSbody"/>
              <w:ind w:left="0"/>
              <w:jc w:val="center"/>
              <w:rPr>
                <w:b/>
                <w:bCs/>
              </w:rPr>
            </w:pPr>
            <w:r>
              <w:rPr>
                <w:b/>
                <w:bCs/>
              </w:rPr>
              <w:t>$1,2</w:t>
            </w:r>
            <w:r w:rsidR="00657ED5">
              <w:rPr>
                <w:b/>
                <w:bCs/>
              </w:rPr>
              <w:t>24</w:t>
            </w:r>
          </w:p>
        </w:tc>
      </w:tr>
    </w:tbl>
    <w:p w14:paraId="2D8FF85B" w14:textId="77777777" w:rsidR="00317009" w:rsidRPr="001F576E" w:rsidRDefault="00317009" w:rsidP="001B0EA6">
      <w:pPr>
        <w:rPr>
          <w:i/>
          <w:iCs/>
          <w:sz w:val="18"/>
          <w:szCs w:val="18"/>
        </w:rPr>
      </w:pPr>
    </w:p>
    <w:p w14:paraId="57026C27" w14:textId="77777777" w:rsidR="00140985" w:rsidRDefault="00140985" w:rsidP="00140985">
      <w:pPr>
        <w:rPr>
          <w:i/>
          <w:iCs/>
          <w:color w:val="002060"/>
          <w:sz w:val="18"/>
          <w:szCs w:val="18"/>
        </w:rPr>
      </w:pPr>
      <w:r>
        <w:rPr>
          <w:i/>
          <w:iCs/>
          <w:color w:val="002060"/>
          <w:sz w:val="18"/>
          <w:szCs w:val="18"/>
        </w:rPr>
        <w:t>Figure</w:t>
      </w:r>
      <w:r w:rsidRPr="001F576E">
        <w:rPr>
          <w:i/>
          <w:iCs/>
          <w:color w:val="002060"/>
          <w:sz w:val="18"/>
          <w:szCs w:val="18"/>
        </w:rPr>
        <w:t xml:space="preserve"> </w:t>
      </w:r>
      <w:r>
        <w:rPr>
          <w:i/>
          <w:iCs/>
          <w:color w:val="002060"/>
          <w:sz w:val="18"/>
          <w:szCs w:val="18"/>
        </w:rPr>
        <w:t>4</w:t>
      </w:r>
      <w:r w:rsidRPr="001F576E">
        <w:rPr>
          <w:i/>
          <w:iCs/>
          <w:color w:val="002060"/>
          <w:sz w:val="18"/>
          <w:szCs w:val="18"/>
        </w:rPr>
        <w:t xml:space="preserve">: </w:t>
      </w:r>
      <w:r>
        <w:rPr>
          <w:i/>
          <w:iCs/>
          <w:color w:val="002060"/>
          <w:sz w:val="18"/>
          <w:szCs w:val="18"/>
        </w:rPr>
        <w:t>Ten</w:t>
      </w:r>
      <w:r w:rsidRPr="001F576E">
        <w:rPr>
          <w:i/>
          <w:iCs/>
          <w:color w:val="002060"/>
          <w:sz w:val="18"/>
          <w:szCs w:val="18"/>
        </w:rPr>
        <w:t xml:space="preserve">-year cashflows (discounted) </w:t>
      </w:r>
      <w:r>
        <w:rPr>
          <w:i/>
          <w:iCs/>
          <w:color w:val="002060"/>
          <w:sz w:val="18"/>
          <w:szCs w:val="18"/>
        </w:rPr>
        <w:t xml:space="preserve">graph </w:t>
      </w:r>
      <w:r w:rsidRPr="001F576E">
        <w:rPr>
          <w:i/>
          <w:iCs/>
          <w:color w:val="002060"/>
          <w:sz w:val="18"/>
          <w:szCs w:val="18"/>
        </w:rPr>
        <w:t>for the preferred option ($’000s)</w:t>
      </w:r>
      <w:r>
        <w:rPr>
          <w:i/>
          <w:iCs/>
          <w:color w:val="002060"/>
          <w:sz w:val="18"/>
          <w:szCs w:val="18"/>
        </w:rPr>
        <w:br/>
      </w:r>
    </w:p>
    <w:p w14:paraId="01E21E25" w14:textId="227CAE9E" w:rsidR="00F66B72" w:rsidRDefault="000E2A08" w:rsidP="001B0EA6">
      <w:pPr>
        <w:jc w:val="center"/>
        <w:rPr>
          <w:i/>
          <w:iCs/>
          <w:color w:val="002060"/>
          <w:sz w:val="18"/>
          <w:szCs w:val="18"/>
        </w:rPr>
      </w:pPr>
      <w:r w:rsidRPr="000E2A08">
        <w:rPr>
          <w:noProof/>
        </w:rPr>
        <w:drawing>
          <wp:inline distT="0" distB="0" distL="0" distR="0" wp14:anchorId="558F7CED" wp14:editId="0F67F8C0">
            <wp:extent cx="5710190" cy="3577390"/>
            <wp:effectExtent l="0" t="0" r="0" b="0"/>
            <wp:docPr id="1466444996" name="Picture 1" descr="This graph shows the cumulative cashflows for the PRBS over 10 years. The graph shows that the PRBS is expected to recover full costs after 8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44996" name="Picture 1" descr="This graph shows the cumulative cashflows for the PRBS over 10 years. The graph shows that the PRBS is expected to recover full costs after 8 yea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8540" cy="3588886"/>
                    </a:xfrm>
                    <a:prstGeom prst="rect">
                      <a:avLst/>
                    </a:prstGeom>
                    <a:noFill/>
                    <a:ln>
                      <a:noFill/>
                    </a:ln>
                  </pic:spPr>
                </pic:pic>
              </a:graphicData>
            </a:graphic>
          </wp:inline>
        </w:drawing>
      </w:r>
    </w:p>
    <w:p w14:paraId="434D276A" w14:textId="77777777" w:rsidR="00295E95" w:rsidRDefault="00295E95" w:rsidP="00295E95">
      <w:pPr>
        <w:rPr>
          <w:color w:val="002060"/>
          <w:sz w:val="18"/>
          <w:szCs w:val="18"/>
        </w:rPr>
      </w:pPr>
    </w:p>
    <w:p w14:paraId="2369BA40" w14:textId="76FBCD71" w:rsidR="00317009" w:rsidRPr="001F576E" w:rsidRDefault="00295E95" w:rsidP="001F576E">
      <w:pPr>
        <w:rPr>
          <w:rFonts w:asciiTheme="majorHAnsi" w:hAnsiTheme="majorHAnsi" w:cstheme="majorHAnsi"/>
          <w:i/>
        </w:rPr>
      </w:pPr>
      <w:r>
        <w:rPr>
          <w:rFonts w:asciiTheme="majorHAnsi" w:eastAsia="MS Gothic" w:hAnsiTheme="majorHAnsi" w:cstheme="majorHAnsi"/>
          <w:sz w:val="22"/>
          <w:szCs w:val="28"/>
        </w:rPr>
        <w:t>The above graph</w:t>
      </w:r>
      <w:r w:rsidR="00647B6E">
        <w:rPr>
          <w:rFonts w:asciiTheme="majorHAnsi" w:eastAsia="MS Gothic" w:hAnsiTheme="majorHAnsi" w:cstheme="majorHAnsi"/>
          <w:sz w:val="22"/>
          <w:szCs w:val="28"/>
        </w:rPr>
        <w:t xml:space="preserve"> shows the projected cumulative cashflows of the PRBS and </w:t>
      </w:r>
      <w:r w:rsidR="002113D4">
        <w:rPr>
          <w:rFonts w:asciiTheme="majorHAnsi" w:eastAsia="MS Gothic" w:hAnsiTheme="majorHAnsi" w:cstheme="majorHAnsi"/>
          <w:sz w:val="22"/>
          <w:szCs w:val="28"/>
        </w:rPr>
        <w:t>its</w:t>
      </w:r>
      <w:r w:rsidR="00647B6E">
        <w:rPr>
          <w:rFonts w:asciiTheme="majorHAnsi" w:eastAsia="MS Gothic" w:hAnsiTheme="majorHAnsi" w:cstheme="majorHAnsi"/>
          <w:sz w:val="22"/>
          <w:szCs w:val="28"/>
        </w:rPr>
        <w:t xml:space="preserve"> </w:t>
      </w:r>
      <w:r w:rsidR="004A3870">
        <w:rPr>
          <w:rFonts w:asciiTheme="majorHAnsi" w:eastAsia="MS Gothic" w:hAnsiTheme="majorHAnsi" w:cstheme="majorHAnsi"/>
          <w:sz w:val="22"/>
          <w:szCs w:val="28"/>
        </w:rPr>
        <w:t>ability to recover costs up until each point in time.</w:t>
      </w:r>
      <w:r w:rsidR="009E0CD0">
        <w:rPr>
          <w:rFonts w:asciiTheme="majorHAnsi" w:eastAsia="MS Gothic" w:hAnsiTheme="majorHAnsi" w:cstheme="majorHAnsi"/>
          <w:sz w:val="22"/>
          <w:szCs w:val="28"/>
        </w:rPr>
        <w:t xml:space="preserve"> It can be observed that full cost recovery occurs at </w:t>
      </w:r>
      <w:r w:rsidR="000E7839">
        <w:rPr>
          <w:rFonts w:asciiTheme="majorHAnsi" w:eastAsia="MS Gothic" w:hAnsiTheme="majorHAnsi" w:cstheme="majorHAnsi"/>
          <w:sz w:val="22"/>
          <w:szCs w:val="28"/>
        </w:rPr>
        <w:t>y</w:t>
      </w:r>
      <w:r w:rsidR="009E0CD0">
        <w:rPr>
          <w:rFonts w:asciiTheme="majorHAnsi" w:eastAsia="MS Gothic" w:hAnsiTheme="majorHAnsi" w:cstheme="majorHAnsi"/>
          <w:sz w:val="22"/>
          <w:szCs w:val="28"/>
        </w:rPr>
        <w:t xml:space="preserve">ear 8 under the preferred option, with </w:t>
      </w:r>
      <w:r w:rsidR="000E7839">
        <w:rPr>
          <w:rFonts w:asciiTheme="majorHAnsi" w:eastAsia="MS Gothic" w:hAnsiTheme="majorHAnsi" w:cstheme="majorHAnsi"/>
          <w:sz w:val="22"/>
          <w:szCs w:val="28"/>
        </w:rPr>
        <w:t>y</w:t>
      </w:r>
      <w:r w:rsidR="009E0CD0">
        <w:rPr>
          <w:rFonts w:asciiTheme="majorHAnsi" w:eastAsia="MS Gothic" w:hAnsiTheme="majorHAnsi" w:cstheme="majorHAnsi"/>
          <w:sz w:val="22"/>
          <w:szCs w:val="28"/>
        </w:rPr>
        <w:t>ears 9</w:t>
      </w:r>
      <w:r w:rsidR="000E7839">
        <w:rPr>
          <w:rFonts w:asciiTheme="majorHAnsi" w:eastAsia="MS Gothic" w:hAnsiTheme="majorHAnsi" w:cstheme="majorHAnsi"/>
          <w:sz w:val="22"/>
          <w:szCs w:val="28"/>
        </w:rPr>
        <w:t xml:space="preserve"> and </w:t>
      </w:r>
      <w:r w:rsidR="009E0CD0">
        <w:rPr>
          <w:rFonts w:asciiTheme="majorHAnsi" w:eastAsia="MS Gothic" w:hAnsiTheme="majorHAnsi" w:cstheme="majorHAnsi"/>
          <w:sz w:val="22"/>
          <w:szCs w:val="28"/>
        </w:rPr>
        <w:t xml:space="preserve">10 </w:t>
      </w:r>
      <w:r w:rsidR="00B44AD5">
        <w:rPr>
          <w:rFonts w:asciiTheme="majorHAnsi" w:eastAsia="MS Gothic" w:hAnsiTheme="majorHAnsi" w:cstheme="majorHAnsi"/>
          <w:sz w:val="22"/>
          <w:szCs w:val="28"/>
        </w:rPr>
        <w:t xml:space="preserve">expected to </w:t>
      </w:r>
      <w:r w:rsidR="009E0CD0">
        <w:rPr>
          <w:rFonts w:asciiTheme="majorHAnsi" w:eastAsia="MS Gothic" w:hAnsiTheme="majorHAnsi" w:cstheme="majorHAnsi"/>
          <w:sz w:val="22"/>
          <w:szCs w:val="28"/>
        </w:rPr>
        <w:t xml:space="preserve">lead to a surplus. </w:t>
      </w:r>
      <w:r w:rsidR="00B44AD5">
        <w:rPr>
          <w:rFonts w:asciiTheme="majorHAnsi" w:eastAsia="MS Gothic" w:hAnsiTheme="majorHAnsi" w:cstheme="majorHAnsi"/>
          <w:sz w:val="22"/>
          <w:szCs w:val="28"/>
        </w:rPr>
        <w:t>Given the</w:t>
      </w:r>
      <w:r w:rsidR="00BA15F8">
        <w:rPr>
          <w:rFonts w:asciiTheme="majorHAnsi" w:eastAsia="MS Gothic" w:hAnsiTheme="majorHAnsi" w:cstheme="majorHAnsi"/>
          <w:sz w:val="22"/>
          <w:szCs w:val="28"/>
        </w:rPr>
        <w:t xml:space="preserve"> newness of the</w:t>
      </w:r>
      <w:r w:rsidR="00B44AD5">
        <w:rPr>
          <w:rFonts w:asciiTheme="majorHAnsi" w:eastAsia="MS Gothic" w:hAnsiTheme="majorHAnsi" w:cstheme="majorHAnsi"/>
          <w:sz w:val="22"/>
          <w:szCs w:val="28"/>
        </w:rPr>
        <w:t xml:space="preserve"> </w:t>
      </w:r>
      <w:r w:rsidR="004344E2">
        <w:rPr>
          <w:rFonts w:asciiTheme="majorHAnsi" w:eastAsia="MS Gothic" w:hAnsiTheme="majorHAnsi" w:cstheme="majorHAnsi"/>
          <w:sz w:val="22"/>
          <w:szCs w:val="28"/>
        </w:rPr>
        <w:t xml:space="preserve">PRBS, </w:t>
      </w:r>
      <w:r w:rsidR="00196BDA">
        <w:rPr>
          <w:rFonts w:asciiTheme="majorHAnsi" w:eastAsia="MS Gothic" w:hAnsiTheme="majorHAnsi" w:cstheme="majorHAnsi"/>
          <w:sz w:val="22"/>
          <w:szCs w:val="28"/>
        </w:rPr>
        <w:t xml:space="preserve">the ability to recover costs remains highly </w:t>
      </w:r>
      <w:r w:rsidR="002E37AA">
        <w:rPr>
          <w:rFonts w:asciiTheme="majorHAnsi" w:eastAsia="MS Gothic" w:hAnsiTheme="majorHAnsi" w:cstheme="majorHAnsi"/>
          <w:sz w:val="22"/>
          <w:szCs w:val="28"/>
        </w:rPr>
        <w:t>dependent on the success of debt recovery practices</w:t>
      </w:r>
      <w:r w:rsidR="008E62F1">
        <w:rPr>
          <w:rFonts w:asciiTheme="majorHAnsi" w:eastAsia="MS Gothic" w:hAnsiTheme="majorHAnsi" w:cstheme="majorHAnsi"/>
          <w:sz w:val="22"/>
          <w:szCs w:val="28"/>
        </w:rPr>
        <w:t xml:space="preserve">. As such, an 8-year recovery allows for </w:t>
      </w:r>
      <w:r w:rsidR="00BC7C7A">
        <w:rPr>
          <w:rFonts w:asciiTheme="majorHAnsi" w:eastAsia="MS Gothic" w:hAnsiTheme="majorHAnsi" w:cstheme="majorHAnsi"/>
          <w:sz w:val="22"/>
          <w:szCs w:val="28"/>
        </w:rPr>
        <w:t>this volatility to an extent</w:t>
      </w:r>
      <w:r w:rsidR="00C6690A">
        <w:rPr>
          <w:rFonts w:asciiTheme="majorHAnsi" w:eastAsia="MS Gothic" w:hAnsiTheme="majorHAnsi" w:cstheme="majorHAnsi"/>
          <w:sz w:val="22"/>
          <w:szCs w:val="28"/>
        </w:rPr>
        <w:t xml:space="preserve">. Additionally, the performance of the </w:t>
      </w:r>
      <w:r w:rsidR="00BA15F8">
        <w:rPr>
          <w:rFonts w:asciiTheme="majorHAnsi" w:eastAsia="MS Gothic" w:hAnsiTheme="majorHAnsi" w:cstheme="majorHAnsi"/>
          <w:sz w:val="22"/>
          <w:szCs w:val="28"/>
        </w:rPr>
        <w:t>PRBS</w:t>
      </w:r>
      <w:r w:rsidR="00C6690A">
        <w:rPr>
          <w:rFonts w:asciiTheme="majorHAnsi" w:eastAsia="MS Gothic" w:hAnsiTheme="majorHAnsi" w:cstheme="majorHAnsi"/>
          <w:sz w:val="22"/>
          <w:szCs w:val="28"/>
        </w:rPr>
        <w:t xml:space="preserve"> will be monitored</w:t>
      </w:r>
      <w:r w:rsidR="003B2654">
        <w:rPr>
          <w:rFonts w:asciiTheme="majorHAnsi" w:eastAsia="MS Gothic" w:hAnsiTheme="majorHAnsi" w:cstheme="majorHAnsi"/>
          <w:sz w:val="22"/>
          <w:szCs w:val="28"/>
        </w:rPr>
        <w:t xml:space="preserve">, </w:t>
      </w:r>
      <w:r w:rsidR="003B2654">
        <w:rPr>
          <w:rFonts w:asciiTheme="majorHAnsi" w:eastAsia="MS Gothic" w:hAnsiTheme="majorHAnsi" w:cstheme="majorHAnsi"/>
          <w:sz w:val="22"/>
          <w:szCs w:val="28"/>
        </w:rPr>
        <w:lastRenderedPageBreak/>
        <w:t xml:space="preserve">with future amendments possible </w:t>
      </w:r>
      <w:r w:rsidR="0043571A">
        <w:rPr>
          <w:rFonts w:asciiTheme="majorHAnsi" w:eastAsia="MS Gothic" w:hAnsiTheme="majorHAnsi" w:cstheme="majorHAnsi"/>
          <w:sz w:val="22"/>
          <w:szCs w:val="28"/>
        </w:rPr>
        <w:t xml:space="preserve">under a required and robust evaluation process </w:t>
      </w:r>
      <w:r w:rsidR="003B2654">
        <w:rPr>
          <w:rFonts w:asciiTheme="majorHAnsi" w:eastAsia="MS Gothic" w:hAnsiTheme="majorHAnsi" w:cstheme="majorHAnsi"/>
          <w:sz w:val="22"/>
          <w:szCs w:val="28"/>
        </w:rPr>
        <w:t>if actual experience deviates significantly from the</w:t>
      </w:r>
      <w:r w:rsidR="00C6690A">
        <w:rPr>
          <w:rFonts w:asciiTheme="majorHAnsi" w:eastAsia="MS Gothic" w:hAnsiTheme="majorHAnsi" w:cstheme="majorHAnsi"/>
          <w:sz w:val="22"/>
          <w:szCs w:val="28"/>
        </w:rPr>
        <w:t xml:space="preserve"> </w:t>
      </w:r>
      <w:r w:rsidR="0043571A">
        <w:rPr>
          <w:rFonts w:asciiTheme="majorHAnsi" w:eastAsia="MS Gothic" w:hAnsiTheme="majorHAnsi" w:cstheme="majorHAnsi"/>
          <w:sz w:val="22"/>
          <w:szCs w:val="28"/>
        </w:rPr>
        <w:t>projection.</w:t>
      </w:r>
    </w:p>
    <w:p w14:paraId="5E10757E" w14:textId="30BE2F46" w:rsidR="00A21C8C" w:rsidRDefault="00A21C8C" w:rsidP="00CA3C50">
      <w:pPr>
        <w:pStyle w:val="Heading2"/>
      </w:pPr>
      <w:bookmarkStart w:id="79" w:name="_Toc221890910"/>
      <w:bookmarkStart w:id="80" w:name="_Ref222824984"/>
      <w:r>
        <w:t>Debt recovery</w:t>
      </w:r>
      <w:r w:rsidR="00B010E1">
        <w:t xml:space="preserve"> under </w:t>
      </w:r>
      <w:r>
        <w:t>the preferred option</w:t>
      </w:r>
      <w:bookmarkEnd w:id="79"/>
      <w:bookmarkEnd w:id="80"/>
      <w:r>
        <w:t xml:space="preserve"> </w:t>
      </w:r>
    </w:p>
    <w:p w14:paraId="4318DBA1" w14:textId="7FA31326" w:rsidR="00B010E1" w:rsidRDefault="00B010E1" w:rsidP="00CA3C50">
      <w:pPr>
        <w:pStyle w:val="Heading3"/>
      </w:pPr>
      <w:bookmarkStart w:id="81" w:name="_Ref219988019"/>
      <w:bookmarkStart w:id="82" w:name="_Ref219388968"/>
      <w:r>
        <w:t>Debt recovery rate</w:t>
      </w:r>
      <w:bookmarkEnd w:id="81"/>
      <w:r>
        <w:t xml:space="preserve"> </w:t>
      </w:r>
      <w:bookmarkEnd w:id="82"/>
    </w:p>
    <w:p w14:paraId="2BAE8608" w14:textId="77777777" w:rsidR="00D070A0" w:rsidRDefault="00D070A0" w:rsidP="00D5231A">
      <w:pPr>
        <w:pStyle w:val="DJCSbody"/>
        <w:ind w:left="0"/>
      </w:pPr>
      <w:r>
        <w:t xml:space="preserve">Modelling </w:t>
      </w:r>
      <w:r w:rsidR="00895B39">
        <w:t xml:space="preserve">was </w:t>
      </w:r>
      <w:r>
        <w:t xml:space="preserve">undertaken </w:t>
      </w:r>
      <w:r w:rsidR="00DB6FB0">
        <w:t xml:space="preserve">to understand the overall debt recovery rate of the PRBS, </w:t>
      </w:r>
      <w:r w:rsidR="00895B39">
        <w:t xml:space="preserve">based on </w:t>
      </w:r>
      <w:r>
        <w:t>the preferred</w:t>
      </w:r>
      <w:r w:rsidR="00DB6FB0">
        <w:t xml:space="preserve"> fee</w:t>
      </w:r>
      <w:r>
        <w:t xml:space="preserve"> option </w:t>
      </w:r>
      <w:r w:rsidR="00743B9E">
        <w:t xml:space="preserve">and </w:t>
      </w:r>
      <w:r w:rsidR="006F0412">
        <w:t>the</w:t>
      </w:r>
      <w:r w:rsidR="00743B9E">
        <w:t xml:space="preserve"> associated debt recovery arrangements outlined above</w:t>
      </w:r>
      <w:r w:rsidR="00DB6FB0">
        <w:t xml:space="preserve">. </w:t>
      </w:r>
      <w:r w:rsidR="00743B9E">
        <w:t xml:space="preserve"> </w:t>
      </w:r>
    </w:p>
    <w:p w14:paraId="6158B2E0" w14:textId="7C3C8D53" w:rsidR="00813092" w:rsidRPr="00AB3DEA" w:rsidRDefault="00DB6FB0" w:rsidP="00813092">
      <w:pPr>
        <w:pStyle w:val="DJCSbody"/>
        <w:ind w:left="0"/>
      </w:pPr>
      <w:r>
        <w:t xml:space="preserve">The </w:t>
      </w:r>
      <w:r w:rsidR="00616514">
        <w:t xml:space="preserve">table below summarises the key </w:t>
      </w:r>
      <w:r w:rsidR="004D197B">
        <w:t>assumptions and outputs of the modelling</w:t>
      </w:r>
      <w:r w:rsidR="00217D3D">
        <w:t>.</w:t>
      </w:r>
      <w:r w:rsidR="00D5231A" w:rsidRPr="001C16E7">
        <w:t xml:space="preserve"> </w:t>
      </w:r>
      <w:r w:rsidR="00813092" w:rsidRPr="001C16E7">
        <w:t xml:space="preserve">Overall, the total projected debt recovery rate under these arrangements is </w:t>
      </w:r>
      <w:r w:rsidR="00813092" w:rsidRPr="00291224">
        <w:rPr>
          <w:b/>
        </w:rPr>
        <w:t>96.</w:t>
      </w:r>
      <w:r w:rsidR="00363F23">
        <w:rPr>
          <w:b/>
          <w:bCs/>
        </w:rPr>
        <w:t>6</w:t>
      </w:r>
      <w:r w:rsidR="00813092" w:rsidRPr="00291224">
        <w:rPr>
          <w:b/>
        </w:rPr>
        <w:t>%</w:t>
      </w:r>
      <w:r w:rsidR="00813092" w:rsidRPr="001C16E7">
        <w:rPr>
          <w:b/>
          <w:bCs/>
        </w:rPr>
        <w:t xml:space="preserve"> of</w:t>
      </w:r>
      <w:r w:rsidR="00813092">
        <w:rPr>
          <w:b/>
          <w:bCs/>
        </w:rPr>
        <w:t xml:space="preserve"> total</w:t>
      </w:r>
      <w:r w:rsidR="00813092" w:rsidRPr="001C16E7">
        <w:rPr>
          <w:b/>
          <w:bCs/>
        </w:rPr>
        <w:t xml:space="preserve"> debts</w:t>
      </w:r>
      <w:r w:rsidR="00813092">
        <w:rPr>
          <w:b/>
          <w:bCs/>
        </w:rPr>
        <w:t xml:space="preserve"> </w:t>
      </w:r>
      <w:r w:rsidR="002424E5">
        <w:t>that are established under the PRBS</w:t>
      </w:r>
      <w:r w:rsidR="00813092">
        <w:t>.</w:t>
      </w:r>
    </w:p>
    <w:p w14:paraId="22D330A4" w14:textId="377CF665" w:rsidR="00D35D9B" w:rsidRDefault="002424E5" w:rsidP="00D35D9B">
      <w:pPr>
        <w:pStyle w:val="DJCSbody"/>
        <w:ind w:left="0"/>
      </w:pPr>
      <w:r>
        <w:t xml:space="preserve">When looking at the recovery of overdue debts, the mechanisms are expected to </w:t>
      </w:r>
      <w:r w:rsidR="00D5231A" w:rsidRPr="001C16E7">
        <w:t>achieve</w:t>
      </w:r>
      <w:r w:rsidR="00813092">
        <w:t xml:space="preserve"> </w:t>
      </w:r>
      <w:r w:rsidR="00632833" w:rsidRPr="001C16E7">
        <w:t xml:space="preserve">a debt recovery rate of </w:t>
      </w:r>
      <w:r w:rsidR="00632833" w:rsidRPr="00291224">
        <w:rPr>
          <w:b/>
        </w:rPr>
        <w:t>65.</w:t>
      </w:r>
      <w:r w:rsidR="00632833" w:rsidRPr="00291224">
        <w:rPr>
          <w:b/>
          <w:bCs/>
        </w:rPr>
        <w:t>8</w:t>
      </w:r>
      <w:r w:rsidR="00632833" w:rsidRPr="00291224">
        <w:rPr>
          <w:b/>
        </w:rPr>
        <w:t>%</w:t>
      </w:r>
      <w:r w:rsidR="00632833" w:rsidRPr="001C16E7">
        <w:t>.</w:t>
      </w:r>
      <w:r w:rsidR="00B03C3E">
        <w:t xml:space="preserve"> The breakdown is provided in the table below. </w:t>
      </w:r>
    </w:p>
    <w:p w14:paraId="04284EB0" w14:textId="5FD6A4A6" w:rsidR="00C41AFE" w:rsidRDefault="00C41AFE" w:rsidP="00C41AFE">
      <w:pPr>
        <w:pStyle w:val="Caption"/>
      </w:pPr>
      <w:r>
        <w:t xml:space="preserve">Table </w:t>
      </w:r>
      <w:r>
        <w:fldChar w:fldCharType="begin"/>
      </w:r>
      <w:r>
        <w:instrText xml:space="preserve"> SEQ Table \* ARABIC </w:instrText>
      </w:r>
      <w:r>
        <w:fldChar w:fldCharType="separate"/>
      </w:r>
      <w:r w:rsidR="00A50199">
        <w:rPr>
          <w:noProof/>
        </w:rPr>
        <w:t>17</w:t>
      </w:r>
      <w:r>
        <w:fldChar w:fldCharType="end"/>
      </w:r>
      <w:r>
        <w:t>: Debt recovery assumption rationale</w:t>
      </w:r>
    </w:p>
    <w:tbl>
      <w:tblPr>
        <w:tblStyle w:val="ListTable3-Accent2"/>
        <w:tblW w:w="0" w:type="auto"/>
        <w:tblLook w:val="04A0" w:firstRow="1" w:lastRow="0" w:firstColumn="1" w:lastColumn="0" w:noHBand="0" w:noVBand="1"/>
      </w:tblPr>
      <w:tblGrid>
        <w:gridCol w:w="3823"/>
        <w:gridCol w:w="6373"/>
      </w:tblGrid>
      <w:tr w:rsidR="00CA3C50" w14:paraId="6085AAA7" w14:textId="77777777" w:rsidTr="008E7A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shd w:val="clear" w:color="auto" w:fill="16145F" w:themeFill="text2"/>
          </w:tcPr>
          <w:p w14:paraId="13EE340B" w14:textId="77777777" w:rsidR="00CA3C50" w:rsidRPr="009F7D2B" w:rsidRDefault="00CA3C50">
            <w:pPr>
              <w:pStyle w:val="DJCSbody"/>
              <w:ind w:left="0"/>
            </w:pPr>
            <w:r w:rsidRPr="009F7D2B">
              <w:t>Debt recovery stage</w:t>
            </w:r>
          </w:p>
        </w:tc>
        <w:tc>
          <w:tcPr>
            <w:tcW w:w="6373" w:type="dxa"/>
            <w:shd w:val="clear" w:color="auto" w:fill="16145F" w:themeFill="text2"/>
          </w:tcPr>
          <w:p w14:paraId="344F47E3" w14:textId="77777777" w:rsidR="00CA3C50" w:rsidRPr="009F7D2B" w:rsidRDefault="00CA3C50">
            <w:pPr>
              <w:pStyle w:val="DJCSbody"/>
              <w:ind w:left="0"/>
              <w:cnfStyle w:val="100000000000" w:firstRow="1" w:lastRow="0" w:firstColumn="0" w:lastColumn="0" w:oddVBand="0" w:evenVBand="0" w:oddHBand="0" w:evenHBand="0" w:firstRowFirstColumn="0" w:firstRowLastColumn="0" w:lastRowFirstColumn="0" w:lastRowLastColumn="0"/>
            </w:pPr>
            <w:r w:rsidRPr="009F7D2B">
              <w:t xml:space="preserve">Assumption </w:t>
            </w:r>
          </w:p>
        </w:tc>
      </w:tr>
      <w:tr w:rsidR="00CA3C50" w14:paraId="35DC70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2F0A4AF" w14:textId="77777777" w:rsidR="00CA3C50" w:rsidRPr="001C3393" w:rsidRDefault="00CA3C50">
            <w:pPr>
              <w:pStyle w:val="DJCSbody"/>
              <w:ind w:left="0"/>
            </w:pPr>
            <w:r w:rsidRPr="001C3393">
              <w:t xml:space="preserve">Stage 1A: DGS issues invoice </w:t>
            </w:r>
          </w:p>
          <w:p w14:paraId="64EA8325" w14:textId="77777777" w:rsidR="00CA3C50" w:rsidRDefault="00CA3C50">
            <w:pPr>
              <w:pStyle w:val="DJCSbody"/>
              <w:ind w:left="0"/>
            </w:pPr>
          </w:p>
        </w:tc>
        <w:tc>
          <w:tcPr>
            <w:tcW w:w="6373" w:type="dxa"/>
          </w:tcPr>
          <w:p w14:paraId="1DF524E9" w14:textId="50054CF8" w:rsidR="00CD00E7" w:rsidRDefault="00CD00E7" w:rsidP="00CD00E7">
            <w:pPr>
              <w:pStyle w:val="DJCSbody"/>
              <w:ind w:left="0"/>
              <w:cnfStyle w:val="000000100000" w:firstRow="0" w:lastRow="0" w:firstColumn="0" w:lastColumn="0" w:oddVBand="0" w:evenVBand="0" w:oddHBand="1" w:evenHBand="0" w:firstRowFirstColumn="0" w:firstRowLastColumn="0" w:lastRowFirstColumn="0" w:lastRowLastColumn="0"/>
            </w:pPr>
            <w:r w:rsidRPr="001C3393">
              <w:rPr>
                <w:b/>
                <w:bCs/>
              </w:rPr>
              <w:t>90%</w:t>
            </w:r>
            <w:r w:rsidRPr="001C3393">
              <w:t xml:space="preserve"> of </w:t>
            </w:r>
            <w:r>
              <w:t xml:space="preserve">total </w:t>
            </w:r>
            <w:r w:rsidRPr="001C3393">
              <w:t>debts paid on time (after 8 weeks, or in accordance with</w:t>
            </w:r>
            <w:r w:rsidR="002B0D4E">
              <w:t xml:space="preserve"> a</w:t>
            </w:r>
            <w:r w:rsidRPr="001C3393">
              <w:t xml:space="preserve"> payment plan) </w:t>
            </w:r>
          </w:p>
          <w:p w14:paraId="5D1626D4" w14:textId="323D8DD8" w:rsidR="00CA3C50" w:rsidRDefault="00CD00E7">
            <w:pPr>
              <w:pStyle w:val="DJCSbody"/>
              <w:ind w:left="0"/>
              <w:cnfStyle w:val="000000100000" w:firstRow="0" w:lastRow="0" w:firstColumn="0" w:lastColumn="0" w:oddVBand="0" w:evenVBand="0" w:oddHBand="1" w:evenHBand="0" w:firstRowFirstColumn="0" w:firstRowLastColumn="0" w:lastRowFirstColumn="0" w:lastRowLastColumn="0"/>
            </w:pPr>
            <w:r>
              <w:t xml:space="preserve">Source: </w:t>
            </w:r>
            <w:r w:rsidRPr="004E6A23">
              <w:t xml:space="preserve">Based on reference to </w:t>
            </w:r>
            <w:hyperlink r:id="rId27" w:anchor=":~:text=The%20proportion%20of%20unpaid%20rates,and%20proactive%20practices%20in%20place." w:history="1">
              <w:r w:rsidR="007A2FFA" w:rsidRPr="007A2FFA">
                <w:rPr>
                  <w:rStyle w:val="Hyperlink"/>
                </w:rPr>
                <w:t>unpaid Victorian council rates</w:t>
              </w:r>
            </w:hyperlink>
            <w:r w:rsidRPr="004E6A23">
              <w:t>.</w:t>
            </w:r>
          </w:p>
        </w:tc>
      </w:tr>
      <w:tr w:rsidR="00CA3C50" w14:paraId="5B64CCBA" w14:textId="77777777">
        <w:tc>
          <w:tcPr>
            <w:cnfStyle w:val="001000000000" w:firstRow="0" w:lastRow="0" w:firstColumn="1" w:lastColumn="0" w:oddVBand="0" w:evenVBand="0" w:oddHBand="0" w:evenHBand="0" w:firstRowFirstColumn="0" w:firstRowLastColumn="0" w:lastRowFirstColumn="0" w:lastRowLastColumn="0"/>
            <w:tcW w:w="3823" w:type="dxa"/>
          </w:tcPr>
          <w:p w14:paraId="64C479AB" w14:textId="77777777" w:rsidR="00CA3C50" w:rsidRPr="00C51976" w:rsidRDefault="00CA3C50">
            <w:pPr>
              <w:pStyle w:val="DJCSbody"/>
              <w:ind w:left="0"/>
            </w:pPr>
            <w:r w:rsidRPr="00C51976">
              <w:t>Stage 1B: DGS takes action to recover debt (4 weeks)</w:t>
            </w:r>
          </w:p>
          <w:p w14:paraId="607C7D1F" w14:textId="77777777" w:rsidR="00CA3C50" w:rsidRDefault="00CA3C50">
            <w:pPr>
              <w:pStyle w:val="DJCSbody"/>
              <w:ind w:left="0"/>
            </w:pPr>
          </w:p>
        </w:tc>
        <w:tc>
          <w:tcPr>
            <w:tcW w:w="6373" w:type="dxa"/>
          </w:tcPr>
          <w:p w14:paraId="22D8EC99" w14:textId="77777777" w:rsidR="00CA3C50" w:rsidRPr="00C51976" w:rsidRDefault="00CA3C50">
            <w:pPr>
              <w:pStyle w:val="DJCSbody"/>
              <w:ind w:left="0"/>
              <w:cnfStyle w:val="000000000000" w:firstRow="0" w:lastRow="0" w:firstColumn="0" w:lastColumn="0" w:oddVBand="0" w:evenVBand="0" w:oddHBand="0" w:evenHBand="0" w:firstRowFirstColumn="0" w:firstRowLastColumn="0" w:lastRowFirstColumn="0" w:lastRowLastColumn="0"/>
            </w:pPr>
            <w:r w:rsidRPr="00C51976">
              <w:rPr>
                <w:b/>
                <w:bCs/>
              </w:rPr>
              <w:t>~4%</w:t>
            </w:r>
            <w:r w:rsidRPr="00C51976">
              <w:t xml:space="preserve"> of outstanding debts are paid </w:t>
            </w:r>
            <w:r>
              <w:t>(0.4% of total debts)</w:t>
            </w:r>
          </w:p>
          <w:p w14:paraId="76F9775B" w14:textId="7E77641E" w:rsidR="00CA3C50" w:rsidRDefault="00CA3C50">
            <w:pPr>
              <w:pStyle w:val="DJCSbody"/>
              <w:ind w:left="0"/>
              <w:cnfStyle w:val="000000000000" w:firstRow="0" w:lastRow="0" w:firstColumn="0" w:lastColumn="0" w:oddVBand="0" w:evenVBand="0" w:oddHBand="0" w:evenHBand="0" w:firstRowFirstColumn="0" w:firstRowLastColumn="0" w:lastRowFirstColumn="0" w:lastRowLastColumn="0"/>
            </w:pPr>
            <w:r w:rsidRPr="004B213C">
              <w:t xml:space="preserve">Based on similar </w:t>
            </w:r>
            <w:r w:rsidR="00F31DC1">
              <w:t>Government</w:t>
            </w:r>
            <w:r w:rsidRPr="004B213C">
              <w:t xml:space="preserve"> agency rates for comparable debts and published rates from debt collectors. Refer to Appendix for further details. </w:t>
            </w:r>
          </w:p>
        </w:tc>
      </w:tr>
      <w:tr w:rsidR="00CA3C50" w14:paraId="7AA89C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50EE059" w14:textId="77777777" w:rsidR="00CA3C50" w:rsidRPr="00F26E12" w:rsidRDefault="00CA3C50">
            <w:pPr>
              <w:pStyle w:val="DJCSbody"/>
              <w:ind w:left="0"/>
            </w:pPr>
            <w:r w:rsidRPr="00F26E12">
              <w:t>Stage 2: Debt is referred to a DCA (12 months)</w:t>
            </w:r>
          </w:p>
          <w:p w14:paraId="66C19BEF" w14:textId="77777777" w:rsidR="00CA3C50" w:rsidRDefault="00CA3C50">
            <w:pPr>
              <w:pStyle w:val="DJCSbody"/>
              <w:ind w:left="0"/>
            </w:pPr>
          </w:p>
        </w:tc>
        <w:tc>
          <w:tcPr>
            <w:tcW w:w="6373" w:type="dxa"/>
          </w:tcPr>
          <w:p w14:paraId="2C88055B" w14:textId="77777777" w:rsidR="00CA3C50" w:rsidRPr="000B0B24" w:rsidRDefault="00CA3C50">
            <w:pPr>
              <w:pStyle w:val="DJCSbody"/>
              <w:ind w:left="0"/>
              <w:cnfStyle w:val="000000100000" w:firstRow="0" w:lastRow="0" w:firstColumn="0" w:lastColumn="0" w:oddVBand="0" w:evenVBand="0" w:oddHBand="1" w:evenHBand="0" w:firstRowFirstColumn="0" w:firstRowLastColumn="0" w:lastRowFirstColumn="0" w:lastRowLastColumn="0"/>
            </w:pPr>
            <w:r w:rsidRPr="000B0B24">
              <w:rPr>
                <w:b/>
                <w:bCs/>
              </w:rPr>
              <w:t>~21%</w:t>
            </w:r>
            <w:r w:rsidRPr="000B0B24">
              <w:t xml:space="preserve"> of outstanding debts are paid </w:t>
            </w:r>
            <w:r>
              <w:t xml:space="preserve">(2.1% of total debts) </w:t>
            </w:r>
          </w:p>
          <w:p w14:paraId="79422C40" w14:textId="4548CC22" w:rsidR="00CA3C50" w:rsidRDefault="00CA3C50">
            <w:pPr>
              <w:pStyle w:val="DJCSbody"/>
              <w:ind w:left="0"/>
              <w:cnfStyle w:val="000000100000" w:firstRow="0" w:lastRow="0" w:firstColumn="0" w:lastColumn="0" w:oddVBand="0" w:evenVBand="0" w:oddHBand="1" w:evenHBand="0" w:firstRowFirstColumn="0" w:firstRowLastColumn="0" w:lastRowFirstColumn="0" w:lastRowLastColumn="0"/>
            </w:pPr>
            <w:r w:rsidRPr="004B213C">
              <w:t xml:space="preserve">Based on similar </w:t>
            </w:r>
            <w:r w:rsidR="00F31DC1">
              <w:t>Government</w:t>
            </w:r>
            <w:r w:rsidRPr="004B213C">
              <w:t xml:space="preserve"> agency rates for comparable debts and published rates from debt collectors. Refer to Appendix for further details.</w:t>
            </w:r>
          </w:p>
        </w:tc>
      </w:tr>
      <w:tr w:rsidR="00CA3C50" w14:paraId="4D9DA5ED" w14:textId="77777777">
        <w:tc>
          <w:tcPr>
            <w:cnfStyle w:val="001000000000" w:firstRow="0" w:lastRow="0" w:firstColumn="1" w:lastColumn="0" w:oddVBand="0" w:evenVBand="0" w:oddHBand="0" w:evenHBand="0" w:firstRowFirstColumn="0" w:firstRowLastColumn="0" w:lastRowFirstColumn="0" w:lastRowLastColumn="0"/>
            <w:tcW w:w="3823" w:type="dxa"/>
          </w:tcPr>
          <w:p w14:paraId="3180CBA1" w14:textId="3A06B2DF" w:rsidR="00CA3C50" w:rsidRPr="00EF0179" w:rsidRDefault="00CA3C50">
            <w:pPr>
              <w:pStyle w:val="DJCSbody"/>
              <w:ind w:left="0"/>
            </w:pPr>
            <w:r w:rsidRPr="00EF0179">
              <w:t>Stage 3: Outstanding debts are recouped from second bond (over 2-5 years)</w:t>
            </w:r>
          </w:p>
          <w:p w14:paraId="3510A5FF" w14:textId="77777777" w:rsidR="00CA3C50" w:rsidRDefault="00CA3C50">
            <w:pPr>
              <w:pStyle w:val="DJCSbody"/>
              <w:ind w:left="0"/>
            </w:pPr>
          </w:p>
        </w:tc>
        <w:tc>
          <w:tcPr>
            <w:tcW w:w="6373" w:type="dxa"/>
          </w:tcPr>
          <w:p w14:paraId="1C0CAC66" w14:textId="78B1C0B6" w:rsidR="00DA2C32" w:rsidRPr="00EF0179" w:rsidRDefault="00DA2C32" w:rsidP="00DA2C32">
            <w:pPr>
              <w:pStyle w:val="DJCSbody"/>
              <w:ind w:left="0"/>
              <w:cnfStyle w:val="000000000000" w:firstRow="0" w:lastRow="0" w:firstColumn="0" w:lastColumn="0" w:oddVBand="0" w:evenVBand="0" w:oddHBand="0" w:evenHBand="0" w:firstRowFirstColumn="0" w:firstRowLastColumn="0" w:lastRowFirstColumn="0" w:lastRowLastColumn="0"/>
            </w:pPr>
            <w:r w:rsidRPr="00EF0179">
              <w:rPr>
                <w:b/>
                <w:bCs/>
              </w:rPr>
              <w:t>~40%</w:t>
            </w:r>
            <w:r w:rsidRPr="00EF0179">
              <w:t xml:space="preserve"> of outstanding debts are paid </w:t>
            </w:r>
            <w:r>
              <w:t xml:space="preserve">(4% of total debts) </w:t>
            </w:r>
          </w:p>
          <w:p w14:paraId="28A1C92A" w14:textId="14F0F524" w:rsidR="00CA3C50" w:rsidRDefault="00CA3C50">
            <w:pPr>
              <w:pStyle w:val="DJCSbody"/>
              <w:ind w:left="0"/>
              <w:cnfStyle w:val="000000000000" w:firstRow="0" w:lastRow="0" w:firstColumn="0" w:lastColumn="0" w:oddVBand="0" w:evenVBand="0" w:oddHBand="0" w:evenHBand="0" w:firstRowFirstColumn="0" w:firstRowLastColumn="0" w:lastRowFirstColumn="0" w:lastRowLastColumn="0"/>
            </w:pPr>
            <w:r w:rsidRPr="006C0D08">
              <w:t xml:space="preserve">Calculated to achieve an outstanding debt recovery rate of ~65% (i.e. stage 1B-3) - a blend between </w:t>
            </w:r>
            <w:r>
              <w:t xml:space="preserve">an </w:t>
            </w:r>
            <w:r w:rsidR="006C460B">
              <w:t>~</w:t>
            </w:r>
            <w:r w:rsidRPr="006C0D08">
              <w:t xml:space="preserve">80% </w:t>
            </w:r>
            <w:r>
              <w:t>(theoretical maximum recovery following bond claims)</w:t>
            </w:r>
            <w:r w:rsidR="00F506C9">
              <w:t xml:space="preserve"> </w:t>
            </w:r>
            <w:r w:rsidRPr="006C0D08">
              <w:t>and</w:t>
            </w:r>
            <w:r w:rsidR="00C55D61">
              <w:t xml:space="preserve"> </w:t>
            </w:r>
            <w:r w:rsidR="00976969" w:rsidRPr="006C0D08">
              <w:t xml:space="preserve">a 50% recovery rate in the </w:t>
            </w:r>
            <w:hyperlink r:id="rId28" w:history="1">
              <w:r w:rsidR="00976969" w:rsidRPr="006C0D08">
                <w:rPr>
                  <w:rStyle w:val="Hyperlink"/>
                </w:rPr>
                <w:t>QLD bond loan scheme</w:t>
              </w:r>
            </w:hyperlink>
            <w:r w:rsidR="00976969" w:rsidRPr="006C0D08">
              <w:t xml:space="preserve"> (</w:t>
            </w:r>
            <w:r w:rsidR="00BC57FB">
              <w:t>page</w:t>
            </w:r>
            <w:r w:rsidR="00976969" w:rsidRPr="006C0D08">
              <w:t xml:space="preserve"> 106)</w:t>
            </w:r>
            <w:r w:rsidR="00976969">
              <w:t>,</w:t>
            </w:r>
            <w:r>
              <w:t xml:space="preserve"> which is operationally similar</w:t>
            </w:r>
            <w:r w:rsidR="00360A77">
              <w:t xml:space="preserve"> in that the </w:t>
            </w:r>
            <w:r w:rsidR="00BC57FB">
              <w:t>Q</w:t>
            </w:r>
            <w:r w:rsidR="00012BE5">
              <w:t>ueensland Government</w:t>
            </w:r>
            <w:r w:rsidR="00360A77">
              <w:t xml:space="preserve"> can recoup debts from the bond,</w:t>
            </w:r>
            <w:r>
              <w:t xml:space="preserve"> but has nuanced differences such as the Bond Loan Plus scheme resulting in some debts being higher than bond amounts (which is not a feature of the PRBS). </w:t>
            </w:r>
          </w:p>
          <w:p w14:paraId="6A27AC5C" w14:textId="48BF9F50" w:rsidR="0092713F" w:rsidRDefault="006C460B">
            <w:pPr>
              <w:pStyle w:val="DJCSbody"/>
              <w:ind w:left="0"/>
              <w:cnfStyle w:val="000000000000" w:firstRow="0" w:lastRow="0" w:firstColumn="0" w:lastColumn="0" w:oddVBand="0" w:evenVBand="0" w:oddHBand="0" w:evenHBand="0" w:firstRowFirstColumn="0" w:firstRowLastColumn="0" w:lastRowFirstColumn="0" w:lastRowLastColumn="0"/>
            </w:pPr>
            <w:r>
              <w:t xml:space="preserve">The ~80% theoretical maximum recovery </w:t>
            </w:r>
            <w:r w:rsidR="002C2588">
              <w:t xml:space="preserve">is </w:t>
            </w:r>
            <w:r w:rsidR="00A61C9F">
              <w:t xml:space="preserve">calculated as the proportion of outstanding bonds remaining </w:t>
            </w:r>
            <w:r w:rsidR="00590168">
              <w:t>after the</w:t>
            </w:r>
            <w:r w:rsidR="00CA05A8">
              <w:t xml:space="preserve"> </w:t>
            </w:r>
            <w:r w:rsidR="00A61C9F">
              <w:t xml:space="preserve">18% claim rate is applied </w:t>
            </w:r>
            <w:r w:rsidR="00590168">
              <w:t xml:space="preserve">on the second bond. However, it is not expected that the </w:t>
            </w:r>
            <w:r w:rsidR="00DA045E">
              <w:t xml:space="preserve">final recovery rate will be 80% given the </w:t>
            </w:r>
            <w:r w:rsidR="0092713F">
              <w:t>following:</w:t>
            </w:r>
          </w:p>
          <w:p w14:paraId="48D9B9B3" w14:textId="4EE4CF69" w:rsidR="0092713F" w:rsidRDefault="008F3132" w:rsidP="0092713F">
            <w:pPr>
              <w:pStyle w:val="DJCSbody"/>
              <w:numPr>
                <w:ilvl w:val="0"/>
                <w:numId w:val="76"/>
              </w:numPr>
              <w:cnfStyle w:val="000000000000" w:firstRow="0" w:lastRow="0" w:firstColumn="0" w:lastColumn="0" w:oddVBand="0" w:evenVBand="0" w:oddHBand="0" w:evenHBand="0" w:firstRowFirstColumn="0" w:firstRowLastColumn="0" w:lastRowFirstColumn="0" w:lastRowLastColumn="0"/>
            </w:pPr>
            <w:r>
              <w:t xml:space="preserve">Renters </w:t>
            </w:r>
            <w:r w:rsidR="005310BD">
              <w:t xml:space="preserve">that </w:t>
            </w:r>
            <w:r w:rsidR="00975272">
              <w:t>have</w:t>
            </w:r>
            <w:r w:rsidR="005310BD">
              <w:t xml:space="preserve"> a claim </w:t>
            </w:r>
            <w:r w:rsidR="00975272">
              <w:t xml:space="preserve">against them </w:t>
            </w:r>
            <w:r w:rsidR="005310BD">
              <w:t xml:space="preserve">on their first bond may be more likely to make a claim on their second bond (compared to the </w:t>
            </w:r>
            <w:r w:rsidR="006454B5">
              <w:t>renters who do not make a claim on their first bond).</w:t>
            </w:r>
          </w:p>
          <w:p w14:paraId="7555EC0C" w14:textId="03860677" w:rsidR="00F6253A" w:rsidRDefault="00F6253A" w:rsidP="00F6253A">
            <w:pPr>
              <w:pStyle w:val="DJCSbody"/>
              <w:numPr>
                <w:ilvl w:val="0"/>
                <w:numId w:val="76"/>
              </w:numPr>
              <w:cnfStyle w:val="000000000000" w:firstRow="0" w:lastRow="0" w:firstColumn="0" w:lastColumn="0" w:oddVBand="0" w:evenVBand="0" w:oddHBand="0" w:evenHBand="0" w:firstRowFirstColumn="0" w:firstRowLastColumn="0" w:lastRowFirstColumn="0" w:lastRowLastColumn="0"/>
            </w:pPr>
            <w:r>
              <w:lastRenderedPageBreak/>
              <w:t>Renters may declare bankruptcy, further reducing likelihood of full recovery.</w:t>
            </w:r>
          </w:p>
          <w:p w14:paraId="549E85A4" w14:textId="5E7CD074" w:rsidR="00F6253A" w:rsidRDefault="008F3132" w:rsidP="00F6253A">
            <w:pPr>
              <w:pStyle w:val="DJCSbody"/>
              <w:numPr>
                <w:ilvl w:val="0"/>
                <w:numId w:val="76"/>
              </w:numPr>
              <w:cnfStyle w:val="000000000000" w:firstRow="0" w:lastRow="0" w:firstColumn="0" w:lastColumn="0" w:oddVBand="0" w:evenVBand="0" w:oddHBand="0" w:evenHBand="0" w:firstRowFirstColumn="0" w:firstRowLastColumn="0" w:lastRowFirstColumn="0" w:lastRowLastColumn="0"/>
            </w:pPr>
            <w:r>
              <w:t xml:space="preserve">Unclaimed monies may need to go to a public register rather than automatically being recovered by the </w:t>
            </w:r>
            <w:r w:rsidR="00F2307E">
              <w:t>Government</w:t>
            </w:r>
          </w:p>
          <w:p w14:paraId="0D4FFDA2" w14:textId="255C8D49" w:rsidR="006D2129" w:rsidRDefault="00865E9F">
            <w:pPr>
              <w:pStyle w:val="DJCSbody"/>
              <w:ind w:left="0"/>
              <w:cnfStyle w:val="000000000000" w:firstRow="0" w:lastRow="0" w:firstColumn="0" w:lastColumn="0" w:oddVBand="0" w:evenVBand="0" w:oddHBand="0" w:evenHBand="0" w:firstRowFirstColumn="0" w:firstRowLastColumn="0" w:lastRowFirstColumn="0" w:lastRowLastColumn="0"/>
            </w:pPr>
            <w:r>
              <w:t>However, it is also expected that the overall recovery rate will be higher than the 50% in the QLD bond loan scheme</w:t>
            </w:r>
            <w:r w:rsidR="006D2129">
              <w:t xml:space="preserve"> due to the following:</w:t>
            </w:r>
          </w:p>
          <w:p w14:paraId="09B937C8" w14:textId="7D35749D" w:rsidR="006D2129" w:rsidRDefault="006D2129" w:rsidP="00BE5ED9">
            <w:pPr>
              <w:pStyle w:val="DJCSbody"/>
              <w:numPr>
                <w:ilvl w:val="0"/>
                <w:numId w:val="170"/>
              </w:numPr>
              <w:cnfStyle w:val="000000000000" w:firstRow="0" w:lastRow="0" w:firstColumn="0" w:lastColumn="0" w:oddVBand="0" w:evenVBand="0" w:oddHBand="0" w:evenHBand="0" w:firstRowFirstColumn="0" w:firstRowLastColumn="0" w:lastRowFirstColumn="0" w:lastRowLastColumn="0"/>
            </w:pPr>
            <w:r>
              <w:t xml:space="preserve">QLD Bond Loan plus offers loans </w:t>
            </w:r>
            <w:r w:rsidR="00EA22BC">
              <w:t xml:space="preserve">for the 4 week bond requirement, along with an additional 2 weeks of rent, resulting in debt balances higher than the bond amount – this is likely to reduce </w:t>
            </w:r>
            <w:r w:rsidR="001B5F13">
              <w:t xml:space="preserve">debt recovery rates and is </w:t>
            </w:r>
            <w:r w:rsidR="00EA22BC">
              <w:t>not a feature of the PRBS.</w:t>
            </w:r>
          </w:p>
          <w:p w14:paraId="1F7E5C0A" w14:textId="3AF5DF93" w:rsidR="00CA3C50" w:rsidRDefault="00A96DBE">
            <w:pPr>
              <w:pStyle w:val="DJCSbody"/>
              <w:ind w:left="0"/>
              <w:cnfStyle w:val="000000000000" w:firstRow="0" w:lastRow="0" w:firstColumn="0" w:lastColumn="0" w:oddVBand="0" w:evenVBand="0" w:oddHBand="0" w:evenHBand="0" w:firstRowFirstColumn="0" w:firstRowLastColumn="0" w:lastRowFirstColumn="0" w:lastRowLastColumn="0"/>
            </w:pPr>
            <w:r>
              <w:t xml:space="preserve">As such, the mid-point of 65% is adopted. It should be noted there is a high degree of uncertainty associated with this assumption. Due to this, sensitivity analysis is performed in </w:t>
            </w:r>
            <w:r w:rsidR="00A24674">
              <w:t>Subchapter</w:t>
            </w:r>
            <w:r>
              <w:t xml:space="preserve"> 6.3.</w:t>
            </w:r>
          </w:p>
        </w:tc>
      </w:tr>
      <w:tr w:rsidR="00CA3C50" w14:paraId="55B407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F35B13" w14:textId="7C4E00CA" w:rsidR="00CA3C50" w:rsidRPr="00EF0179" w:rsidRDefault="00CA3C50">
            <w:pPr>
              <w:pStyle w:val="DJCSbody"/>
              <w:ind w:left="0"/>
            </w:pPr>
            <w:r>
              <w:lastRenderedPageBreak/>
              <w:t xml:space="preserve">Hardship </w:t>
            </w:r>
            <w:r w:rsidR="0060698F">
              <w:t>provisions</w:t>
            </w:r>
          </w:p>
        </w:tc>
        <w:tc>
          <w:tcPr>
            <w:tcW w:w="6373" w:type="dxa"/>
          </w:tcPr>
          <w:p w14:paraId="19F9C9E9" w14:textId="77777777" w:rsidR="00CA3C50" w:rsidRDefault="00CA3C50">
            <w:pPr>
              <w:pStyle w:val="DJCSbody"/>
              <w:ind w:left="0"/>
              <w:cnfStyle w:val="000000100000" w:firstRow="0" w:lastRow="0" w:firstColumn="0" w:lastColumn="0" w:oddVBand="0" w:evenVBand="0" w:oddHBand="1" w:evenHBand="0" w:firstRowFirstColumn="0" w:firstRowLastColumn="0" w:lastRowFirstColumn="0" w:lastRowLastColumn="0"/>
            </w:pPr>
            <w:r>
              <w:rPr>
                <w:b/>
                <w:bCs/>
              </w:rPr>
              <w:t xml:space="preserve">~1.25% </w:t>
            </w:r>
            <w:r>
              <w:t>of outstanding debts are paid (0.1% of total debts)</w:t>
            </w:r>
          </w:p>
          <w:p w14:paraId="1EC3B99A" w14:textId="2E5742FE" w:rsidR="00CA3C50" w:rsidRPr="00F2275F" w:rsidRDefault="00CA3C50">
            <w:pPr>
              <w:pStyle w:val="DJCSbody"/>
              <w:ind w:left="0"/>
              <w:cnfStyle w:val="000000100000" w:firstRow="0" w:lastRow="0" w:firstColumn="0" w:lastColumn="0" w:oddVBand="0" w:evenVBand="0" w:oddHBand="1" w:evenHBand="0" w:firstRowFirstColumn="0" w:firstRowLastColumn="0" w:lastRowFirstColumn="0" w:lastRowLastColumn="0"/>
            </w:pPr>
            <w:r>
              <w:t xml:space="preserve">Calculated by applying hardship application rates (~5%) on mortgage loans with a high loan-to-value ratio (LVR) as published by </w:t>
            </w:r>
            <w:hyperlink r:id="rId29" w:history="1">
              <w:r w:rsidRPr="00DE482E">
                <w:rPr>
                  <w:rStyle w:val="Hyperlink"/>
                </w:rPr>
                <w:t>APRA</w:t>
              </w:r>
            </w:hyperlink>
            <w:r>
              <w:t xml:space="preserve"> to the improvement in outcomes (~25%) as outlined by </w:t>
            </w:r>
            <w:hyperlink r:id="rId30" w:history="1">
              <w:r w:rsidRPr="009323BC">
                <w:rPr>
                  <w:rStyle w:val="Hyperlink"/>
                </w:rPr>
                <w:t>ASIC</w:t>
              </w:r>
            </w:hyperlink>
            <w:r>
              <w:t xml:space="preserve">. </w:t>
            </w:r>
          </w:p>
        </w:tc>
      </w:tr>
    </w:tbl>
    <w:p w14:paraId="76829A69" w14:textId="77777777" w:rsidR="00887EE9" w:rsidRDefault="00CA3C50" w:rsidP="00024DA7">
      <w:pPr>
        <w:pStyle w:val="Heading4"/>
        <w:ind w:left="0"/>
      </w:pPr>
      <w:r>
        <w:t xml:space="preserve">Debt </w:t>
      </w:r>
      <w:r w:rsidR="00887EE9">
        <w:t>write-off rate</w:t>
      </w:r>
    </w:p>
    <w:p w14:paraId="0B6AA00A" w14:textId="77777777" w:rsidR="00ED40EB" w:rsidRDefault="00887EE9" w:rsidP="00024DA7">
      <w:pPr>
        <w:pStyle w:val="DJCSbody"/>
        <w:ind w:left="0"/>
      </w:pPr>
      <w:r>
        <w:t>The debt write-off rate reflects the proportion of overdue bond payments that are ultimately deemed unrecoverable. This rate is calculated as the complement of the debt recovery rate</w:t>
      </w:r>
      <w:r w:rsidR="00ED40EB">
        <w:t xml:space="preserve"> (as a proportion</w:t>
      </w:r>
      <w:r>
        <w:t xml:space="preserve"> of </w:t>
      </w:r>
      <w:r w:rsidR="00ED40EB">
        <w:t>total debts), which comprises of the following components as detailed in the table above:</w:t>
      </w:r>
    </w:p>
    <w:p w14:paraId="148A56B5" w14:textId="26F0FC2E" w:rsidR="00ED40EB" w:rsidRDefault="00ED40EB" w:rsidP="007822A5">
      <w:pPr>
        <w:pStyle w:val="DJCSbody"/>
        <w:numPr>
          <w:ilvl w:val="0"/>
          <w:numId w:val="40"/>
        </w:numPr>
      </w:pPr>
      <w:r>
        <w:t xml:space="preserve">Stage 1A: </w:t>
      </w:r>
      <w:r w:rsidRPr="00564857">
        <w:rPr>
          <w:b/>
          <w:bCs/>
        </w:rPr>
        <w:t>90%</w:t>
      </w:r>
      <w:r w:rsidR="00887EE9">
        <w:t xml:space="preserve"> recovery </w:t>
      </w:r>
      <w:r>
        <w:t xml:space="preserve">rate (proportion of </w:t>
      </w:r>
      <w:r w:rsidR="00564857">
        <w:t xml:space="preserve">total debts </w:t>
      </w:r>
      <w:r>
        <w:t>expected to pa</w:t>
      </w:r>
      <w:r w:rsidR="00564857">
        <w:t>id</w:t>
      </w:r>
      <w:r>
        <w:t xml:space="preserve"> on time)</w:t>
      </w:r>
    </w:p>
    <w:p w14:paraId="1A2D24A4" w14:textId="06073FEA" w:rsidR="00ED40EB" w:rsidRDefault="00ED40EB" w:rsidP="007822A5">
      <w:pPr>
        <w:pStyle w:val="DJCSbody"/>
        <w:numPr>
          <w:ilvl w:val="0"/>
          <w:numId w:val="40"/>
        </w:numPr>
      </w:pPr>
      <w:r>
        <w:t xml:space="preserve">Stage 1B: </w:t>
      </w:r>
      <w:r w:rsidR="00564857" w:rsidRPr="00564857">
        <w:rPr>
          <w:b/>
          <w:bCs/>
        </w:rPr>
        <w:t>0.</w:t>
      </w:r>
      <w:r w:rsidR="002F2345" w:rsidRPr="00564857">
        <w:rPr>
          <w:b/>
          <w:bCs/>
        </w:rPr>
        <w:t>4%</w:t>
      </w:r>
      <w:r w:rsidR="002F2345">
        <w:t xml:space="preserve"> recovery rate (proportion of </w:t>
      </w:r>
      <w:r w:rsidR="00564857">
        <w:t xml:space="preserve">total debts </w:t>
      </w:r>
      <w:r w:rsidR="002F2345">
        <w:t>expected to pa</w:t>
      </w:r>
      <w:r w:rsidR="00564857">
        <w:t>id</w:t>
      </w:r>
      <w:r w:rsidR="002F2345">
        <w:t xml:space="preserve"> within 4 weeks of becoming overdue)</w:t>
      </w:r>
    </w:p>
    <w:p w14:paraId="50E3549C" w14:textId="1590DAA8" w:rsidR="002F2345" w:rsidRDefault="00564857" w:rsidP="007822A5">
      <w:pPr>
        <w:pStyle w:val="DJCSbody"/>
        <w:numPr>
          <w:ilvl w:val="0"/>
          <w:numId w:val="40"/>
        </w:numPr>
      </w:pPr>
      <w:r>
        <w:t xml:space="preserve">Stage 2: </w:t>
      </w:r>
      <w:r w:rsidRPr="00564857">
        <w:rPr>
          <w:b/>
          <w:bCs/>
        </w:rPr>
        <w:t>2.1%</w:t>
      </w:r>
      <w:r>
        <w:t xml:space="preserve"> recovery rate (proportion of total debts expected to be recovered by the </w:t>
      </w:r>
      <w:r w:rsidR="00887EE9">
        <w:t xml:space="preserve">external </w:t>
      </w:r>
      <w:r w:rsidR="003E50D7">
        <w:t>DCA</w:t>
      </w:r>
      <w:r>
        <w:t>)</w:t>
      </w:r>
    </w:p>
    <w:p w14:paraId="3C31C4E1" w14:textId="77777777" w:rsidR="00564857" w:rsidRDefault="00564857" w:rsidP="007822A5">
      <w:pPr>
        <w:pStyle w:val="DJCSbody"/>
        <w:numPr>
          <w:ilvl w:val="0"/>
          <w:numId w:val="40"/>
        </w:numPr>
      </w:pPr>
      <w:r>
        <w:t xml:space="preserve">Stage 3: </w:t>
      </w:r>
      <w:r w:rsidR="00490023">
        <w:rPr>
          <w:b/>
          <w:bCs/>
        </w:rPr>
        <w:t>4%</w:t>
      </w:r>
      <w:r w:rsidR="00490023">
        <w:t xml:space="preserve"> </w:t>
      </w:r>
      <w:r w:rsidR="00594A34">
        <w:t xml:space="preserve">recovery rate (proportion of total debts expected to be recoverable via deduction of the second bond when the renter moves </w:t>
      </w:r>
      <w:r w:rsidR="000D0846">
        <w:t>again)</w:t>
      </w:r>
    </w:p>
    <w:p w14:paraId="5C5ACE45" w14:textId="297A9BD1" w:rsidR="000D0846" w:rsidRDefault="000D0846" w:rsidP="007822A5">
      <w:pPr>
        <w:pStyle w:val="DJCSbody"/>
        <w:numPr>
          <w:ilvl w:val="0"/>
          <w:numId w:val="40"/>
        </w:numPr>
      </w:pPr>
      <w:r>
        <w:t xml:space="preserve">Hardship: </w:t>
      </w:r>
      <w:r w:rsidR="00A5739D">
        <w:rPr>
          <w:b/>
          <w:bCs/>
        </w:rPr>
        <w:t xml:space="preserve">0.1% </w:t>
      </w:r>
      <w:r w:rsidR="00A5739D">
        <w:t xml:space="preserve">recovery rate (proportion of total debts </w:t>
      </w:r>
      <w:r w:rsidR="00C1478A">
        <w:t>expected to be re</w:t>
      </w:r>
      <w:r w:rsidR="00F738AE">
        <w:t xml:space="preserve">coverable due to </w:t>
      </w:r>
      <w:r w:rsidR="0060698F">
        <w:t>receiving</w:t>
      </w:r>
      <w:r w:rsidR="00F738AE">
        <w:t xml:space="preserve"> hardship </w:t>
      </w:r>
      <w:r w:rsidR="0060698F">
        <w:t>provisions)</w:t>
      </w:r>
      <w:r w:rsidR="00F738AE">
        <w:t xml:space="preserve"> that otherwise would not be paid</w:t>
      </w:r>
      <w:r w:rsidR="00F56744">
        <w:t>.</w:t>
      </w:r>
      <w:r w:rsidR="00A50319">
        <w:t xml:space="preserve"> Further detail on this process is</w:t>
      </w:r>
      <w:r w:rsidR="00887EE9">
        <w:t xml:space="preserve"> outlined in </w:t>
      </w:r>
      <w:r w:rsidR="00A24674">
        <w:t>Subchapter</w:t>
      </w:r>
      <w:r w:rsidR="00EF10BC">
        <w:t xml:space="preserve"> </w:t>
      </w:r>
      <w:r w:rsidR="00887EE9">
        <w:t>6.</w:t>
      </w:r>
      <w:r w:rsidR="00A50319">
        <w:t>4</w:t>
      </w:r>
      <w:r w:rsidR="00887EE9">
        <w:t>.2.</w:t>
      </w:r>
      <w:r w:rsidR="00F56744">
        <w:t xml:space="preserve"> </w:t>
      </w:r>
    </w:p>
    <w:p w14:paraId="22A80170" w14:textId="77777777" w:rsidR="000D0846" w:rsidRDefault="000D0846" w:rsidP="007822A5">
      <w:pPr>
        <w:pStyle w:val="DJCSbody"/>
        <w:numPr>
          <w:ilvl w:val="0"/>
          <w:numId w:val="40"/>
        </w:numPr>
      </w:pPr>
      <w:r>
        <w:rPr>
          <w:b/>
          <w:bCs/>
        </w:rPr>
        <w:t xml:space="preserve">Total: </w:t>
      </w:r>
      <w:r w:rsidR="002F05A6">
        <w:rPr>
          <w:b/>
          <w:bCs/>
        </w:rPr>
        <w:t xml:space="preserve">96.6% </w:t>
      </w:r>
      <w:r w:rsidR="002F05A6">
        <w:t>recovery rate</w:t>
      </w:r>
    </w:p>
    <w:p w14:paraId="224BED65" w14:textId="433663C8" w:rsidR="00887EE9" w:rsidRDefault="007D33E1" w:rsidP="00024DA7">
      <w:pPr>
        <w:pStyle w:val="DJCSbody"/>
        <w:ind w:left="0"/>
      </w:pPr>
      <w:r>
        <w:t xml:space="preserve">For all debts incurred by the </w:t>
      </w:r>
      <w:r w:rsidR="00F2307E">
        <w:t>Government each year</w:t>
      </w:r>
      <w:r>
        <w:t xml:space="preserve">, </w:t>
      </w:r>
      <w:r w:rsidR="006D7E41">
        <w:t xml:space="preserve">it is expected that 96.6% of the total debt will be ultimately recovered over time. </w:t>
      </w:r>
      <w:r w:rsidR="00E41245">
        <w:t xml:space="preserve">The remaining 3.4% is expected to be written off. </w:t>
      </w:r>
    </w:p>
    <w:p w14:paraId="55DF0F03" w14:textId="77777777" w:rsidR="00D75E0C" w:rsidRPr="00D75E0C" w:rsidRDefault="00472E51" w:rsidP="00D77ACF">
      <w:pPr>
        <w:pStyle w:val="Heading4"/>
        <w:ind w:left="0"/>
      </w:pPr>
      <w:r>
        <w:t xml:space="preserve">Modelled debt recovery </w:t>
      </w:r>
    </w:p>
    <w:p w14:paraId="694FBF54" w14:textId="0097FF44" w:rsidR="00C450E5" w:rsidRPr="00C450E5" w:rsidRDefault="00872C62" w:rsidP="00C450E5">
      <w:pPr>
        <w:pStyle w:val="DJCSbody"/>
        <w:ind w:left="0"/>
      </w:pPr>
      <w:r>
        <w:t>The debt recovery assumptions are applied to th</w:t>
      </w:r>
      <w:r w:rsidR="007E4231">
        <w:t>e renters that incur a debt to the State</w:t>
      </w:r>
      <w:r w:rsidR="00D071A8">
        <w:t xml:space="preserve"> by debt recovery stage. </w:t>
      </w:r>
      <w:r w:rsidR="00641AE9">
        <w:t xml:space="preserve">Of the debts expected to be incurred in 2025-26, </w:t>
      </w:r>
      <w:r w:rsidR="00B75B96">
        <w:t xml:space="preserve">the below table illustrates </w:t>
      </w:r>
      <w:r w:rsidR="007043B1">
        <w:t xml:space="preserve">both the number and value </w:t>
      </w:r>
      <w:r w:rsidR="007043B1">
        <w:lastRenderedPageBreak/>
        <w:t xml:space="preserve">of bonds </w:t>
      </w:r>
      <w:r w:rsidR="008E50C7">
        <w:t>subject to each stage of debt recovery</w:t>
      </w:r>
      <w:r w:rsidR="00671A77">
        <w:t xml:space="preserve"> over time</w:t>
      </w:r>
      <w:r w:rsidR="00CC2A98">
        <w:t xml:space="preserve"> and their ultimate recovery</w:t>
      </w:r>
      <w:r w:rsidR="00DD7F23">
        <w:t xml:space="preserve">. Similarly, </w:t>
      </w:r>
      <w:r w:rsidR="001D3F90">
        <w:t>the table outlines the number</w:t>
      </w:r>
      <w:r w:rsidR="004963B2">
        <w:t xml:space="preserve"> and value of debts that are ultimately </w:t>
      </w:r>
      <w:r w:rsidR="00B400B8">
        <w:t xml:space="preserve">estimated to be </w:t>
      </w:r>
      <w:r w:rsidR="004963B2">
        <w:t>written off</w:t>
      </w:r>
      <w:r w:rsidR="00BB35D4">
        <w:t xml:space="preserve"> after </w:t>
      </w:r>
      <w:r w:rsidR="00500764">
        <w:t>the exhaustion of all debt collection processes</w:t>
      </w:r>
      <w:r w:rsidR="005B0855">
        <w:t xml:space="preserve">. </w:t>
      </w:r>
      <w:r w:rsidR="00B400B8">
        <w:t xml:space="preserve">These estimates are initial </w:t>
      </w:r>
      <w:r w:rsidR="005B0855">
        <w:t>estimate</w:t>
      </w:r>
      <w:r w:rsidR="002045AC">
        <w:t>s</w:t>
      </w:r>
      <w:r w:rsidR="005B0855">
        <w:t xml:space="preserve"> of debt</w:t>
      </w:r>
      <w:r w:rsidR="002045AC">
        <w:t xml:space="preserve"> recovery</w:t>
      </w:r>
      <w:r w:rsidR="005B0855">
        <w:t xml:space="preserve"> relating to the first year of scheme operation</w:t>
      </w:r>
      <w:r w:rsidR="005C4D64">
        <w:t>. A</w:t>
      </w:r>
      <w:r w:rsidR="005B0855">
        <w:t xml:space="preserve">ctual </w:t>
      </w:r>
      <w:r w:rsidR="005C4D64">
        <w:t xml:space="preserve">debt recovery </w:t>
      </w:r>
      <w:r w:rsidR="005B0855">
        <w:t>outcome</w:t>
      </w:r>
      <w:r w:rsidR="005C4D64">
        <w:t>s</w:t>
      </w:r>
      <w:r w:rsidR="005B0855">
        <w:t xml:space="preserve"> </w:t>
      </w:r>
      <w:r w:rsidR="005C4D64">
        <w:t xml:space="preserve">are </w:t>
      </w:r>
      <w:r w:rsidR="005B0855">
        <w:t xml:space="preserve">subject to deviation </w:t>
      </w:r>
      <w:r w:rsidR="005C4D64">
        <w:t>from</w:t>
      </w:r>
      <w:r w:rsidR="005B0855">
        <w:t xml:space="preserve"> this estimate</w:t>
      </w:r>
      <w:r w:rsidR="00662B22">
        <w:t xml:space="preserve"> and will be monitored </w:t>
      </w:r>
      <w:r w:rsidR="00D8730C">
        <w:t>post launch of the scheme</w:t>
      </w:r>
      <w:r w:rsidR="001C79FB">
        <w:t>.</w:t>
      </w:r>
      <w:r w:rsidR="005B0855">
        <w:t xml:space="preserve"> </w:t>
      </w:r>
    </w:p>
    <w:p w14:paraId="634193C6" w14:textId="21E6BA8C" w:rsidR="00E747F2" w:rsidRDefault="00E747F2" w:rsidP="00E747F2">
      <w:pPr>
        <w:pStyle w:val="Caption"/>
        <w:keepNext/>
      </w:pPr>
      <w:r>
        <w:t xml:space="preserve">Table </w:t>
      </w:r>
      <w:r>
        <w:fldChar w:fldCharType="begin"/>
      </w:r>
      <w:r>
        <w:instrText xml:space="preserve"> SEQ Table \* ARABIC </w:instrText>
      </w:r>
      <w:r>
        <w:fldChar w:fldCharType="separate"/>
      </w:r>
      <w:r w:rsidR="00A50199">
        <w:rPr>
          <w:noProof/>
        </w:rPr>
        <w:t>18</w:t>
      </w:r>
      <w:r>
        <w:fldChar w:fldCharType="end"/>
      </w:r>
      <w:r w:rsidRPr="009A44F7">
        <w:t>: Application of debt recovery rates</w:t>
      </w:r>
    </w:p>
    <w:tbl>
      <w:tblPr>
        <w:tblW w:w="10195" w:type="dxa"/>
        <w:tblLayout w:type="fixed"/>
        <w:tblCellMar>
          <w:left w:w="0" w:type="dxa"/>
          <w:right w:w="0" w:type="dxa"/>
        </w:tblCellMar>
        <w:tblLook w:val="0420" w:firstRow="1" w:lastRow="0" w:firstColumn="0" w:lastColumn="0" w:noHBand="0" w:noVBand="1"/>
      </w:tblPr>
      <w:tblGrid>
        <w:gridCol w:w="1851"/>
        <w:gridCol w:w="2370"/>
        <w:gridCol w:w="1709"/>
        <w:gridCol w:w="61"/>
        <w:gridCol w:w="1750"/>
        <w:gridCol w:w="133"/>
        <w:gridCol w:w="1404"/>
        <w:gridCol w:w="917"/>
      </w:tblGrid>
      <w:tr w:rsidR="00CA3C50" w:rsidRPr="009952D4" w14:paraId="447E606F" w14:textId="77777777" w:rsidTr="008E7AE6">
        <w:trPr>
          <w:trHeight w:val="288"/>
          <w:tblHeader/>
        </w:trPr>
        <w:tc>
          <w:tcPr>
            <w:tcW w:w="4221" w:type="dxa"/>
            <w:gridSpan w:val="2"/>
            <w:tcBorders>
              <w:top w:val="single" w:sz="4" w:space="0" w:color="00338D"/>
              <w:left w:val="single" w:sz="4" w:space="0" w:color="00338D"/>
              <w:bottom w:val="single" w:sz="4" w:space="0" w:color="00338D"/>
              <w:right w:val="nil"/>
            </w:tcBorders>
            <w:shd w:val="clear" w:color="auto" w:fill="16145F" w:themeFill="text2"/>
            <w:tcMar>
              <w:top w:w="59" w:type="dxa"/>
              <w:left w:w="117" w:type="dxa"/>
              <w:bottom w:w="59" w:type="dxa"/>
              <w:right w:w="117" w:type="dxa"/>
            </w:tcMar>
            <w:hideMark/>
          </w:tcPr>
          <w:p w14:paraId="4C83A59E" w14:textId="1FCAE406" w:rsidR="00CA3C50" w:rsidRPr="008E7AE6" w:rsidRDefault="00692B8D">
            <w:pPr>
              <w:pStyle w:val="DJCSbody"/>
              <w:spacing w:before="0" w:after="0"/>
              <w:ind w:left="0"/>
              <w:rPr>
                <w:b/>
                <w:sz w:val="20"/>
              </w:rPr>
            </w:pPr>
            <w:r w:rsidRPr="008E7AE6">
              <w:rPr>
                <w:b/>
                <w:sz w:val="20"/>
              </w:rPr>
              <w:t>Application of debt recovery rates</w:t>
            </w:r>
            <w:r w:rsidRPr="008E7AE6">
              <w:rPr>
                <w:rStyle w:val="FootnoteReference"/>
                <w:b/>
                <w:sz w:val="20"/>
              </w:rPr>
              <w:footnoteReference w:id="55"/>
            </w:r>
          </w:p>
        </w:tc>
        <w:tc>
          <w:tcPr>
            <w:tcW w:w="1709" w:type="dxa"/>
            <w:tcBorders>
              <w:top w:val="single" w:sz="4" w:space="0" w:color="00338D"/>
              <w:left w:val="nil"/>
              <w:bottom w:val="single" w:sz="4" w:space="0" w:color="00338D"/>
              <w:right w:val="nil"/>
            </w:tcBorders>
            <w:shd w:val="clear" w:color="auto" w:fill="16145F" w:themeFill="text2"/>
            <w:tcMar>
              <w:top w:w="59" w:type="dxa"/>
              <w:left w:w="117" w:type="dxa"/>
              <w:bottom w:w="59" w:type="dxa"/>
              <w:right w:w="117" w:type="dxa"/>
            </w:tcMar>
            <w:hideMark/>
          </w:tcPr>
          <w:p w14:paraId="717569A0" w14:textId="77777777" w:rsidR="00CA3C50" w:rsidRPr="008E7AE6" w:rsidRDefault="00CA3C50">
            <w:pPr>
              <w:pStyle w:val="DJCSbody"/>
              <w:spacing w:before="0" w:after="0"/>
              <w:ind w:left="0"/>
              <w:jc w:val="center"/>
              <w:rPr>
                <w:b/>
                <w:sz w:val="20"/>
              </w:rPr>
            </w:pPr>
            <w:r w:rsidRPr="009952D4">
              <w:rPr>
                <w:b/>
                <w:bCs/>
                <w:sz w:val="20"/>
              </w:rPr>
              <w:t>No of bonds</w:t>
            </w:r>
          </w:p>
        </w:tc>
        <w:tc>
          <w:tcPr>
            <w:tcW w:w="1944" w:type="dxa"/>
            <w:gridSpan w:val="3"/>
            <w:tcBorders>
              <w:top w:val="single" w:sz="4" w:space="0" w:color="00338D"/>
              <w:left w:val="nil"/>
              <w:bottom w:val="single" w:sz="4" w:space="0" w:color="00338D"/>
              <w:right w:val="nil"/>
            </w:tcBorders>
            <w:shd w:val="clear" w:color="auto" w:fill="16145F" w:themeFill="text2"/>
            <w:tcMar>
              <w:top w:w="59" w:type="dxa"/>
              <w:left w:w="117" w:type="dxa"/>
              <w:bottom w:w="59" w:type="dxa"/>
              <w:right w:w="117" w:type="dxa"/>
            </w:tcMar>
            <w:hideMark/>
          </w:tcPr>
          <w:p w14:paraId="4062070D" w14:textId="77777777" w:rsidR="00CA3C50" w:rsidRPr="008E7AE6" w:rsidRDefault="00CA3C50">
            <w:pPr>
              <w:pStyle w:val="DJCSbody"/>
              <w:spacing w:before="0" w:after="0"/>
              <w:ind w:left="0"/>
              <w:jc w:val="center"/>
              <w:rPr>
                <w:b/>
                <w:sz w:val="20"/>
              </w:rPr>
            </w:pPr>
            <w:r w:rsidRPr="009952D4">
              <w:rPr>
                <w:b/>
                <w:bCs/>
                <w:sz w:val="20"/>
              </w:rPr>
              <w:t>Value</w:t>
            </w:r>
          </w:p>
        </w:tc>
        <w:tc>
          <w:tcPr>
            <w:tcW w:w="1404" w:type="dxa"/>
            <w:tcBorders>
              <w:top w:val="single" w:sz="4" w:space="0" w:color="00338D"/>
              <w:left w:val="nil"/>
              <w:bottom w:val="single" w:sz="4" w:space="0" w:color="00338D"/>
              <w:right w:val="nil"/>
            </w:tcBorders>
            <w:shd w:val="clear" w:color="auto" w:fill="16145F" w:themeFill="text2"/>
            <w:tcMar>
              <w:top w:w="59" w:type="dxa"/>
              <w:left w:w="117" w:type="dxa"/>
              <w:bottom w:w="59" w:type="dxa"/>
              <w:right w:w="117" w:type="dxa"/>
            </w:tcMar>
            <w:hideMark/>
          </w:tcPr>
          <w:p w14:paraId="0BB5552B" w14:textId="77777777" w:rsidR="00CA3C50" w:rsidRPr="008E7AE6" w:rsidRDefault="00CA3C50">
            <w:pPr>
              <w:pStyle w:val="DJCSbody"/>
              <w:spacing w:before="0" w:after="0"/>
              <w:ind w:left="0"/>
              <w:rPr>
                <w:b/>
                <w:sz w:val="20"/>
              </w:rPr>
            </w:pPr>
            <w:r w:rsidRPr="009952D4">
              <w:rPr>
                <w:b/>
                <w:bCs/>
                <w:sz w:val="20"/>
              </w:rPr>
              <w:t>% of total debt</w:t>
            </w:r>
          </w:p>
        </w:tc>
        <w:tc>
          <w:tcPr>
            <w:tcW w:w="917" w:type="dxa"/>
            <w:tcBorders>
              <w:top w:val="single" w:sz="4" w:space="0" w:color="00338D"/>
              <w:left w:val="nil"/>
              <w:bottom w:val="single" w:sz="4" w:space="0" w:color="00338D"/>
              <w:right w:val="single" w:sz="4" w:space="0" w:color="00338D"/>
            </w:tcBorders>
            <w:shd w:val="clear" w:color="auto" w:fill="16145F" w:themeFill="text2"/>
            <w:tcMar>
              <w:top w:w="59" w:type="dxa"/>
              <w:left w:w="117" w:type="dxa"/>
              <w:bottom w:w="59" w:type="dxa"/>
              <w:right w:w="117" w:type="dxa"/>
            </w:tcMar>
            <w:hideMark/>
          </w:tcPr>
          <w:p w14:paraId="4691051F" w14:textId="77777777" w:rsidR="00CA3C50" w:rsidRPr="009952D4" w:rsidRDefault="00CA3C50">
            <w:pPr>
              <w:pStyle w:val="DJCSbody"/>
              <w:spacing w:before="0" w:after="0"/>
              <w:ind w:left="-144"/>
              <w:rPr>
                <w:sz w:val="20"/>
              </w:rPr>
            </w:pPr>
          </w:p>
        </w:tc>
      </w:tr>
      <w:tr w:rsidR="00CA3C50" w:rsidRPr="009952D4" w14:paraId="0B80CF75" w14:textId="77777777">
        <w:trPr>
          <w:trHeight w:val="26"/>
        </w:trPr>
        <w:tc>
          <w:tcPr>
            <w:tcW w:w="10195" w:type="dxa"/>
            <w:gridSpan w:val="8"/>
            <w:tcBorders>
              <w:top w:val="single" w:sz="4" w:space="0" w:color="00338D"/>
              <w:left w:val="single" w:sz="8" w:space="0" w:color="1E5897"/>
              <w:bottom w:val="single" w:sz="4" w:space="0" w:color="00338D"/>
              <w:right w:val="single" w:sz="8" w:space="0" w:color="1E5897"/>
            </w:tcBorders>
            <w:shd w:val="clear" w:color="auto" w:fill="D9D9D9"/>
            <w:tcMar>
              <w:top w:w="59" w:type="dxa"/>
              <w:left w:w="117" w:type="dxa"/>
              <w:bottom w:w="59" w:type="dxa"/>
              <w:right w:w="117" w:type="dxa"/>
            </w:tcMar>
            <w:hideMark/>
          </w:tcPr>
          <w:p w14:paraId="3F466AED" w14:textId="77777777" w:rsidR="00CA3C50" w:rsidRPr="009952D4" w:rsidRDefault="00CA3C50">
            <w:pPr>
              <w:pStyle w:val="DJCSbody"/>
              <w:spacing w:before="0" w:after="0"/>
              <w:ind w:left="0"/>
              <w:rPr>
                <w:sz w:val="20"/>
              </w:rPr>
            </w:pPr>
            <w:r w:rsidRPr="009952D4">
              <w:rPr>
                <w:b/>
                <w:bCs/>
                <w:i/>
                <w:iCs/>
                <w:sz w:val="20"/>
              </w:rPr>
              <w:t xml:space="preserve">Debt established </w:t>
            </w:r>
          </w:p>
        </w:tc>
      </w:tr>
      <w:tr w:rsidR="00CA3C50" w:rsidRPr="009952D4" w14:paraId="56A93D00" w14:textId="77777777">
        <w:trPr>
          <w:trHeight w:val="288"/>
        </w:trPr>
        <w:tc>
          <w:tcPr>
            <w:tcW w:w="4221" w:type="dxa"/>
            <w:gridSpan w:val="2"/>
            <w:tcBorders>
              <w:top w:val="single" w:sz="4" w:space="0" w:color="00338D"/>
              <w:left w:val="single" w:sz="8" w:space="0" w:color="1E5897"/>
              <w:bottom w:val="single" w:sz="8" w:space="0" w:color="1E5897"/>
              <w:right w:val="nil"/>
            </w:tcBorders>
            <w:tcMar>
              <w:top w:w="59" w:type="dxa"/>
              <w:left w:w="117" w:type="dxa"/>
              <w:bottom w:w="59" w:type="dxa"/>
              <w:right w:w="117" w:type="dxa"/>
            </w:tcMar>
            <w:hideMark/>
          </w:tcPr>
          <w:p w14:paraId="67A3684F" w14:textId="77777777" w:rsidR="00CA3C50" w:rsidRPr="009952D4" w:rsidRDefault="00CA3C50">
            <w:pPr>
              <w:pStyle w:val="DJCSbody"/>
              <w:spacing w:before="0" w:after="0"/>
              <w:ind w:left="0"/>
              <w:rPr>
                <w:sz w:val="20"/>
              </w:rPr>
            </w:pPr>
            <w:r w:rsidRPr="009952D4">
              <w:rPr>
                <w:b/>
                <w:bCs/>
                <w:sz w:val="20"/>
              </w:rPr>
              <w:t xml:space="preserve">Total bonds repaid in Victoria </w:t>
            </w:r>
          </w:p>
        </w:tc>
        <w:tc>
          <w:tcPr>
            <w:tcW w:w="1709" w:type="dxa"/>
            <w:tcBorders>
              <w:top w:val="single" w:sz="4" w:space="0" w:color="00338D"/>
              <w:left w:val="nil"/>
              <w:bottom w:val="single" w:sz="8" w:space="0" w:color="1E5897"/>
              <w:right w:val="nil"/>
            </w:tcBorders>
            <w:tcMar>
              <w:top w:w="59" w:type="dxa"/>
              <w:left w:w="117" w:type="dxa"/>
              <w:bottom w:w="59" w:type="dxa"/>
              <w:right w:w="117" w:type="dxa"/>
            </w:tcMar>
            <w:hideMark/>
          </w:tcPr>
          <w:p w14:paraId="02E5905F" w14:textId="76F82677" w:rsidR="00CA3C50" w:rsidRPr="009952D4" w:rsidRDefault="00CA3C50">
            <w:pPr>
              <w:pStyle w:val="DJCSbody"/>
              <w:spacing w:before="0" w:after="0"/>
              <w:ind w:left="0"/>
              <w:jc w:val="center"/>
              <w:rPr>
                <w:sz w:val="20"/>
              </w:rPr>
            </w:pPr>
            <w:r w:rsidRPr="009952D4">
              <w:rPr>
                <w:sz w:val="20"/>
              </w:rPr>
              <w:t>2</w:t>
            </w:r>
            <w:r w:rsidR="00835281">
              <w:rPr>
                <w:sz w:val="20"/>
              </w:rPr>
              <w:t>50</w:t>
            </w:r>
            <w:r w:rsidRPr="009952D4">
              <w:rPr>
                <w:sz w:val="20"/>
              </w:rPr>
              <w:t>,7</w:t>
            </w:r>
            <w:r w:rsidR="00835281">
              <w:rPr>
                <w:sz w:val="20"/>
              </w:rPr>
              <w:t>38</w:t>
            </w:r>
          </w:p>
        </w:tc>
        <w:tc>
          <w:tcPr>
            <w:tcW w:w="1944" w:type="dxa"/>
            <w:gridSpan w:val="3"/>
            <w:tcBorders>
              <w:top w:val="single" w:sz="4" w:space="0" w:color="00338D"/>
              <w:left w:val="nil"/>
              <w:bottom w:val="single" w:sz="8" w:space="0" w:color="1E5897"/>
              <w:right w:val="nil"/>
            </w:tcBorders>
            <w:tcMar>
              <w:top w:w="59" w:type="dxa"/>
              <w:left w:w="117" w:type="dxa"/>
              <w:bottom w:w="59" w:type="dxa"/>
              <w:right w:w="117" w:type="dxa"/>
            </w:tcMar>
            <w:hideMark/>
          </w:tcPr>
          <w:p w14:paraId="3BE02EAE" w14:textId="797F041F" w:rsidR="00CA3C50" w:rsidRPr="009952D4" w:rsidRDefault="00CA3C50">
            <w:pPr>
              <w:pStyle w:val="DJCSbody"/>
              <w:spacing w:before="0" w:after="0"/>
              <w:ind w:left="0"/>
              <w:jc w:val="center"/>
              <w:rPr>
                <w:sz w:val="20"/>
              </w:rPr>
            </w:pPr>
            <w:r w:rsidRPr="009952D4">
              <w:rPr>
                <w:sz w:val="20"/>
              </w:rPr>
              <w:t>$6</w:t>
            </w:r>
            <w:r w:rsidR="00372BC5">
              <w:rPr>
                <w:sz w:val="20"/>
              </w:rPr>
              <w:t>03</w:t>
            </w:r>
            <w:r w:rsidRPr="009952D4">
              <w:rPr>
                <w:sz w:val="20"/>
              </w:rPr>
              <w:t>m</w:t>
            </w:r>
          </w:p>
        </w:tc>
        <w:tc>
          <w:tcPr>
            <w:tcW w:w="1404" w:type="dxa"/>
            <w:tcBorders>
              <w:top w:val="single" w:sz="4" w:space="0" w:color="00338D"/>
              <w:left w:val="nil"/>
              <w:bottom w:val="single" w:sz="8" w:space="0" w:color="1E5897"/>
              <w:right w:val="nil"/>
            </w:tcBorders>
            <w:tcMar>
              <w:top w:w="59" w:type="dxa"/>
              <w:left w:w="117" w:type="dxa"/>
              <w:bottom w:w="59" w:type="dxa"/>
              <w:right w:w="117" w:type="dxa"/>
            </w:tcMar>
            <w:hideMark/>
          </w:tcPr>
          <w:p w14:paraId="226B9C76" w14:textId="77777777" w:rsidR="00CA3C50" w:rsidRPr="009952D4" w:rsidRDefault="00CA3C50">
            <w:pPr>
              <w:pStyle w:val="DJCSbody"/>
              <w:spacing w:before="0" w:after="0"/>
              <w:ind w:left="0"/>
              <w:rPr>
                <w:sz w:val="20"/>
              </w:rPr>
            </w:pPr>
            <w:r w:rsidRPr="009952D4">
              <w:rPr>
                <w:sz w:val="20"/>
              </w:rPr>
              <w:t>n/a</w:t>
            </w:r>
          </w:p>
        </w:tc>
        <w:tc>
          <w:tcPr>
            <w:tcW w:w="917" w:type="dxa"/>
            <w:tcBorders>
              <w:top w:val="single" w:sz="4" w:space="0" w:color="00338D"/>
              <w:left w:val="nil"/>
              <w:bottom w:val="single" w:sz="8" w:space="0" w:color="1E5897"/>
              <w:right w:val="single" w:sz="8" w:space="0" w:color="1E5897"/>
            </w:tcBorders>
            <w:tcMar>
              <w:top w:w="59" w:type="dxa"/>
              <w:left w:w="117" w:type="dxa"/>
              <w:bottom w:w="59" w:type="dxa"/>
              <w:right w:w="117" w:type="dxa"/>
            </w:tcMar>
            <w:hideMark/>
          </w:tcPr>
          <w:p w14:paraId="155E1DC8" w14:textId="77777777" w:rsidR="00CA3C50" w:rsidRPr="009952D4" w:rsidRDefault="00CA3C50">
            <w:pPr>
              <w:pStyle w:val="DJCSbody"/>
              <w:spacing w:before="0" w:after="0"/>
              <w:rPr>
                <w:sz w:val="20"/>
              </w:rPr>
            </w:pPr>
          </w:p>
        </w:tc>
      </w:tr>
      <w:tr w:rsidR="00CA3C50" w:rsidRPr="009952D4" w14:paraId="4BB1A8C9" w14:textId="77777777">
        <w:trPr>
          <w:trHeight w:val="407"/>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3595FD72" w14:textId="77777777" w:rsidR="00CA3C50" w:rsidRPr="009952D4" w:rsidRDefault="00CA3C50">
            <w:pPr>
              <w:pStyle w:val="DJCSbody"/>
              <w:spacing w:before="0" w:after="0"/>
              <w:ind w:left="0"/>
              <w:jc w:val="left"/>
              <w:rPr>
                <w:sz w:val="20"/>
              </w:rPr>
            </w:pPr>
            <w:r w:rsidRPr="009952D4">
              <w:rPr>
                <w:b/>
                <w:bCs/>
                <w:sz w:val="20"/>
              </w:rPr>
              <w:t>Total number of bonds transferred via PRBS</w:t>
            </w:r>
          </w:p>
        </w:tc>
        <w:tc>
          <w:tcPr>
            <w:tcW w:w="1709" w:type="dxa"/>
            <w:tcBorders>
              <w:top w:val="single" w:sz="8" w:space="0" w:color="1E5897"/>
              <w:left w:val="nil"/>
              <w:bottom w:val="single" w:sz="8" w:space="0" w:color="1E5897"/>
              <w:right w:val="nil"/>
            </w:tcBorders>
            <w:tcMar>
              <w:top w:w="59" w:type="dxa"/>
              <w:left w:w="117" w:type="dxa"/>
              <w:bottom w:w="59" w:type="dxa"/>
              <w:right w:w="117" w:type="dxa"/>
            </w:tcMar>
            <w:hideMark/>
          </w:tcPr>
          <w:p w14:paraId="5628CD16" w14:textId="48E4F53A" w:rsidR="00CA3C50" w:rsidRPr="009952D4" w:rsidRDefault="00CA3C50">
            <w:pPr>
              <w:pStyle w:val="DJCSbody"/>
              <w:spacing w:before="0" w:after="0"/>
              <w:ind w:left="0"/>
              <w:jc w:val="center"/>
              <w:rPr>
                <w:sz w:val="20"/>
              </w:rPr>
            </w:pPr>
            <w:r w:rsidRPr="009952D4">
              <w:rPr>
                <w:sz w:val="20"/>
              </w:rPr>
              <w:t>1</w:t>
            </w:r>
            <w:r>
              <w:rPr>
                <w:sz w:val="20"/>
              </w:rPr>
              <w:t>5</w:t>
            </w:r>
            <w:r w:rsidR="00FE5550">
              <w:rPr>
                <w:sz w:val="20"/>
              </w:rPr>
              <w:t>7</w:t>
            </w:r>
            <w:r w:rsidR="00EB5612">
              <w:rPr>
                <w:sz w:val="20"/>
              </w:rPr>
              <w:t>,</w:t>
            </w:r>
            <w:r w:rsidR="00FE5550">
              <w:rPr>
                <w:sz w:val="20"/>
              </w:rPr>
              <w:t>647</w:t>
            </w:r>
          </w:p>
        </w:tc>
        <w:tc>
          <w:tcPr>
            <w:tcW w:w="1944" w:type="dxa"/>
            <w:gridSpan w:val="3"/>
            <w:tcBorders>
              <w:top w:val="single" w:sz="8" w:space="0" w:color="1E5897"/>
              <w:left w:val="nil"/>
              <w:bottom w:val="single" w:sz="8" w:space="0" w:color="1E5897"/>
              <w:right w:val="nil"/>
            </w:tcBorders>
            <w:tcMar>
              <w:top w:w="59" w:type="dxa"/>
              <w:left w:w="117" w:type="dxa"/>
              <w:bottom w:w="59" w:type="dxa"/>
              <w:right w:w="117" w:type="dxa"/>
            </w:tcMar>
            <w:hideMark/>
          </w:tcPr>
          <w:p w14:paraId="7650BA8D" w14:textId="12A0932E" w:rsidR="00CA3C50" w:rsidRPr="009952D4" w:rsidRDefault="00CA3C50">
            <w:pPr>
              <w:pStyle w:val="DJCSbody"/>
              <w:spacing w:before="0" w:after="0"/>
              <w:ind w:left="0"/>
              <w:jc w:val="center"/>
              <w:rPr>
                <w:sz w:val="20"/>
              </w:rPr>
            </w:pPr>
            <w:r w:rsidRPr="009952D4">
              <w:rPr>
                <w:sz w:val="20"/>
              </w:rPr>
              <w:t>$</w:t>
            </w:r>
            <w:r>
              <w:rPr>
                <w:sz w:val="20"/>
              </w:rPr>
              <w:t>3</w:t>
            </w:r>
            <w:r w:rsidR="00734D8A">
              <w:rPr>
                <w:sz w:val="20"/>
              </w:rPr>
              <w:t>7</w:t>
            </w:r>
            <w:r w:rsidR="003870C2">
              <w:rPr>
                <w:sz w:val="20"/>
              </w:rPr>
              <w:t>9</w:t>
            </w:r>
            <w:r w:rsidRPr="009952D4">
              <w:rPr>
                <w:sz w:val="20"/>
              </w:rPr>
              <w:t>m</w:t>
            </w:r>
            <w:r w:rsidR="00A12ECF">
              <w:rPr>
                <w:rStyle w:val="FootnoteReference"/>
                <w:sz w:val="20"/>
              </w:rPr>
              <w:footnoteReference w:id="56"/>
            </w:r>
          </w:p>
        </w:tc>
        <w:tc>
          <w:tcPr>
            <w:tcW w:w="1404" w:type="dxa"/>
            <w:tcBorders>
              <w:top w:val="single" w:sz="8" w:space="0" w:color="1E5897"/>
              <w:left w:val="nil"/>
              <w:bottom w:val="single" w:sz="8" w:space="0" w:color="1E5897"/>
              <w:right w:val="nil"/>
            </w:tcBorders>
            <w:tcMar>
              <w:top w:w="59" w:type="dxa"/>
              <w:left w:w="117" w:type="dxa"/>
              <w:bottom w:w="59" w:type="dxa"/>
              <w:right w:w="117" w:type="dxa"/>
            </w:tcMar>
            <w:hideMark/>
          </w:tcPr>
          <w:p w14:paraId="1211B334" w14:textId="77777777" w:rsidR="00CA3C50" w:rsidRPr="009952D4" w:rsidRDefault="00CA3C50">
            <w:pPr>
              <w:pStyle w:val="DJCSbody"/>
              <w:spacing w:before="0" w:after="0"/>
              <w:ind w:left="0"/>
              <w:rPr>
                <w:sz w:val="20"/>
              </w:rPr>
            </w:pPr>
            <w:r w:rsidRPr="009952D4">
              <w:rPr>
                <w:sz w:val="20"/>
              </w:rPr>
              <w:t>n/a</w:t>
            </w:r>
          </w:p>
        </w:tc>
        <w:tc>
          <w:tcPr>
            <w:tcW w:w="917" w:type="dxa"/>
            <w:tcBorders>
              <w:top w:val="single" w:sz="8" w:space="0" w:color="1E5897"/>
              <w:left w:val="nil"/>
              <w:bottom w:val="single" w:sz="8" w:space="0" w:color="1E5897"/>
              <w:right w:val="single" w:sz="8" w:space="0" w:color="1E5897"/>
            </w:tcBorders>
            <w:tcMar>
              <w:top w:w="59" w:type="dxa"/>
              <w:left w:w="117" w:type="dxa"/>
              <w:bottom w:w="59" w:type="dxa"/>
              <w:right w:w="117" w:type="dxa"/>
            </w:tcMar>
            <w:hideMark/>
          </w:tcPr>
          <w:p w14:paraId="4C148EA8" w14:textId="77777777" w:rsidR="00CA3C50" w:rsidRPr="009952D4" w:rsidRDefault="00CA3C50">
            <w:pPr>
              <w:pStyle w:val="DJCSbody"/>
              <w:spacing w:before="0" w:after="0"/>
              <w:rPr>
                <w:sz w:val="20"/>
              </w:rPr>
            </w:pPr>
          </w:p>
        </w:tc>
      </w:tr>
      <w:tr w:rsidR="00CA3C50" w:rsidRPr="009952D4" w14:paraId="055EE2A9" w14:textId="77777777">
        <w:trPr>
          <w:trHeight w:val="602"/>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79A4F41E" w14:textId="76857AFF" w:rsidR="00CA3C50" w:rsidRPr="009952D4" w:rsidRDefault="00CA3C50">
            <w:pPr>
              <w:pStyle w:val="DJCSbody"/>
              <w:spacing w:before="0" w:after="0"/>
              <w:ind w:left="0"/>
              <w:jc w:val="left"/>
              <w:rPr>
                <w:sz w:val="20"/>
              </w:rPr>
            </w:pPr>
            <w:r w:rsidRPr="009952D4">
              <w:rPr>
                <w:b/>
                <w:bCs/>
                <w:sz w:val="20"/>
              </w:rPr>
              <w:t xml:space="preserve">Total debts established between renter and </w:t>
            </w:r>
            <w:r w:rsidR="00F31DC1">
              <w:rPr>
                <w:b/>
                <w:bCs/>
                <w:sz w:val="20"/>
              </w:rPr>
              <w:t>the</w:t>
            </w:r>
            <w:r w:rsidR="00F31DC1" w:rsidRPr="009952D4">
              <w:rPr>
                <w:b/>
                <w:bCs/>
                <w:sz w:val="20"/>
              </w:rPr>
              <w:t xml:space="preserve"> </w:t>
            </w:r>
            <w:r w:rsidRPr="009952D4">
              <w:rPr>
                <w:b/>
                <w:bCs/>
                <w:sz w:val="20"/>
              </w:rPr>
              <w:t xml:space="preserve">Government </w:t>
            </w:r>
          </w:p>
        </w:tc>
        <w:tc>
          <w:tcPr>
            <w:tcW w:w="1709" w:type="dxa"/>
            <w:tcBorders>
              <w:top w:val="single" w:sz="8" w:space="0" w:color="1E5897"/>
              <w:left w:val="nil"/>
              <w:bottom w:val="single" w:sz="8" w:space="0" w:color="1E5897"/>
              <w:right w:val="nil"/>
            </w:tcBorders>
            <w:tcMar>
              <w:top w:w="59" w:type="dxa"/>
              <w:left w:w="117" w:type="dxa"/>
              <w:bottom w:w="59" w:type="dxa"/>
              <w:right w:w="117" w:type="dxa"/>
            </w:tcMar>
            <w:hideMark/>
          </w:tcPr>
          <w:p w14:paraId="48361F94" w14:textId="353B0EC6" w:rsidR="00CA3C50" w:rsidRPr="009952D4" w:rsidRDefault="00CA3C50">
            <w:pPr>
              <w:pStyle w:val="DJCSbody"/>
              <w:spacing w:before="0" w:after="0"/>
              <w:ind w:left="0"/>
              <w:jc w:val="center"/>
              <w:rPr>
                <w:sz w:val="20"/>
              </w:rPr>
            </w:pPr>
            <w:r>
              <w:rPr>
                <w:sz w:val="20"/>
              </w:rPr>
              <w:t>5</w:t>
            </w:r>
            <w:r w:rsidR="008A761C">
              <w:rPr>
                <w:sz w:val="20"/>
              </w:rPr>
              <w:t>5,176</w:t>
            </w:r>
          </w:p>
        </w:tc>
        <w:tc>
          <w:tcPr>
            <w:tcW w:w="1944" w:type="dxa"/>
            <w:gridSpan w:val="3"/>
            <w:tcBorders>
              <w:top w:val="single" w:sz="8" w:space="0" w:color="1E5897"/>
              <w:left w:val="nil"/>
              <w:bottom w:val="single" w:sz="8" w:space="0" w:color="1E5897"/>
              <w:right w:val="nil"/>
            </w:tcBorders>
            <w:tcMar>
              <w:top w:w="59" w:type="dxa"/>
              <w:left w:w="117" w:type="dxa"/>
              <w:bottom w:w="59" w:type="dxa"/>
              <w:right w:w="117" w:type="dxa"/>
            </w:tcMar>
            <w:hideMark/>
          </w:tcPr>
          <w:p w14:paraId="5F665432" w14:textId="33E191ED" w:rsidR="00CA3C50" w:rsidRPr="009952D4" w:rsidRDefault="00CA3C50">
            <w:pPr>
              <w:pStyle w:val="DJCSbody"/>
              <w:spacing w:before="0" w:after="0"/>
              <w:ind w:left="0"/>
              <w:jc w:val="center"/>
              <w:rPr>
                <w:sz w:val="20"/>
              </w:rPr>
            </w:pPr>
            <w:r w:rsidRPr="009952D4">
              <w:rPr>
                <w:sz w:val="20"/>
              </w:rPr>
              <w:t>$</w:t>
            </w:r>
            <w:r w:rsidR="00734D8A">
              <w:rPr>
                <w:sz w:val="20"/>
              </w:rPr>
              <w:t>68</w:t>
            </w:r>
            <w:r w:rsidRPr="009952D4">
              <w:rPr>
                <w:sz w:val="20"/>
              </w:rPr>
              <w:t>m</w:t>
            </w:r>
            <w:r w:rsidR="00824CAE">
              <w:rPr>
                <w:rStyle w:val="FootnoteReference"/>
                <w:sz w:val="20"/>
              </w:rPr>
              <w:footnoteReference w:id="57"/>
            </w:r>
          </w:p>
        </w:tc>
        <w:tc>
          <w:tcPr>
            <w:tcW w:w="1404" w:type="dxa"/>
            <w:tcBorders>
              <w:top w:val="single" w:sz="8" w:space="0" w:color="1E5897"/>
              <w:left w:val="nil"/>
              <w:bottom w:val="single" w:sz="8" w:space="0" w:color="1E5897"/>
              <w:right w:val="nil"/>
            </w:tcBorders>
            <w:tcMar>
              <w:top w:w="59" w:type="dxa"/>
              <w:left w:w="117" w:type="dxa"/>
              <w:bottom w:w="59" w:type="dxa"/>
              <w:right w:w="117" w:type="dxa"/>
            </w:tcMar>
            <w:hideMark/>
          </w:tcPr>
          <w:p w14:paraId="73B8DD6D" w14:textId="77777777" w:rsidR="00CA3C50" w:rsidRPr="009952D4" w:rsidRDefault="00CA3C50">
            <w:pPr>
              <w:pStyle w:val="DJCSbody"/>
              <w:spacing w:before="0" w:after="0"/>
              <w:ind w:left="0"/>
              <w:rPr>
                <w:sz w:val="20"/>
              </w:rPr>
            </w:pPr>
            <w:r w:rsidRPr="009952D4">
              <w:rPr>
                <w:sz w:val="20"/>
              </w:rPr>
              <w:t>n/a</w:t>
            </w:r>
          </w:p>
        </w:tc>
        <w:tc>
          <w:tcPr>
            <w:tcW w:w="917" w:type="dxa"/>
            <w:tcBorders>
              <w:top w:val="single" w:sz="8" w:space="0" w:color="1E5897"/>
              <w:left w:val="nil"/>
              <w:bottom w:val="single" w:sz="8" w:space="0" w:color="1E5897"/>
              <w:right w:val="single" w:sz="8" w:space="0" w:color="1E5897"/>
            </w:tcBorders>
            <w:tcMar>
              <w:top w:w="59" w:type="dxa"/>
              <w:left w:w="117" w:type="dxa"/>
              <w:bottom w:w="59" w:type="dxa"/>
              <w:right w:w="117" w:type="dxa"/>
            </w:tcMar>
            <w:hideMark/>
          </w:tcPr>
          <w:p w14:paraId="16138195" w14:textId="77777777" w:rsidR="00CA3C50" w:rsidRPr="009952D4" w:rsidRDefault="00CA3C50">
            <w:pPr>
              <w:pStyle w:val="DJCSbody"/>
              <w:spacing w:before="0" w:after="0"/>
              <w:rPr>
                <w:sz w:val="20"/>
              </w:rPr>
            </w:pPr>
          </w:p>
        </w:tc>
      </w:tr>
      <w:tr w:rsidR="00CA3C50" w:rsidRPr="009952D4" w14:paraId="7F9AB86A" w14:textId="77777777">
        <w:trPr>
          <w:trHeight w:val="288"/>
        </w:trPr>
        <w:tc>
          <w:tcPr>
            <w:tcW w:w="10195" w:type="dxa"/>
            <w:gridSpan w:val="8"/>
            <w:tcBorders>
              <w:top w:val="single" w:sz="8" w:space="0" w:color="1E5897"/>
              <w:left w:val="single" w:sz="8" w:space="0" w:color="1E5897"/>
              <w:bottom w:val="single" w:sz="8" w:space="0" w:color="1E5897"/>
              <w:right w:val="single" w:sz="8" w:space="0" w:color="1E5897"/>
            </w:tcBorders>
            <w:shd w:val="clear" w:color="auto" w:fill="D9D9D9"/>
            <w:tcMar>
              <w:top w:w="59" w:type="dxa"/>
              <w:left w:w="117" w:type="dxa"/>
              <w:bottom w:w="59" w:type="dxa"/>
              <w:right w:w="117" w:type="dxa"/>
            </w:tcMar>
            <w:hideMark/>
          </w:tcPr>
          <w:p w14:paraId="242A2358" w14:textId="77777777" w:rsidR="00CA3C50" w:rsidRPr="009952D4" w:rsidRDefault="00CA3C50">
            <w:pPr>
              <w:pStyle w:val="DJCSbody"/>
              <w:spacing w:before="0" w:after="0"/>
              <w:ind w:left="22"/>
              <w:rPr>
                <w:sz w:val="20"/>
              </w:rPr>
            </w:pPr>
            <w:r w:rsidRPr="009952D4">
              <w:rPr>
                <w:b/>
                <w:bCs/>
                <w:i/>
                <w:iCs/>
                <w:sz w:val="20"/>
              </w:rPr>
              <w:t>Debt recovered</w:t>
            </w:r>
          </w:p>
        </w:tc>
      </w:tr>
      <w:tr w:rsidR="00CA3C50" w:rsidRPr="009952D4" w14:paraId="23E36425" w14:textId="77777777">
        <w:trPr>
          <w:trHeight w:val="661"/>
        </w:trPr>
        <w:tc>
          <w:tcPr>
            <w:tcW w:w="1851" w:type="dxa"/>
            <w:vMerge w:val="restart"/>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6DA1A55A" w14:textId="77777777" w:rsidR="00CA3C50" w:rsidRPr="009952D4" w:rsidRDefault="00CA3C50">
            <w:pPr>
              <w:pStyle w:val="DJCSbody"/>
              <w:spacing w:before="0" w:after="0"/>
              <w:ind w:left="22"/>
              <w:jc w:val="left"/>
              <w:rPr>
                <w:sz w:val="20"/>
              </w:rPr>
            </w:pPr>
            <w:r w:rsidRPr="009952D4">
              <w:rPr>
                <w:b/>
                <w:bCs/>
                <w:sz w:val="20"/>
              </w:rPr>
              <w:t xml:space="preserve">Stage 1A: Invoice issued to renter </w:t>
            </w:r>
          </w:p>
        </w:tc>
        <w:tc>
          <w:tcPr>
            <w:tcW w:w="2370" w:type="dxa"/>
            <w:tcBorders>
              <w:top w:val="single" w:sz="8" w:space="0" w:color="1E5897"/>
              <w:left w:val="nil"/>
              <w:bottom w:val="single" w:sz="8" w:space="0" w:color="1E5897"/>
              <w:right w:val="nil"/>
            </w:tcBorders>
            <w:tcMar>
              <w:top w:w="59" w:type="dxa"/>
              <w:left w:w="117" w:type="dxa"/>
              <w:bottom w:w="59" w:type="dxa"/>
              <w:right w:w="117" w:type="dxa"/>
            </w:tcMar>
            <w:hideMark/>
          </w:tcPr>
          <w:p w14:paraId="6D516ECB" w14:textId="77777777" w:rsidR="00CA3C50" w:rsidRPr="009952D4" w:rsidRDefault="00CA3C50">
            <w:pPr>
              <w:pStyle w:val="DJCSbody"/>
              <w:spacing w:before="0" w:after="0"/>
              <w:ind w:left="22"/>
              <w:rPr>
                <w:sz w:val="20"/>
              </w:rPr>
            </w:pPr>
            <w:r w:rsidRPr="009952D4">
              <w:rPr>
                <w:sz w:val="20"/>
              </w:rPr>
              <w:t xml:space="preserve">Debts paid on time  </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681460BF" w14:textId="35B28B36" w:rsidR="00CA3C50" w:rsidRPr="009952D4" w:rsidRDefault="00CA3C50">
            <w:pPr>
              <w:pStyle w:val="DJCSbody"/>
              <w:spacing w:before="0" w:after="0"/>
              <w:ind w:left="22"/>
              <w:jc w:val="center"/>
              <w:rPr>
                <w:sz w:val="20"/>
              </w:rPr>
            </w:pPr>
            <w:r>
              <w:rPr>
                <w:sz w:val="20"/>
              </w:rPr>
              <w:t>49,</w:t>
            </w:r>
            <w:r w:rsidR="00E72898">
              <w:rPr>
                <w:sz w:val="20"/>
              </w:rPr>
              <w:t>659</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70D07B17" w14:textId="11C5DBC1" w:rsidR="00CA3C50" w:rsidRPr="009952D4" w:rsidRDefault="00CA3C50">
            <w:pPr>
              <w:pStyle w:val="DJCSbody"/>
              <w:spacing w:before="0" w:after="0"/>
              <w:ind w:left="22"/>
              <w:jc w:val="center"/>
              <w:rPr>
                <w:sz w:val="20"/>
              </w:rPr>
            </w:pPr>
            <w:r w:rsidRPr="009952D4">
              <w:rPr>
                <w:sz w:val="20"/>
              </w:rPr>
              <w:t>$6</w:t>
            </w:r>
            <w:r w:rsidR="00BD3568">
              <w:rPr>
                <w:sz w:val="20"/>
              </w:rPr>
              <w:t>0.8</w:t>
            </w:r>
            <w:r w:rsidRPr="009952D4">
              <w:rPr>
                <w:sz w:val="20"/>
              </w:rPr>
              <w:t>m</w:t>
            </w:r>
          </w:p>
        </w:tc>
        <w:tc>
          <w:tcPr>
            <w:tcW w:w="2454" w:type="dxa"/>
            <w:gridSpan w:val="3"/>
            <w:vMerge w:val="restart"/>
            <w:tcBorders>
              <w:top w:val="single" w:sz="8" w:space="0" w:color="1E5897"/>
              <w:left w:val="nil"/>
              <w:bottom w:val="single" w:sz="8" w:space="0" w:color="1E5897"/>
              <w:right w:val="single" w:sz="4" w:space="0" w:color="00529B" w:themeColor="accent2"/>
            </w:tcBorders>
            <w:tcMar>
              <w:top w:w="59" w:type="dxa"/>
              <w:left w:w="117" w:type="dxa"/>
              <w:bottom w:w="59" w:type="dxa"/>
              <w:right w:w="117" w:type="dxa"/>
            </w:tcMar>
            <w:hideMark/>
          </w:tcPr>
          <w:p w14:paraId="090F1D4A" w14:textId="77777777" w:rsidR="00CA3C50" w:rsidRPr="009952D4" w:rsidRDefault="00CA3C50">
            <w:pPr>
              <w:pStyle w:val="DJCSbody"/>
              <w:spacing w:before="0" w:after="0"/>
              <w:ind w:left="22"/>
              <w:rPr>
                <w:sz w:val="20"/>
              </w:rPr>
            </w:pPr>
            <w:r w:rsidRPr="009952D4">
              <w:rPr>
                <w:sz w:val="20"/>
              </w:rPr>
              <w:t>90% of total debt</w:t>
            </w:r>
          </w:p>
        </w:tc>
      </w:tr>
      <w:tr w:rsidR="00CA3C50" w:rsidRPr="009952D4" w14:paraId="31B50ED4" w14:textId="77777777">
        <w:trPr>
          <w:trHeight w:val="474"/>
        </w:trPr>
        <w:tc>
          <w:tcPr>
            <w:tcW w:w="1851" w:type="dxa"/>
            <w:vMerge/>
            <w:tcBorders>
              <w:top w:val="single" w:sz="8" w:space="0" w:color="1E5897"/>
              <w:left w:val="single" w:sz="8" w:space="0" w:color="1E5897"/>
              <w:bottom w:val="single" w:sz="8" w:space="0" w:color="1E5897"/>
              <w:right w:val="nil"/>
            </w:tcBorders>
            <w:vAlign w:val="center"/>
            <w:hideMark/>
          </w:tcPr>
          <w:p w14:paraId="6585A51F" w14:textId="77777777" w:rsidR="00CA3C50" w:rsidRPr="009952D4" w:rsidRDefault="00CA3C50">
            <w:pPr>
              <w:pStyle w:val="DJCSbody"/>
              <w:spacing w:before="0" w:after="0"/>
              <w:ind w:left="22"/>
              <w:rPr>
                <w:sz w:val="20"/>
              </w:rPr>
            </w:pPr>
          </w:p>
        </w:tc>
        <w:tc>
          <w:tcPr>
            <w:tcW w:w="2370" w:type="dxa"/>
            <w:tcBorders>
              <w:top w:val="single" w:sz="8" w:space="0" w:color="1E5897"/>
              <w:left w:val="nil"/>
              <w:bottom w:val="single" w:sz="8" w:space="0" w:color="1E5897"/>
              <w:right w:val="nil"/>
            </w:tcBorders>
            <w:tcMar>
              <w:top w:w="59" w:type="dxa"/>
              <w:left w:w="117" w:type="dxa"/>
              <w:bottom w:w="59" w:type="dxa"/>
              <w:right w:w="117" w:type="dxa"/>
            </w:tcMar>
            <w:hideMark/>
          </w:tcPr>
          <w:p w14:paraId="531C939E" w14:textId="77777777" w:rsidR="00CA3C50" w:rsidRPr="009952D4" w:rsidRDefault="00CA3C50">
            <w:pPr>
              <w:pStyle w:val="DJCSbody"/>
              <w:spacing w:before="0" w:after="0"/>
              <w:ind w:left="22"/>
              <w:rPr>
                <w:sz w:val="20"/>
              </w:rPr>
            </w:pPr>
            <w:r w:rsidRPr="009952D4">
              <w:rPr>
                <w:sz w:val="20"/>
              </w:rPr>
              <w:t xml:space="preserve">Outstanding debts </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0A57E9D2" w14:textId="1D9362D2" w:rsidR="00CA3C50" w:rsidRPr="009952D4" w:rsidRDefault="00CA3C50">
            <w:pPr>
              <w:pStyle w:val="DJCSbody"/>
              <w:spacing w:before="0" w:after="0"/>
              <w:ind w:left="22"/>
              <w:jc w:val="center"/>
              <w:rPr>
                <w:sz w:val="20"/>
              </w:rPr>
            </w:pPr>
            <w:r>
              <w:rPr>
                <w:sz w:val="20"/>
              </w:rPr>
              <w:t>5,</w:t>
            </w:r>
            <w:r w:rsidR="00F315A6">
              <w:rPr>
                <w:sz w:val="20"/>
              </w:rPr>
              <w:t>518</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69B1D376" w14:textId="1698BDDA" w:rsidR="00CA3C50" w:rsidRPr="009952D4" w:rsidRDefault="00CA3C50">
            <w:pPr>
              <w:pStyle w:val="DJCSbody"/>
              <w:spacing w:before="0" w:after="0"/>
              <w:ind w:left="22"/>
              <w:jc w:val="center"/>
              <w:rPr>
                <w:sz w:val="20"/>
              </w:rPr>
            </w:pPr>
            <w:r w:rsidRPr="009952D4">
              <w:rPr>
                <w:sz w:val="20"/>
              </w:rPr>
              <w:t>$7.</w:t>
            </w:r>
            <w:r w:rsidR="00BD3568">
              <w:rPr>
                <w:sz w:val="20"/>
              </w:rPr>
              <w:t>2</w:t>
            </w:r>
            <w:r w:rsidRPr="009952D4">
              <w:rPr>
                <w:sz w:val="20"/>
              </w:rPr>
              <w:t>m</w:t>
            </w:r>
          </w:p>
        </w:tc>
        <w:tc>
          <w:tcPr>
            <w:tcW w:w="2454" w:type="dxa"/>
            <w:gridSpan w:val="3"/>
            <w:vMerge/>
            <w:tcBorders>
              <w:top w:val="single" w:sz="8" w:space="0" w:color="1E5897"/>
              <w:left w:val="nil"/>
              <w:bottom w:val="single" w:sz="8" w:space="0" w:color="1E5897"/>
              <w:right w:val="single" w:sz="4" w:space="0" w:color="00529B" w:themeColor="accent2"/>
            </w:tcBorders>
            <w:vAlign w:val="center"/>
            <w:hideMark/>
          </w:tcPr>
          <w:p w14:paraId="660A3C38" w14:textId="77777777" w:rsidR="00CA3C50" w:rsidRPr="009952D4" w:rsidRDefault="00CA3C50">
            <w:pPr>
              <w:pStyle w:val="DJCSbody"/>
              <w:spacing w:before="0" w:after="0"/>
              <w:ind w:left="22"/>
              <w:rPr>
                <w:sz w:val="20"/>
              </w:rPr>
            </w:pPr>
          </w:p>
        </w:tc>
      </w:tr>
      <w:tr w:rsidR="00CA3C50" w:rsidRPr="009952D4" w14:paraId="13547B74" w14:textId="77777777">
        <w:trPr>
          <w:trHeight w:val="571"/>
        </w:trPr>
        <w:tc>
          <w:tcPr>
            <w:tcW w:w="1851" w:type="dxa"/>
            <w:vMerge w:val="restart"/>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0A06B6BB" w14:textId="77777777" w:rsidR="00CA3C50" w:rsidRPr="009952D4" w:rsidRDefault="00CA3C50">
            <w:pPr>
              <w:pStyle w:val="DJCSbody"/>
              <w:spacing w:before="0" w:after="0"/>
              <w:ind w:left="22"/>
              <w:jc w:val="left"/>
              <w:rPr>
                <w:sz w:val="20"/>
              </w:rPr>
            </w:pPr>
            <w:r w:rsidRPr="009952D4">
              <w:rPr>
                <w:b/>
                <w:bCs/>
                <w:sz w:val="20"/>
              </w:rPr>
              <w:t>Debt recovery actions</w:t>
            </w:r>
          </w:p>
          <w:p w14:paraId="3E9CE3FF" w14:textId="54389E90" w:rsidR="00CA3C50" w:rsidRPr="009952D4" w:rsidRDefault="00CA3C50">
            <w:pPr>
              <w:pStyle w:val="DJCSbody"/>
              <w:spacing w:before="0" w:after="0"/>
              <w:ind w:left="22"/>
              <w:jc w:val="left"/>
              <w:rPr>
                <w:sz w:val="20"/>
              </w:rPr>
            </w:pPr>
            <w:r w:rsidRPr="009952D4">
              <w:rPr>
                <w:sz w:val="20"/>
              </w:rPr>
              <w:t xml:space="preserve">For the remaining </w:t>
            </w:r>
            <w:r w:rsidR="00B756E8">
              <w:rPr>
                <w:sz w:val="20"/>
              </w:rPr>
              <w:t>5</w:t>
            </w:r>
            <w:r w:rsidR="003C4052" w:rsidRPr="009952D4">
              <w:rPr>
                <w:sz w:val="20"/>
              </w:rPr>
              <w:t>,</w:t>
            </w:r>
            <w:r w:rsidR="00B756E8">
              <w:rPr>
                <w:sz w:val="20"/>
              </w:rPr>
              <w:t>462</w:t>
            </w:r>
            <w:r w:rsidR="003C4052" w:rsidRPr="009952D4">
              <w:rPr>
                <w:sz w:val="20"/>
              </w:rPr>
              <w:t xml:space="preserve"> </w:t>
            </w:r>
            <w:r w:rsidRPr="009952D4">
              <w:rPr>
                <w:sz w:val="20"/>
              </w:rPr>
              <w:t>(10%) of outstanding debt</w:t>
            </w:r>
            <w:r w:rsidR="00F2307E">
              <w:rPr>
                <w:sz w:val="20"/>
              </w:rPr>
              <w:t>s</w:t>
            </w:r>
          </w:p>
        </w:tc>
        <w:tc>
          <w:tcPr>
            <w:tcW w:w="2370" w:type="dxa"/>
            <w:tcBorders>
              <w:top w:val="single" w:sz="8" w:space="0" w:color="1E5897"/>
              <w:left w:val="nil"/>
              <w:bottom w:val="single" w:sz="8" w:space="0" w:color="1E5897"/>
              <w:right w:val="nil"/>
            </w:tcBorders>
            <w:tcMar>
              <w:top w:w="59" w:type="dxa"/>
              <w:left w:w="117" w:type="dxa"/>
              <w:bottom w:w="59" w:type="dxa"/>
              <w:right w:w="117" w:type="dxa"/>
            </w:tcMar>
            <w:hideMark/>
          </w:tcPr>
          <w:p w14:paraId="23E39317" w14:textId="77777777" w:rsidR="00CA3C50" w:rsidRPr="009952D4" w:rsidRDefault="00CA3C50">
            <w:pPr>
              <w:pStyle w:val="DJCSbody"/>
              <w:spacing w:before="0" w:after="0"/>
              <w:ind w:left="22"/>
              <w:jc w:val="left"/>
              <w:rPr>
                <w:sz w:val="20"/>
              </w:rPr>
            </w:pPr>
            <w:r w:rsidRPr="009952D4">
              <w:rPr>
                <w:b/>
                <w:bCs/>
                <w:sz w:val="20"/>
              </w:rPr>
              <w:t xml:space="preserve">Stage 1B: </w:t>
            </w:r>
            <w:r w:rsidRPr="009952D4">
              <w:rPr>
                <w:sz w:val="20"/>
              </w:rPr>
              <w:t>Debts recovered by DGS (after 4 weeks)</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6C8EB0F2" w14:textId="32D9F1A3" w:rsidR="00CA3C50" w:rsidRPr="009952D4" w:rsidRDefault="00CA3C50">
            <w:pPr>
              <w:pStyle w:val="DJCSbody"/>
              <w:spacing w:before="0" w:after="0"/>
              <w:ind w:left="22"/>
              <w:jc w:val="center"/>
              <w:rPr>
                <w:sz w:val="20"/>
              </w:rPr>
            </w:pPr>
            <w:r w:rsidRPr="009952D4">
              <w:rPr>
                <w:sz w:val="20"/>
              </w:rPr>
              <w:t>2</w:t>
            </w:r>
            <w:r w:rsidR="008D6794">
              <w:rPr>
                <w:sz w:val="20"/>
              </w:rPr>
              <w:t>21</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39271AB7" w14:textId="77777777" w:rsidR="00CA3C50" w:rsidRPr="009952D4" w:rsidRDefault="00CA3C50">
            <w:pPr>
              <w:pStyle w:val="DJCSbody"/>
              <w:spacing w:before="0" w:after="0"/>
              <w:ind w:left="22"/>
              <w:jc w:val="center"/>
              <w:rPr>
                <w:sz w:val="20"/>
              </w:rPr>
            </w:pPr>
            <w:r w:rsidRPr="009952D4">
              <w:rPr>
                <w:sz w:val="20"/>
              </w:rPr>
              <w:t>$0.3m</w:t>
            </w:r>
          </w:p>
        </w:tc>
        <w:tc>
          <w:tcPr>
            <w:tcW w:w="2454" w:type="dxa"/>
            <w:gridSpan w:val="3"/>
            <w:tcBorders>
              <w:top w:val="single" w:sz="8" w:space="0" w:color="1E5897"/>
              <w:left w:val="nil"/>
              <w:bottom w:val="single" w:sz="8" w:space="0" w:color="1E5897"/>
              <w:right w:val="single" w:sz="4" w:space="0" w:color="00529B" w:themeColor="accent2"/>
            </w:tcBorders>
            <w:tcMar>
              <w:top w:w="59" w:type="dxa"/>
              <w:left w:w="117" w:type="dxa"/>
              <w:bottom w:w="59" w:type="dxa"/>
              <w:right w:w="117" w:type="dxa"/>
            </w:tcMar>
            <w:hideMark/>
          </w:tcPr>
          <w:p w14:paraId="2C38C06A" w14:textId="77777777" w:rsidR="00CA3C50" w:rsidRPr="009952D4" w:rsidRDefault="00CA3C50">
            <w:pPr>
              <w:pStyle w:val="DJCSbody"/>
              <w:spacing w:before="0" w:after="0"/>
              <w:ind w:left="22"/>
              <w:rPr>
                <w:sz w:val="20"/>
              </w:rPr>
            </w:pPr>
            <w:r w:rsidRPr="009952D4">
              <w:rPr>
                <w:sz w:val="20"/>
              </w:rPr>
              <w:t>0.4% of total debt</w:t>
            </w:r>
          </w:p>
          <w:p w14:paraId="183A657F" w14:textId="77777777" w:rsidR="00CA3C50" w:rsidRPr="009952D4" w:rsidRDefault="00CA3C50">
            <w:pPr>
              <w:pStyle w:val="DJCSbody"/>
              <w:spacing w:before="0" w:after="0"/>
              <w:ind w:left="22"/>
              <w:rPr>
                <w:sz w:val="20"/>
              </w:rPr>
            </w:pPr>
            <w:r w:rsidRPr="009952D4">
              <w:rPr>
                <w:sz w:val="20"/>
              </w:rPr>
              <w:t xml:space="preserve">(90.04% cumulative) </w:t>
            </w:r>
          </w:p>
        </w:tc>
      </w:tr>
      <w:tr w:rsidR="00CA3C50" w:rsidRPr="009952D4" w14:paraId="7F014821" w14:textId="77777777">
        <w:trPr>
          <w:trHeight w:val="474"/>
        </w:trPr>
        <w:tc>
          <w:tcPr>
            <w:tcW w:w="1851" w:type="dxa"/>
            <w:vMerge/>
            <w:tcBorders>
              <w:top w:val="single" w:sz="8" w:space="0" w:color="1E5897"/>
              <w:left w:val="single" w:sz="8" w:space="0" w:color="1E5897"/>
              <w:bottom w:val="single" w:sz="8" w:space="0" w:color="1E5897"/>
              <w:right w:val="nil"/>
            </w:tcBorders>
            <w:vAlign w:val="center"/>
            <w:hideMark/>
          </w:tcPr>
          <w:p w14:paraId="2B10BB1A" w14:textId="77777777" w:rsidR="00CA3C50" w:rsidRPr="009952D4" w:rsidRDefault="00CA3C50">
            <w:pPr>
              <w:pStyle w:val="DJCSbody"/>
              <w:spacing w:before="0" w:after="0"/>
              <w:rPr>
                <w:sz w:val="20"/>
              </w:rPr>
            </w:pPr>
          </w:p>
        </w:tc>
        <w:tc>
          <w:tcPr>
            <w:tcW w:w="2370" w:type="dxa"/>
            <w:tcBorders>
              <w:top w:val="single" w:sz="8" w:space="0" w:color="1E5897"/>
              <w:left w:val="nil"/>
              <w:bottom w:val="single" w:sz="8" w:space="0" w:color="1E5897"/>
              <w:right w:val="nil"/>
            </w:tcBorders>
            <w:tcMar>
              <w:top w:w="59" w:type="dxa"/>
              <w:left w:w="117" w:type="dxa"/>
              <w:bottom w:w="59" w:type="dxa"/>
              <w:right w:w="117" w:type="dxa"/>
            </w:tcMar>
            <w:hideMark/>
          </w:tcPr>
          <w:p w14:paraId="3BE6A37F" w14:textId="77777777" w:rsidR="00CA3C50" w:rsidRPr="009952D4" w:rsidRDefault="00CA3C50">
            <w:pPr>
              <w:pStyle w:val="DJCSbody"/>
              <w:spacing w:before="0" w:after="0"/>
              <w:ind w:left="3"/>
              <w:jc w:val="left"/>
              <w:rPr>
                <w:sz w:val="20"/>
              </w:rPr>
            </w:pPr>
            <w:r w:rsidRPr="009952D4">
              <w:rPr>
                <w:b/>
                <w:bCs/>
                <w:sz w:val="20"/>
              </w:rPr>
              <w:t xml:space="preserve">Stage 2: </w:t>
            </w:r>
            <w:r w:rsidRPr="009952D4">
              <w:rPr>
                <w:sz w:val="20"/>
              </w:rPr>
              <w:t xml:space="preserve">Debts recovered by a DCA (after 12 months) </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1A1B0AD1" w14:textId="6E17D0FB" w:rsidR="00CA3C50" w:rsidRPr="009952D4" w:rsidRDefault="00CA3C50">
            <w:pPr>
              <w:pStyle w:val="DJCSbody"/>
              <w:spacing w:before="0" w:after="0"/>
              <w:ind w:left="3"/>
              <w:jc w:val="center"/>
              <w:rPr>
                <w:sz w:val="20"/>
              </w:rPr>
            </w:pPr>
            <w:r w:rsidRPr="009952D4">
              <w:rPr>
                <w:sz w:val="20"/>
              </w:rPr>
              <w:t>1,</w:t>
            </w:r>
            <w:r>
              <w:rPr>
                <w:sz w:val="20"/>
              </w:rPr>
              <w:t>1</w:t>
            </w:r>
            <w:r w:rsidR="008D6794">
              <w:rPr>
                <w:sz w:val="20"/>
              </w:rPr>
              <w:t>59</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1A7AB8F0" w14:textId="0751DDBC" w:rsidR="00CA3C50" w:rsidRPr="009952D4" w:rsidRDefault="00CA3C50">
            <w:pPr>
              <w:pStyle w:val="DJCSbody"/>
              <w:spacing w:before="0" w:after="0"/>
              <w:ind w:left="65"/>
              <w:jc w:val="center"/>
              <w:rPr>
                <w:sz w:val="20"/>
              </w:rPr>
            </w:pPr>
            <w:r w:rsidRPr="009952D4">
              <w:rPr>
                <w:sz w:val="20"/>
              </w:rPr>
              <w:t>$1.</w:t>
            </w:r>
            <w:r w:rsidR="009D60D6">
              <w:rPr>
                <w:sz w:val="20"/>
              </w:rPr>
              <w:t>4</w:t>
            </w:r>
            <w:r w:rsidRPr="009952D4">
              <w:rPr>
                <w:sz w:val="20"/>
              </w:rPr>
              <w:t>m</w:t>
            </w:r>
          </w:p>
        </w:tc>
        <w:tc>
          <w:tcPr>
            <w:tcW w:w="2454" w:type="dxa"/>
            <w:gridSpan w:val="3"/>
            <w:tcBorders>
              <w:top w:val="single" w:sz="8" w:space="0" w:color="1E5897"/>
              <w:left w:val="nil"/>
              <w:bottom w:val="single" w:sz="8" w:space="0" w:color="1E5897"/>
              <w:right w:val="single" w:sz="4" w:space="0" w:color="00529B" w:themeColor="accent2"/>
            </w:tcBorders>
            <w:tcMar>
              <w:top w:w="59" w:type="dxa"/>
              <w:left w:w="117" w:type="dxa"/>
              <w:bottom w:w="59" w:type="dxa"/>
              <w:right w:w="117" w:type="dxa"/>
            </w:tcMar>
            <w:hideMark/>
          </w:tcPr>
          <w:p w14:paraId="71158DD3" w14:textId="77777777" w:rsidR="00CA3C50" w:rsidRPr="009952D4" w:rsidRDefault="00CA3C50">
            <w:pPr>
              <w:pStyle w:val="DJCSbody"/>
              <w:spacing w:before="0" w:after="0"/>
              <w:ind w:left="-1" w:right="176"/>
              <w:rPr>
                <w:sz w:val="20"/>
              </w:rPr>
            </w:pPr>
            <w:r w:rsidRPr="009952D4">
              <w:rPr>
                <w:sz w:val="20"/>
              </w:rPr>
              <w:t>2.1% of total debt</w:t>
            </w:r>
          </w:p>
          <w:p w14:paraId="62EED229" w14:textId="77777777" w:rsidR="00CA3C50" w:rsidRPr="009952D4" w:rsidRDefault="00CA3C50">
            <w:pPr>
              <w:pStyle w:val="DJCSbody"/>
              <w:spacing w:before="0" w:after="0"/>
              <w:ind w:left="0"/>
              <w:rPr>
                <w:sz w:val="20"/>
              </w:rPr>
            </w:pPr>
            <w:r w:rsidRPr="009952D4">
              <w:rPr>
                <w:sz w:val="20"/>
              </w:rPr>
              <w:t xml:space="preserve">(92.5% cumulative) </w:t>
            </w:r>
          </w:p>
        </w:tc>
      </w:tr>
      <w:tr w:rsidR="00CA3C50" w:rsidRPr="009952D4" w14:paraId="5DE92A12" w14:textId="77777777">
        <w:trPr>
          <w:trHeight w:val="661"/>
        </w:trPr>
        <w:tc>
          <w:tcPr>
            <w:tcW w:w="1851" w:type="dxa"/>
            <w:vMerge/>
            <w:tcBorders>
              <w:top w:val="single" w:sz="8" w:space="0" w:color="1E5897"/>
              <w:left w:val="single" w:sz="8" w:space="0" w:color="1E5897"/>
              <w:bottom w:val="single" w:sz="8" w:space="0" w:color="1E5897"/>
              <w:right w:val="nil"/>
            </w:tcBorders>
            <w:vAlign w:val="center"/>
            <w:hideMark/>
          </w:tcPr>
          <w:p w14:paraId="6F392700" w14:textId="77777777" w:rsidR="00CA3C50" w:rsidRPr="009952D4" w:rsidRDefault="00CA3C50">
            <w:pPr>
              <w:pStyle w:val="DJCSbody"/>
              <w:spacing w:before="0" w:after="0"/>
              <w:rPr>
                <w:sz w:val="20"/>
              </w:rPr>
            </w:pPr>
          </w:p>
        </w:tc>
        <w:tc>
          <w:tcPr>
            <w:tcW w:w="2370" w:type="dxa"/>
            <w:tcBorders>
              <w:top w:val="single" w:sz="8" w:space="0" w:color="1E5897"/>
              <w:left w:val="nil"/>
              <w:bottom w:val="single" w:sz="8" w:space="0" w:color="1E5897"/>
              <w:right w:val="nil"/>
            </w:tcBorders>
            <w:tcMar>
              <w:top w:w="59" w:type="dxa"/>
              <w:left w:w="117" w:type="dxa"/>
              <w:bottom w:w="59" w:type="dxa"/>
              <w:right w:w="117" w:type="dxa"/>
            </w:tcMar>
            <w:hideMark/>
          </w:tcPr>
          <w:p w14:paraId="7E9A2581" w14:textId="6355DE94" w:rsidR="00CA3C50" w:rsidRPr="009952D4" w:rsidRDefault="00082703">
            <w:pPr>
              <w:pStyle w:val="DJCSbody"/>
              <w:spacing w:before="0" w:after="0"/>
              <w:ind w:left="3"/>
              <w:jc w:val="left"/>
              <w:rPr>
                <w:sz w:val="20"/>
              </w:rPr>
            </w:pPr>
            <w:r w:rsidRPr="009952D4">
              <w:rPr>
                <w:b/>
                <w:bCs/>
                <w:sz w:val="20"/>
                <w:lang w:val="en-US"/>
              </w:rPr>
              <w:t xml:space="preserve">Stage 3: </w:t>
            </w:r>
            <w:r w:rsidRPr="009952D4">
              <w:rPr>
                <w:sz w:val="20"/>
                <w:lang w:val="en-US"/>
              </w:rPr>
              <w:t xml:space="preserve">Debts recovered from second bond (after 2-5 years) </w:t>
            </w:r>
            <w:r w:rsidR="000636A2">
              <w:rPr>
                <w:sz w:val="20"/>
                <w:lang w:val="en-US"/>
              </w:rPr>
              <w:t>and returned to Government for management</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7A9DC577" w14:textId="22B91410" w:rsidR="00CA3C50" w:rsidRPr="009952D4" w:rsidRDefault="00CA3C50">
            <w:pPr>
              <w:pStyle w:val="DJCSbody"/>
              <w:spacing w:before="0" w:after="0"/>
              <w:ind w:left="3"/>
              <w:jc w:val="center"/>
              <w:rPr>
                <w:sz w:val="20"/>
              </w:rPr>
            </w:pPr>
            <w:r w:rsidRPr="009952D4">
              <w:rPr>
                <w:sz w:val="20"/>
              </w:rPr>
              <w:t>2,</w:t>
            </w:r>
            <w:r w:rsidR="00AC30AE">
              <w:rPr>
                <w:sz w:val="20"/>
              </w:rPr>
              <w:t>207</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11AD4CF6" w14:textId="1ED1AB7B" w:rsidR="00CA3C50" w:rsidRPr="009952D4" w:rsidRDefault="00CA3C50">
            <w:pPr>
              <w:pStyle w:val="DJCSbody"/>
              <w:spacing w:before="0" w:after="0"/>
              <w:ind w:left="65"/>
              <w:jc w:val="center"/>
              <w:rPr>
                <w:sz w:val="20"/>
              </w:rPr>
            </w:pPr>
            <w:r w:rsidRPr="009952D4">
              <w:rPr>
                <w:sz w:val="20"/>
              </w:rPr>
              <w:t>$</w:t>
            </w:r>
            <w:r>
              <w:rPr>
                <w:sz w:val="20"/>
              </w:rPr>
              <w:t>2.</w:t>
            </w:r>
            <w:r w:rsidR="009D60D6">
              <w:rPr>
                <w:sz w:val="20"/>
              </w:rPr>
              <w:t>7</w:t>
            </w:r>
            <w:r w:rsidRPr="009952D4">
              <w:rPr>
                <w:sz w:val="20"/>
              </w:rPr>
              <w:t>m</w:t>
            </w:r>
          </w:p>
        </w:tc>
        <w:tc>
          <w:tcPr>
            <w:tcW w:w="2454" w:type="dxa"/>
            <w:gridSpan w:val="3"/>
            <w:tcBorders>
              <w:top w:val="single" w:sz="8" w:space="0" w:color="1E5897"/>
              <w:left w:val="nil"/>
              <w:bottom w:val="single" w:sz="8" w:space="0" w:color="1E5897"/>
              <w:right w:val="single" w:sz="4" w:space="0" w:color="00529B" w:themeColor="accent2"/>
            </w:tcBorders>
            <w:tcMar>
              <w:top w:w="59" w:type="dxa"/>
              <w:left w:w="117" w:type="dxa"/>
              <w:bottom w:w="59" w:type="dxa"/>
              <w:right w:w="117" w:type="dxa"/>
            </w:tcMar>
            <w:hideMark/>
          </w:tcPr>
          <w:p w14:paraId="406E2E0B" w14:textId="5F3FA962" w:rsidR="00CA3C50" w:rsidRPr="009952D4" w:rsidRDefault="00CA3C50">
            <w:pPr>
              <w:pStyle w:val="DJCSbody"/>
              <w:spacing w:before="0" w:after="0"/>
              <w:ind w:left="0"/>
              <w:rPr>
                <w:sz w:val="20"/>
              </w:rPr>
            </w:pPr>
            <w:r w:rsidRPr="009952D4">
              <w:rPr>
                <w:sz w:val="20"/>
              </w:rPr>
              <w:t xml:space="preserve">4% of total debt (96.5% cumulative) </w:t>
            </w:r>
          </w:p>
        </w:tc>
      </w:tr>
      <w:tr w:rsidR="00CA3C50" w:rsidRPr="009952D4" w14:paraId="188BCBAF" w14:textId="77777777">
        <w:trPr>
          <w:trHeight w:val="1007"/>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54FFD8B8" w14:textId="77777777" w:rsidR="00CA3C50" w:rsidRPr="009952D4" w:rsidRDefault="00CA3C50">
            <w:pPr>
              <w:pStyle w:val="DJCSbody"/>
              <w:spacing w:before="0" w:after="0"/>
              <w:ind w:left="0"/>
              <w:jc w:val="left"/>
              <w:rPr>
                <w:sz w:val="20"/>
              </w:rPr>
            </w:pPr>
            <w:r w:rsidRPr="009952D4">
              <w:rPr>
                <w:sz w:val="20"/>
                <w:lang w:val="en-US"/>
              </w:rPr>
              <w:t xml:space="preserve">Sub-total outstanding </w:t>
            </w:r>
            <w:r>
              <w:rPr>
                <w:sz w:val="20"/>
                <w:lang w:val="en-US"/>
              </w:rPr>
              <w:br/>
            </w:r>
            <w:r w:rsidRPr="009952D4">
              <w:rPr>
                <w:sz w:val="20"/>
                <w:lang w:val="en-US"/>
              </w:rPr>
              <w:t>debt recovered (Stage 1B-3)</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7629DF0F" w14:textId="31436C6D" w:rsidR="00CA3C50" w:rsidRPr="009952D4" w:rsidRDefault="00CA3C50">
            <w:pPr>
              <w:pStyle w:val="DJCSbody"/>
              <w:spacing w:before="0" w:after="0"/>
              <w:ind w:left="3"/>
              <w:jc w:val="center"/>
              <w:rPr>
                <w:sz w:val="20"/>
              </w:rPr>
            </w:pPr>
            <w:r>
              <w:rPr>
                <w:sz w:val="20"/>
              </w:rPr>
              <w:t>3,5</w:t>
            </w:r>
            <w:r w:rsidR="00AC30AE">
              <w:rPr>
                <w:sz w:val="20"/>
              </w:rPr>
              <w:t>86</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3F5F48F2" w14:textId="28F6006E" w:rsidR="00CA3C50" w:rsidRPr="009952D4" w:rsidRDefault="00CA3C50">
            <w:pPr>
              <w:pStyle w:val="DJCSbody"/>
              <w:spacing w:before="0" w:after="0"/>
              <w:ind w:left="65"/>
              <w:jc w:val="center"/>
              <w:rPr>
                <w:sz w:val="20"/>
              </w:rPr>
            </w:pPr>
            <w:r w:rsidRPr="009952D4">
              <w:rPr>
                <w:sz w:val="20"/>
              </w:rPr>
              <w:t>$</w:t>
            </w:r>
            <w:r>
              <w:rPr>
                <w:sz w:val="20"/>
              </w:rPr>
              <w:t>4.</w:t>
            </w:r>
            <w:r w:rsidR="009D60D6">
              <w:rPr>
                <w:sz w:val="20"/>
              </w:rPr>
              <w:t>4</w:t>
            </w:r>
            <w:r w:rsidRPr="009952D4">
              <w:rPr>
                <w:sz w:val="20"/>
              </w:rPr>
              <w:t>m</w:t>
            </w:r>
          </w:p>
        </w:tc>
        <w:tc>
          <w:tcPr>
            <w:tcW w:w="2454" w:type="dxa"/>
            <w:gridSpan w:val="3"/>
            <w:tcBorders>
              <w:top w:val="single" w:sz="8" w:space="0" w:color="1E5897"/>
              <w:left w:val="nil"/>
              <w:bottom w:val="single" w:sz="8" w:space="0" w:color="1E5897"/>
              <w:right w:val="single" w:sz="4" w:space="0" w:color="00529B" w:themeColor="accent2"/>
            </w:tcBorders>
            <w:tcMar>
              <w:top w:w="59" w:type="dxa"/>
              <w:left w:w="117" w:type="dxa"/>
              <w:bottom w:w="59" w:type="dxa"/>
              <w:right w:w="117" w:type="dxa"/>
            </w:tcMar>
            <w:hideMark/>
          </w:tcPr>
          <w:p w14:paraId="457E478D" w14:textId="77777777" w:rsidR="00CA3C50" w:rsidRPr="009952D4" w:rsidRDefault="00CA3C50">
            <w:pPr>
              <w:pStyle w:val="DJCSbody"/>
              <w:spacing w:before="0" w:after="0"/>
              <w:ind w:left="0"/>
              <w:rPr>
                <w:sz w:val="20"/>
              </w:rPr>
            </w:pPr>
            <w:r w:rsidRPr="009952D4">
              <w:rPr>
                <w:sz w:val="20"/>
              </w:rPr>
              <w:t>6.5% of total debt</w:t>
            </w:r>
          </w:p>
        </w:tc>
      </w:tr>
      <w:tr w:rsidR="00CA3C50" w:rsidRPr="009952D4" w14:paraId="210BABF4" w14:textId="77777777">
        <w:trPr>
          <w:trHeight w:val="288"/>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hideMark/>
          </w:tcPr>
          <w:p w14:paraId="4611BBC9" w14:textId="77777777" w:rsidR="00CA3C50" w:rsidRPr="009952D4" w:rsidRDefault="00CA3C50">
            <w:pPr>
              <w:pStyle w:val="DJCSbody"/>
              <w:spacing w:before="0" w:after="0"/>
              <w:ind w:left="11"/>
              <w:rPr>
                <w:sz w:val="20"/>
              </w:rPr>
            </w:pPr>
            <w:r w:rsidRPr="009952D4">
              <w:rPr>
                <w:b/>
                <w:bCs/>
                <w:sz w:val="20"/>
              </w:rPr>
              <w:t>Total debt recovered (Stage 1A-3)</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hideMark/>
          </w:tcPr>
          <w:p w14:paraId="315DE53D" w14:textId="02A3576F" w:rsidR="00CA3C50" w:rsidRPr="009952D4" w:rsidRDefault="00CA3C50">
            <w:pPr>
              <w:pStyle w:val="DJCSbody"/>
              <w:spacing w:before="0" w:after="0"/>
              <w:ind w:left="3"/>
              <w:jc w:val="center"/>
              <w:rPr>
                <w:sz w:val="20"/>
              </w:rPr>
            </w:pPr>
            <w:r w:rsidRPr="009952D4">
              <w:rPr>
                <w:sz w:val="20"/>
              </w:rPr>
              <w:t>5</w:t>
            </w:r>
            <w:r w:rsidR="004D6792">
              <w:rPr>
                <w:sz w:val="20"/>
              </w:rPr>
              <w:t>3,245</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hideMark/>
          </w:tcPr>
          <w:p w14:paraId="7A30191E" w14:textId="726D8223" w:rsidR="00CA3C50" w:rsidRPr="009952D4" w:rsidRDefault="00CA3C50">
            <w:pPr>
              <w:pStyle w:val="DJCSbody"/>
              <w:spacing w:before="0" w:after="0"/>
              <w:ind w:left="65"/>
              <w:jc w:val="center"/>
              <w:rPr>
                <w:sz w:val="20"/>
              </w:rPr>
            </w:pPr>
            <w:r w:rsidRPr="009952D4">
              <w:rPr>
                <w:sz w:val="20"/>
              </w:rPr>
              <w:t>$</w:t>
            </w:r>
            <w:r>
              <w:rPr>
                <w:sz w:val="20"/>
              </w:rPr>
              <w:t>6</w:t>
            </w:r>
            <w:r w:rsidR="002059C4">
              <w:rPr>
                <w:sz w:val="20"/>
              </w:rPr>
              <w:t>5.2</w:t>
            </w:r>
            <w:r>
              <w:rPr>
                <w:sz w:val="20"/>
              </w:rPr>
              <w:t>m</w:t>
            </w:r>
          </w:p>
        </w:tc>
        <w:tc>
          <w:tcPr>
            <w:tcW w:w="2454" w:type="dxa"/>
            <w:gridSpan w:val="3"/>
            <w:tcBorders>
              <w:top w:val="single" w:sz="8" w:space="0" w:color="1E5897"/>
              <w:left w:val="nil"/>
              <w:bottom w:val="single" w:sz="8" w:space="0" w:color="1E5897"/>
              <w:right w:val="single" w:sz="4" w:space="0" w:color="00529B" w:themeColor="accent2"/>
            </w:tcBorders>
            <w:shd w:val="clear" w:color="auto" w:fill="CAF2FF"/>
            <w:tcMar>
              <w:top w:w="59" w:type="dxa"/>
              <w:left w:w="117" w:type="dxa"/>
              <w:bottom w:w="59" w:type="dxa"/>
              <w:right w:w="117" w:type="dxa"/>
            </w:tcMar>
            <w:hideMark/>
          </w:tcPr>
          <w:p w14:paraId="22408A70" w14:textId="77777777" w:rsidR="00CA3C50" w:rsidRPr="009952D4" w:rsidRDefault="00CA3C50">
            <w:pPr>
              <w:pStyle w:val="DJCSbody"/>
              <w:spacing w:before="0" w:after="0"/>
              <w:rPr>
                <w:sz w:val="20"/>
              </w:rPr>
            </w:pPr>
            <w:r w:rsidRPr="009952D4">
              <w:rPr>
                <w:b/>
                <w:bCs/>
                <w:sz w:val="20"/>
              </w:rPr>
              <w:t>96.5%</w:t>
            </w:r>
          </w:p>
        </w:tc>
      </w:tr>
      <w:tr w:rsidR="00CA3C50" w:rsidRPr="009952D4" w14:paraId="315050AC" w14:textId="77777777">
        <w:trPr>
          <w:trHeight w:val="288"/>
        </w:trPr>
        <w:tc>
          <w:tcPr>
            <w:tcW w:w="4221" w:type="dxa"/>
            <w:gridSpan w:val="2"/>
            <w:tcBorders>
              <w:top w:val="single" w:sz="8" w:space="0" w:color="1E5897"/>
              <w:left w:val="single" w:sz="8" w:space="0" w:color="1E5897"/>
              <w:bottom w:val="single" w:sz="8" w:space="0" w:color="1E5897"/>
              <w:right w:val="nil"/>
            </w:tcBorders>
            <w:shd w:val="clear" w:color="auto" w:fill="D9D9D9" w:themeFill="background1" w:themeFillShade="D9"/>
            <w:tcMar>
              <w:top w:w="59" w:type="dxa"/>
              <w:left w:w="117" w:type="dxa"/>
              <w:bottom w:w="59" w:type="dxa"/>
              <w:right w:w="117" w:type="dxa"/>
            </w:tcMar>
          </w:tcPr>
          <w:p w14:paraId="57D06B22" w14:textId="77777777" w:rsidR="00CA3C50" w:rsidRPr="00F92A5F" w:rsidRDefault="00CA3C50">
            <w:pPr>
              <w:pStyle w:val="DJCSbody"/>
              <w:spacing w:before="0" w:after="0"/>
              <w:ind w:left="11"/>
              <w:rPr>
                <w:b/>
                <w:bCs/>
                <w:i/>
                <w:iCs/>
                <w:sz w:val="20"/>
              </w:rPr>
            </w:pPr>
            <w:r w:rsidRPr="00F92A5F">
              <w:rPr>
                <w:b/>
                <w:bCs/>
                <w:i/>
                <w:iCs/>
                <w:sz w:val="20"/>
              </w:rPr>
              <w:t>Hardship provision</w:t>
            </w:r>
          </w:p>
        </w:tc>
        <w:tc>
          <w:tcPr>
            <w:tcW w:w="1770" w:type="dxa"/>
            <w:gridSpan w:val="2"/>
            <w:tcBorders>
              <w:top w:val="single" w:sz="8" w:space="0" w:color="1E5897"/>
              <w:left w:val="nil"/>
              <w:bottom w:val="single" w:sz="8" w:space="0" w:color="1E5897"/>
              <w:right w:val="nil"/>
            </w:tcBorders>
            <w:shd w:val="clear" w:color="auto" w:fill="D9D9D9" w:themeFill="background1" w:themeFillShade="D9"/>
            <w:tcMar>
              <w:top w:w="59" w:type="dxa"/>
              <w:left w:w="117" w:type="dxa"/>
              <w:bottom w:w="59" w:type="dxa"/>
              <w:right w:w="117" w:type="dxa"/>
            </w:tcMar>
          </w:tcPr>
          <w:p w14:paraId="71AAD9BB" w14:textId="77777777" w:rsidR="00CA3C50" w:rsidRPr="009952D4" w:rsidRDefault="00CA3C50">
            <w:pPr>
              <w:pStyle w:val="DJCSbody"/>
              <w:spacing w:before="0" w:after="0"/>
              <w:ind w:left="3"/>
              <w:rPr>
                <w:sz w:val="20"/>
              </w:rPr>
            </w:pPr>
          </w:p>
        </w:tc>
        <w:tc>
          <w:tcPr>
            <w:tcW w:w="1750" w:type="dxa"/>
            <w:tcBorders>
              <w:top w:val="single" w:sz="8" w:space="0" w:color="1E5897"/>
              <w:left w:val="nil"/>
              <w:bottom w:val="single" w:sz="8" w:space="0" w:color="1E5897"/>
              <w:right w:val="nil"/>
            </w:tcBorders>
            <w:shd w:val="clear" w:color="auto" w:fill="D9D9D9" w:themeFill="background1" w:themeFillShade="D9"/>
            <w:tcMar>
              <w:top w:w="59" w:type="dxa"/>
              <w:left w:w="117" w:type="dxa"/>
              <w:bottom w:w="59" w:type="dxa"/>
              <w:right w:w="117" w:type="dxa"/>
            </w:tcMar>
          </w:tcPr>
          <w:p w14:paraId="426FC7BB" w14:textId="77777777" w:rsidR="00CA3C50" w:rsidRPr="009952D4" w:rsidRDefault="00CA3C50">
            <w:pPr>
              <w:pStyle w:val="DJCSbody"/>
              <w:spacing w:before="0" w:after="0"/>
              <w:ind w:left="65"/>
              <w:rPr>
                <w:sz w:val="20"/>
              </w:rPr>
            </w:pPr>
          </w:p>
        </w:tc>
        <w:tc>
          <w:tcPr>
            <w:tcW w:w="2454" w:type="dxa"/>
            <w:gridSpan w:val="3"/>
            <w:tcBorders>
              <w:top w:val="single" w:sz="8" w:space="0" w:color="1E5897"/>
              <w:left w:val="nil"/>
              <w:bottom w:val="single" w:sz="8" w:space="0" w:color="1E5897"/>
              <w:right w:val="single" w:sz="4" w:space="0" w:color="00529B" w:themeColor="accent2"/>
            </w:tcBorders>
            <w:shd w:val="clear" w:color="auto" w:fill="D9D9D9" w:themeFill="background1" w:themeFillShade="D9"/>
            <w:tcMar>
              <w:top w:w="59" w:type="dxa"/>
              <w:left w:w="117" w:type="dxa"/>
              <w:bottom w:w="59" w:type="dxa"/>
              <w:right w:w="117" w:type="dxa"/>
            </w:tcMar>
          </w:tcPr>
          <w:p w14:paraId="554E20E2" w14:textId="77777777" w:rsidR="00CA3C50" w:rsidRPr="009952D4" w:rsidRDefault="00CA3C50">
            <w:pPr>
              <w:pStyle w:val="DJCSbody"/>
              <w:spacing w:before="0" w:after="0"/>
              <w:rPr>
                <w:b/>
                <w:bCs/>
                <w:sz w:val="20"/>
              </w:rPr>
            </w:pPr>
          </w:p>
        </w:tc>
      </w:tr>
      <w:tr w:rsidR="00CA3C50" w:rsidRPr="009952D4" w14:paraId="0D610132" w14:textId="77777777">
        <w:trPr>
          <w:trHeight w:val="288"/>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tcPr>
          <w:p w14:paraId="7133B6C4" w14:textId="77777777" w:rsidR="00CA3C50" w:rsidRPr="009952D4" w:rsidRDefault="00CA3C50">
            <w:pPr>
              <w:pStyle w:val="DJCSbody"/>
              <w:spacing w:before="0" w:after="0"/>
              <w:ind w:left="11"/>
              <w:jc w:val="left"/>
              <w:rPr>
                <w:b/>
                <w:bCs/>
                <w:sz w:val="20"/>
              </w:rPr>
            </w:pPr>
            <w:r>
              <w:rPr>
                <w:b/>
                <w:bCs/>
                <w:sz w:val="20"/>
              </w:rPr>
              <w:lastRenderedPageBreak/>
              <w:t>Total debt recovered from hardship provision that would otherwise be written off</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tcPr>
          <w:p w14:paraId="67F766B3" w14:textId="4F5DFBE4" w:rsidR="00CA3C50" w:rsidRPr="009952D4" w:rsidRDefault="00CA3C50">
            <w:pPr>
              <w:pStyle w:val="DJCSbody"/>
              <w:spacing w:before="0" w:after="0"/>
              <w:ind w:left="3"/>
              <w:jc w:val="center"/>
              <w:rPr>
                <w:sz w:val="20"/>
              </w:rPr>
            </w:pPr>
            <w:r>
              <w:rPr>
                <w:sz w:val="20"/>
              </w:rPr>
              <w:t>6</w:t>
            </w:r>
            <w:r w:rsidR="009D5980">
              <w:rPr>
                <w:sz w:val="20"/>
              </w:rPr>
              <w:t>9</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tcPr>
          <w:p w14:paraId="192BD7A4" w14:textId="77777777" w:rsidR="00CA3C50" w:rsidRPr="009952D4" w:rsidRDefault="00CA3C50">
            <w:pPr>
              <w:pStyle w:val="DJCSbody"/>
              <w:spacing w:before="0" w:after="0"/>
              <w:ind w:left="65"/>
              <w:jc w:val="center"/>
              <w:rPr>
                <w:sz w:val="20"/>
              </w:rPr>
            </w:pPr>
            <w:r>
              <w:rPr>
                <w:sz w:val="20"/>
              </w:rPr>
              <w:t>$0.1m</w:t>
            </w:r>
          </w:p>
        </w:tc>
        <w:tc>
          <w:tcPr>
            <w:tcW w:w="2454" w:type="dxa"/>
            <w:gridSpan w:val="3"/>
            <w:tcBorders>
              <w:top w:val="single" w:sz="8" w:space="0" w:color="1E5897"/>
              <w:left w:val="nil"/>
              <w:bottom w:val="single" w:sz="8" w:space="0" w:color="1E5897"/>
              <w:right w:val="single" w:sz="4" w:space="0" w:color="auto"/>
            </w:tcBorders>
            <w:tcMar>
              <w:top w:w="59" w:type="dxa"/>
              <w:left w:w="117" w:type="dxa"/>
              <w:bottom w:w="59" w:type="dxa"/>
              <w:right w:w="117" w:type="dxa"/>
            </w:tcMar>
          </w:tcPr>
          <w:p w14:paraId="41FC76A9" w14:textId="77777777" w:rsidR="00CA3C50" w:rsidRPr="003C6052" w:rsidRDefault="00CA3C50">
            <w:pPr>
              <w:pStyle w:val="DJCSbody"/>
              <w:spacing w:before="0" w:after="0"/>
              <w:ind w:left="0"/>
              <w:jc w:val="left"/>
              <w:rPr>
                <w:sz w:val="20"/>
              </w:rPr>
            </w:pPr>
            <w:r w:rsidRPr="003C6052">
              <w:rPr>
                <w:sz w:val="20"/>
              </w:rPr>
              <w:t>0.1% of total debt (96.6% cumulative</w:t>
            </w:r>
            <w:r>
              <w:rPr>
                <w:sz w:val="20"/>
              </w:rPr>
              <w:t>)</w:t>
            </w:r>
          </w:p>
        </w:tc>
      </w:tr>
      <w:tr w:rsidR="008548CD" w:rsidRPr="009952D4" w14:paraId="60D1F8A5" w14:textId="77777777" w:rsidTr="008E7AE6">
        <w:trPr>
          <w:trHeight w:val="288"/>
        </w:trPr>
        <w:tc>
          <w:tcPr>
            <w:tcW w:w="4221" w:type="dxa"/>
            <w:gridSpan w:val="2"/>
            <w:tcBorders>
              <w:top w:val="single" w:sz="8" w:space="0" w:color="1E5897"/>
              <w:left w:val="single" w:sz="8" w:space="0" w:color="1E5897"/>
              <w:bottom w:val="single" w:sz="8" w:space="0" w:color="1E5897"/>
              <w:right w:val="nil"/>
            </w:tcBorders>
            <w:shd w:val="clear" w:color="auto" w:fill="C2C2C2" w:themeFill="background2" w:themeFillShade="E6"/>
            <w:tcMar>
              <w:top w:w="59" w:type="dxa"/>
              <w:left w:w="117" w:type="dxa"/>
              <w:bottom w:w="59" w:type="dxa"/>
              <w:right w:w="117" w:type="dxa"/>
            </w:tcMar>
          </w:tcPr>
          <w:p w14:paraId="6C9DD011" w14:textId="70D5AA7D" w:rsidR="008548CD" w:rsidRPr="009952D4" w:rsidRDefault="008548CD">
            <w:pPr>
              <w:pStyle w:val="DJCSbody"/>
              <w:spacing w:before="0" w:after="0"/>
              <w:ind w:left="11"/>
              <w:jc w:val="left"/>
              <w:rPr>
                <w:b/>
                <w:bCs/>
                <w:sz w:val="20"/>
              </w:rPr>
            </w:pPr>
            <w:r>
              <w:rPr>
                <w:b/>
                <w:bCs/>
                <w:i/>
                <w:iCs/>
                <w:sz w:val="20"/>
              </w:rPr>
              <w:t>Debt recovery</w:t>
            </w:r>
            <w:r w:rsidRPr="009952D4">
              <w:rPr>
                <w:b/>
                <w:bCs/>
                <w:i/>
                <w:iCs/>
                <w:sz w:val="20"/>
              </w:rPr>
              <w:t xml:space="preserve"> </w:t>
            </w:r>
            <w:r>
              <w:rPr>
                <w:b/>
                <w:bCs/>
                <w:i/>
                <w:iCs/>
                <w:sz w:val="20"/>
              </w:rPr>
              <w:t>(initial estimate of 1</w:t>
            </w:r>
            <w:r w:rsidRPr="00824147">
              <w:rPr>
                <w:b/>
                <w:bCs/>
                <w:i/>
                <w:iCs/>
                <w:sz w:val="20"/>
                <w:vertAlign w:val="superscript"/>
              </w:rPr>
              <w:t>st</w:t>
            </w:r>
            <w:r>
              <w:rPr>
                <w:b/>
                <w:bCs/>
                <w:i/>
                <w:iCs/>
                <w:sz w:val="20"/>
              </w:rPr>
              <w:t xml:space="preserve"> year)</w:t>
            </w:r>
          </w:p>
        </w:tc>
        <w:tc>
          <w:tcPr>
            <w:tcW w:w="1770" w:type="dxa"/>
            <w:gridSpan w:val="2"/>
            <w:tcBorders>
              <w:top w:val="single" w:sz="8" w:space="0" w:color="1E5897"/>
              <w:left w:val="nil"/>
              <w:bottom w:val="single" w:sz="8" w:space="0" w:color="1E5897"/>
              <w:right w:val="nil"/>
            </w:tcBorders>
            <w:shd w:val="clear" w:color="auto" w:fill="C2C2C2" w:themeFill="background2" w:themeFillShade="E6"/>
            <w:tcMar>
              <w:top w:w="59" w:type="dxa"/>
              <w:left w:w="117" w:type="dxa"/>
              <w:bottom w:w="59" w:type="dxa"/>
              <w:right w:w="117" w:type="dxa"/>
            </w:tcMar>
          </w:tcPr>
          <w:p w14:paraId="7D441927" w14:textId="77777777" w:rsidR="008548CD" w:rsidRPr="009952D4" w:rsidRDefault="008548CD">
            <w:pPr>
              <w:pStyle w:val="DJCSbody"/>
              <w:spacing w:before="0" w:after="0"/>
              <w:ind w:left="3"/>
              <w:jc w:val="center"/>
              <w:rPr>
                <w:sz w:val="20"/>
              </w:rPr>
            </w:pPr>
          </w:p>
        </w:tc>
        <w:tc>
          <w:tcPr>
            <w:tcW w:w="1750" w:type="dxa"/>
            <w:tcBorders>
              <w:top w:val="single" w:sz="8" w:space="0" w:color="1E5897"/>
              <w:left w:val="nil"/>
              <w:bottom w:val="single" w:sz="8" w:space="0" w:color="1E5897"/>
              <w:right w:val="nil"/>
            </w:tcBorders>
            <w:shd w:val="clear" w:color="auto" w:fill="C2C2C2" w:themeFill="background2" w:themeFillShade="E6"/>
            <w:tcMar>
              <w:top w:w="59" w:type="dxa"/>
              <w:left w:w="117" w:type="dxa"/>
              <w:bottom w:w="59" w:type="dxa"/>
              <w:right w:w="117" w:type="dxa"/>
            </w:tcMar>
          </w:tcPr>
          <w:p w14:paraId="3885EC79" w14:textId="77777777" w:rsidR="008548CD" w:rsidRPr="009952D4" w:rsidRDefault="008548CD">
            <w:pPr>
              <w:pStyle w:val="DJCSbody"/>
              <w:spacing w:before="0" w:after="0"/>
              <w:ind w:left="65"/>
              <w:jc w:val="center"/>
              <w:rPr>
                <w:sz w:val="20"/>
              </w:rPr>
            </w:pPr>
          </w:p>
        </w:tc>
        <w:tc>
          <w:tcPr>
            <w:tcW w:w="2454" w:type="dxa"/>
            <w:gridSpan w:val="3"/>
            <w:tcBorders>
              <w:top w:val="single" w:sz="8" w:space="0" w:color="1E5897"/>
              <w:left w:val="nil"/>
              <w:bottom w:val="single" w:sz="8" w:space="0" w:color="1E5897"/>
              <w:right w:val="single" w:sz="4" w:space="0" w:color="auto"/>
            </w:tcBorders>
            <w:shd w:val="clear" w:color="auto" w:fill="C2C2C2" w:themeFill="background2" w:themeFillShade="E6"/>
            <w:tcMar>
              <w:top w:w="59" w:type="dxa"/>
              <w:left w:w="117" w:type="dxa"/>
              <w:bottom w:w="59" w:type="dxa"/>
              <w:right w:w="117" w:type="dxa"/>
            </w:tcMar>
          </w:tcPr>
          <w:p w14:paraId="04CDA8D0" w14:textId="77777777" w:rsidR="008548CD" w:rsidRPr="009952D4" w:rsidRDefault="008548CD">
            <w:pPr>
              <w:pStyle w:val="DJCSbody"/>
              <w:spacing w:before="0" w:after="0"/>
              <w:ind w:left="0"/>
              <w:jc w:val="center"/>
              <w:rPr>
                <w:b/>
                <w:bCs/>
                <w:sz w:val="20"/>
              </w:rPr>
            </w:pPr>
          </w:p>
        </w:tc>
      </w:tr>
      <w:tr w:rsidR="00CA3C50" w:rsidRPr="009952D4" w14:paraId="7DB46616" w14:textId="77777777">
        <w:trPr>
          <w:trHeight w:val="288"/>
        </w:trPr>
        <w:tc>
          <w:tcPr>
            <w:tcW w:w="4221" w:type="dxa"/>
            <w:gridSpan w:val="2"/>
            <w:tcBorders>
              <w:top w:val="single" w:sz="8" w:space="0" w:color="1E5897"/>
              <w:left w:val="single" w:sz="8" w:space="0" w:color="1E5897"/>
              <w:bottom w:val="single" w:sz="8" w:space="0" w:color="1E5897"/>
              <w:right w:val="nil"/>
            </w:tcBorders>
            <w:tcMar>
              <w:top w:w="59" w:type="dxa"/>
              <w:left w:w="117" w:type="dxa"/>
              <w:bottom w:w="59" w:type="dxa"/>
              <w:right w:w="117" w:type="dxa"/>
            </w:tcMar>
          </w:tcPr>
          <w:p w14:paraId="5D779FCC" w14:textId="77777777" w:rsidR="00CA3C50" w:rsidRDefault="00CA3C50">
            <w:pPr>
              <w:pStyle w:val="DJCSbody"/>
              <w:spacing w:before="0" w:after="0"/>
              <w:ind w:left="11"/>
              <w:jc w:val="left"/>
              <w:rPr>
                <w:b/>
                <w:bCs/>
                <w:sz w:val="20"/>
              </w:rPr>
            </w:pPr>
            <w:r w:rsidRPr="009952D4">
              <w:rPr>
                <w:b/>
                <w:bCs/>
                <w:sz w:val="20"/>
              </w:rPr>
              <w:t>Total debt recovered (Stage 1A-3)</w:t>
            </w:r>
          </w:p>
        </w:tc>
        <w:tc>
          <w:tcPr>
            <w:tcW w:w="1770" w:type="dxa"/>
            <w:gridSpan w:val="2"/>
            <w:tcBorders>
              <w:top w:val="single" w:sz="8" w:space="0" w:color="1E5897"/>
              <w:left w:val="nil"/>
              <w:bottom w:val="single" w:sz="8" w:space="0" w:color="1E5897"/>
              <w:right w:val="nil"/>
            </w:tcBorders>
            <w:tcMar>
              <w:top w:w="59" w:type="dxa"/>
              <w:left w:w="117" w:type="dxa"/>
              <w:bottom w:w="59" w:type="dxa"/>
              <w:right w:w="117" w:type="dxa"/>
            </w:tcMar>
          </w:tcPr>
          <w:p w14:paraId="513A3DA2" w14:textId="63952701" w:rsidR="00CA3C50" w:rsidRPr="009952D4" w:rsidRDefault="00CA3C50">
            <w:pPr>
              <w:pStyle w:val="DJCSbody"/>
              <w:spacing w:before="0" w:after="0"/>
              <w:ind w:left="3"/>
              <w:jc w:val="center"/>
              <w:rPr>
                <w:sz w:val="20"/>
              </w:rPr>
            </w:pPr>
            <w:r w:rsidRPr="009952D4">
              <w:rPr>
                <w:sz w:val="20"/>
              </w:rPr>
              <w:t>5</w:t>
            </w:r>
            <w:r w:rsidR="00086361">
              <w:rPr>
                <w:sz w:val="20"/>
              </w:rPr>
              <w:t>3,314</w:t>
            </w:r>
          </w:p>
        </w:tc>
        <w:tc>
          <w:tcPr>
            <w:tcW w:w="1750" w:type="dxa"/>
            <w:tcBorders>
              <w:top w:val="single" w:sz="8" w:space="0" w:color="1E5897"/>
              <w:left w:val="nil"/>
              <w:bottom w:val="single" w:sz="8" w:space="0" w:color="1E5897"/>
              <w:right w:val="nil"/>
            </w:tcBorders>
            <w:tcMar>
              <w:top w:w="59" w:type="dxa"/>
              <w:left w:w="117" w:type="dxa"/>
              <w:bottom w:w="59" w:type="dxa"/>
              <w:right w:w="117" w:type="dxa"/>
            </w:tcMar>
          </w:tcPr>
          <w:p w14:paraId="425B589A" w14:textId="76B2377A" w:rsidR="00CA3C50" w:rsidRPr="009952D4" w:rsidRDefault="00CA3C50">
            <w:pPr>
              <w:pStyle w:val="DJCSbody"/>
              <w:spacing w:before="0" w:after="0"/>
              <w:ind w:left="65"/>
              <w:jc w:val="center"/>
              <w:rPr>
                <w:sz w:val="20"/>
              </w:rPr>
            </w:pPr>
            <w:r w:rsidRPr="009952D4">
              <w:rPr>
                <w:sz w:val="20"/>
              </w:rPr>
              <w:t>$</w:t>
            </w:r>
            <w:r>
              <w:rPr>
                <w:sz w:val="20"/>
              </w:rPr>
              <w:t>6</w:t>
            </w:r>
            <w:r w:rsidR="002059C4">
              <w:rPr>
                <w:sz w:val="20"/>
              </w:rPr>
              <w:t>5</w:t>
            </w:r>
            <w:r>
              <w:rPr>
                <w:sz w:val="20"/>
              </w:rPr>
              <w:t>.</w:t>
            </w:r>
            <w:r w:rsidR="002059C4">
              <w:rPr>
                <w:sz w:val="20"/>
              </w:rPr>
              <w:t>3</w:t>
            </w:r>
            <w:r>
              <w:rPr>
                <w:sz w:val="20"/>
              </w:rPr>
              <w:t>m</w:t>
            </w:r>
          </w:p>
        </w:tc>
        <w:tc>
          <w:tcPr>
            <w:tcW w:w="2454" w:type="dxa"/>
            <w:gridSpan w:val="3"/>
            <w:tcBorders>
              <w:top w:val="single" w:sz="8" w:space="0" w:color="1E5897"/>
              <w:left w:val="nil"/>
              <w:bottom w:val="single" w:sz="8" w:space="0" w:color="1E5897"/>
              <w:right w:val="single" w:sz="4" w:space="0" w:color="auto"/>
            </w:tcBorders>
            <w:shd w:val="clear" w:color="auto" w:fill="C0E8FF" w:themeFill="accent1" w:themeFillTint="33"/>
            <w:tcMar>
              <w:top w:w="59" w:type="dxa"/>
              <w:left w:w="117" w:type="dxa"/>
              <w:bottom w:w="59" w:type="dxa"/>
              <w:right w:w="117" w:type="dxa"/>
            </w:tcMar>
          </w:tcPr>
          <w:p w14:paraId="4562E33D" w14:textId="77777777" w:rsidR="00CA3C50" w:rsidRPr="003C6052" w:rsidRDefault="00CA3C50">
            <w:pPr>
              <w:pStyle w:val="DJCSbody"/>
              <w:spacing w:before="0" w:after="0"/>
              <w:ind w:left="0"/>
              <w:jc w:val="center"/>
              <w:rPr>
                <w:sz w:val="20"/>
              </w:rPr>
            </w:pPr>
            <w:r w:rsidRPr="009952D4">
              <w:rPr>
                <w:b/>
                <w:bCs/>
                <w:sz w:val="20"/>
              </w:rPr>
              <w:t>96.</w:t>
            </w:r>
            <w:r>
              <w:rPr>
                <w:b/>
                <w:bCs/>
                <w:sz w:val="20"/>
              </w:rPr>
              <w:t>6</w:t>
            </w:r>
            <w:r w:rsidRPr="009952D4">
              <w:rPr>
                <w:b/>
                <w:bCs/>
                <w:sz w:val="20"/>
              </w:rPr>
              <w:t>%</w:t>
            </w:r>
          </w:p>
        </w:tc>
      </w:tr>
      <w:tr w:rsidR="00CA3C50" w:rsidRPr="009952D4" w14:paraId="490F9D9D" w14:textId="77777777" w:rsidTr="008E7AE6">
        <w:trPr>
          <w:trHeight w:val="16"/>
        </w:trPr>
        <w:tc>
          <w:tcPr>
            <w:tcW w:w="4221" w:type="dxa"/>
            <w:gridSpan w:val="2"/>
            <w:tcBorders>
              <w:top w:val="single" w:sz="8" w:space="0" w:color="1E5897"/>
              <w:left w:val="single" w:sz="8" w:space="0" w:color="1E5897"/>
              <w:bottom w:val="single" w:sz="4" w:space="0" w:color="00338D"/>
              <w:right w:val="nil"/>
            </w:tcBorders>
            <w:shd w:val="clear" w:color="auto" w:fill="FFFFFF"/>
            <w:tcMar>
              <w:top w:w="59" w:type="dxa"/>
              <w:left w:w="117" w:type="dxa"/>
              <w:bottom w:w="59" w:type="dxa"/>
              <w:right w:w="117" w:type="dxa"/>
            </w:tcMar>
            <w:hideMark/>
          </w:tcPr>
          <w:p w14:paraId="24CC0C1F" w14:textId="3F4EE34C" w:rsidR="00CA3C50" w:rsidRPr="009952D4" w:rsidRDefault="00CA3C50">
            <w:pPr>
              <w:pStyle w:val="DJCSbody"/>
              <w:spacing w:before="0" w:after="0"/>
              <w:ind w:left="0"/>
              <w:jc w:val="left"/>
              <w:rPr>
                <w:sz w:val="20"/>
              </w:rPr>
            </w:pPr>
            <w:r w:rsidRPr="009952D4">
              <w:rPr>
                <w:b/>
                <w:bCs/>
                <w:sz w:val="20"/>
              </w:rPr>
              <w:t xml:space="preserve">Outstanding unrecovered debts </w:t>
            </w:r>
            <w:r w:rsidR="007B5E12">
              <w:rPr>
                <w:b/>
                <w:bCs/>
                <w:sz w:val="20"/>
              </w:rPr>
              <w:t>(initial estimate of 1</w:t>
            </w:r>
            <w:r w:rsidR="007B5E12" w:rsidRPr="008E7AE6">
              <w:rPr>
                <w:b/>
                <w:bCs/>
                <w:sz w:val="20"/>
                <w:vertAlign w:val="superscript"/>
              </w:rPr>
              <w:t>st</w:t>
            </w:r>
            <w:r w:rsidR="007B5E12">
              <w:rPr>
                <w:b/>
                <w:bCs/>
                <w:sz w:val="20"/>
              </w:rPr>
              <w:t xml:space="preserve"> year</w:t>
            </w:r>
            <w:r w:rsidR="00BB1C25">
              <w:rPr>
                <w:b/>
                <w:bCs/>
                <w:sz w:val="20"/>
              </w:rPr>
              <w:t xml:space="preserve"> of bond transfers</w:t>
            </w:r>
            <w:r w:rsidR="007B5E12">
              <w:rPr>
                <w:b/>
                <w:bCs/>
                <w:sz w:val="20"/>
              </w:rPr>
              <w:t>)</w:t>
            </w:r>
          </w:p>
        </w:tc>
        <w:tc>
          <w:tcPr>
            <w:tcW w:w="1770" w:type="dxa"/>
            <w:gridSpan w:val="2"/>
            <w:tcBorders>
              <w:top w:val="single" w:sz="8" w:space="0" w:color="1E5897"/>
              <w:left w:val="nil"/>
              <w:bottom w:val="single" w:sz="4" w:space="0" w:color="00338D"/>
              <w:right w:val="nil"/>
            </w:tcBorders>
            <w:shd w:val="clear" w:color="auto" w:fill="FFFFFF"/>
            <w:tcMar>
              <w:top w:w="59" w:type="dxa"/>
              <w:left w:w="117" w:type="dxa"/>
              <w:bottom w:w="59" w:type="dxa"/>
              <w:right w:w="117" w:type="dxa"/>
            </w:tcMar>
            <w:hideMark/>
          </w:tcPr>
          <w:p w14:paraId="42F9D329" w14:textId="5072B652" w:rsidR="00CA3C50" w:rsidRPr="009952D4" w:rsidRDefault="00CA3C50">
            <w:pPr>
              <w:pStyle w:val="DJCSbody"/>
              <w:spacing w:before="0" w:after="0"/>
              <w:ind w:left="0"/>
              <w:jc w:val="center"/>
              <w:rPr>
                <w:sz w:val="20"/>
              </w:rPr>
            </w:pPr>
            <w:r>
              <w:rPr>
                <w:sz w:val="20"/>
              </w:rPr>
              <w:t>1,</w:t>
            </w:r>
            <w:r w:rsidR="00C81E02">
              <w:rPr>
                <w:sz w:val="20"/>
              </w:rPr>
              <w:t>86</w:t>
            </w:r>
            <w:r w:rsidR="00CB7752">
              <w:rPr>
                <w:sz w:val="20"/>
              </w:rPr>
              <w:t>2</w:t>
            </w:r>
          </w:p>
        </w:tc>
        <w:tc>
          <w:tcPr>
            <w:tcW w:w="1750" w:type="dxa"/>
            <w:tcBorders>
              <w:top w:val="single" w:sz="8" w:space="0" w:color="1E5897"/>
              <w:left w:val="nil"/>
              <w:bottom w:val="single" w:sz="4" w:space="0" w:color="00338D"/>
              <w:right w:val="nil"/>
            </w:tcBorders>
            <w:shd w:val="clear" w:color="auto" w:fill="FFFFFF" w:themeFill="background1"/>
            <w:tcMar>
              <w:top w:w="59" w:type="dxa"/>
              <w:left w:w="117" w:type="dxa"/>
              <w:bottom w:w="59" w:type="dxa"/>
              <w:right w:w="117" w:type="dxa"/>
            </w:tcMar>
            <w:hideMark/>
          </w:tcPr>
          <w:p w14:paraId="052693D4" w14:textId="608C3499" w:rsidR="00CA3C50" w:rsidRPr="00B9051A" w:rsidRDefault="00CA3C50">
            <w:pPr>
              <w:pStyle w:val="DJCSbody"/>
              <w:spacing w:before="0" w:after="0"/>
              <w:ind w:left="0"/>
              <w:jc w:val="center"/>
              <w:rPr>
                <w:sz w:val="20"/>
              </w:rPr>
            </w:pPr>
            <w:r w:rsidRPr="008E7AE6">
              <w:rPr>
                <w:sz w:val="20"/>
              </w:rPr>
              <w:t>~$2.</w:t>
            </w:r>
            <w:r w:rsidR="002059C4" w:rsidRPr="008E7AE6">
              <w:rPr>
                <w:sz w:val="20"/>
              </w:rPr>
              <w:t>7</w:t>
            </w:r>
            <w:r w:rsidRPr="008E7AE6">
              <w:rPr>
                <w:sz w:val="20"/>
              </w:rPr>
              <w:t>m</w:t>
            </w:r>
            <w:r w:rsidR="00C721AB" w:rsidRPr="008E7AE6">
              <w:rPr>
                <w:rStyle w:val="FootnoteReference"/>
                <w:sz w:val="20"/>
              </w:rPr>
              <w:footnoteReference w:id="58"/>
            </w:r>
          </w:p>
        </w:tc>
        <w:tc>
          <w:tcPr>
            <w:tcW w:w="2454" w:type="dxa"/>
            <w:gridSpan w:val="3"/>
            <w:tcBorders>
              <w:top w:val="single" w:sz="8" w:space="0" w:color="1E5897"/>
              <w:left w:val="nil"/>
              <w:bottom w:val="single" w:sz="4" w:space="0" w:color="00338D"/>
              <w:right w:val="single" w:sz="4" w:space="0" w:color="00529B" w:themeColor="accent2"/>
            </w:tcBorders>
            <w:shd w:val="clear" w:color="auto" w:fill="C0E8FF" w:themeFill="accent1" w:themeFillTint="33"/>
            <w:tcMar>
              <w:top w:w="59" w:type="dxa"/>
              <w:left w:w="117" w:type="dxa"/>
              <w:bottom w:w="59" w:type="dxa"/>
              <w:right w:w="117" w:type="dxa"/>
            </w:tcMar>
            <w:hideMark/>
          </w:tcPr>
          <w:p w14:paraId="3401EDE1" w14:textId="77777777" w:rsidR="00CA3C50" w:rsidRPr="009952D4" w:rsidRDefault="00CA3C50">
            <w:pPr>
              <w:pStyle w:val="DJCSbody"/>
              <w:spacing w:before="0" w:after="0"/>
              <w:ind w:left="0"/>
              <w:jc w:val="center"/>
              <w:rPr>
                <w:sz w:val="20"/>
              </w:rPr>
            </w:pPr>
            <w:r w:rsidRPr="009952D4">
              <w:rPr>
                <w:b/>
                <w:bCs/>
                <w:sz w:val="20"/>
              </w:rPr>
              <w:t>3.</w:t>
            </w:r>
            <w:r>
              <w:rPr>
                <w:b/>
                <w:bCs/>
                <w:sz w:val="20"/>
              </w:rPr>
              <w:t>4</w:t>
            </w:r>
            <w:r w:rsidRPr="009952D4">
              <w:rPr>
                <w:b/>
                <w:bCs/>
                <w:sz w:val="20"/>
              </w:rPr>
              <w:t>%</w:t>
            </w:r>
          </w:p>
        </w:tc>
      </w:tr>
    </w:tbl>
    <w:p w14:paraId="62A26FEC" w14:textId="3F5DA6E3" w:rsidR="00E07A0F" w:rsidRPr="00C47F66" w:rsidRDefault="00E07A0F" w:rsidP="00E07A0F">
      <w:pPr>
        <w:pStyle w:val="Heading2"/>
      </w:pPr>
      <w:bookmarkStart w:id="83" w:name="_Toc221890911"/>
      <w:bookmarkStart w:id="84" w:name="_Ref219723297"/>
      <w:r w:rsidRPr="00C47F66">
        <w:t>Sensitivity Analysis</w:t>
      </w:r>
      <w:bookmarkEnd w:id="83"/>
      <w:r w:rsidRPr="00C47F66">
        <w:t xml:space="preserve"> </w:t>
      </w:r>
      <w:bookmarkEnd w:id="84"/>
    </w:p>
    <w:p w14:paraId="66E72FFD" w14:textId="77777777" w:rsidR="005C79B4" w:rsidRDefault="005C79B4" w:rsidP="00CA3C50">
      <w:pPr>
        <w:pStyle w:val="Heading3"/>
      </w:pPr>
      <w:r>
        <w:t xml:space="preserve">Timing of debt recovery arrangements </w:t>
      </w:r>
    </w:p>
    <w:p w14:paraId="4E28FD69" w14:textId="6B9B239A" w:rsidR="00F312A5" w:rsidRDefault="005C79B4" w:rsidP="00400895">
      <w:pPr>
        <w:pStyle w:val="DJCSbody"/>
        <w:ind w:left="0"/>
        <w:jc w:val="left"/>
      </w:pPr>
      <w:r>
        <w:t xml:space="preserve">As outlined in </w:t>
      </w:r>
      <w:r w:rsidR="00A24674">
        <w:t>Subchapter</w:t>
      </w:r>
      <w:r w:rsidR="00EF10BC">
        <w:t xml:space="preserve"> </w:t>
      </w:r>
      <w:r w:rsidR="00354CBB">
        <w:fldChar w:fldCharType="begin"/>
      </w:r>
      <w:r w:rsidR="00354CBB">
        <w:instrText xml:space="preserve"> REF _Ref219461365 \r \h </w:instrText>
      </w:r>
      <w:r w:rsidR="00DC0DDB">
        <w:instrText xml:space="preserve"> \* MERGEFORMAT </w:instrText>
      </w:r>
      <w:r w:rsidR="00354CBB">
        <w:fldChar w:fldCharType="separate"/>
      </w:r>
      <w:r w:rsidR="00DC0DDB" w:rsidRPr="00DC0DDB">
        <w:rPr>
          <w:lang w:val="en-US"/>
        </w:rPr>
        <w:t>4.2.1</w:t>
      </w:r>
      <w:r w:rsidR="00A50199" w:rsidRPr="00DC0DDB">
        <w:rPr>
          <w:lang w:val="en-US"/>
        </w:rPr>
        <w:t>.</w:t>
      </w:r>
      <w:r w:rsidR="00354CBB">
        <w:fldChar w:fldCharType="end"/>
      </w:r>
      <w:r w:rsidR="00325905">
        <w:t xml:space="preserve">, the </w:t>
      </w:r>
      <w:r w:rsidR="0098172E">
        <w:t xml:space="preserve">Government </w:t>
      </w:r>
      <w:r w:rsidR="00325905">
        <w:t xml:space="preserve">considered alternative </w:t>
      </w:r>
      <w:r w:rsidR="00743411">
        <w:t xml:space="preserve">approaches </w:t>
      </w:r>
      <w:r w:rsidR="00F312A5">
        <w:t xml:space="preserve">when determining: </w:t>
      </w:r>
    </w:p>
    <w:p w14:paraId="158E92B1" w14:textId="49AE3C78" w:rsidR="005C79B4" w:rsidRDefault="00F312A5" w:rsidP="007822A5">
      <w:pPr>
        <w:pStyle w:val="DJCSbody"/>
        <w:numPr>
          <w:ilvl w:val="0"/>
          <w:numId w:val="39"/>
        </w:numPr>
        <w:jc w:val="left"/>
      </w:pPr>
      <w:r>
        <w:t xml:space="preserve">The minimum period the </w:t>
      </w:r>
      <w:r w:rsidR="0098172E">
        <w:t xml:space="preserve">Government </w:t>
      </w:r>
      <w:r>
        <w:t xml:space="preserve">would seek to recover </w:t>
      </w:r>
      <w:r w:rsidR="00974816">
        <w:t xml:space="preserve">overdue </w:t>
      </w:r>
      <w:r>
        <w:t>debts</w:t>
      </w:r>
      <w:r w:rsidR="00990553">
        <w:t xml:space="preserve"> (Stage 1B)</w:t>
      </w:r>
      <w:r w:rsidR="00400895">
        <w:t>.</w:t>
      </w:r>
    </w:p>
    <w:p w14:paraId="199E5935" w14:textId="4A835FED" w:rsidR="00974816" w:rsidRDefault="00974816" w:rsidP="007822A5">
      <w:pPr>
        <w:pStyle w:val="DJCSbody"/>
        <w:numPr>
          <w:ilvl w:val="0"/>
          <w:numId w:val="39"/>
        </w:numPr>
        <w:jc w:val="left"/>
      </w:pPr>
      <w:r>
        <w:t xml:space="preserve">The </w:t>
      </w:r>
      <w:r w:rsidR="00F2307E">
        <w:t>period</w:t>
      </w:r>
      <w:r>
        <w:t xml:space="preserve"> a </w:t>
      </w:r>
      <w:r w:rsidR="003E50D7">
        <w:t>DCA</w:t>
      </w:r>
      <w:r>
        <w:t xml:space="preserve"> is contracted to </w:t>
      </w:r>
      <w:r w:rsidR="004E71EE">
        <w:t>recover overdue debts</w:t>
      </w:r>
      <w:r w:rsidR="00990553">
        <w:t xml:space="preserve"> (Stage 2)</w:t>
      </w:r>
      <w:r w:rsidR="00400895">
        <w:t>.</w:t>
      </w:r>
    </w:p>
    <w:p w14:paraId="49C9831A" w14:textId="79FFC2AC" w:rsidR="00CA323F" w:rsidRDefault="006B55C7" w:rsidP="00400895">
      <w:pPr>
        <w:pStyle w:val="DJCSbody"/>
        <w:ind w:left="0"/>
        <w:jc w:val="left"/>
      </w:pPr>
      <w:r w:rsidRPr="0040502B">
        <w:t>Th</w:t>
      </w:r>
      <w:r>
        <w:t xml:space="preserve">e </w:t>
      </w:r>
      <w:r w:rsidR="004E71EE">
        <w:t xml:space="preserve">purpose of this </w:t>
      </w:r>
      <w:r w:rsidR="00506353">
        <w:t xml:space="preserve">sensitivity analysis is to </w:t>
      </w:r>
      <w:r w:rsidR="00E20387">
        <w:t>understand</w:t>
      </w:r>
      <w:r w:rsidR="00F06AB0">
        <w:t xml:space="preserve"> </w:t>
      </w:r>
      <w:r w:rsidR="00152E54">
        <w:t xml:space="preserve">how the selection of different </w:t>
      </w:r>
      <w:r w:rsidR="00F06AB0">
        <w:t xml:space="preserve">timeframes </w:t>
      </w:r>
      <w:r w:rsidR="00B338D1">
        <w:t>impact</w:t>
      </w:r>
      <w:r w:rsidR="00152E54">
        <w:t>s</w:t>
      </w:r>
      <w:r w:rsidR="00B338D1">
        <w:t xml:space="preserve"> the overall debt recovery rate for the </w:t>
      </w:r>
      <w:r w:rsidR="008839E9">
        <w:t xml:space="preserve">PRBS under the </w:t>
      </w:r>
      <w:r w:rsidR="00B338D1">
        <w:t xml:space="preserve">preferred option. The </w:t>
      </w:r>
      <w:r>
        <w:t>following</w:t>
      </w:r>
      <w:r w:rsidRPr="0040502B">
        <w:t xml:space="preserve"> table summari</w:t>
      </w:r>
      <w:r>
        <w:t>s</w:t>
      </w:r>
      <w:r w:rsidRPr="0040502B">
        <w:t>es the debt recovery outcomes and net cashflows under different debt recovery options</w:t>
      </w:r>
      <w:r>
        <w:t xml:space="preserve"> for comparison.</w:t>
      </w:r>
      <w:r w:rsidRPr="008F2EBE">
        <w:t xml:space="preserve"> The preferred option is highlighted in bold.</w:t>
      </w:r>
      <w:r w:rsidR="00741ABA">
        <w:tab/>
      </w:r>
    </w:p>
    <w:p w14:paraId="74114A9E" w14:textId="6DC347A7" w:rsidR="00125B44" w:rsidRDefault="00125B44" w:rsidP="00125B44">
      <w:pPr>
        <w:pStyle w:val="Caption"/>
      </w:pPr>
      <w:r>
        <w:t xml:space="preserve">Table </w:t>
      </w:r>
      <w:r>
        <w:fldChar w:fldCharType="begin"/>
      </w:r>
      <w:r>
        <w:instrText xml:space="preserve"> SEQ Table \* ARABIC </w:instrText>
      </w:r>
      <w:r>
        <w:fldChar w:fldCharType="separate"/>
      </w:r>
      <w:r w:rsidR="00A50199">
        <w:rPr>
          <w:noProof/>
        </w:rPr>
        <w:t>19</w:t>
      </w:r>
      <w:r>
        <w:fldChar w:fldCharType="end"/>
      </w:r>
      <w:r>
        <w:t>: Debt recovery rates for alternative arrangements considered</w:t>
      </w:r>
    </w:p>
    <w:tbl>
      <w:tblPr>
        <w:tblW w:w="1006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006"/>
        <w:gridCol w:w="2014"/>
        <w:gridCol w:w="2015"/>
        <w:gridCol w:w="2014"/>
        <w:gridCol w:w="2015"/>
      </w:tblGrid>
      <w:tr w:rsidR="00F0567C" w:rsidRPr="002C0E1B" w14:paraId="43C22108" w14:textId="77777777" w:rsidTr="008E7AE6">
        <w:trPr>
          <w:trHeight w:val="300"/>
          <w:tblHeader/>
        </w:trPr>
        <w:tc>
          <w:tcPr>
            <w:tcW w:w="2006" w:type="dxa"/>
            <w:tcBorders>
              <w:top w:val="single" w:sz="6" w:space="0" w:color="00338D"/>
              <w:left w:val="single" w:sz="6" w:space="0" w:color="00338D"/>
              <w:bottom w:val="single" w:sz="6" w:space="0" w:color="00338D"/>
              <w:right w:val="single" w:sz="2" w:space="0" w:color="FFFFFF"/>
            </w:tcBorders>
            <w:shd w:val="clear" w:color="auto" w:fill="16145F" w:themeFill="text2"/>
            <w:hideMark/>
          </w:tcPr>
          <w:p w14:paraId="5B7EA08D" w14:textId="77777777" w:rsidR="002C0E1B" w:rsidRPr="002C0E1B" w:rsidRDefault="002C0E1B" w:rsidP="00F0567C">
            <w:pPr>
              <w:pStyle w:val="DJCSbody"/>
              <w:ind w:left="171"/>
              <w:jc w:val="left"/>
              <w:rPr>
                <w:b/>
                <w:bCs/>
                <w:lang w:val="en-US"/>
              </w:rPr>
            </w:pPr>
            <w:r w:rsidRPr="002C0E1B">
              <w:rPr>
                <w:b/>
                <w:bCs/>
              </w:rPr>
              <w:t>Debt recovery options </w:t>
            </w:r>
            <w:r w:rsidRPr="002C0E1B">
              <w:rPr>
                <w:b/>
                <w:bCs/>
                <w:lang w:val="en-US"/>
              </w:rPr>
              <w:t>​</w:t>
            </w:r>
          </w:p>
        </w:tc>
        <w:tc>
          <w:tcPr>
            <w:tcW w:w="2014" w:type="dxa"/>
            <w:tcBorders>
              <w:top w:val="single" w:sz="6" w:space="0" w:color="00338D"/>
              <w:left w:val="single" w:sz="2" w:space="0" w:color="FFFFFF"/>
              <w:bottom w:val="single" w:sz="6" w:space="0" w:color="00338D"/>
              <w:right w:val="single" w:sz="2" w:space="0" w:color="FFFFFF"/>
            </w:tcBorders>
            <w:shd w:val="clear" w:color="auto" w:fill="16145F" w:themeFill="text2"/>
            <w:hideMark/>
          </w:tcPr>
          <w:p w14:paraId="23E230A5" w14:textId="21956C6B" w:rsidR="002C0E1B" w:rsidRPr="002C0E1B" w:rsidRDefault="00822DB6" w:rsidP="00F0567C">
            <w:pPr>
              <w:pStyle w:val="DJCSbody"/>
              <w:ind w:left="171"/>
              <w:jc w:val="left"/>
              <w:rPr>
                <w:b/>
                <w:bCs/>
                <w:lang w:val="en-US"/>
              </w:rPr>
            </w:pPr>
            <w:r>
              <w:rPr>
                <w:b/>
                <w:bCs/>
              </w:rPr>
              <w:t xml:space="preserve">Stage 1B: </w:t>
            </w:r>
            <w:r w:rsidR="002C0E1B" w:rsidRPr="002C0E1B">
              <w:rPr>
                <w:b/>
                <w:bCs/>
              </w:rPr>
              <w:t>Internal debt recovery </w:t>
            </w:r>
          </w:p>
        </w:tc>
        <w:tc>
          <w:tcPr>
            <w:tcW w:w="2015" w:type="dxa"/>
            <w:tcBorders>
              <w:top w:val="single" w:sz="6" w:space="0" w:color="00338D"/>
              <w:left w:val="single" w:sz="2" w:space="0" w:color="FFFFFF"/>
              <w:bottom w:val="single" w:sz="6" w:space="0" w:color="00338D"/>
              <w:right w:val="single" w:sz="2" w:space="0" w:color="FFFFFF"/>
            </w:tcBorders>
            <w:shd w:val="clear" w:color="auto" w:fill="16145F" w:themeFill="text2"/>
            <w:hideMark/>
          </w:tcPr>
          <w:p w14:paraId="3770E13D" w14:textId="13C02D6F" w:rsidR="002C0E1B" w:rsidRPr="002C0E1B" w:rsidRDefault="00822DB6" w:rsidP="00F0567C">
            <w:pPr>
              <w:pStyle w:val="DJCSbody"/>
              <w:ind w:left="171"/>
              <w:jc w:val="left"/>
              <w:rPr>
                <w:b/>
                <w:bCs/>
                <w:lang w:val="en-US"/>
              </w:rPr>
            </w:pPr>
            <w:r>
              <w:rPr>
                <w:b/>
                <w:bCs/>
              </w:rPr>
              <w:t xml:space="preserve">Stage 2: </w:t>
            </w:r>
            <w:r w:rsidR="002C0E1B" w:rsidRPr="002C0E1B">
              <w:rPr>
                <w:b/>
                <w:bCs/>
              </w:rPr>
              <w:t>External debt </w:t>
            </w:r>
            <w:r w:rsidR="00F0567C">
              <w:rPr>
                <w:b/>
                <w:bCs/>
              </w:rPr>
              <w:br/>
            </w:r>
            <w:r w:rsidR="002C0E1B" w:rsidRPr="002C0E1B">
              <w:rPr>
                <w:b/>
                <w:bCs/>
              </w:rPr>
              <w:t>recovery (DCA) </w:t>
            </w:r>
            <w:r w:rsidR="002C0E1B" w:rsidRPr="002C0E1B">
              <w:rPr>
                <w:b/>
                <w:bCs/>
                <w:lang w:val="en-US"/>
              </w:rPr>
              <w:t>​</w:t>
            </w:r>
          </w:p>
        </w:tc>
        <w:tc>
          <w:tcPr>
            <w:tcW w:w="2014" w:type="dxa"/>
            <w:tcBorders>
              <w:top w:val="single" w:sz="6" w:space="0" w:color="00338D"/>
              <w:left w:val="single" w:sz="2" w:space="0" w:color="FFFFFF"/>
              <w:bottom w:val="single" w:sz="6" w:space="0" w:color="00338D"/>
              <w:right w:val="single" w:sz="2" w:space="0" w:color="FFFFFF"/>
            </w:tcBorders>
            <w:shd w:val="clear" w:color="auto" w:fill="16145F" w:themeFill="text2"/>
            <w:hideMark/>
          </w:tcPr>
          <w:p w14:paraId="007DBCF4" w14:textId="45153317" w:rsidR="002C0E1B" w:rsidRPr="002C0E1B" w:rsidRDefault="00822DB6" w:rsidP="00F0567C">
            <w:pPr>
              <w:pStyle w:val="DJCSbody"/>
              <w:ind w:left="171"/>
              <w:jc w:val="left"/>
              <w:rPr>
                <w:b/>
                <w:bCs/>
                <w:lang w:val="en-US"/>
              </w:rPr>
            </w:pPr>
            <w:r>
              <w:rPr>
                <w:b/>
                <w:bCs/>
              </w:rPr>
              <w:t>Stage</w:t>
            </w:r>
            <w:r w:rsidR="0061364C">
              <w:rPr>
                <w:b/>
                <w:bCs/>
              </w:rPr>
              <w:t xml:space="preserve"> 1B and 2: </w:t>
            </w:r>
            <w:r w:rsidR="002C0E1B" w:rsidRPr="002C0E1B">
              <w:rPr>
                <w:b/>
                <w:bCs/>
              </w:rPr>
              <w:t>Total internal and external </w:t>
            </w:r>
            <w:r w:rsidR="00F0567C">
              <w:rPr>
                <w:b/>
                <w:bCs/>
              </w:rPr>
              <w:br/>
            </w:r>
            <w:r w:rsidR="002C0E1B" w:rsidRPr="002C0E1B">
              <w:rPr>
                <w:b/>
                <w:bCs/>
              </w:rPr>
              <w:t>recovered</w:t>
            </w:r>
            <w:r w:rsidR="002C0E1B" w:rsidRPr="002C0E1B">
              <w:rPr>
                <w:b/>
                <w:bCs/>
                <w:lang w:val="en-US"/>
              </w:rPr>
              <w:t>​</w:t>
            </w:r>
          </w:p>
        </w:tc>
        <w:tc>
          <w:tcPr>
            <w:tcW w:w="2015" w:type="dxa"/>
            <w:tcBorders>
              <w:top w:val="single" w:sz="6" w:space="0" w:color="00338D"/>
              <w:left w:val="single" w:sz="2" w:space="0" w:color="FFFFFF"/>
              <w:bottom w:val="single" w:sz="6" w:space="0" w:color="00338D"/>
              <w:right w:val="single" w:sz="6" w:space="0" w:color="00338D"/>
            </w:tcBorders>
            <w:shd w:val="clear" w:color="auto" w:fill="16145F" w:themeFill="text2"/>
            <w:hideMark/>
          </w:tcPr>
          <w:p w14:paraId="72C67D4E" w14:textId="7C6D1078" w:rsidR="002C0E1B" w:rsidRPr="002C0E1B" w:rsidRDefault="002C0E1B" w:rsidP="002C0E1B">
            <w:pPr>
              <w:pStyle w:val="DJCSbody"/>
              <w:ind w:left="171"/>
              <w:jc w:val="left"/>
              <w:rPr>
                <w:b/>
                <w:bCs/>
                <w:lang w:val="en-US"/>
              </w:rPr>
            </w:pPr>
            <w:r w:rsidRPr="002C0E1B">
              <w:rPr>
                <w:b/>
                <w:bCs/>
              </w:rPr>
              <w:t>Overall </w:t>
            </w:r>
            <w:r w:rsidR="00BA15F8">
              <w:rPr>
                <w:b/>
                <w:bCs/>
              </w:rPr>
              <w:t>PRBS</w:t>
            </w:r>
            <w:r w:rsidR="00BA15F8" w:rsidRPr="002C0E1B">
              <w:rPr>
                <w:b/>
                <w:bCs/>
              </w:rPr>
              <w:t xml:space="preserve"> </w:t>
            </w:r>
            <w:r w:rsidRPr="002C0E1B">
              <w:rPr>
                <w:b/>
                <w:bCs/>
              </w:rPr>
              <w:t>debt recovery </w:t>
            </w:r>
            <w:r w:rsidRPr="002C0E1B">
              <w:rPr>
                <w:b/>
                <w:bCs/>
                <w:lang w:val="en-US"/>
              </w:rPr>
              <w:t>​</w:t>
            </w:r>
          </w:p>
        </w:tc>
      </w:tr>
      <w:tr w:rsidR="00F0567C" w:rsidRPr="002C0E1B" w14:paraId="253F38AB" w14:textId="77777777">
        <w:trPr>
          <w:trHeight w:val="345"/>
        </w:trPr>
        <w:tc>
          <w:tcPr>
            <w:tcW w:w="10064" w:type="dxa"/>
            <w:gridSpan w:val="5"/>
            <w:tcBorders>
              <w:top w:val="single" w:sz="6" w:space="0" w:color="00338D"/>
              <w:left w:val="single" w:sz="8" w:space="0" w:color="1E5897"/>
              <w:bottom w:val="single" w:sz="6" w:space="0" w:color="00338D"/>
              <w:right w:val="single" w:sz="6" w:space="0" w:color="00338D"/>
            </w:tcBorders>
            <w:shd w:val="clear" w:color="auto" w:fill="CAF2FF"/>
            <w:hideMark/>
          </w:tcPr>
          <w:p w14:paraId="142C0F7E" w14:textId="7F1DD65B" w:rsidR="00CA323F" w:rsidRPr="002C0E1B" w:rsidRDefault="00CA323F" w:rsidP="00F0567C">
            <w:pPr>
              <w:pStyle w:val="DJCSbody"/>
              <w:ind w:left="171"/>
              <w:jc w:val="left"/>
            </w:pPr>
            <w:r w:rsidRPr="002C0E1B">
              <w:rPr>
                <w:b/>
                <w:bCs/>
              </w:rPr>
              <w:t>Internal DGS debt recovery timing </w:t>
            </w:r>
            <w:r w:rsidRPr="002C0E1B">
              <w:rPr>
                <w:i/>
                <w:iCs/>
              </w:rPr>
              <w:t> </w:t>
            </w:r>
            <w:r w:rsidRPr="002C0E1B">
              <w:rPr>
                <w:lang w:val="en-US"/>
              </w:rPr>
              <w:t>​</w:t>
            </w:r>
          </w:p>
          <w:p w14:paraId="53EF7A9A" w14:textId="6CC4B8B6" w:rsidR="002C0E1B" w:rsidRPr="002C0E1B" w:rsidRDefault="002C0E1B" w:rsidP="001F576E">
            <w:pPr>
              <w:pStyle w:val="DJCSbody"/>
              <w:ind w:left="0"/>
              <w:jc w:val="left"/>
              <w:rPr>
                <w:lang w:val="en-US"/>
              </w:rPr>
            </w:pPr>
          </w:p>
        </w:tc>
      </w:tr>
      <w:tr w:rsidR="00F0567C" w:rsidRPr="002C0E1B" w14:paraId="558D4433" w14:textId="77777777" w:rsidTr="00F312A5">
        <w:trPr>
          <w:trHeight w:val="210"/>
        </w:trPr>
        <w:tc>
          <w:tcPr>
            <w:tcW w:w="2006" w:type="dxa"/>
            <w:tcBorders>
              <w:top w:val="single" w:sz="6" w:space="0" w:color="00338D"/>
              <w:left w:val="single" w:sz="8" w:space="0" w:color="1E5897"/>
              <w:bottom w:val="single" w:sz="8" w:space="0" w:color="1E5897"/>
              <w:right w:val="single" w:sz="2" w:space="0" w:color="FFFFFF"/>
            </w:tcBorders>
            <w:hideMark/>
          </w:tcPr>
          <w:p w14:paraId="056DBFFB" w14:textId="0581BBA5" w:rsidR="002C0E1B" w:rsidRPr="002C0E1B" w:rsidRDefault="002C0E1B" w:rsidP="001F576E">
            <w:pPr>
              <w:pStyle w:val="DJCSbody"/>
              <w:ind w:left="171"/>
              <w:jc w:val="left"/>
              <w:rPr>
                <w:b/>
                <w:bCs/>
                <w:lang w:val="en-US"/>
              </w:rPr>
            </w:pPr>
            <w:r w:rsidRPr="002C0E1B">
              <w:rPr>
                <w:b/>
                <w:bCs/>
              </w:rPr>
              <w:t xml:space="preserve">1) </w:t>
            </w:r>
            <w:r w:rsidR="00524C71">
              <w:rPr>
                <w:b/>
                <w:bCs/>
              </w:rPr>
              <w:t>Not issuing new notices within</w:t>
            </w:r>
            <w:r w:rsidR="0061364C">
              <w:rPr>
                <w:b/>
                <w:bCs/>
              </w:rPr>
              <w:t xml:space="preserve"> 7 days </w:t>
            </w:r>
            <w:r w:rsidR="00524C71">
              <w:rPr>
                <w:b/>
                <w:bCs/>
              </w:rPr>
              <w:t>of the previous</w:t>
            </w:r>
            <w:r w:rsidR="0061364C">
              <w:rPr>
                <w:b/>
                <w:bCs/>
              </w:rPr>
              <w:t xml:space="preserve"> notice (~4 weeks)</w:t>
            </w:r>
            <w:r w:rsidRPr="002C0E1B">
              <w:rPr>
                <w:b/>
                <w:bCs/>
              </w:rPr>
              <w:t> </w:t>
            </w:r>
            <w:r w:rsidRPr="002C0E1B">
              <w:rPr>
                <w:b/>
                <w:bCs/>
                <w:lang w:val="en-US"/>
              </w:rPr>
              <w:t>​</w:t>
            </w:r>
          </w:p>
        </w:tc>
        <w:tc>
          <w:tcPr>
            <w:tcW w:w="2014" w:type="dxa"/>
            <w:tcBorders>
              <w:top w:val="single" w:sz="6" w:space="0" w:color="00338D"/>
              <w:left w:val="single" w:sz="2" w:space="0" w:color="FFFFFF"/>
              <w:bottom w:val="single" w:sz="8" w:space="0" w:color="1E5897"/>
              <w:right w:val="single" w:sz="2" w:space="0" w:color="FFFFFF"/>
            </w:tcBorders>
            <w:hideMark/>
          </w:tcPr>
          <w:p w14:paraId="5E6ABB13" w14:textId="77777777" w:rsidR="002C0E1B" w:rsidRPr="002C0E1B" w:rsidRDefault="002C0E1B" w:rsidP="002C0E1B">
            <w:pPr>
              <w:pStyle w:val="DJCSbody"/>
              <w:ind w:left="171"/>
              <w:jc w:val="left"/>
              <w:rPr>
                <w:b/>
                <w:bCs/>
                <w:lang w:val="en-US"/>
              </w:rPr>
            </w:pPr>
            <w:r w:rsidRPr="002C0E1B">
              <w:rPr>
                <w:b/>
                <w:bCs/>
              </w:rPr>
              <w:t>3.8%</w:t>
            </w:r>
            <w:r w:rsidRPr="002C0E1B">
              <w:rPr>
                <w:b/>
                <w:bCs/>
                <w:lang w:val="en-US"/>
              </w:rPr>
              <w:t>​</w:t>
            </w:r>
          </w:p>
        </w:tc>
        <w:tc>
          <w:tcPr>
            <w:tcW w:w="2015" w:type="dxa"/>
            <w:tcBorders>
              <w:top w:val="single" w:sz="6" w:space="0" w:color="00338D"/>
              <w:left w:val="single" w:sz="2" w:space="0" w:color="FFFFFF"/>
              <w:bottom w:val="single" w:sz="8" w:space="0" w:color="1E5897"/>
              <w:right w:val="single" w:sz="2" w:space="0" w:color="FFFFFF"/>
            </w:tcBorders>
            <w:hideMark/>
          </w:tcPr>
          <w:p w14:paraId="3F97BF43" w14:textId="77777777" w:rsidR="002C0E1B" w:rsidRPr="002C0E1B" w:rsidRDefault="002C0E1B" w:rsidP="002C0E1B">
            <w:pPr>
              <w:pStyle w:val="DJCSbody"/>
              <w:ind w:left="171"/>
              <w:jc w:val="left"/>
              <w:rPr>
                <w:b/>
                <w:bCs/>
                <w:lang w:val="en-US"/>
              </w:rPr>
            </w:pPr>
            <w:r w:rsidRPr="002C0E1B">
              <w:rPr>
                <w:b/>
                <w:bCs/>
              </w:rPr>
              <w:t>20.8%</w:t>
            </w:r>
            <w:r w:rsidRPr="002C0E1B">
              <w:rPr>
                <w:b/>
                <w:bCs/>
                <w:lang w:val="en-US"/>
              </w:rPr>
              <w:t>​</w:t>
            </w:r>
          </w:p>
        </w:tc>
        <w:tc>
          <w:tcPr>
            <w:tcW w:w="2014" w:type="dxa"/>
            <w:tcBorders>
              <w:top w:val="single" w:sz="6" w:space="0" w:color="00338D"/>
              <w:left w:val="single" w:sz="2" w:space="0" w:color="FFFFFF"/>
              <w:bottom w:val="single" w:sz="8" w:space="0" w:color="1E5897"/>
              <w:right w:val="single" w:sz="2" w:space="0" w:color="FFFFFF"/>
            </w:tcBorders>
            <w:hideMark/>
          </w:tcPr>
          <w:p w14:paraId="3B9154BE" w14:textId="77777777" w:rsidR="002C0E1B" w:rsidRPr="002C0E1B" w:rsidRDefault="002C0E1B" w:rsidP="002C0E1B">
            <w:pPr>
              <w:pStyle w:val="DJCSbody"/>
              <w:ind w:left="171"/>
              <w:jc w:val="left"/>
              <w:rPr>
                <w:b/>
                <w:bCs/>
                <w:lang w:val="en-US"/>
              </w:rPr>
            </w:pPr>
            <w:r w:rsidRPr="002C0E1B">
              <w:rPr>
                <w:b/>
                <w:bCs/>
              </w:rPr>
              <w:t>24.6%</w:t>
            </w:r>
            <w:r w:rsidRPr="002C0E1B">
              <w:rPr>
                <w:b/>
                <w:bCs/>
                <w:lang w:val="en-US"/>
              </w:rPr>
              <w:t>​</w:t>
            </w:r>
          </w:p>
        </w:tc>
        <w:tc>
          <w:tcPr>
            <w:tcW w:w="2015" w:type="dxa"/>
            <w:tcBorders>
              <w:top w:val="single" w:sz="6" w:space="0" w:color="00338D"/>
              <w:left w:val="single" w:sz="2" w:space="0" w:color="FFFFFF"/>
              <w:bottom w:val="single" w:sz="8" w:space="0" w:color="1E5897"/>
              <w:right w:val="single" w:sz="6" w:space="0" w:color="00338D"/>
            </w:tcBorders>
            <w:hideMark/>
          </w:tcPr>
          <w:p w14:paraId="516CC9F9" w14:textId="77777777" w:rsidR="002C0E1B" w:rsidRPr="002C0E1B" w:rsidRDefault="002C0E1B" w:rsidP="002C0E1B">
            <w:pPr>
              <w:pStyle w:val="DJCSbody"/>
              <w:ind w:left="171"/>
              <w:jc w:val="left"/>
              <w:rPr>
                <w:b/>
                <w:bCs/>
                <w:lang w:val="en-US"/>
              </w:rPr>
            </w:pPr>
            <w:r w:rsidRPr="002C0E1B">
              <w:rPr>
                <w:b/>
                <w:bCs/>
              </w:rPr>
              <w:t>96.5%</w:t>
            </w:r>
            <w:r w:rsidRPr="002C0E1B">
              <w:rPr>
                <w:b/>
                <w:bCs/>
                <w:lang w:val="en-US"/>
              </w:rPr>
              <w:t>​</w:t>
            </w:r>
          </w:p>
        </w:tc>
      </w:tr>
      <w:tr w:rsidR="00F0567C" w:rsidRPr="002C0E1B" w14:paraId="03299182" w14:textId="77777777" w:rsidTr="00BE5ED9">
        <w:trPr>
          <w:trHeight w:val="391"/>
        </w:trPr>
        <w:tc>
          <w:tcPr>
            <w:tcW w:w="2006" w:type="dxa"/>
            <w:tcBorders>
              <w:top w:val="single" w:sz="8" w:space="0" w:color="1E5897"/>
              <w:left w:val="single" w:sz="8" w:space="0" w:color="1E5897"/>
              <w:bottom w:val="single" w:sz="8" w:space="0" w:color="1E5897"/>
              <w:right w:val="single" w:sz="2" w:space="0" w:color="FFFFFF"/>
            </w:tcBorders>
            <w:vAlign w:val="center"/>
            <w:hideMark/>
          </w:tcPr>
          <w:p w14:paraId="277E4433" w14:textId="6DAC8C52" w:rsidR="002C0E1B" w:rsidRPr="002C0E1B" w:rsidRDefault="00771BA5" w:rsidP="00BE5ED9">
            <w:pPr>
              <w:pStyle w:val="DJCSbody"/>
              <w:ind w:left="171"/>
              <w:jc w:val="center"/>
              <w:rPr>
                <w:lang w:val="en-US"/>
              </w:rPr>
            </w:pPr>
            <w:r w:rsidRPr="002C0E1B">
              <w:t xml:space="preserve">2) </w:t>
            </w:r>
            <w:r w:rsidR="00524C71" w:rsidRPr="00524C71">
              <w:t>Not issuing new notices within</w:t>
            </w:r>
            <w:r w:rsidR="00524C71">
              <w:t xml:space="preserve"> </w:t>
            </w:r>
            <w:r w:rsidR="0061364C">
              <w:t xml:space="preserve">14 days </w:t>
            </w:r>
            <w:r w:rsidR="00524C71">
              <w:t>of the previous</w:t>
            </w:r>
            <w:r w:rsidR="0061364C">
              <w:t xml:space="preserve"> notice (~</w:t>
            </w:r>
            <w:r w:rsidRPr="002C0E1B">
              <w:t>8 weeks</w:t>
            </w:r>
            <w:r w:rsidR="0061364C">
              <w:t>)</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320B330B" w14:textId="77777777" w:rsidR="002C0E1B" w:rsidRPr="002C0E1B" w:rsidRDefault="002C0E1B" w:rsidP="002C0E1B">
            <w:pPr>
              <w:pStyle w:val="DJCSbody"/>
              <w:ind w:left="171"/>
              <w:jc w:val="left"/>
            </w:pPr>
            <w:r w:rsidRPr="002C0E1B">
              <w:t>7.5%​</w:t>
            </w:r>
          </w:p>
        </w:tc>
        <w:tc>
          <w:tcPr>
            <w:tcW w:w="2015" w:type="dxa"/>
            <w:tcBorders>
              <w:top w:val="single" w:sz="8" w:space="0" w:color="1E5897"/>
              <w:left w:val="single" w:sz="2" w:space="0" w:color="FFFFFF"/>
              <w:bottom w:val="single" w:sz="8" w:space="0" w:color="1E5897"/>
              <w:right w:val="single" w:sz="2" w:space="0" w:color="FFFFFF"/>
            </w:tcBorders>
            <w:hideMark/>
          </w:tcPr>
          <w:p w14:paraId="72B1F0A7" w14:textId="77777777" w:rsidR="002C0E1B" w:rsidRPr="002C0E1B" w:rsidRDefault="002C0E1B" w:rsidP="002C0E1B">
            <w:pPr>
              <w:pStyle w:val="DJCSbody"/>
              <w:ind w:left="171"/>
              <w:jc w:val="left"/>
              <w:rPr>
                <w:lang w:val="en-US"/>
              </w:rPr>
            </w:pPr>
            <w:r w:rsidRPr="002C0E1B">
              <w:t>16.7%</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2F6A37B2" w14:textId="77777777" w:rsidR="002C0E1B" w:rsidRPr="002C0E1B" w:rsidRDefault="002C0E1B" w:rsidP="002C0E1B">
            <w:pPr>
              <w:pStyle w:val="DJCSbody"/>
              <w:ind w:left="171"/>
              <w:jc w:val="left"/>
              <w:rPr>
                <w:lang w:val="en-US"/>
              </w:rPr>
            </w:pPr>
            <w:r w:rsidRPr="002C0E1B">
              <w:t>24.2%</w:t>
            </w:r>
            <w:r w:rsidRPr="002C0E1B">
              <w:rPr>
                <w:lang w:val="en-US"/>
              </w:rPr>
              <w:t>​</w:t>
            </w:r>
          </w:p>
        </w:tc>
        <w:tc>
          <w:tcPr>
            <w:tcW w:w="2015" w:type="dxa"/>
            <w:tcBorders>
              <w:top w:val="single" w:sz="8" w:space="0" w:color="1E5897"/>
              <w:left w:val="single" w:sz="2" w:space="0" w:color="FFFFFF"/>
              <w:bottom w:val="single" w:sz="8" w:space="0" w:color="1E5897"/>
              <w:right w:val="single" w:sz="6" w:space="0" w:color="00338D"/>
            </w:tcBorders>
            <w:hideMark/>
          </w:tcPr>
          <w:p w14:paraId="18E7796A" w14:textId="77777777" w:rsidR="002C0E1B" w:rsidRPr="002C0E1B" w:rsidRDefault="002C0E1B" w:rsidP="002C0E1B">
            <w:pPr>
              <w:pStyle w:val="DJCSbody"/>
              <w:ind w:left="171"/>
              <w:jc w:val="left"/>
              <w:rPr>
                <w:lang w:val="en-US"/>
              </w:rPr>
            </w:pPr>
            <w:r w:rsidRPr="002C0E1B">
              <w:t>96.4%</w:t>
            </w:r>
            <w:r w:rsidRPr="002C0E1B">
              <w:rPr>
                <w:lang w:val="en-US"/>
              </w:rPr>
              <w:t>​</w:t>
            </w:r>
          </w:p>
        </w:tc>
      </w:tr>
      <w:tr w:rsidR="002C0E1B" w:rsidRPr="002C0E1B" w14:paraId="1500B53A" w14:textId="77777777" w:rsidTr="00F312A5">
        <w:trPr>
          <w:trHeight w:val="345"/>
        </w:trPr>
        <w:tc>
          <w:tcPr>
            <w:tcW w:w="10064" w:type="dxa"/>
            <w:gridSpan w:val="5"/>
            <w:tcBorders>
              <w:top w:val="single" w:sz="8" w:space="0" w:color="1E5897"/>
              <w:left w:val="single" w:sz="8" w:space="0" w:color="1E5897"/>
              <w:bottom w:val="single" w:sz="8" w:space="0" w:color="1E5897"/>
              <w:right w:val="single" w:sz="6" w:space="0" w:color="00338D"/>
            </w:tcBorders>
            <w:shd w:val="clear" w:color="auto" w:fill="CAF2FF"/>
            <w:hideMark/>
          </w:tcPr>
          <w:p w14:paraId="6CBFCBF7" w14:textId="77777777" w:rsidR="002C0E1B" w:rsidRPr="002C0E1B" w:rsidRDefault="002C0E1B" w:rsidP="002C0E1B">
            <w:pPr>
              <w:pStyle w:val="DJCSbody"/>
              <w:ind w:left="171"/>
            </w:pPr>
            <w:r w:rsidRPr="002C0E1B">
              <w:rPr>
                <w:b/>
                <w:bCs/>
              </w:rPr>
              <w:lastRenderedPageBreak/>
              <w:t>External DCA debt recovery timing </w:t>
            </w:r>
            <w:r w:rsidRPr="002C0E1B">
              <w:t>​</w:t>
            </w:r>
          </w:p>
        </w:tc>
      </w:tr>
      <w:tr w:rsidR="00F0567C" w:rsidRPr="002C0E1B" w14:paraId="30A66481" w14:textId="77777777" w:rsidTr="00F312A5">
        <w:trPr>
          <w:trHeight w:val="210"/>
        </w:trPr>
        <w:tc>
          <w:tcPr>
            <w:tcW w:w="2006" w:type="dxa"/>
            <w:tcBorders>
              <w:top w:val="single" w:sz="8" w:space="0" w:color="1E5897"/>
              <w:left w:val="single" w:sz="8" w:space="0" w:color="1E5897"/>
              <w:bottom w:val="single" w:sz="8" w:space="0" w:color="1E5897"/>
              <w:right w:val="single" w:sz="2" w:space="0" w:color="FFFFFF"/>
            </w:tcBorders>
            <w:hideMark/>
          </w:tcPr>
          <w:p w14:paraId="57352B3D" w14:textId="77777777" w:rsidR="002C0E1B" w:rsidRPr="002C0E1B" w:rsidRDefault="002C0E1B" w:rsidP="002C0E1B">
            <w:pPr>
              <w:pStyle w:val="DJCSbody"/>
              <w:ind w:left="171"/>
              <w:rPr>
                <w:lang w:val="en-US"/>
              </w:rPr>
            </w:pPr>
            <w:r w:rsidRPr="002C0E1B">
              <w:t>1) 6 months </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2DC8B3B4" w14:textId="77777777" w:rsidR="002C0E1B" w:rsidRPr="002C0E1B" w:rsidRDefault="002C0E1B" w:rsidP="002C0E1B">
            <w:pPr>
              <w:pStyle w:val="DJCSbody"/>
              <w:ind w:left="171"/>
              <w:jc w:val="left"/>
              <w:rPr>
                <w:lang w:val="en-US"/>
              </w:rPr>
            </w:pPr>
            <w:r w:rsidRPr="002C0E1B">
              <w:t>3.8%</w:t>
            </w:r>
            <w:r w:rsidRPr="002C0E1B">
              <w:rPr>
                <w:lang w:val="en-US"/>
              </w:rPr>
              <w:t>​</w:t>
            </w:r>
          </w:p>
        </w:tc>
        <w:tc>
          <w:tcPr>
            <w:tcW w:w="2015" w:type="dxa"/>
            <w:tcBorders>
              <w:top w:val="single" w:sz="8" w:space="0" w:color="1E5897"/>
              <w:left w:val="single" w:sz="2" w:space="0" w:color="FFFFFF"/>
              <w:bottom w:val="single" w:sz="8" w:space="0" w:color="1E5897"/>
              <w:right w:val="single" w:sz="2" w:space="0" w:color="FFFFFF"/>
            </w:tcBorders>
            <w:hideMark/>
          </w:tcPr>
          <w:p w14:paraId="07A2D37D" w14:textId="77777777" w:rsidR="002C0E1B" w:rsidRPr="002C0E1B" w:rsidRDefault="002C0E1B" w:rsidP="002C0E1B">
            <w:pPr>
              <w:pStyle w:val="DJCSbody"/>
              <w:ind w:left="171"/>
              <w:jc w:val="left"/>
              <w:rPr>
                <w:lang w:val="en-US"/>
              </w:rPr>
            </w:pPr>
            <w:r w:rsidRPr="002C0E1B">
              <w:t>15.8%</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0C9826C0" w14:textId="77777777" w:rsidR="002C0E1B" w:rsidRPr="002C0E1B" w:rsidRDefault="002C0E1B" w:rsidP="002C0E1B">
            <w:pPr>
              <w:pStyle w:val="DJCSbody"/>
              <w:ind w:left="171"/>
              <w:jc w:val="left"/>
              <w:rPr>
                <w:lang w:val="en-US"/>
              </w:rPr>
            </w:pPr>
            <w:r w:rsidRPr="002C0E1B">
              <w:t>19.6%</w:t>
            </w:r>
            <w:r w:rsidRPr="002C0E1B">
              <w:rPr>
                <w:lang w:val="en-US"/>
              </w:rPr>
              <w:t>​</w:t>
            </w:r>
          </w:p>
        </w:tc>
        <w:tc>
          <w:tcPr>
            <w:tcW w:w="2015" w:type="dxa"/>
            <w:tcBorders>
              <w:top w:val="single" w:sz="8" w:space="0" w:color="1E5897"/>
              <w:left w:val="single" w:sz="2" w:space="0" w:color="FFFFFF"/>
              <w:bottom w:val="single" w:sz="8" w:space="0" w:color="1E5897"/>
              <w:right w:val="single" w:sz="6" w:space="0" w:color="00338D"/>
            </w:tcBorders>
            <w:hideMark/>
          </w:tcPr>
          <w:p w14:paraId="44133A0A" w14:textId="77777777" w:rsidR="002C0E1B" w:rsidRPr="002C0E1B" w:rsidRDefault="002C0E1B" w:rsidP="002C0E1B">
            <w:pPr>
              <w:pStyle w:val="DJCSbody"/>
              <w:ind w:left="171"/>
              <w:jc w:val="left"/>
              <w:rPr>
                <w:lang w:val="en-US"/>
              </w:rPr>
            </w:pPr>
            <w:r w:rsidRPr="002C0E1B">
              <w:t>96.0%</w:t>
            </w:r>
            <w:r w:rsidRPr="002C0E1B">
              <w:rPr>
                <w:lang w:val="en-US"/>
              </w:rPr>
              <w:t>​</w:t>
            </w:r>
          </w:p>
        </w:tc>
      </w:tr>
      <w:tr w:rsidR="00F0567C" w:rsidRPr="002C0E1B" w14:paraId="2EB908B3" w14:textId="77777777" w:rsidTr="00F312A5">
        <w:trPr>
          <w:trHeight w:val="285"/>
        </w:trPr>
        <w:tc>
          <w:tcPr>
            <w:tcW w:w="2006" w:type="dxa"/>
            <w:tcBorders>
              <w:top w:val="single" w:sz="8" w:space="0" w:color="1E5897"/>
              <w:left w:val="single" w:sz="8" w:space="0" w:color="1E5897"/>
              <w:bottom w:val="single" w:sz="8" w:space="0" w:color="1E5897"/>
              <w:right w:val="single" w:sz="2" w:space="0" w:color="FFFFFF"/>
            </w:tcBorders>
            <w:hideMark/>
          </w:tcPr>
          <w:p w14:paraId="7A6A7EA7" w14:textId="77777777" w:rsidR="002C0E1B" w:rsidRPr="002C0E1B" w:rsidRDefault="002C0E1B" w:rsidP="002C0E1B">
            <w:pPr>
              <w:pStyle w:val="DJCSbody"/>
              <w:ind w:left="171"/>
              <w:rPr>
                <w:b/>
                <w:bCs/>
                <w:lang w:val="en-US"/>
              </w:rPr>
            </w:pPr>
            <w:r w:rsidRPr="002C0E1B">
              <w:rPr>
                <w:b/>
                <w:bCs/>
              </w:rPr>
              <w:t>2) 1 year </w:t>
            </w:r>
            <w:r w:rsidRPr="002C0E1B">
              <w:rPr>
                <w:b/>
                <w:bCs/>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6289CC0B" w14:textId="77777777" w:rsidR="002C0E1B" w:rsidRPr="002C0E1B" w:rsidRDefault="002C0E1B" w:rsidP="002C0E1B">
            <w:pPr>
              <w:pStyle w:val="DJCSbody"/>
              <w:ind w:left="171"/>
              <w:jc w:val="left"/>
              <w:rPr>
                <w:b/>
                <w:bCs/>
                <w:lang w:val="en-US"/>
              </w:rPr>
            </w:pPr>
            <w:r w:rsidRPr="002C0E1B">
              <w:rPr>
                <w:b/>
                <w:bCs/>
              </w:rPr>
              <w:t>3.8%</w:t>
            </w:r>
            <w:r w:rsidRPr="002C0E1B">
              <w:rPr>
                <w:b/>
                <w:bCs/>
                <w:lang w:val="en-US"/>
              </w:rPr>
              <w:t>​</w:t>
            </w:r>
          </w:p>
        </w:tc>
        <w:tc>
          <w:tcPr>
            <w:tcW w:w="2015" w:type="dxa"/>
            <w:tcBorders>
              <w:top w:val="single" w:sz="8" w:space="0" w:color="1E5897"/>
              <w:left w:val="single" w:sz="2" w:space="0" w:color="FFFFFF"/>
              <w:bottom w:val="single" w:sz="8" w:space="0" w:color="1E5897"/>
              <w:right w:val="single" w:sz="2" w:space="0" w:color="FFFFFF"/>
            </w:tcBorders>
            <w:hideMark/>
          </w:tcPr>
          <w:p w14:paraId="5B65BA1B" w14:textId="77777777" w:rsidR="002C0E1B" w:rsidRPr="002C0E1B" w:rsidRDefault="002C0E1B" w:rsidP="002C0E1B">
            <w:pPr>
              <w:pStyle w:val="DJCSbody"/>
              <w:ind w:left="171"/>
              <w:jc w:val="left"/>
              <w:rPr>
                <w:b/>
                <w:bCs/>
                <w:lang w:val="en-US"/>
              </w:rPr>
            </w:pPr>
            <w:r w:rsidRPr="002C0E1B">
              <w:rPr>
                <w:b/>
                <w:bCs/>
              </w:rPr>
              <w:t>20.8%</w:t>
            </w:r>
            <w:r w:rsidRPr="002C0E1B">
              <w:rPr>
                <w:b/>
                <w:bCs/>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68A17E2A" w14:textId="77777777" w:rsidR="002C0E1B" w:rsidRPr="002C0E1B" w:rsidRDefault="002C0E1B" w:rsidP="002C0E1B">
            <w:pPr>
              <w:pStyle w:val="DJCSbody"/>
              <w:ind w:left="171"/>
              <w:jc w:val="left"/>
              <w:rPr>
                <w:b/>
                <w:bCs/>
                <w:lang w:val="en-US"/>
              </w:rPr>
            </w:pPr>
            <w:r w:rsidRPr="002C0E1B">
              <w:rPr>
                <w:b/>
                <w:bCs/>
              </w:rPr>
              <w:t>24.6%</w:t>
            </w:r>
            <w:r w:rsidRPr="002C0E1B">
              <w:rPr>
                <w:b/>
                <w:bCs/>
                <w:lang w:val="en-US"/>
              </w:rPr>
              <w:t>​</w:t>
            </w:r>
          </w:p>
        </w:tc>
        <w:tc>
          <w:tcPr>
            <w:tcW w:w="2015" w:type="dxa"/>
            <w:tcBorders>
              <w:top w:val="single" w:sz="8" w:space="0" w:color="1E5897"/>
              <w:left w:val="single" w:sz="2" w:space="0" w:color="FFFFFF"/>
              <w:bottom w:val="single" w:sz="8" w:space="0" w:color="1E5897"/>
              <w:right w:val="single" w:sz="6" w:space="0" w:color="00338D"/>
            </w:tcBorders>
            <w:hideMark/>
          </w:tcPr>
          <w:p w14:paraId="167201BA" w14:textId="77777777" w:rsidR="002C0E1B" w:rsidRPr="002C0E1B" w:rsidRDefault="002C0E1B" w:rsidP="002C0E1B">
            <w:pPr>
              <w:pStyle w:val="DJCSbody"/>
              <w:ind w:left="171"/>
              <w:jc w:val="left"/>
              <w:rPr>
                <w:b/>
                <w:bCs/>
                <w:lang w:val="en-US"/>
              </w:rPr>
            </w:pPr>
            <w:r w:rsidRPr="002C0E1B">
              <w:rPr>
                <w:b/>
                <w:bCs/>
              </w:rPr>
              <w:t>96.5%</w:t>
            </w:r>
            <w:r w:rsidRPr="002C0E1B">
              <w:rPr>
                <w:b/>
                <w:bCs/>
                <w:lang w:val="en-US"/>
              </w:rPr>
              <w:t>​</w:t>
            </w:r>
          </w:p>
        </w:tc>
      </w:tr>
      <w:tr w:rsidR="00F0567C" w:rsidRPr="002C0E1B" w14:paraId="72D32C3B" w14:textId="77777777" w:rsidTr="00F312A5">
        <w:trPr>
          <w:trHeight w:val="496"/>
        </w:trPr>
        <w:tc>
          <w:tcPr>
            <w:tcW w:w="2006" w:type="dxa"/>
            <w:tcBorders>
              <w:top w:val="single" w:sz="8" w:space="0" w:color="1E5897"/>
              <w:left w:val="single" w:sz="8" w:space="0" w:color="1E5897"/>
              <w:bottom w:val="single" w:sz="8" w:space="0" w:color="1E5897"/>
              <w:right w:val="single" w:sz="2" w:space="0" w:color="FFFFFF"/>
            </w:tcBorders>
            <w:hideMark/>
          </w:tcPr>
          <w:p w14:paraId="0B8F837D" w14:textId="77777777" w:rsidR="002C0E1B" w:rsidRPr="002C0E1B" w:rsidRDefault="002C0E1B" w:rsidP="002C0E1B">
            <w:pPr>
              <w:pStyle w:val="DJCSbody"/>
              <w:ind w:left="171"/>
              <w:rPr>
                <w:lang w:val="en-US"/>
              </w:rPr>
            </w:pPr>
            <w:r w:rsidRPr="002C0E1B">
              <w:t>3) 2 years </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1BB3F854" w14:textId="77777777" w:rsidR="002C0E1B" w:rsidRPr="002C0E1B" w:rsidRDefault="002C0E1B" w:rsidP="002C0E1B">
            <w:pPr>
              <w:pStyle w:val="DJCSbody"/>
              <w:ind w:left="171"/>
              <w:jc w:val="left"/>
              <w:rPr>
                <w:lang w:val="en-US"/>
              </w:rPr>
            </w:pPr>
            <w:r w:rsidRPr="002C0E1B">
              <w:t>3.8%</w:t>
            </w:r>
            <w:r w:rsidRPr="002C0E1B">
              <w:rPr>
                <w:lang w:val="en-US"/>
              </w:rPr>
              <w:t>​</w:t>
            </w:r>
          </w:p>
        </w:tc>
        <w:tc>
          <w:tcPr>
            <w:tcW w:w="2015" w:type="dxa"/>
            <w:tcBorders>
              <w:top w:val="single" w:sz="8" w:space="0" w:color="1E5897"/>
              <w:left w:val="single" w:sz="2" w:space="0" w:color="FFFFFF"/>
              <w:bottom w:val="single" w:sz="8" w:space="0" w:color="1E5897"/>
              <w:right w:val="single" w:sz="2" w:space="0" w:color="FFFFFF"/>
            </w:tcBorders>
            <w:hideMark/>
          </w:tcPr>
          <w:p w14:paraId="624A5E8B" w14:textId="77777777" w:rsidR="002C0E1B" w:rsidRPr="002C0E1B" w:rsidRDefault="002C0E1B" w:rsidP="002C0E1B">
            <w:pPr>
              <w:pStyle w:val="DJCSbody"/>
              <w:ind w:left="171"/>
              <w:jc w:val="left"/>
              <w:rPr>
                <w:lang w:val="en-US"/>
              </w:rPr>
            </w:pPr>
            <w:r w:rsidRPr="002C0E1B">
              <w:t>22.8%</w:t>
            </w:r>
            <w:r w:rsidRPr="002C0E1B">
              <w:rPr>
                <w:lang w:val="en-US"/>
              </w:rPr>
              <w:t>​</w:t>
            </w:r>
          </w:p>
        </w:tc>
        <w:tc>
          <w:tcPr>
            <w:tcW w:w="2014" w:type="dxa"/>
            <w:tcBorders>
              <w:top w:val="single" w:sz="8" w:space="0" w:color="1E5897"/>
              <w:left w:val="single" w:sz="2" w:space="0" w:color="FFFFFF"/>
              <w:bottom w:val="single" w:sz="8" w:space="0" w:color="1E5897"/>
              <w:right w:val="single" w:sz="2" w:space="0" w:color="FFFFFF"/>
            </w:tcBorders>
            <w:hideMark/>
          </w:tcPr>
          <w:p w14:paraId="5A19E4E5" w14:textId="77777777" w:rsidR="002C0E1B" w:rsidRPr="002C0E1B" w:rsidRDefault="002C0E1B" w:rsidP="002C0E1B">
            <w:pPr>
              <w:pStyle w:val="DJCSbody"/>
              <w:ind w:left="171"/>
              <w:jc w:val="left"/>
              <w:rPr>
                <w:lang w:val="en-US"/>
              </w:rPr>
            </w:pPr>
            <w:r w:rsidRPr="002C0E1B">
              <w:t>26.6%</w:t>
            </w:r>
            <w:r w:rsidRPr="002C0E1B">
              <w:rPr>
                <w:lang w:val="en-US"/>
              </w:rPr>
              <w:t>​</w:t>
            </w:r>
          </w:p>
        </w:tc>
        <w:tc>
          <w:tcPr>
            <w:tcW w:w="2015" w:type="dxa"/>
            <w:tcBorders>
              <w:top w:val="single" w:sz="8" w:space="0" w:color="1E5897"/>
              <w:left w:val="single" w:sz="2" w:space="0" w:color="FFFFFF"/>
              <w:bottom w:val="single" w:sz="8" w:space="0" w:color="1E5897"/>
              <w:right w:val="single" w:sz="6" w:space="0" w:color="00338D"/>
            </w:tcBorders>
            <w:hideMark/>
          </w:tcPr>
          <w:p w14:paraId="2E6EFC56" w14:textId="77777777" w:rsidR="002C0E1B" w:rsidRPr="002C0E1B" w:rsidRDefault="002C0E1B" w:rsidP="002C0E1B">
            <w:pPr>
              <w:pStyle w:val="DJCSbody"/>
              <w:ind w:left="171"/>
              <w:jc w:val="left"/>
              <w:rPr>
                <w:lang w:val="en-US"/>
              </w:rPr>
            </w:pPr>
            <w:r w:rsidRPr="002C0E1B">
              <w:t>96.7%</w:t>
            </w:r>
            <w:r w:rsidRPr="002C0E1B">
              <w:rPr>
                <w:lang w:val="en-US"/>
              </w:rPr>
              <w:t>​</w:t>
            </w:r>
          </w:p>
        </w:tc>
      </w:tr>
    </w:tbl>
    <w:p w14:paraId="03B8B947" w14:textId="2F70E864" w:rsidR="00E02262" w:rsidRPr="001F576E" w:rsidRDefault="00AB2AAB" w:rsidP="001F576E">
      <w:pPr>
        <w:pStyle w:val="DJCSbody"/>
        <w:ind w:left="0"/>
      </w:pPr>
      <w:r>
        <w:t>Th</w:t>
      </w:r>
      <w:r w:rsidR="00D70D6C">
        <w:t>is</w:t>
      </w:r>
      <w:r>
        <w:t xml:space="preserve"> sensitivity analysis demonstrates that </w:t>
      </w:r>
      <w:r w:rsidR="00C63F45">
        <w:t xml:space="preserve">changes to </w:t>
      </w:r>
      <w:r w:rsidR="00AC5D0E">
        <w:t xml:space="preserve">the period of debt recovery </w:t>
      </w:r>
      <w:r w:rsidR="00B40D9E">
        <w:t>in stage 1B and stage 2</w:t>
      </w:r>
      <w:r>
        <w:t xml:space="preserve"> </w:t>
      </w:r>
      <w:r w:rsidR="00B40D9E">
        <w:t xml:space="preserve">has </w:t>
      </w:r>
      <w:r w:rsidR="00E02262" w:rsidRPr="00B96940">
        <w:t xml:space="preserve">minimal impact on overall debt recovery, with the preferred option still achieving a strong rate of </w:t>
      </w:r>
      <w:r w:rsidR="00E02262" w:rsidRPr="00B96940">
        <w:rPr>
          <w:b/>
          <w:bCs/>
        </w:rPr>
        <w:t>96.6%</w:t>
      </w:r>
      <w:r w:rsidR="00E02262">
        <w:rPr>
          <w:b/>
          <w:bCs/>
        </w:rPr>
        <w:t xml:space="preserve"> </w:t>
      </w:r>
      <w:r w:rsidR="00E02262">
        <w:t>following inclusion of hardship provisions</w:t>
      </w:r>
      <w:r w:rsidR="00E02262" w:rsidRPr="001F576E">
        <w:t>.</w:t>
      </w:r>
      <w:r w:rsidR="00571BEB">
        <w:t xml:space="preserve"> Further analysis and justification for the selection of the preferred approach is outlined below. </w:t>
      </w:r>
    </w:p>
    <w:p w14:paraId="4AA93258" w14:textId="2317CC2F" w:rsidR="00392FC8" w:rsidRPr="001F576E" w:rsidRDefault="00392FC8" w:rsidP="008839E9">
      <w:pPr>
        <w:pStyle w:val="DJCSbody"/>
        <w:ind w:left="0"/>
        <w:jc w:val="left"/>
        <w:rPr>
          <w:i/>
          <w:iCs/>
        </w:rPr>
      </w:pPr>
      <w:r w:rsidRPr="001F576E">
        <w:rPr>
          <w:i/>
          <w:iCs/>
        </w:rPr>
        <w:t>I</w:t>
      </w:r>
      <w:r w:rsidR="000D4FF8" w:rsidRPr="001F576E">
        <w:rPr>
          <w:i/>
          <w:iCs/>
        </w:rPr>
        <w:t xml:space="preserve">nternal debt recovery timings </w:t>
      </w:r>
    </w:p>
    <w:p w14:paraId="07D736FB" w14:textId="3BA99A98" w:rsidR="00E877AA" w:rsidRDefault="008815A6" w:rsidP="008839E9">
      <w:pPr>
        <w:pStyle w:val="DJCSbody"/>
        <w:ind w:left="0"/>
        <w:jc w:val="left"/>
      </w:pPr>
      <w:r>
        <w:t xml:space="preserve">It has been assumed </w:t>
      </w:r>
      <w:r w:rsidR="00FF4C00">
        <w:t xml:space="preserve">that </w:t>
      </w:r>
      <w:r w:rsidR="00337372">
        <w:t xml:space="preserve">allowing 14 days before issuing a new notice </w:t>
      </w:r>
      <w:r w:rsidR="0061364C">
        <w:t>(~</w:t>
      </w:r>
      <w:r w:rsidR="00A404C0">
        <w:t>8</w:t>
      </w:r>
      <w:r w:rsidR="00FB5640">
        <w:t xml:space="preserve"> weeks</w:t>
      </w:r>
      <w:r w:rsidR="00A47F86">
        <w:t>, assuming notices are issued electronically</w:t>
      </w:r>
      <w:r w:rsidR="0061364C">
        <w:t xml:space="preserve">) </w:t>
      </w:r>
      <w:r w:rsidR="00D974D4">
        <w:t>w</w:t>
      </w:r>
      <w:r w:rsidR="001E5707">
        <w:t xml:space="preserve">ould achieve a higher debt recovery </w:t>
      </w:r>
      <w:r w:rsidR="00FB5640">
        <w:t xml:space="preserve">than </w:t>
      </w:r>
      <w:r w:rsidR="00FE431C">
        <w:t>allowing</w:t>
      </w:r>
      <w:r w:rsidR="00AE750E">
        <w:t xml:space="preserve"> </w:t>
      </w:r>
      <w:r w:rsidR="00FB5640">
        <w:t xml:space="preserve">a period </w:t>
      </w:r>
      <w:r w:rsidR="00282FA5">
        <w:t xml:space="preserve">of </w:t>
      </w:r>
      <w:r w:rsidR="00AE750E">
        <w:t xml:space="preserve">7 </w:t>
      </w:r>
      <w:r w:rsidR="00282FA5">
        <w:t>days (~</w:t>
      </w:r>
      <w:r w:rsidR="00AE750E">
        <w:t>4</w:t>
      </w:r>
      <w:r w:rsidR="00FB5640">
        <w:t xml:space="preserve"> weeks</w:t>
      </w:r>
      <w:r w:rsidR="00A47F86">
        <w:t>, with notices issued electronically</w:t>
      </w:r>
      <w:r w:rsidR="00282FA5">
        <w:t>)</w:t>
      </w:r>
      <w:r w:rsidR="00AE750E">
        <w:t xml:space="preserve">. However, </w:t>
      </w:r>
      <w:r w:rsidR="000D1F70">
        <w:t>when combined with contracting a DCA for a period of 12 months</w:t>
      </w:r>
      <w:r w:rsidR="00F379B7">
        <w:t>, and accounting for hardship circumstances</w:t>
      </w:r>
      <w:r w:rsidR="00392FC8">
        <w:t>,</w:t>
      </w:r>
      <w:r w:rsidR="00392FC8" w:rsidRPr="00392FC8">
        <w:t xml:space="preserve"> </w:t>
      </w:r>
      <w:r w:rsidR="0047004A">
        <w:t xml:space="preserve">issuing new notices after </w:t>
      </w:r>
      <w:r w:rsidR="00AE750E">
        <w:t xml:space="preserve">7 days </w:t>
      </w:r>
      <w:r w:rsidR="00392FC8">
        <w:t xml:space="preserve">results in a </w:t>
      </w:r>
      <w:r w:rsidR="009967D5">
        <w:t>~</w:t>
      </w:r>
      <w:r w:rsidR="00392FC8">
        <w:t>0.1% higher overall debt recovery rate</w:t>
      </w:r>
      <w:r w:rsidR="004043BE">
        <w:t xml:space="preserve"> of 96.</w:t>
      </w:r>
      <w:r w:rsidR="00F379B7">
        <w:t>6%</w:t>
      </w:r>
      <w:r w:rsidR="00FB5640">
        <w:t xml:space="preserve">. This is </w:t>
      </w:r>
      <w:r w:rsidR="00D96971">
        <w:t xml:space="preserve">because </w:t>
      </w:r>
      <w:r w:rsidR="00293678">
        <w:t>during week</w:t>
      </w:r>
      <w:r w:rsidR="00A47F86">
        <w:t>s</w:t>
      </w:r>
      <w:r w:rsidR="00293678">
        <w:t xml:space="preserve"> </w:t>
      </w:r>
      <w:r w:rsidR="00A47F86">
        <w:t>~</w:t>
      </w:r>
      <w:r w:rsidR="00293678">
        <w:t>5-8</w:t>
      </w:r>
      <w:r w:rsidR="00A61D25">
        <w:t xml:space="preserve"> (assuming notices are issued electronically)</w:t>
      </w:r>
      <w:r w:rsidR="00293678">
        <w:t xml:space="preserve">, it is more effective for </w:t>
      </w:r>
      <w:r w:rsidR="00B1728D">
        <w:t>an external DCA</w:t>
      </w:r>
      <w:r w:rsidR="00814589">
        <w:t xml:space="preserve"> </w:t>
      </w:r>
      <w:r w:rsidR="00DA7E67">
        <w:t xml:space="preserve">to </w:t>
      </w:r>
      <w:r w:rsidR="00D96971">
        <w:t>recover</w:t>
      </w:r>
      <w:r w:rsidR="00A47F86">
        <w:t xml:space="preserve"> </w:t>
      </w:r>
      <w:r w:rsidR="00D96971">
        <w:t xml:space="preserve">debt </w:t>
      </w:r>
      <w:r w:rsidR="00814589">
        <w:t>due to their expertise</w:t>
      </w:r>
      <w:r w:rsidR="001F075F">
        <w:t>.</w:t>
      </w:r>
      <w:r w:rsidR="00CE25DC">
        <w:rPr>
          <w:rStyle w:val="FootnoteReference"/>
        </w:rPr>
        <w:footnoteReference w:id="59"/>
      </w:r>
      <w:r w:rsidR="00814589">
        <w:t xml:space="preserve"> </w:t>
      </w:r>
      <w:r w:rsidR="0049642E">
        <w:t>Further,</w:t>
      </w:r>
      <w:r w:rsidR="004D1039">
        <w:t xml:space="preserve"> </w:t>
      </w:r>
      <w:r w:rsidR="004522AC">
        <w:t>debts that have aged beyond 1-year are usually deemed significantly less likely to be recovered</w:t>
      </w:r>
      <w:r w:rsidR="00502F83">
        <w:t>, and the rate of recovery drops off quite significantly</w:t>
      </w:r>
      <w:r w:rsidR="004522AC">
        <w:t>.</w:t>
      </w:r>
      <w:r w:rsidR="000C1446">
        <w:t xml:space="preserve"> </w:t>
      </w:r>
    </w:p>
    <w:p w14:paraId="667292C4" w14:textId="749C99B9" w:rsidR="00451290" w:rsidRDefault="00B2308E" w:rsidP="008839E9">
      <w:pPr>
        <w:pStyle w:val="DJCSbody"/>
        <w:ind w:left="0"/>
        <w:jc w:val="left"/>
      </w:pPr>
      <w:r>
        <w:t xml:space="preserve">It should be noted that </w:t>
      </w:r>
      <w:r w:rsidR="00346F1B">
        <w:t>the debt recovery assumption</w:t>
      </w:r>
      <w:r w:rsidR="00CE202A">
        <w:t>s across the different timeframe scenarios</w:t>
      </w:r>
      <w:r w:rsidR="00346F1B">
        <w:t xml:space="preserve"> </w:t>
      </w:r>
      <w:r w:rsidR="00C72083">
        <w:t xml:space="preserve">have been set </w:t>
      </w:r>
      <w:r w:rsidR="00D95AD9">
        <w:t>with reference</w:t>
      </w:r>
      <w:r w:rsidR="00C72083">
        <w:t xml:space="preserve"> to research into relative likelihood of debt recovery by age of debt</w:t>
      </w:r>
      <w:r w:rsidR="00DF1F3D">
        <w:t xml:space="preserve"> from the Tax Ombudsman</w:t>
      </w:r>
      <w:r w:rsidR="00C72083">
        <w:rPr>
          <w:rStyle w:val="FootnoteReference"/>
        </w:rPr>
        <w:footnoteReference w:id="60"/>
      </w:r>
      <w:r w:rsidR="00C72083">
        <w:t xml:space="preserve"> and </w:t>
      </w:r>
      <w:r w:rsidR="00DF1F3D">
        <w:t>cross-referenced this against other debt collection agency sources</w:t>
      </w:r>
      <w:r w:rsidR="00777AB5">
        <w:t>.</w:t>
      </w:r>
      <w:r w:rsidR="00933F22">
        <w:rPr>
          <w:rStyle w:val="FootnoteReference"/>
        </w:rPr>
        <w:footnoteReference w:id="61"/>
      </w:r>
      <w:r w:rsidR="00DF1F3D">
        <w:t xml:space="preserve"> </w:t>
      </w:r>
      <w:r w:rsidR="007D0F5F">
        <w:t xml:space="preserve">A profile of debt recovery rates by age of debt is then assumed for the PRBS (based on the </w:t>
      </w:r>
      <w:r w:rsidR="0082375C">
        <w:t xml:space="preserve">total </w:t>
      </w:r>
      <w:r w:rsidR="007D0F5F">
        <w:t>~25% debt recovery rate for Stage 1B-2)</w:t>
      </w:r>
      <w:r w:rsidR="00B57086">
        <w:t xml:space="preserve"> for internal </w:t>
      </w:r>
      <w:r w:rsidR="00CB13E0">
        <w:t>and external recovery mechanisms</w:t>
      </w:r>
      <w:r w:rsidR="007D0F5F">
        <w:t>.</w:t>
      </w:r>
      <w:r w:rsidR="00F9452C">
        <w:t xml:space="preserve"> </w:t>
      </w:r>
    </w:p>
    <w:p w14:paraId="1D623CF0" w14:textId="581CDDB7" w:rsidR="00DB7B8F" w:rsidRDefault="00DF1F3D" w:rsidP="008839E9">
      <w:pPr>
        <w:pStyle w:val="DJCSbody"/>
        <w:ind w:left="0"/>
        <w:jc w:val="left"/>
      </w:pPr>
      <w:r>
        <w:t xml:space="preserve">It should be noted that this </w:t>
      </w:r>
      <w:r w:rsidR="00933F22">
        <w:t xml:space="preserve">assumption </w:t>
      </w:r>
      <w:r w:rsidR="00346F1B">
        <w:t>remains highly uncertain</w:t>
      </w:r>
      <w:r w:rsidR="00CE202A">
        <w:t>, with possibility of actual outcomes deviatin</w:t>
      </w:r>
      <w:r w:rsidR="00D27B9F">
        <w:t>g.</w:t>
      </w:r>
    </w:p>
    <w:p w14:paraId="516FA3A6" w14:textId="487BDD4C" w:rsidR="00C471C8" w:rsidRDefault="00DB45F0" w:rsidP="008839E9">
      <w:pPr>
        <w:pStyle w:val="DJCSbody"/>
        <w:ind w:left="0"/>
        <w:jc w:val="left"/>
      </w:pPr>
      <w:r>
        <w:t xml:space="preserve">Given the expertise of external debt </w:t>
      </w:r>
      <w:r w:rsidR="00C51FFB">
        <w:t>collection agencies in managing debt, the preferred internal recovery timing</w:t>
      </w:r>
      <w:r w:rsidR="006C0138">
        <w:t xml:space="preserve"> is to not issue a new notice within 7 days of the previous notice</w:t>
      </w:r>
      <w:r w:rsidR="00095E93">
        <w:t xml:space="preserve">. This means </w:t>
      </w:r>
      <w:r w:rsidR="002374D8">
        <w:t xml:space="preserve">renters have a total of </w:t>
      </w:r>
      <w:r w:rsidR="00095E93">
        <w:t xml:space="preserve">at least </w:t>
      </w:r>
      <w:r w:rsidR="00A13922">
        <w:t>3</w:t>
      </w:r>
      <w:r w:rsidR="002374D8">
        <w:t xml:space="preserve"> months to pay the</w:t>
      </w:r>
      <w:r w:rsidR="00307451">
        <w:t>ir</w:t>
      </w:r>
      <w:r w:rsidR="002374D8">
        <w:t xml:space="preserve"> debt</w:t>
      </w:r>
      <w:r w:rsidR="00773C43">
        <w:t xml:space="preserve"> or enter a payment plan</w:t>
      </w:r>
      <w:r w:rsidR="00307451">
        <w:t xml:space="preserve"> </w:t>
      </w:r>
      <w:r w:rsidR="00773C43">
        <w:t xml:space="preserve">prior to </w:t>
      </w:r>
      <w:r w:rsidR="00E3656D">
        <w:t xml:space="preserve">the commencement of </w:t>
      </w:r>
      <w:r w:rsidR="00A13922">
        <w:t xml:space="preserve">external </w:t>
      </w:r>
      <w:r w:rsidR="00773C43">
        <w:t>debt recovery action</w:t>
      </w:r>
      <w:r w:rsidR="00E3656D">
        <w:t xml:space="preserve"> (stage </w:t>
      </w:r>
      <w:r w:rsidR="00A13922">
        <w:t>2</w:t>
      </w:r>
      <w:r w:rsidR="00E3656D">
        <w:t>)</w:t>
      </w:r>
      <w:r w:rsidR="00C51FFB">
        <w:t>.</w:t>
      </w:r>
    </w:p>
    <w:p w14:paraId="12732F89" w14:textId="2703C316" w:rsidR="006B55C7" w:rsidRDefault="00975E13" w:rsidP="001F576E">
      <w:pPr>
        <w:pStyle w:val="DJCSbody"/>
        <w:ind w:left="0"/>
        <w:jc w:val="left"/>
      </w:pPr>
      <w:r>
        <w:rPr>
          <w:i/>
          <w:iCs/>
        </w:rPr>
        <w:t xml:space="preserve">External DCA debt recovery timing </w:t>
      </w:r>
    </w:p>
    <w:p w14:paraId="67F352D0" w14:textId="4A413D00" w:rsidR="006B55C7" w:rsidDel="00D23F99" w:rsidRDefault="006B55C7" w:rsidP="008839E9">
      <w:pPr>
        <w:pStyle w:val="DJCSbody"/>
        <w:ind w:left="0"/>
        <w:jc w:val="left"/>
      </w:pPr>
      <w:r w:rsidDel="00D23F99">
        <w:t>Overall, the</w:t>
      </w:r>
      <w:r w:rsidRPr="00F86F39" w:rsidDel="00D23F99">
        <w:t xml:space="preserve"> combination of </w:t>
      </w:r>
      <w:r w:rsidR="004471BE">
        <w:t>an</w:t>
      </w:r>
      <w:r w:rsidR="004471BE" w:rsidRPr="00F86F39" w:rsidDel="00D23F99">
        <w:t xml:space="preserve"> </w:t>
      </w:r>
      <w:r w:rsidR="004471BE">
        <w:t>approximate</w:t>
      </w:r>
      <w:r w:rsidRPr="00F86F39" w:rsidDel="00D23F99">
        <w:t xml:space="preserve"> </w:t>
      </w:r>
      <w:r w:rsidR="00DF3285">
        <w:t>4-week</w:t>
      </w:r>
      <w:r w:rsidR="00EF243D" w:rsidDel="00D23F99">
        <w:t xml:space="preserve"> </w:t>
      </w:r>
      <w:r w:rsidRPr="00F86F39" w:rsidDel="00D23F99">
        <w:t xml:space="preserve">recovery period and efficient external collection in </w:t>
      </w:r>
      <w:r w:rsidDel="00D23F99">
        <w:t>the preferred option</w:t>
      </w:r>
      <w:r w:rsidRPr="00F86F39" w:rsidDel="00D23F99">
        <w:t xml:space="preserve"> provides a balanced approach to financial sustainability and effective debt management, supporting its selection as the preferred option for implementation</w:t>
      </w:r>
      <w:r w:rsidR="00CA3C50" w:rsidDel="00D23F99">
        <w:t>.</w:t>
      </w:r>
      <w:r w:rsidR="00D66241" w:rsidDel="00D23F99">
        <w:t xml:space="preserve"> </w:t>
      </w:r>
      <w:r w:rsidR="006937CB" w:rsidRPr="00FD56E5" w:rsidDel="00D23F99">
        <w:t xml:space="preserve">This structure is intentionally designed to </w:t>
      </w:r>
      <w:r w:rsidR="006937CB" w:rsidRPr="00FD56E5" w:rsidDel="00D23F99">
        <w:lastRenderedPageBreak/>
        <w:t>maximi</w:t>
      </w:r>
      <w:r w:rsidR="006937CB" w:rsidDel="00D23F99">
        <w:t>s</w:t>
      </w:r>
      <w:r w:rsidR="006937CB" w:rsidRPr="00FD56E5" w:rsidDel="00D23F99">
        <w:t>e the chances of resolving debts efficiently withi</w:t>
      </w:r>
      <w:r w:rsidR="006937CB" w:rsidRPr="00FD56E5">
        <w:t>n</w:t>
      </w:r>
      <w:r w:rsidR="006937CB">
        <w:t xml:space="preserve"> the</w:t>
      </w:r>
      <w:r w:rsidR="00227131">
        <w:t xml:space="preserve"> </w:t>
      </w:r>
      <w:r w:rsidR="00DF3285">
        <w:t xml:space="preserve">Government </w:t>
      </w:r>
      <w:r w:rsidR="006937CB" w:rsidDel="00D23F99">
        <w:t>in-house</w:t>
      </w:r>
      <w:r w:rsidR="006937CB" w:rsidRPr="00FD56E5" w:rsidDel="00D23F99">
        <w:t xml:space="preserve"> process, while also providing a reasonable window for external recovery.</w:t>
      </w:r>
    </w:p>
    <w:p w14:paraId="7CBCF0AB" w14:textId="08B23E5D" w:rsidR="00743411" w:rsidRDefault="00612E9A" w:rsidP="00043D16">
      <w:pPr>
        <w:pStyle w:val="DJCSbody"/>
        <w:ind w:left="0"/>
      </w:pPr>
      <w:r>
        <w:t xml:space="preserve">The analysis shows that </w:t>
      </w:r>
      <w:r w:rsidR="009967D5">
        <w:t xml:space="preserve">reducing the period of DCA engagement in stage 2 </w:t>
      </w:r>
      <w:r w:rsidR="00190BFB">
        <w:t xml:space="preserve">from 1 year to 6 months </w:t>
      </w:r>
      <w:r w:rsidR="009967D5">
        <w:t xml:space="preserve">would reduce the overall </w:t>
      </w:r>
      <w:r w:rsidR="0037331C">
        <w:t xml:space="preserve">PRBS </w:t>
      </w:r>
      <w:r w:rsidR="009967D5">
        <w:t xml:space="preserve">debt recovery by ~0.5%. </w:t>
      </w:r>
      <w:r w:rsidR="00AF11F2">
        <w:t xml:space="preserve">Extending external debt collection beyond </w:t>
      </w:r>
      <w:r w:rsidR="005E5D67">
        <w:t>1</w:t>
      </w:r>
      <w:r w:rsidR="00AF11F2">
        <w:t xml:space="preserve"> year (e.g., up to </w:t>
      </w:r>
      <w:r w:rsidR="005E5D67">
        <w:t>2</w:t>
      </w:r>
      <w:r w:rsidR="00AF11F2">
        <w:t xml:space="preserve"> years) may </w:t>
      </w:r>
      <w:r w:rsidR="005E5D67">
        <w:t xml:space="preserve">have a very minor incremental improvement in the recovery rate. However, this approach may </w:t>
      </w:r>
      <w:r w:rsidR="007A0A77">
        <w:t xml:space="preserve">induce additional stress on renters. </w:t>
      </w:r>
      <w:r w:rsidR="00743411">
        <w:t xml:space="preserve">By limiting external recovery to one year, the </w:t>
      </w:r>
      <w:r w:rsidR="00BA15F8">
        <w:t>PRBS</w:t>
      </w:r>
      <w:r w:rsidR="00743411">
        <w:t xml:space="preserve"> recogni</w:t>
      </w:r>
      <w:r w:rsidR="00063CFC">
        <w:t>s</w:t>
      </w:r>
      <w:r w:rsidR="00743411">
        <w:t xml:space="preserve">es that those unable to settle debts within this period </w:t>
      </w:r>
      <w:r w:rsidR="005958E8">
        <w:t>will</w:t>
      </w:r>
      <w:r w:rsidR="00743411">
        <w:t xml:space="preserve"> likely </w:t>
      </w:r>
      <w:r w:rsidR="005958E8">
        <w:t xml:space="preserve">not </w:t>
      </w:r>
      <w:r w:rsidR="00FD376C">
        <w:t xml:space="preserve">be incentivised </w:t>
      </w:r>
      <w:r w:rsidR="005958E8">
        <w:t>from</w:t>
      </w:r>
      <w:r w:rsidR="00FD376C">
        <w:t xml:space="preserve"> further</w:t>
      </w:r>
      <w:r w:rsidR="00743411">
        <w:t xml:space="preserve"> prolonged collection efforts.</w:t>
      </w:r>
      <w:r w:rsidR="00305048">
        <w:t xml:space="preserve"> </w:t>
      </w:r>
      <w:r w:rsidR="005D0B46">
        <w:t xml:space="preserve">It also avoids the pitfalls of </w:t>
      </w:r>
      <w:r w:rsidR="00EC0F11">
        <w:t xml:space="preserve">extensive debt recovery timeframes being perceived as </w:t>
      </w:r>
      <w:r w:rsidR="00C24856">
        <w:t xml:space="preserve">being an </w:t>
      </w:r>
      <w:r w:rsidR="005D0B46">
        <w:t xml:space="preserve">overly aggressive </w:t>
      </w:r>
      <w:r w:rsidR="00C24856">
        <w:t xml:space="preserve">approach to </w:t>
      </w:r>
      <w:r w:rsidR="005D0B46">
        <w:t xml:space="preserve">debt collection, which could undermine the </w:t>
      </w:r>
      <w:r w:rsidR="00BA15F8">
        <w:t>PRBS’</w:t>
      </w:r>
      <w:r w:rsidR="005D0B46">
        <w:t xml:space="preserve"> core purpose: alleviating financial stress for renters.</w:t>
      </w:r>
    </w:p>
    <w:p w14:paraId="6C4E6D6B" w14:textId="5ABF61D7" w:rsidR="00C63F45" w:rsidRDefault="00C63F45" w:rsidP="001F576E">
      <w:pPr>
        <w:pStyle w:val="DJCSbody"/>
        <w:ind w:left="0"/>
        <w:jc w:val="left"/>
      </w:pPr>
      <w:r>
        <w:t>Overall, the</w:t>
      </w:r>
      <w:r w:rsidRPr="00F86F39">
        <w:t xml:space="preserve"> combination of </w:t>
      </w:r>
      <w:r w:rsidR="00055EC7">
        <w:t xml:space="preserve">allowing </w:t>
      </w:r>
      <w:r>
        <w:t>7 days</w:t>
      </w:r>
      <w:r w:rsidRPr="00F86F39">
        <w:t xml:space="preserve"> </w:t>
      </w:r>
      <w:r w:rsidR="00055EC7">
        <w:t>to pass before sending a further</w:t>
      </w:r>
      <w:r>
        <w:t xml:space="preserve"> notice in stage 1B </w:t>
      </w:r>
      <w:r w:rsidRPr="00F86F39">
        <w:t xml:space="preserve">and </w:t>
      </w:r>
      <w:r w:rsidR="0033260B">
        <w:t xml:space="preserve">allowing for an appropriate period of </w:t>
      </w:r>
      <w:r w:rsidRPr="00F86F39">
        <w:t>efficient external collection provides a balanced approach to financial sustainability and effective debt management</w:t>
      </w:r>
      <w:r w:rsidR="00055EC7">
        <w:t>. This supports this method</w:t>
      </w:r>
      <w:r w:rsidRPr="00F86F39">
        <w:t xml:space="preserve"> as the preferred option for implementation</w:t>
      </w:r>
      <w:r>
        <w:t xml:space="preserve">. </w:t>
      </w:r>
      <w:r w:rsidRPr="00FD56E5">
        <w:t>This structure is intentionally designed to maximi</w:t>
      </w:r>
      <w:r>
        <w:t>s</w:t>
      </w:r>
      <w:r w:rsidRPr="00FD56E5">
        <w:t>e the chances of resolving debts efficiently within</w:t>
      </w:r>
      <w:r>
        <w:t xml:space="preserve"> the</w:t>
      </w:r>
      <w:r w:rsidRPr="00FD56E5">
        <w:t xml:space="preserve"> </w:t>
      </w:r>
      <w:r w:rsidR="000E1367">
        <w:t xml:space="preserve">Government </w:t>
      </w:r>
      <w:r>
        <w:t>in-house</w:t>
      </w:r>
      <w:r w:rsidRPr="00FD56E5">
        <w:t xml:space="preserve"> process, while also providing a reasonable window for external recovery.</w:t>
      </w:r>
    </w:p>
    <w:p w14:paraId="14606099" w14:textId="20AD402A" w:rsidR="00E4667B" w:rsidRPr="00D2300A" w:rsidRDefault="00E4667B" w:rsidP="00E4667B">
      <w:pPr>
        <w:pStyle w:val="Heading3"/>
      </w:pPr>
      <w:r>
        <w:t xml:space="preserve">Debt recovery assumption sensitivity analysis  </w:t>
      </w:r>
    </w:p>
    <w:p w14:paraId="2E2B175A" w14:textId="43CE0D7B" w:rsidR="001956EC" w:rsidRDefault="00D63D69" w:rsidP="001956EC">
      <w:pPr>
        <w:pStyle w:val="DJCSbody"/>
        <w:ind w:left="0"/>
      </w:pPr>
      <w:r>
        <w:t>Given</w:t>
      </w:r>
      <w:r w:rsidR="00F719A2">
        <w:t xml:space="preserve"> the inherent</w:t>
      </w:r>
      <w:r>
        <w:t xml:space="preserve"> uncertainties pertaining</w:t>
      </w:r>
      <w:r w:rsidR="00DA17BD">
        <w:t xml:space="preserve"> to</w:t>
      </w:r>
      <w:r>
        <w:t xml:space="preserve"> the </w:t>
      </w:r>
      <w:r w:rsidR="00923D41">
        <w:t>debt</w:t>
      </w:r>
      <w:r w:rsidR="00907827">
        <w:t xml:space="preserve"> recovery rates</w:t>
      </w:r>
      <w:r w:rsidR="00F1402C">
        <w:t xml:space="preserve">, sensitivity analysis has been conducted to </w:t>
      </w:r>
      <w:r w:rsidR="009F4915">
        <w:t xml:space="preserve">measure the impact of </w:t>
      </w:r>
      <w:r w:rsidR="00CB0D49">
        <w:t xml:space="preserve">adopting the following scenarios </w:t>
      </w:r>
      <w:r w:rsidR="00D5142B">
        <w:t>relative to the adopted assumption of 6</w:t>
      </w:r>
      <w:r w:rsidR="003D10B2">
        <w:t>6</w:t>
      </w:r>
      <w:r w:rsidR="00D5142B">
        <w:t>%</w:t>
      </w:r>
      <w:r w:rsidR="00575205">
        <w:t xml:space="preserve"> (% of overdue debts)</w:t>
      </w:r>
      <w:r w:rsidR="00D5142B">
        <w:t xml:space="preserve">. The impact is determined by the change in </w:t>
      </w:r>
      <w:r w:rsidR="00CB0D49">
        <w:t xml:space="preserve">the </w:t>
      </w:r>
      <w:r w:rsidR="00A46891">
        <w:t>10</w:t>
      </w:r>
      <w:r w:rsidR="00024EB7">
        <w:t>-year cashflows</w:t>
      </w:r>
      <w:r w:rsidR="00DF0F3D">
        <w:t xml:space="preserve"> against the preferred option</w:t>
      </w:r>
      <w:r w:rsidR="00D5142B">
        <w:t>.</w:t>
      </w:r>
    </w:p>
    <w:p w14:paraId="462B9A75" w14:textId="77777777" w:rsidR="00C35E16" w:rsidRDefault="00C35E16" w:rsidP="007822A5">
      <w:pPr>
        <w:pStyle w:val="DJCSbody"/>
        <w:numPr>
          <w:ilvl w:val="0"/>
          <w:numId w:val="41"/>
        </w:numPr>
      </w:pPr>
      <w:r>
        <w:t xml:space="preserve">80% </w:t>
      </w:r>
      <w:r w:rsidR="0053207C">
        <w:t>debt recovery rate (% of overdue debts)</w:t>
      </w:r>
      <w:r w:rsidR="00D00CAF">
        <w:t>:</w:t>
      </w:r>
      <w:r w:rsidR="0053207C">
        <w:t xml:space="preserve"> </w:t>
      </w:r>
      <w:r w:rsidR="00C343D7">
        <w:t>This scenario assumes a higher recovery rate (55%) for debts recovered from second bond, relative to the adopted assumption of 40%.</w:t>
      </w:r>
    </w:p>
    <w:p w14:paraId="11D14E47" w14:textId="77777777" w:rsidR="00434BA7" w:rsidRDefault="00D00CAF" w:rsidP="007822A5">
      <w:pPr>
        <w:pStyle w:val="DJCSbody"/>
        <w:numPr>
          <w:ilvl w:val="0"/>
          <w:numId w:val="41"/>
        </w:numPr>
      </w:pPr>
      <w:r>
        <w:t xml:space="preserve">50% </w:t>
      </w:r>
      <w:r w:rsidR="0053207C">
        <w:t>d</w:t>
      </w:r>
      <w:r>
        <w:t xml:space="preserve">ebt </w:t>
      </w:r>
      <w:r w:rsidR="0053207C">
        <w:t>r</w:t>
      </w:r>
      <w:r>
        <w:t xml:space="preserve">ecovery </w:t>
      </w:r>
      <w:r w:rsidR="0053207C">
        <w:t>r</w:t>
      </w:r>
      <w:r>
        <w:t>ate</w:t>
      </w:r>
      <w:r w:rsidR="0053207C">
        <w:t xml:space="preserve"> (% of overdue debts)</w:t>
      </w:r>
      <w:r>
        <w:t>:</w:t>
      </w:r>
      <w:r w:rsidR="00C343D7">
        <w:t xml:space="preserve"> This scenario assumes a lower recovery rate (25%) for debts recovered from second bond, relative to the adopted assumption of 40%.</w:t>
      </w:r>
    </w:p>
    <w:p w14:paraId="64818C3A" w14:textId="7A40979F" w:rsidR="00654EE2" w:rsidRDefault="00E028CF">
      <w:pPr>
        <w:rPr>
          <w:rFonts w:asciiTheme="majorHAnsi" w:hAnsiTheme="majorHAnsi" w:cstheme="majorHAnsi"/>
          <w:sz w:val="22"/>
          <w:szCs w:val="22"/>
        </w:rPr>
      </w:pPr>
      <w:r>
        <w:rPr>
          <w:rFonts w:asciiTheme="majorHAnsi" w:hAnsiTheme="majorHAnsi" w:cstheme="majorHAnsi"/>
          <w:sz w:val="22"/>
          <w:szCs w:val="22"/>
        </w:rPr>
        <w:t>The application fee of $35 is maintained across all scenarios below.</w:t>
      </w:r>
    </w:p>
    <w:p w14:paraId="7FB2B3A9" w14:textId="77777777" w:rsidR="00CA2059" w:rsidRDefault="00CA2059" w:rsidP="00F77945">
      <w:pPr>
        <w:rPr>
          <w:rFonts w:asciiTheme="majorHAnsi" w:hAnsiTheme="majorHAnsi" w:cstheme="majorHAnsi"/>
          <w:sz w:val="22"/>
          <w:szCs w:val="22"/>
        </w:rPr>
      </w:pPr>
    </w:p>
    <w:p w14:paraId="5168BFC4" w14:textId="6E466CEE" w:rsidR="003E3B0C" w:rsidRDefault="003E3B0C" w:rsidP="003E3B0C">
      <w:pPr>
        <w:pStyle w:val="Caption"/>
      </w:pPr>
      <w:r>
        <w:t xml:space="preserve">Table </w:t>
      </w:r>
      <w:r w:rsidR="00071217">
        <w:t>24</w:t>
      </w:r>
      <w:r>
        <w:t xml:space="preserve">: Sensitivity analysis on impact of debt recovery rate on </w:t>
      </w:r>
      <w:r w:rsidR="00456512">
        <w:t>10</w:t>
      </w:r>
      <w:r w:rsidR="002D59C1">
        <w:t>-year</w:t>
      </w:r>
      <w:r>
        <w:t xml:space="preserve"> </w:t>
      </w:r>
      <w:r w:rsidR="00EA635A">
        <w:t>cashflows</w:t>
      </w:r>
      <w:r>
        <w:t xml:space="preserve"> for preferred option</w:t>
      </w: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12"/>
        <w:gridCol w:w="1465"/>
        <w:gridCol w:w="1276"/>
        <w:gridCol w:w="1417"/>
        <w:gridCol w:w="1701"/>
      </w:tblGrid>
      <w:tr w:rsidR="0091329E" w14:paraId="5EB655EE" w14:textId="77777777" w:rsidTr="008E7AE6">
        <w:tc>
          <w:tcPr>
            <w:tcW w:w="1555" w:type="dxa"/>
            <w:shd w:val="clear" w:color="auto" w:fill="16145F" w:themeFill="text2"/>
          </w:tcPr>
          <w:p w14:paraId="3A919932" w14:textId="69E9E729" w:rsidR="0091329E" w:rsidRPr="00132F85" w:rsidRDefault="0091329E" w:rsidP="00D909EE">
            <w:pPr>
              <w:pStyle w:val="DJCSbody"/>
              <w:ind w:left="0"/>
              <w:rPr>
                <w:b/>
                <w:bCs/>
              </w:rPr>
            </w:pPr>
            <w:r>
              <w:rPr>
                <w:b/>
                <w:bCs/>
              </w:rPr>
              <w:t>Scenario (Application Fee $35)</w:t>
            </w:r>
          </w:p>
        </w:tc>
        <w:tc>
          <w:tcPr>
            <w:tcW w:w="1512" w:type="dxa"/>
            <w:shd w:val="clear" w:color="auto" w:fill="16145F" w:themeFill="text2"/>
          </w:tcPr>
          <w:p w14:paraId="60AAF82F" w14:textId="50949403" w:rsidR="0091329E" w:rsidRPr="00132F85" w:rsidRDefault="0091329E" w:rsidP="00D909EE">
            <w:pPr>
              <w:pStyle w:val="DJCSbody"/>
              <w:ind w:left="0"/>
              <w:jc w:val="center"/>
              <w:rPr>
                <w:b/>
                <w:bCs/>
              </w:rPr>
            </w:pPr>
            <w:r>
              <w:rPr>
                <w:b/>
                <w:bCs/>
              </w:rPr>
              <w:t>Application Fee Revenue</w:t>
            </w:r>
          </w:p>
        </w:tc>
        <w:tc>
          <w:tcPr>
            <w:tcW w:w="1465" w:type="dxa"/>
            <w:shd w:val="clear" w:color="auto" w:fill="16145F" w:themeFill="text2"/>
          </w:tcPr>
          <w:p w14:paraId="1A000888" w14:textId="77777777" w:rsidR="0091329E" w:rsidRPr="00132F85" w:rsidRDefault="0091329E" w:rsidP="00D909EE">
            <w:pPr>
              <w:pStyle w:val="DJCSbody"/>
              <w:ind w:left="0"/>
              <w:jc w:val="center"/>
              <w:rPr>
                <w:b/>
                <w:bCs/>
              </w:rPr>
            </w:pPr>
            <w:r>
              <w:rPr>
                <w:b/>
                <w:bCs/>
              </w:rPr>
              <w:t>Debt Recovery Fee Revenue</w:t>
            </w:r>
          </w:p>
        </w:tc>
        <w:tc>
          <w:tcPr>
            <w:tcW w:w="1276" w:type="dxa"/>
            <w:shd w:val="clear" w:color="auto" w:fill="16145F" w:themeFill="text2"/>
          </w:tcPr>
          <w:p w14:paraId="0E53FAA3" w14:textId="77777777" w:rsidR="0091329E" w:rsidRPr="00132F85" w:rsidRDefault="0091329E" w:rsidP="00D909EE">
            <w:pPr>
              <w:pStyle w:val="DJCSbody"/>
              <w:ind w:left="0"/>
              <w:jc w:val="center"/>
              <w:rPr>
                <w:b/>
                <w:bCs/>
              </w:rPr>
            </w:pPr>
            <w:r>
              <w:rPr>
                <w:b/>
                <w:bCs/>
              </w:rPr>
              <w:t>Operating Cost</w:t>
            </w:r>
          </w:p>
        </w:tc>
        <w:tc>
          <w:tcPr>
            <w:tcW w:w="1417" w:type="dxa"/>
            <w:shd w:val="clear" w:color="auto" w:fill="16145F" w:themeFill="text2"/>
          </w:tcPr>
          <w:p w14:paraId="46C2FFA7" w14:textId="77777777" w:rsidR="0091329E" w:rsidRPr="00132F85" w:rsidRDefault="0091329E" w:rsidP="00D909EE">
            <w:pPr>
              <w:pStyle w:val="DJCSbody"/>
              <w:ind w:left="0"/>
              <w:jc w:val="center"/>
              <w:rPr>
                <w:b/>
                <w:bCs/>
              </w:rPr>
            </w:pPr>
            <w:r>
              <w:rPr>
                <w:b/>
                <w:bCs/>
              </w:rPr>
              <w:t>Debt Deficit Balance</w:t>
            </w:r>
          </w:p>
        </w:tc>
        <w:tc>
          <w:tcPr>
            <w:tcW w:w="1701" w:type="dxa"/>
            <w:shd w:val="clear" w:color="auto" w:fill="16145F" w:themeFill="text2"/>
          </w:tcPr>
          <w:p w14:paraId="2B1E5649" w14:textId="3259E562" w:rsidR="0091329E" w:rsidRDefault="0091329E" w:rsidP="00D909EE">
            <w:pPr>
              <w:pStyle w:val="DJCSbody"/>
              <w:ind w:left="0"/>
              <w:jc w:val="center"/>
              <w:rPr>
                <w:b/>
                <w:bCs/>
                <w:color w:val="FFFFFF" w:themeColor="background1"/>
              </w:rPr>
            </w:pPr>
            <w:r>
              <w:rPr>
                <w:b/>
                <w:bCs/>
                <w:color w:val="FFFFFF" w:themeColor="background1"/>
              </w:rPr>
              <w:t>Total (10-Year Cashflows)</w:t>
            </w:r>
          </w:p>
        </w:tc>
      </w:tr>
      <w:tr w:rsidR="0091329E" w14:paraId="094D2DD3" w14:textId="77777777" w:rsidTr="00BE5ED9">
        <w:tc>
          <w:tcPr>
            <w:tcW w:w="1555" w:type="dxa"/>
          </w:tcPr>
          <w:p w14:paraId="140B7424" w14:textId="6EFF2442" w:rsidR="0091329E" w:rsidRPr="00493849" w:rsidRDefault="0091329E" w:rsidP="00D909EE">
            <w:pPr>
              <w:pStyle w:val="DJCSbody"/>
              <w:ind w:left="0"/>
              <w:jc w:val="left"/>
              <w:rPr>
                <w:b/>
                <w:bCs/>
              </w:rPr>
            </w:pPr>
            <w:r>
              <w:rPr>
                <w:b/>
                <w:bCs/>
              </w:rPr>
              <w:t xml:space="preserve">66% debt recovery </w:t>
            </w:r>
            <w:r w:rsidRPr="001F576E">
              <w:rPr>
                <w:sz w:val="18"/>
                <w:szCs w:val="16"/>
              </w:rPr>
              <w:t>(adopted assumption in preferred option)</w:t>
            </w:r>
          </w:p>
        </w:tc>
        <w:tc>
          <w:tcPr>
            <w:tcW w:w="1512" w:type="dxa"/>
          </w:tcPr>
          <w:p w14:paraId="49076640" w14:textId="1ECDCB3E" w:rsidR="0091329E" w:rsidRDefault="0091329E" w:rsidP="00D909EE">
            <w:pPr>
              <w:pStyle w:val="DJCSbody"/>
              <w:ind w:left="0"/>
              <w:jc w:val="center"/>
            </w:pPr>
            <w:r>
              <w:t>$53,951</w:t>
            </w:r>
          </w:p>
        </w:tc>
        <w:tc>
          <w:tcPr>
            <w:tcW w:w="1465" w:type="dxa"/>
          </w:tcPr>
          <w:p w14:paraId="3BEA909F" w14:textId="57FAC8D6" w:rsidR="0091329E" w:rsidRDefault="0091329E" w:rsidP="00D909EE">
            <w:pPr>
              <w:pStyle w:val="DJCSbody"/>
              <w:ind w:left="0"/>
              <w:jc w:val="center"/>
            </w:pPr>
            <w:r>
              <w:t>$406</w:t>
            </w:r>
          </w:p>
        </w:tc>
        <w:tc>
          <w:tcPr>
            <w:tcW w:w="1276" w:type="dxa"/>
          </w:tcPr>
          <w:p w14:paraId="30BB08C4" w14:textId="4AF7A63D" w:rsidR="0091329E" w:rsidRPr="00F538C1" w:rsidRDefault="0091329E" w:rsidP="00D909EE">
            <w:pPr>
              <w:pStyle w:val="DJCSbody"/>
              <w:ind w:left="0"/>
              <w:jc w:val="center"/>
              <w:rPr>
                <w:color w:val="FF0000"/>
              </w:rPr>
            </w:pPr>
            <w:r>
              <w:rPr>
                <w:color w:val="FF0000"/>
              </w:rPr>
              <w:t>-$23,757</w:t>
            </w:r>
          </w:p>
        </w:tc>
        <w:tc>
          <w:tcPr>
            <w:tcW w:w="1417" w:type="dxa"/>
          </w:tcPr>
          <w:p w14:paraId="124C1B5A" w14:textId="19B14C9A" w:rsidR="0091329E" w:rsidRPr="00F538C1" w:rsidRDefault="0091329E" w:rsidP="00D909EE">
            <w:pPr>
              <w:pStyle w:val="DJCSbody"/>
              <w:ind w:left="0"/>
              <w:jc w:val="center"/>
              <w:rPr>
                <w:color w:val="FF0000"/>
              </w:rPr>
            </w:pPr>
            <w:r>
              <w:rPr>
                <w:color w:val="FF0000"/>
              </w:rPr>
              <w:t>-$29,376</w:t>
            </w:r>
          </w:p>
        </w:tc>
        <w:tc>
          <w:tcPr>
            <w:tcW w:w="1701" w:type="dxa"/>
          </w:tcPr>
          <w:p w14:paraId="23BB4553" w14:textId="1427DF0B" w:rsidR="0091329E" w:rsidRPr="00BE5ED9" w:rsidRDefault="0091329E" w:rsidP="00D909EE">
            <w:pPr>
              <w:pStyle w:val="DJCSbody"/>
              <w:ind w:left="0"/>
              <w:jc w:val="center"/>
              <w:rPr>
                <w:b/>
                <w:bCs/>
              </w:rPr>
            </w:pPr>
            <w:r w:rsidRPr="00BE5ED9">
              <w:rPr>
                <w:b/>
                <w:bCs/>
              </w:rPr>
              <w:t>$</w:t>
            </w:r>
            <w:r>
              <w:rPr>
                <w:b/>
                <w:bCs/>
              </w:rPr>
              <w:t>1,224</w:t>
            </w:r>
          </w:p>
        </w:tc>
      </w:tr>
      <w:tr w:rsidR="0091329E" w14:paraId="5B1405B8" w14:textId="77777777" w:rsidTr="00BE5ED9">
        <w:tc>
          <w:tcPr>
            <w:tcW w:w="1555" w:type="dxa"/>
          </w:tcPr>
          <w:p w14:paraId="70E3A967" w14:textId="77777777" w:rsidR="0091329E" w:rsidRPr="00493849" w:rsidRDefault="0091329E" w:rsidP="00D909EE">
            <w:pPr>
              <w:pStyle w:val="DJCSbody"/>
              <w:ind w:left="0"/>
              <w:jc w:val="left"/>
              <w:rPr>
                <w:b/>
                <w:bCs/>
              </w:rPr>
            </w:pPr>
            <w:r>
              <w:rPr>
                <w:b/>
                <w:bCs/>
              </w:rPr>
              <w:t>80% debt recovery</w:t>
            </w:r>
          </w:p>
        </w:tc>
        <w:tc>
          <w:tcPr>
            <w:tcW w:w="1512" w:type="dxa"/>
          </w:tcPr>
          <w:p w14:paraId="34AC0674" w14:textId="41D46CA3" w:rsidR="0091329E" w:rsidRDefault="0091329E" w:rsidP="00D909EE">
            <w:pPr>
              <w:pStyle w:val="DJCSbody"/>
              <w:ind w:left="0"/>
              <w:jc w:val="center"/>
            </w:pPr>
            <w:r w:rsidRPr="003B422D">
              <w:t>$</w:t>
            </w:r>
            <w:r>
              <w:t>53,951</w:t>
            </w:r>
          </w:p>
        </w:tc>
        <w:tc>
          <w:tcPr>
            <w:tcW w:w="1465" w:type="dxa"/>
          </w:tcPr>
          <w:p w14:paraId="46805C31" w14:textId="0D588801" w:rsidR="0091329E" w:rsidRDefault="0091329E" w:rsidP="00D909EE">
            <w:pPr>
              <w:pStyle w:val="DJCSbody"/>
              <w:ind w:left="0"/>
              <w:jc w:val="center"/>
            </w:pPr>
            <w:r>
              <w:t>$491</w:t>
            </w:r>
          </w:p>
        </w:tc>
        <w:tc>
          <w:tcPr>
            <w:tcW w:w="1276" w:type="dxa"/>
          </w:tcPr>
          <w:p w14:paraId="455DABA7" w14:textId="1866393A" w:rsidR="0091329E" w:rsidRPr="00F538C1" w:rsidRDefault="0091329E" w:rsidP="00D909EE">
            <w:pPr>
              <w:pStyle w:val="DJCSbody"/>
              <w:ind w:left="0"/>
              <w:jc w:val="center"/>
              <w:rPr>
                <w:color w:val="FF0000"/>
              </w:rPr>
            </w:pPr>
            <w:r>
              <w:rPr>
                <w:color w:val="FF0000"/>
              </w:rPr>
              <w:t>-$23,757</w:t>
            </w:r>
          </w:p>
        </w:tc>
        <w:tc>
          <w:tcPr>
            <w:tcW w:w="1417" w:type="dxa"/>
          </w:tcPr>
          <w:p w14:paraId="358EF611" w14:textId="45816842" w:rsidR="0091329E" w:rsidRPr="00F538C1" w:rsidRDefault="0091329E" w:rsidP="00D909EE">
            <w:pPr>
              <w:pStyle w:val="DJCSbody"/>
              <w:ind w:left="0"/>
              <w:jc w:val="center"/>
              <w:rPr>
                <w:color w:val="FF0000"/>
              </w:rPr>
            </w:pPr>
            <w:r>
              <w:rPr>
                <w:color w:val="FF0000"/>
              </w:rPr>
              <w:t>-$20,285</w:t>
            </w:r>
          </w:p>
        </w:tc>
        <w:tc>
          <w:tcPr>
            <w:tcW w:w="1701" w:type="dxa"/>
          </w:tcPr>
          <w:p w14:paraId="49A0CD54" w14:textId="3E4C653F" w:rsidR="0091329E" w:rsidRPr="00BE5ED9" w:rsidRDefault="0091329E" w:rsidP="00D909EE">
            <w:pPr>
              <w:pStyle w:val="DJCSbody"/>
              <w:ind w:left="0"/>
              <w:jc w:val="center"/>
              <w:rPr>
                <w:b/>
                <w:bCs/>
              </w:rPr>
            </w:pPr>
            <w:r w:rsidRPr="00BE5ED9">
              <w:rPr>
                <w:b/>
                <w:bCs/>
              </w:rPr>
              <w:t>$</w:t>
            </w:r>
            <w:r>
              <w:rPr>
                <w:b/>
                <w:bCs/>
              </w:rPr>
              <w:t>10,401</w:t>
            </w:r>
          </w:p>
        </w:tc>
      </w:tr>
      <w:tr w:rsidR="0091329E" w14:paraId="6F199213" w14:textId="77777777" w:rsidTr="00BE5ED9">
        <w:tc>
          <w:tcPr>
            <w:tcW w:w="1555" w:type="dxa"/>
          </w:tcPr>
          <w:p w14:paraId="2A2C4F98" w14:textId="77777777" w:rsidR="0091329E" w:rsidRPr="00493849" w:rsidRDefault="0091329E" w:rsidP="00D909EE">
            <w:pPr>
              <w:pStyle w:val="DJCSbody"/>
              <w:ind w:left="0"/>
              <w:jc w:val="left"/>
              <w:rPr>
                <w:b/>
                <w:bCs/>
              </w:rPr>
            </w:pPr>
            <w:r>
              <w:rPr>
                <w:b/>
                <w:bCs/>
              </w:rPr>
              <w:t>50% debt recovery</w:t>
            </w:r>
          </w:p>
        </w:tc>
        <w:tc>
          <w:tcPr>
            <w:tcW w:w="1512" w:type="dxa"/>
          </w:tcPr>
          <w:p w14:paraId="58B7087B" w14:textId="1089757C" w:rsidR="0091329E" w:rsidRDefault="0091329E" w:rsidP="00D909EE">
            <w:pPr>
              <w:pStyle w:val="DJCSbody"/>
              <w:ind w:left="0"/>
              <w:jc w:val="center"/>
            </w:pPr>
            <w:r w:rsidRPr="003B422D">
              <w:t>$</w:t>
            </w:r>
            <w:r>
              <w:t>53,951</w:t>
            </w:r>
          </w:p>
        </w:tc>
        <w:tc>
          <w:tcPr>
            <w:tcW w:w="1465" w:type="dxa"/>
          </w:tcPr>
          <w:p w14:paraId="00CD3043" w14:textId="5D92BECE" w:rsidR="0091329E" w:rsidRDefault="0091329E" w:rsidP="00D909EE">
            <w:pPr>
              <w:pStyle w:val="DJCSbody"/>
              <w:ind w:left="0"/>
              <w:jc w:val="center"/>
            </w:pPr>
            <w:r>
              <w:t>$320</w:t>
            </w:r>
          </w:p>
        </w:tc>
        <w:tc>
          <w:tcPr>
            <w:tcW w:w="1276" w:type="dxa"/>
          </w:tcPr>
          <w:p w14:paraId="5AC132AF" w14:textId="61AED47A" w:rsidR="0091329E" w:rsidRPr="00F538C1" w:rsidRDefault="0091329E" w:rsidP="00D909EE">
            <w:pPr>
              <w:pStyle w:val="DJCSbody"/>
              <w:ind w:left="0"/>
              <w:jc w:val="center"/>
              <w:rPr>
                <w:color w:val="FF0000"/>
              </w:rPr>
            </w:pPr>
            <w:r>
              <w:rPr>
                <w:color w:val="FF0000"/>
              </w:rPr>
              <w:t>-$23,757</w:t>
            </w:r>
          </w:p>
        </w:tc>
        <w:tc>
          <w:tcPr>
            <w:tcW w:w="1417" w:type="dxa"/>
          </w:tcPr>
          <w:p w14:paraId="40C25431" w14:textId="08EB59E4" w:rsidR="0091329E" w:rsidRPr="00F538C1" w:rsidRDefault="0091329E" w:rsidP="00D909EE">
            <w:pPr>
              <w:pStyle w:val="DJCSbody"/>
              <w:ind w:left="0"/>
              <w:jc w:val="center"/>
              <w:rPr>
                <w:color w:val="FF0000"/>
              </w:rPr>
            </w:pPr>
            <w:r>
              <w:rPr>
                <w:color w:val="FF0000"/>
              </w:rPr>
              <w:t>-$38,468</w:t>
            </w:r>
          </w:p>
        </w:tc>
        <w:tc>
          <w:tcPr>
            <w:tcW w:w="1701" w:type="dxa"/>
          </w:tcPr>
          <w:p w14:paraId="193393C3" w14:textId="0659DBAD" w:rsidR="0091329E" w:rsidRPr="00BE5ED9" w:rsidRDefault="0091329E" w:rsidP="00D909EE">
            <w:pPr>
              <w:pStyle w:val="DJCSbody"/>
              <w:ind w:left="0"/>
              <w:jc w:val="center"/>
              <w:rPr>
                <w:b/>
                <w:bCs/>
                <w:color w:val="FF0000"/>
              </w:rPr>
            </w:pPr>
            <w:r w:rsidRPr="00BE5ED9">
              <w:rPr>
                <w:b/>
                <w:bCs/>
                <w:color w:val="FF0000"/>
              </w:rPr>
              <w:t>-$</w:t>
            </w:r>
            <w:r>
              <w:rPr>
                <w:b/>
                <w:bCs/>
                <w:color w:val="FF0000"/>
              </w:rPr>
              <w:t>7,953</w:t>
            </w:r>
          </w:p>
        </w:tc>
      </w:tr>
    </w:tbl>
    <w:p w14:paraId="3D66F4D3" w14:textId="14771BF7" w:rsidR="007E6ADC" w:rsidRDefault="00E308C0" w:rsidP="79E303FA">
      <w:pPr>
        <w:rPr>
          <w:rFonts w:asciiTheme="majorHAnsi" w:hAnsiTheme="majorHAnsi" w:cstheme="majorBidi"/>
          <w:sz w:val="22"/>
          <w:szCs w:val="22"/>
        </w:rPr>
      </w:pPr>
      <w:r>
        <w:br/>
      </w:r>
      <w:r w:rsidR="000E3E19" w:rsidRPr="79E303FA">
        <w:rPr>
          <w:rFonts w:asciiTheme="majorHAnsi" w:hAnsiTheme="majorHAnsi" w:cstheme="majorBidi"/>
          <w:sz w:val="22"/>
          <w:szCs w:val="22"/>
        </w:rPr>
        <w:t>Based on this analysis, the PRBS financial position would be in a surplus of $</w:t>
      </w:r>
      <w:r w:rsidR="00E36BDC" w:rsidRPr="79E303FA">
        <w:rPr>
          <w:rFonts w:asciiTheme="majorHAnsi" w:hAnsiTheme="majorHAnsi" w:cstheme="majorBidi"/>
          <w:sz w:val="22"/>
          <w:szCs w:val="22"/>
        </w:rPr>
        <w:t>10.4</w:t>
      </w:r>
      <w:r w:rsidR="0026540F" w:rsidRPr="79E303FA">
        <w:rPr>
          <w:rFonts w:asciiTheme="majorHAnsi" w:hAnsiTheme="majorHAnsi" w:cstheme="majorBidi"/>
          <w:sz w:val="22"/>
          <w:szCs w:val="22"/>
        </w:rPr>
        <w:t xml:space="preserve"> </w:t>
      </w:r>
      <w:r w:rsidR="000E3E19" w:rsidRPr="79E303FA">
        <w:rPr>
          <w:rFonts w:asciiTheme="majorHAnsi" w:hAnsiTheme="majorHAnsi" w:cstheme="majorBidi"/>
          <w:sz w:val="22"/>
          <w:szCs w:val="22"/>
        </w:rPr>
        <w:t>m</w:t>
      </w:r>
      <w:r w:rsidR="0026540F" w:rsidRPr="79E303FA">
        <w:rPr>
          <w:rFonts w:asciiTheme="majorHAnsi" w:hAnsiTheme="majorHAnsi" w:cstheme="majorBidi"/>
          <w:sz w:val="22"/>
          <w:szCs w:val="22"/>
        </w:rPr>
        <w:t>illion</w:t>
      </w:r>
      <w:r w:rsidR="00E069F7" w:rsidRPr="79E303FA">
        <w:rPr>
          <w:rFonts w:asciiTheme="majorHAnsi" w:hAnsiTheme="majorHAnsi" w:cstheme="majorBidi"/>
          <w:sz w:val="22"/>
          <w:szCs w:val="22"/>
        </w:rPr>
        <w:t xml:space="preserve"> at </w:t>
      </w:r>
      <w:r w:rsidR="00E36BDC" w:rsidRPr="79E303FA">
        <w:rPr>
          <w:rFonts w:asciiTheme="majorHAnsi" w:hAnsiTheme="majorHAnsi" w:cstheme="majorBidi"/>
          <w:sz w:val="22"/>
          <w:szCs w:val="22"/>
        </w:rPr>
        <w:t>10</w:t>
      </w:r>
      <w:r w:rsidR="00E069F7" w:rsidRPr="79E303FA">
        <w:rPr>
          <w:rFonts w:asciiTheme="majorHAnsi" w:hAnsiTheme="majorHAnsi" w:cstheme="majorBidi"/>
          <w:sz w:val="22"/>
          <w:szCs w:val="22"/>
        </w:rPr>
        <w:t xml:space="preserve"> years</w:t>
      </w:r>
      <w:r w:rsidR="000E3E19" w:rsidRPr="79E303FA">
        <w:rPr>
          <w:rFonts w:asciiTheme="majorHAnsi" w:hAnsiTheme="majorHAnsi" w:cstheme="majorBidi"/>
          <w:sz w:val="22"/>
          <w:szCs w:val="22"/>
        </w:rPr>
        <w:t xml:space="preserve"> if debt recovery rates emerge at 80%</w:t>
      </w:r>
      <w:r w:rsidR="00E069F7" w:rsidRPr="79E303FA">
        <w:rPr>
          <w:rFonts w:asciiTheme="majorHAnsi" w:hAnsiTheme="majorHAnsi" w:cstheme="majorBidi"/>
          <w:sz w:val="22"/>
          <w:szCs w:val="22"/>
        </w:rPr>
        <w:t>. Conversely, the PRBS financial position would be in a deficit of $</w:t>
      </w:r>
      <w:r w:rsidR="00E36BDC" w:rsidRPr="79E303FA">
        <w:rPr>
          <w:rFonts w:asciiTheme="majorHAnsi" w:hAnsiTheme="majorHAnsi" w:cstheme="majorBidi"/>
          <w:sz w:val="22"/>
          <w:szCs w:val="22"/>
        </w:rPr>
        <w:t>7.9</w:t>
      </w:r>
      <w:r w:rsidR="0026540F" w:rsidRPr="79E303FA">
        <w:rPr>
          <w:rFonts w:asciiTheme="majorHAnsi" w:hAnsiTheme="majorHAnsi" w:cstheme="majorBidi"/>
          <w:sz w:val="22"/>
          <w:szCs w:val="22"/>
        </w:rPr>
        <w:t xml:space="preserve"> </w:t>
      </w:r>
      <w:r w:rsidR="00E069F7" w:rsidRPr="79E303FA">
        <w:rPr>
          <w:rFonts w:asciiTheme="majorHAnsi" w:hAnsiTheme="majorHAnsi" w:cstheme="majorBidi"/>
          <w:sz w:val="22"/>
          <w:szCs w:val="22"/>
        </w:rPr>
        <w:t>m</w:t>
      </w:r>
      <w:r w:rsidR="0026540F" w:rsidRPr="79E303FA">
        <w:rPr>
          <w:rFonts w:asciiTheme="majorHAnsi" w:hAnsiTheme="majorHAnsi" w:cstheme="majorBidi"/>
          <w:sz w:val="22"/>
          <w:szCs w:val="22"/>
        </w:rPr>
        <w:t>illion</w:t>
      </w:r>
      <w:r w:rsidR="00E069F7" w:rsidRPr="79E303FA">
        <w:rPr>
          <w:rFonts w:asciiTheme="majorHAnsi" w:hAnsiTheme="majorHAnsi" w:cstheme="majorBidi"/>
          <w:sz w:val="22"/>
          <w:szCs w:val="22"/>
        </w:rPr>
        <w:t xml:space="preserve"> </w:t>
      </w:r>
      <w:r w:rsidR="00E069F7" w:rsidRPr="79E303FA">
        <w:rPr>
          <w:rFonts w:asciiTheme="majorHAnsi" w:hAnsiTheme="majorHAnsi" w:cstheme="majorBidi"/>
          <w:sz w:val="22"/>
          <w:szCs w:val="22"/>
        </w:rPr>
        <w:lastRenderedPageBreak/>
        <w:t xml:space="preserve">at </w:t>
      </w:r>
      <w:r w:rsidR="007E6ADC" w:rsidRPr="79E303FA">
        <w:rPr>
          <w:rFonts w:asciiTheme="majorHAnsi" w:hAnsiTheme="majorHAnsi" w:cstheme="majorBidi"/>
          <w:sz w:val="22"/>
          <w:szCs w:val="22"/>
        </w:rPr>
        <w:t>10</w:t>
      </w:r>
      <w:r w:rsidR="00E069F7" w:rsidRPr="79E303FA">
        <w:rPr>
          <w:rFonts w:asciiTheme="majorHAnsi" w:hAnsiTheme="majorHAnsi" w:cstheme="majorBidi"/>
          <w:sz w:val="22"/>
          <w:szCs w:val="22"/>
        </w:rPr>
        <w:t xml:space="preserve"> years if debt recovery rates emerge materially lower than expected at 50%.</w:t>
      </w:r>
      <w:r w:rsidR="00B340D5" w:rsidRPr="79E303FA">
        <w:rPr>
          <w:rFonts w:asciiTheme="majorHAnsi" w:hAnsiTheme="majorHAnsi" w:cstheme="majorBidi"/>
          <w:sz w:val="22"/>
          <w:szCs w:val="22"/>
        </w:rPr>
        <w:t xml:space="preserve"> </w:t>
      </w:r>
      <w:r w:rsidR="007E6ADC" w:rsidRPr="79E303FA">
        <w:rPr>
          <w:rFonts w:asciiTheme="majorHAnsi" w:hAnsiTheme="majorHAnsi" w:cstheme="majorBidi"/>
          <w:sz w:val="22"/>
          <w:szCs w:val="22"/>
        </w:rPr>
        <w:t>This compares to the preferred option which estimates a $1.2</w:t>
      </w:r>
      <w:r w:rsidR="0026540F" w:rsidRPr="79E303FA">
        <w:rPr>
          <w:rFonts w:asciiTheme="majorHAnsi" w:hAnsiTheme="majorHAnsi" w:cstheme="majorBidi"/>
          <w:sz w:val="22"/>
          <w:szCs w:val="22"/>
        </w:rPr>
        <w:t xml:space="preserve"> </w:t>
      </w:r>
      <w:r w:rsidR="007E6ADC" w:rsidRPr="79E303FA">
        <w:rPr>
          <w:rFonts w:asciiTheme="majorHAnsi" w:hAnsiTheme="majorHAnsi" w:cstheme="majorBidi"/>
          <w:sz w:val="22"/>
          <w:szCs w:val="22"/>
        </w:rPr>
        <w:t>m</w:t>
      </w:r>
      <w:r w:rsidR="0026540F" w:rsidRPr="79E303FA">
        <w:rPr>
          <w:rFonts w:asciiTheme="majorHAnsi" w:hAnsiTheme="majorHAnsi" w:cstheme="majorBidi"/>
          <w:sz w:val="22"/>
          <w:szCs w:val="22"/>
        </w:rPr>
        <w:t>illion</w:t>
      </w:r>
      <w:r w:rsidR="007E6ADC" w:rsidRPr="79E303FA">
        <w:rPr>
          <w:rFonts w:asciiTheme="majorHAnsi" w:hAnsiTheme="majorHAnsi" w:cstheme="majorBidi"/>
          <w:sz w:val="22"/>
          <w:szCs w:val="22"/>
        </w:rPr>
        <w:t xml:space="preserve"> surplus at 10 years.</w:t>
      </w:r>
    </w:p>
    <w:p w14:paraId="20988EB4" w14:textId="77777777" w:rsidR="007E6ADC" w:rsidRDefault="007E6ADC" w:rsidP="001F576E">
      <w:pPr>
        <w:rPr>
          <w:rFonts w:asciiTheme="majorHAnsi" w:hAnsiTheme="majorHAnsi" w:cstheme="majorHAnsi"/>
          <w:sz w:val="22"/>
          <w:szCs w:val="22"/>
        </w:rPr>
      </w:pPr>
    </w:p>
    <w:p w14:paraId="512FABA1" w14:textId="44D513D7" w:rsidR="000E3E19" w:rsidRDefault="00B340D5" w:rsidP="001F576E">
      <w:pPr>
        <w:rPr>
          <w:rFonts w:asciiTheme="majorHAnsi" w:hAnsiTheme="majorHAnsi" w:cstheme="majorHAnsi"/>
          <w:sz w:val="22"/>
          <w:szCs w:val="22"/>
        </w:rPr>
      </w:pPr>
      <w:r>
        <w:rPr>
          <w:rFonts w:asciiTheme="majorHAnsi" w:hAnsiTheme="majorHAnsi" w:cstheme="majorHAnsi"/>
          <w:sz w:val="22"/>
          <w:szCs w:val="22"/>
        </w:rPr>
        <w:t>These sensitivities are primarily driven by the debt deficit balance in each scenario.</w:t>
      </w:r>
    </w:p>
    <w:p w14:paraId="0C678397" w14:textId="1AE922D0" w:rsidR="00E13509" w:rsidRDefault="003763DA" w:rsidP="008C28E7">
      <w:pPr>
        <w:pStyle w:val="Heading3"/>
      </w:pPr>
      <w:r>
        <w:t xml:space="preserve">Participation rate </w:t>
      </w:r>
      <w:r w:rsidR="00E236FC">
        <w:t>assumption sensitivity analysis</w:t>
      </w:r>
    </w:p>
    <w:p w14:paraId="4DE26B60" w14:textId="2208231C" w:rsidR="003E14CD" w:rsidRPr="003E14CD" w:rsidRDefault="003E14CD" w:rsidP="001F576E">
      <w:pPr>
        <w:pStyle w:val="DJCSbody"/>
        <w:ind w:left="0"/>
      </w:pPr>
      <w:r w:rsidRPr="003E14CD">
        <w:t xml:space="preserve">As outlined in </w:t>
      </w:r>
      <w:r w:rsidR="00A24674">
        <w:t>Subchapter</w:t>
      </w:r>
      <w:r w:rsidRPr="003E14CD">
        <w:t xml:space="preserve"> 6.1, the preferred option includes a</w:t>
      </w:r>
      <w:r w:rsidR="006939D2">
        <w:t xml:space="preserve">n </w:t>
      </w:r>
      <w:r w:rsidR="006939D2" w:rsidRPr="006939D2">
        <w:rPr>
          <w:b/>
          <w:bCs/>
        </w:rPr>
        <w:t>application</w:t>
      </w:r>
      <w:r w:rsidR="006939D2">
        <w:t xml:space="preserve"> </w:t>
      </w:r>
      <w:r w:rsidRPr="003E14CD">
        <w:rPr>
          <w:b/>
          <w:bCs/>
        </w:rPr>
        <w:t>fee of $35.00</w:t>
      </w:r>
      <w:r w:rsidRPr="003E14CD">
        <w:t xml:space="preserve"> and a </w:t>
      </w:r>
      <w:r w:rsidRPr="003E14CD">
        <w:rPr>
          <w:b/>
          <w:bCs/>
        </w:rPr>
        <w:t>debt recovery fee of $12.</w:t>
      </w:r>
      <w:r w:rsidR="00696B9E">
        <w:rPr>
          <w:b/>
          <w:bCs/>
        </w:rPr>
        <w:t>80</w:t>
      </w:r>
      <w:r w:rsidRPr="003E14CD">
        <w:t xml:space="preserve">. Based on elasticity modelling (see Appendix A), this fee structure is expected to generate a participation rate of approximately </w:t>
      </w:r>
      <w:r w:rsidRPr="003E14CD">
        <w:rPr>
          <w:b/>
          <w:bCs/>
        </w:rPr>
        <w:t>6</w:t>
      </w:r>
      <w:r w:rsidR="00D35C68">
        <w:rPr>
          <w:b/>
          <w:bCs/>
        </w:rPr>
        <w:t>3</w:t>
      </w:r>
      <w:r w:rsidRPr="003E14CD">
        <w:rPr>
          <w:b/>
          <w:bCs/>
        </w:rPr>
        <w:t>%</w:t>
      </w:r>
      <w:r w:rsidRPr="003E14CD">
        <w:t>.</w:t>
      </w:r>
    </w:p>
    <w:p w14:paraId="7507277B" w14:textId="77777777" w:rsidR="00A50199" w:rsidRDefault="003E14CD" w:rsidP="00BE5ED9">
      <w:pPr>
        <w:pStyle w:val="DJCSbody"/>
        <w:ind w:left="0"/>
        <w:rPr>
          <w:color w:val="16145F" w:themeColor="text2"/>
          <w:sz w:val="18"/>
          <w:szCs w:val="18"/>
        </w:rPr>
      </w:pPr>
      <w:r w:rsidRPr="003E14CD">
        <w:t xml:space="preserve">Given </w:t>
      </w:r>
      <w:r w:rsidR="003F1E86" w:rsidRPr="001C3BC0">
        <w:t xml:space="preserve">the </w:t>
      </w:r>
      <w:r w:rsidRPr="003E14CD">
        <w:t xml:space="preserve">participation rate </w:t>
      </w:r>
      <w:r w:rsidR="003F1E86" w:rsidRPr="001C3BC0">
        <w:t>is a key assumption</w:t>
      </w:r>
      <w:r w:rsidRPr="003E14CD">
        <w:t>, this sensitivity analysis examines how variations in the participation rate affec</w:t>
      </w:r>
      <w:r w:rsidR="00673C28">
        <w:t>t</w:t>
      </w:r>
      <w:r w:rsidRPr="003E14CD">
        <w:t xml:space="preserve"> the cashflows under the preferred option. </w:t>
      </w:r>
      <w:r w:rsidR="00114DB7">
        <w:fldChar w:fldCharType="begin"/>
      </w:r>
      <w:r w:rsidR="00114DB7">
        <w:instrText xml:space="preserve"> REF _Ref219462023 \h </w:instrText>
      </w:r>
      <w:r w:rsidR="00114DB7">
        <w:fldChar w:fldCharType="separate"/>
      </w:r>
    </w:p>
    <w:p w14:paraId="023E25D5" w14:textId="6292F401" w:rsidR="003E14CD" w:rsidRPr="003E14CD" w:rsidRDefault="00A50199" w:rsidP="003E14CD">
      <w:pPr>
        <w:pStyle w:val="DJCSbody"/>
        <w:ind w:left="0"/>
      </w:pPr>
      <w:r w:rsidRPr="001F576E">
        <w:t xml:space="preserve">Table </w:t>
      </w:r>
      <w:r w:rsidR="00114DB7">
        <w:fldChar w:fldCharType="end"/>
      </w:r>
      <w:r w:rsidR="003E14CD" w:rsidRPr="003E14CD">
        <w:t xml:space="preserve"> presents the </w:t>
      </w:r>
      <w:r w:rsidR="00DD4064">
        <w:t>summary of the</w:t>
      </w:r>
      <w:r w:rsidR="003E14CD" w:rsidRPr="003E14CD">
        <w:t xml:space="preserve"> total discounted cashflows for the preferred option over </w:t>
      </w:r>
      <w:r w:rsidR="003E14CD" w:rsidRPr="003E14CD">
        <w:rPr>
          <w:b/>
          <w:bCs/>
        </w:rPr>
        <w:t>8</w:t>
      </w:r>
      <w:r w:rsidR="00114DB7">
        <w:rPr>
          <w:b/>
          <w:bCs/>
        </w:rPr>
        <w:t xml:space="preserve"> </w:t>
      </w:r>
      <w:r w:rsidR="003E14CD" w:rsidRPr="003E14CD">
        <w:rPr>
          <w:b/>
          <w:bCs/>
        </w:rPr>
        <w:t>year</w:t>
      </w:r>
      <w:r w:rsidR="001C3BC0">
        <w:rPr>
          <w:b/>
          <w:bCs/>
        </w:rPr>
        <w:t>s</w:t>
      </w:r>
      <w:r w:rsidR="003E14CD" w:rsidRPr="003E14CD">
        <w:t>, under scenarios where the participation rate varies by ±15% from the original estimate derived from the elasticity modelling.</w:t>
      </w:r>
    </w:p>
    <w:p w14:paraId="6E644A06" w14:textId="2D37BC1E" w:rsidR="005B312B" w:rsidRDefault="005B312B" w:rsidP="005B312B">
      <w:pPr>
        <w:pStyle w:val="DJCSbody"/>
        <w:numPr>
          <w:ilvl w:val="0"/>
          <w:numId w:val="77"/>
        </w:numPr>
      </w:pPr>
      <w:r w:rsidRPr="005B312B">
        <w:t xml:space="preserve">Under the </w:t>
      </w:r>
      <w:r w:rsidRPr="001F576E">
        <w:rPr>
          <w:b/>
        </w:rPr>
        <w:t>original 6</w:t>
      </w:r>
      <w:r w:rsidR="00D35C68">
        <w:rPr>
          <w:b/>
        </w:rPr>
        <w:t>3</w:t>
      </w:r>
      <w:r w:rsidRPr="001F576E">
        <w:rPr>
          <w:b/>
        </w:rPr>
        <w:t>% participation assumption</w:t>
      </w:r>
      <w:r w:rsidRPr="005B312B">
        <w:t xml:space="preserve">, the </w:t>
      </w:r>
      <w:r w:rsidR="00BA15F8">
        <w:t>PRBS</w:t>
      </w:r>
      <w:r w:rsidRPr="005B312B">
        <w:t xml:space="preserve"> breaks even over 8 years</w:t>
      </w:r>
      <w:r w:rsidR="007E6ADC">
        <w:t>, with a surplus estimated at 10 years as shown in the table below</w:t>
      </w:r>
      <w:r w:rsidRPr="005B312B">
        <w:t>.</w:t>
      </w:r>
    </w:p>
    <w:p w14:paraId="36FA147B" w14:textId="42635333" w:rsidR="00E75DA4" w:rsidRDefault="005B312B" w:rsidP="00C24D53">
      <w:pPr>
        <w:pStyle w:val="DJCSbody"/>
        <w:numPr>
          <w:ilvl w:val="0"/>
          <w:numId w:val="77"/>
        </w:numPr>
      </w:pPr>
      <w:r w:rsidRPr="005B312B">
        <w:t xml:space="preserve">When </w:t>
      </w:r>
      <w:r w:rsidRPr="001F576E">
        <w:rPr>
          <w:b/>
        </w:rPr>
        <w:t>participation increases by 15%</w:t>
      </w:r>
      <w:r w:rsidR="00ED0F89">
        <w:rPr>
          <w:b/>
        </w:rPr>
        <w:t xml:space="preserve"> </w:t>
      </w:r>
      <w:r w:rsidR="00ED0F89">
        <w:rPr>
          <w:bCs/>
        </w:rPr>
        <w:t>(to 7</w:t>
      </w:r>
      <w:r w:rsidR="00D35C68">
        <w:rPr>
          <w:bCs/>
        </w:rPr>
        <w:t>8</w:t>
      </w:r>
      <w:r w:rsidR="00ED0F89">
        <w:rPr>
          <w:bCs/>
        </w:rPr>
        <w:t>%)</w:t>
      </w:r>
      <w:r w:rsidRPr="005B312B">
        <w:t xml:space="preserve">, the </w:t>
      </w:r>
      <w:r w:rsidR="00BA15F8">
        <w:t>PRBS’</w:t>
      </w:r>
      <w:r w:rsidRPr="005B312B">
        <w:t xml:space="preserve"> financial position </w:t>
      </w:r>
      <w:r w:rsidR="00E97C46">
        <w:t>enters surplus</w:t>
      </w:r>
      <w:r w:rsidRPr="005B312B">
        <w:t xml:space="preserve">, with higher </w:t>
      </w:r>
      <w:r w:rsidR="006939D2">
        <w:t>application</w:t>
      </w:r>
      <w:r w:rsidR="006939D2">
        <w:rPr>
          <w:rFonts w:ascii="Cambria Math" w:hAnsi="Cambria Math" w:cs="Cambria Math"/>
        </w:rPr>
        <w:t xml:space="preserve"> </w:t>
      </w:r>
      <w:r w:rsidRPr="005B312B">
        <w:t xml:space="preserve">fee revenue driving </w:t>
      </w:r>
      <w:r w:rsidR="001C3BC0">
        <w:t xml:space="preserve">a </w:t>
      </w:r>
      <w:r w:rsidRPr="005B312B">
        <w:t>surplus of approximately $</w:t>
      </w:r>
      <w:r w:rsidR="006D3E37">
        <w:t>7.2</w:t>
      </w:r>
      <w:r w:rsidRPr="005B312B">
        <w:t xml:space="preserve"> million over </w:t>
      </w:r>
      <w:r w:rsidR="006D3E37">
        <w:t>10</w:t>
      </w:r>
      <w:r w:rsidRPr="005B312B">
        <w:t xml:space="preserve"> years.</w:t>
      </w:r>
      <w:r w:rsidR="00C24D53">
        <w:t xml:space="preserve"> U</w:t>
      </w:r>
      <w:r w:rsidR="00C24D53" w:rsidRPr="00C24D53">
        <w:t xml:space="preserve">nder this scenario the </w:t>
      </w:r>
      <w:r w:rsidR="00BA15F8">
        <w:t>PRBS</w:t>
      </w:r>
      <w:r w:rsidR="00C24D53" w:rsidRPr="00C24D53">
        <w:t xml:space="preserve"> is expected to break even after approximately </w:t>
      </w:r>
      <w:r w:rsidR="00C24D53">
        <w:t>5 years.</w:t>
      </w:r>
    </w:p>
    <w:p w14:paraId="23D6A55E" w14:textId="35D55EC5" w:rsidR="00D538F5" w:rsidRDefault="005B312B" w:rsidP="00764FA9">
      <w:pPr>
        <w:pStyle w:val="DJCSbody"/>
        <w:numPr>
          <w:ilvl w:val="0"/>
          <w:numId w:val="77"/>
        </w:numPr>
      </w:pPr>
      <w:r w:rsidRPr="005B312B">
        <w:t xml:space="preserve">Conversely, </w:t>
      </w:r>
      <w:r w:rsidRPr="001F576E">
        <w:rPr>
          <w:b/>
        </w:rPr>
        <w:t>when participa</w:t>
      </w:r>
      <w:r w:rsidR="00673C28">
        <w:rPr>
          <w:b/>
        </w:rPr>
        <w:t>t</w:t>
      </w:r>
      <w:r w:rsidRPr="001F576E">
        <w:rPr>
          <w:b/>
        </w:rPr>
        <w:t>ion decreases by 15%</w:t>
      </w:r>
      <w:r w:rsidR="00ED0F89">
        <w:rPr>
          <w:b/>
        </w:rPr>
        <w:t xml:space="preserve"> </w:t>
      </w:r>
      <w:r w:rsidR="00B80930">
        <w:rPr>
          <w:bCs/>
        </w:rPr>
        <w:t>(to 4</w:t>
      </w:r>
      <w:r w:rsidR="00D35C68">
        <w:rPr>
          <w:bCs/>
        </w:rPr>
        <w:t>8</w:t>
      </w:r>
      <w:r w:rsidR="00B80930">
        <w:rPr>
          <w:bCs/>
        </w:rPr>
        <w:t>%)</w:t>
      </w:r>
      <w:r w:rsidRPr="005B312B">
        <w:t xml:space="preserve">, total revenue falls noticeably, resulting in an </w:t>
      </w:r>
      <w:r w:rsidR="006D3E37">
        <w:t>10</w:t>
      </w:r>
      <w:r w:rsidRPr="005B312B">
        <w:rPr>
          <w:rFonts w:ascii="Cambria Math" w:hAnsi="Cambria Math" w:cs="Cambria Math"/>
        </w:rPr>
        <w:t>‑</w:t>
      </w:r>
      <w:r w:rsidRPr="005B312B">
        <w:t>year deficit of around $4.</w:t>
      </w:r>
      <w:r w:rsidR="006D3E37">
        <w:t>7</w:t>
      </w:r>
      <w:r w:rsidRPr="005B312B">
        <w:t xml:space="preserve"> million. </w:t>
      </w:r>
    </w:p>
    <w:p w14:paraId="2985C84E" w14:textId="229F417D" w:rsidR="00654EE2" w:rsidRDefault="00D538F5" w:rsidP="00BE5ED9">
      <w:pPr>
        <w:pStyle w:val="DJCSbody"/>
        <w:ind w:left="0"/>
        <w:rPr>
          <w:color w:val="16145F" w:themeColor="text2"/>
          <w:sz w:val="18"/>
          <w:szCs w:val="18"/>
        </w:rPr>
      </w:pPr>
      <w:r>
        <w:rPr>
          <w:rFonts w:asciiTheme="majorHAnsi" w:hAnsiTheme="majorHAnsi" w:cstheme="majorHAnsi"/>
          <w:szCs w:val="22"/>
        </w:rPr>
        <w:t>The application fee of $35 is maintained across all scenarios below.</w:t>
      </w:r>
      <w:bookmarkStart w:id="85" w:name="_Ref219462023"/>
    </w:p>
    <w:p w14:paraId="649EC424" w14:textId="5334F6B9" w:rsidR="004F2F22" w:rsidRPr="004F2F22" w:rsidRDefault="00E664AB" w:rsidP="00B76971">
      <w:pPr>
        <w:pStyle w:val="Caption"/>
      </w:pPr>
      <w:r w:rsidRPr="001F576E">
        <w:t xml:space="preserve">Table </w:t>
      </w:r>
      <w:bookmarkEnd w:id="85"/>
      <w:r w:rsidR="00071217">
        <w:t>25</w:t>
      </w:r>
      <w:r>
        <w:t xml:space="preserve">: </w:t>
      </w:r>
      <w:r w:rsidR="006B7157" w:rsidRPr="006B7157">
        <w:t xml:space="preserve">Total discounted cashflows for the preferred option ($’000s) over </w:t>
      </w:r>
      <w:r w:rsidR="00456512">
        <w:t>10</w:t>
      </w:r>
      <w:r w:rsidR="006B7157" w:rsidRPr="006B7157">
        <w:noBreakHyphen/>
      </w:r>
      <w:r w:rsidR="006B7157">
        <w:t>year</w:t>
      </w:r>
      <w:r w:rsidR="00E508EA">
        <w:t>s</w:t>
      </w:r>
      <w:r w:rsidR="006B7157" w:rsidRPr="006B7157">
        <w:t xml:space="preserve"> across alternative </w:t>
      </w:r>
      <w:r w:rsidR="006939D2">
        <w:t>participation</w:t>
      </w:r>
      <w:r w:rsidR="006B7157" w:rsidRPr="006B7157">
        <w:noBreakHyphen/>
        <w:t>rate scenarios</w:t>
      </w:r>
    </w:p>
    <w:tbl>
      <w:tblPr>
        <w:tblStyle w:val="TableGrid"/>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7"/>
        <w:gridCol w:w="1276"/>
        <w:gridCol w:w="1276"/>
        <w:gridCol w:w="1207"/>
        <w:gridCol w:w="1487"/>
      </w:tblGrid>
      <w:tr w:rsidR="0091329E" w14:paraId="1D5727EF" w14:textId="77777777" w:rsidTr="008E7AE6">
        <w:tc>
          <w:tcPr>
            <w:tcW w:w="1696" w:type="dxa"/>
            <w:shd w:val="clear" w:color="auto" w:fill="16145F" w:themeFill="text2"/>
          </w:tcPr>
          <w:p w14:paraId="348CD370" w14:textId="77777777" w:rsidR="0091329E" w:rsidRDefault="0091329E" w:rsidP="00D538F5">
            <w:pPr>
              <w:pStyle w:val="DJCSbody"/>
              <w:ind w:left="0"/>
              <w:rPr>
                <w:b/>
                <w:bCs/>
              </w:rPr>
            </w:pPr>
            <w:r>
              <w:rPr>
                <w:b/>
                <w:bCs/>
              </w:rPr>
              <w:t>Scenario</w:t>
            </w:r>
          </w:p>
          <w:p w14:paraId="50FB6E55" w14:textId="297BB6FC" w:rsidR="0091329E" w:rsidRPr="00132F85" w:rsidRDefault="0091329E" w:rsidP="00D538F5">
            <w:pPr>
              <w:pStyle w:val="DJCSbody"/>
              <w:ind w:left="0"/>
              <w:rPr>
                <w:b/>
                <w:bCs/>
              </w:rPr>
            </w:pPr>
            <w:r>
              <w:rPr>
                <w:b/>
                <w:bCs/>
              </w:rPr>
              <w:t>(Application Fee $35)</w:t>
            </w:r>
          </w:p>
        </w:tc>
        <w:tc>
          <w:tcPr>
            <w:tcW w:w="1417" w:type="dxa"/>
            <w:shd w:val="clear" w:color="auto" w:fill="16145F" w:themeFill="text2"/>
          </w:tcPr>
          <w:p w14:paraId="095CA93E" w14:textId="77DEF126" w:rsidR="0091329E" w:rsidRPr="00132F85" w:rsidRDefault="0091329E" w:rsidP="00D538F5">
            <w:pPr>
              <w:pStyle w:val="DJCSbody"/>
              <w:ind w:left="0"/>
              <w:jc w:val="center"/>
              <w:rPr>
                <w:b/>
                <w:bCs/>
              </w:rPr>
            </w:pPr>
            <w:r>
              <w:rPr>
                <w:b/>
                <w:bCs/>
              </w:rPr>
              <w:t>Application Fee Revenue</w:t>
            </w:r>
          </w:p>
        </w:tc>
        <w:tc>
          <w:tcPr>
            <w:tcW w:w="1276" w:type="dxa"/>
            <w:shd w:val="clear" w:color="auto" w:fill="16145F" w:themeFill="text2"/>
          </w:tcPr>
          <w:p w14:paraId="42D555A9" w14:textId="77777777" w:rsidR="0091329E" w:rsidRPr="00132F85" w:rsidRDefault="0091329E" w:rsidP="00D538F5">
            <w:pPr>
              <w:pStyle w:val="DJCSbody"/>
              <w:ind w:left="0"/>
              <w:jc w:val="center"/>
              <w:rPr>
                <w:b/>
                <w:bCs/>
              </w:rPr>
            </w:pPr>
            <w:r>
              <w:rPr>
                <w:b/>
                <w:bCs/>
              </w:rPr>
              <w:t>Debt Recovery Fee Revenue</w:t>
            </w:r>
          </w:p>
        </w:tc>
        <w:tc>
          <w:tcPr>
            <w:tcW w:w="1276" w:type="dxa"/>
            <w:shd w:val="clear" w:color="auto" w:fill="16145F" w:themeFill="text2"/>
          </w:tcPr>
          <w:p w14:paraId="0D441FB2" w14:textId="77777777" w:rsidR="0091329E" w:rsidRPr="00132F85" w:rsidRDefault="0091329E" w:rsidP="00D538F5">
            <w:pPr>
              <w:pStyle w:val="DJCSbody"/>
              <w:ind w:left="0"/>
              <w:jc w:val="center"/>
              <w:rPr>
                <w:b/>
                <w:bCs/>
              </w:rPr>
            </w:pPr>
            <w:r>
              <w:rPr>
                <w:b/>
                <w:bCs/>
              </w:rPr>
              <w:t>Operating Cost</w:t>
            </w:r>
          </w:p>
        </w:tc>
        <w:tc>
          <w:tcPr>
            <w:tcW w:w="1207" w:type="dxa"/>
            <w:shd w:val="clear" w:color="auto" w:fill="16145F" w:themeFill="text2"/>
          </w:tcPr>
          <w:p w14:paraId="0980A757" w14:textId="77777777" w:rsidR="0091329E" w:rsidRPr="00132F85" w:rsidRDefault="0091329E" w:rsidP="00D538F5">
            <w:pPr>
              <w:pStyle w:val="DJCSbody"/>
              <w:ind w:left="0"/>
              <w:jc w:val="center"/>
              <w:rPr>
                <w:b/>
                <w:bCs/>
              </w:rPr>
            </w:pPr>
            <w:r>
              <w:rPr>
                <w:b/>
                <w:bCs/>
              </w:rPr>
              <w:t>Debt Deficit Balance</w:t>
            </w:r>
          </w:p>
        </w:tc>
        <w:tc>
          <w:tcPr>
            <w:tcW w:w="1487" w:type="dxa"/>
            <w:shd w:val="clear" w:color="auto" w:fill="16145F" w:themeFill="text2"/>
          </w:tcPr>
          <w:p w14:paraId="5A0F7090" w14:textId="6E29369C" w:rsidR="0091329E" w:rsidRDefault="0091329E" w:rsidP="00D538F5">
            <w:pPr>
              <w:pStyle w:val="DJCSbody"/>
              <w:ind w:left="0"/>
              <w:jc w:val="center"/>
              <w:rPr>
                <w:b/>
                <w:bCs/>
                <w:color w:val="FFFFFF" w:themeColor="background1"/>
              </w:rPr>
            </w:pPr>
            <w:r>
              <w:rPr>
                <w:b/>
                <w:bCs/>
                <w:color w:val="FFFFFF" w:themeColor="background1"/>
              </w:rPr>
              <w:t>Total (10-Year Cashflow)</w:t>
            </w:r>
          </w:p>
        </w:tc>
      </w:tr>
      <w:tr w:rsidR="0091329E" w14:paraId="67014B93" w14:textId="77777777" w:rsidTr="00BE5ED9">
        <w:tc>
          <w:tcPr>
            <w:tcW w:w="1696" w:type="dxa"/>
          </w:tcPr>
          <w:p w14:paraId="648216A8" w14:textId="31EA02BB" w:rsidR="0091329E" w:rsidRPr="00493849" w:rsidRDefault="0091329E" w:rsidP="009D4DBF">
            <w:pPr>
              <w:pStyle w:val="DJCSbody"/>
              <w:ind w:left="0"/>
              <w:jc w:val="left"/>
              <w:rPr>
                <w:b/>
                <w:bCs/>
              </w:rPr>
            </w:pPr>
            <w:r>
              <w:rPr>
                <w:b/>
                <w:bCs/>
              </w:rPr>
              <w:t>63% participation rate</w:t>
            </w:r>
          </w:p>
        </w:tc>
        <w:tc>
          <w:tcPr>
            <w:tcW w:w="1417" w:type="dxa"/>
          </w:tcPr>
          <w:p w14:paraId="7E181017" w14:textId="7A56497D" w:rsidR="0091329E" w:rsidRDefault="0091329E" w:rsidP="009D4DBF">
            <w:pPr>
              <w:pStyle w:val="DJCSbody"/>
              <w:ind w:left="0"/>
              <w:jc w:val="center"/>
            </w:pPr>
            <w:r>
              <w:t>$53,951</w:t>
            </w:r>
          </w:p>
        </w:tc>
        <w:tc>
          <w:tcPr>
            <w:tcW w:w="1276" w:type="dxa"/>
          </w:tcPr>
          <w:p w14:paraId="7C2E3F8F" w14:textId="5B4E40C3" w:rsidR="0091329E" w:rsidRDefault="0091329E" w:rsidP="009D4DBF">
            <w:pPr>
              <w:pStyle w:val="DJCSbody"/>
              <w:ind w:left="0"/>
              <w:jc w:val="center"/>
            </w:pPr>
            <w:r>
              <w:t>$406</w:t>
            </w:r>
          </w:p>
        </w:tc>
        <w:tc>
          <w:tcPr>
            <w:tcW w:w="1276" w:type="dxa"/>
          </w:tcPr>
          <w:p w14:paraId="15493EDF" w14:textId="64175885" w:rsidR="0091329E" w:rsidRPr="00F538C1" w:rsidRDefault="0091329E" w:rsidP="009D4DBF">
            <w:pPr>
              <w:pStyle w:val="DJCSbody"/>
              <w:ind w:left="0"/>
              <w:jc w:val="center"/>
              <w:rPr>
                <w:color w:val="FF0000"/>
              </w:rPr>
            </w:pPr>
            <w:r>
              <w:rPr>
                <w:color w:val="FF0000"/>
              </w:rPr>
              <w:t>-$23,757</w:t>
            </w:r>
          </w:p>
        </w:tc>
        <w:tc>
          <w:tcPr>
            <w:tcW w:w="1207" w:type="dxa"/>
          </w:tcPr>
          <w:p w14:paraId="35FDB679" w14:textId="537530F6" w:rsidR="0091329E" w:rsidRPr="00F538C1" w:rsidRDefault="0091329E" w:rsidP="009D4DBF">
            <w:pPr>
              <w:pStyle w:val="DJCSbody"/>
              <w:ind w:left="0"/>
              <w:jc w:val="center"/>
              <w:rPr>
                <w:color w:val="FF0000"/>
              </w:rPr>
            </w:pPr>
            <w:r>
              <w:rPr>
                <w:color w:val="FF0000"/>
              </w:rPr>
              <w:t>-$29,376</w:t>
            </w:r>
          </w:p>
        </w:tc>
        <w:tc>
          <w:tcPr>
            <w:tcW w:w="1487" w:type="dxa"/>
          </w:tcPr>
          <w:p w14:paraId="206CB96D" w14:textId="5B4F5A0C" w:rsidR="0091329E" w:rsidRPr="00764FA9" w:rsidRDefault="0091329E" w:rsidP="009D4DBF">
            <w:pPr>
              <w:pStyle w:val="DJCSbody"/>
              <w:ind w:left="0"/>
              <w:jc w:val="center"/>
              <w:rPr>
                <w:b/>
              </w:rPr>
            </w:pPr>
            <w:r w:rsidRPr="00B877CE">
              <w:rPr>
                <w:b/>
                <w:bCs/>
              </w:rPr>
              <w:t>$</w:t>
            </w:r>
            <w:r>
              <w:rPr>
                <w:b/>
                <w:bCs/>
              </w:rPr>
              <w:t>1,224</w:t>
            </w:r>
          </w:p>
        </w:tc>
      </w:tr>
      <w:tr w:rsidR="0091329E" w14:paraId="5C468AB9" w14:textId="77777777" w:rsidTr="00BE5ED9">
        <w:tc>
          <w:tcPr>
            <w:tcW w:w="1696" w:type="dxa"/>
          </w:tcPr>
          <w:p w14:paraId="13354AB5" w14:textId="6260ED3B" w:rsidR="0091329E" w:rsidRPr="00493849" w:rsidRDefault="0091329E" w:rsidP="00D538F5">
            <w:pPr>
              <w:pStyle w:val="DJCSbody"/>
              <w:ind w:left="0"/>
              <w:jc w:val="left"/>
              <w:rPr>
                <w:b/>
                <w:bCs/>
              </w:rPr>
            </w:pPr>
            <w:r>
              <w:rPr>
                <w:b/>
                <w:bCs/>
              </w:rPr>
              <w:t>+15% participation rate</w:t>
            </w:r>
          </w:p>
        </w:tc>
        <w:tc>
          <w:tcPr>
            <w:tcW w:w="1417" w:type="dxa"/>
          </w:tcPr>
          <w:p w14:paraId="07CDC247" w14:textId="3B674F68" w:rsidR="0091329E" w:rsidRDefault="0091329E" w:rsidP="00D538F5">
            <w:pPr>
              <w:pStyle w:val="DJCSbody"/>
              <w:ind w:left="0"/>
              <w:jc w:val="center"/>
            </w:pPr>
            <w:r>
              <w:t>$66,823</w:t>
            </w:r>
          </w:p>
        </w:tc>
        <w:tc>
          <w:tcPr>
            <w:tcW w:w="1276" w:type="dxa"/>
          </w:tcPr>
          <w:p w14:paraId="7BA2CDAB" w14:textId="054C577E" w:rsidR="0091329E" w:rsidRDefault="0091329E" w:rsidP="00D538F5">
            <w:pPr>
              <w:pStyle w:val="DJCSbody"/>
              <w:ind w:left="0"/>
              <w:jc w:val="center"/>
            </w:pPr>
            <w:r>
              <w:t>$502</w:t>
            </w:r>
          </w:p>
        </w:tc>
        <w:tc>
          <w:tcPr>
            <w:tcW w:w="1276" w:type="dxa"/>
          </w:tcPr>
          <w:p w14:paraId="2FB91BF2" w14:textId="5CC52F0D" w:rsidR="0091329E" w:rsidRPr="00F538C1" w:rsidRDefault="0091329E" w:rsidP="00D538F5">
            <w:pPr>
              <w:pStyle w:val="DJCSbody"/>
              <w:ind w:left="0"/>
              <w:jc w:val="center"/>
              <w:rPr>
                <w:color w:val="FF0000"/>
              </w:rPr>
            </w:pPr>
            <w:r>
              <w:rPr>
                <w:color w:val="FF0000"/>
              </w:rPr>
              <w:t>-$23,757</w:t>
            </w:r>
          </w:p>
        </w:tc>
        <w:tc>
          <w:tcPr>
            <w:tcW w:w="1207" w:type="dxa"/>
          </w:tcPr>
          <w:p w14:paraId="6B71F272" w14:textId="1CA010E0" w:rsidR="0091329E" w:rsidRPr="00F538C1" w:rsidRDefault="0091329E" w:rsidP="00D538F5">
            <w:pPr>
              <w:pStyle w:val="DJCSbody"/>
              <w:ind w:left="0"/>
              <w:jc w:val="center"/>
              <w:rPr>
                <w:color w:val="FF0000"/>
              </w:rPr>
            </w:pPr>
            <w:r>
              <w:rPr>
                <w:color w:val="FF0000"/>
              </w:rPr>
              <w:t>-$36,385</w:t>
            </w:r>
          </w:p>
        </w:tc>
        <w:tc>
          <w:tcPr>
            <w:tcW w:w="1487" w:type="dxa"/>
          </w:tcPr>
          <w:p w14:paraId="5081C2B1" w14:textId="44482466" w:rsidR="0091329E" w:rsidRPr="00764FA9" w:rsidRDefault="0091329E" w:rsidP="00D538F5">
            <w:pPr>
              <w:pStyle w:val="DJCSbody"/>
              <w:ind w:left="0"/>
              <w:jc w:val="center"/>
              <w:rPr>
                <w:b/>
              </w:rPr>
            </w:pPr>
            <w:r w:rsidRPr="00BE5ED9">
              <w:rPr>
                <w:b/>
                <w:bCs/>
              </w:rPr>
              <w:t>$</w:t>
            </w:r>
            <w:r>
              <w:rPr>
                <w:b/>
                <w:bCs/>
              </w:rPr>
              <w:t>7,184</w:t>
            </w:r>
          </w:p>
        </w:tc>
      </w:tr>
      <w:tr w:rsidR="0091329E" w14:paraId="4C0C05E9" w14:textId="77777777" w:rsidTr="00BE5ED9">
        <w:tc>
          <w:tcPr>
            <w:tcW w:w="1696" w:type="dxa"/>
          </w:tcPr>
          <w:p w14:paraId="1A1E3286" w14:textId="61213356" w:rsidR="0091329E" w:rsidRPr="00493849" w:rsidRDefault="0091329E" w:rsidP="00D538F5">
            <w:pPr>
              <w:pStyle w:val="DJCSbody"/>
              <w:ind w:left="0"/>
              <w:jc w:val="left"/>
              <w:rPr>
                <w:b/>
                <w:bCs/>
              </w:rPr>
            </w:pPr>
            <w:r>
              <w:rPr>
                <w:b/>
                <w:bCs/>
              </w:rPr>
              <w:t>-15% participation rate</w:t>
            </w:r>
          </w:p>
        </w:tc>
        <w:tc>
          <w:tcPr>
            <w:tcW w:w="1417" w:type="dxa"/>
          </w:tcPr>
          <w:p w14:paraId="70DA1CB7" w14:textId="147471C1" w:rsidR="0091329E" w:rsidRDefault="0091329E" w:rsidP="00D538F5">
            <w:pPr>
              <w:pStyle w:val="DJCSbody"/>
              <w:ind w:left="0"/>
              <w:jc w:val="center"/>
            </w:pPr>
            <w:r>
              <w:t>$41,080</w:t>
            </w:r>
          </w:p>
        </w:tc>
        <w:tc>
          <w:tcPr>
            <w:tcW w:w="1276" w:type="dxa"/>
          </w:tcPr>
          <w:p w14:paraId="7A8C8559" w14:textId="7F0BD3A0" w:rsidR="0091329E" w:rsidRDefault="0091329E" w:rsidP="00D538F5">
            <w:pPr>
              <w:pStyle w:val="DJCSbody"/>
              <w:ind w:left="0"/>
              <w:jc w:val="center"/>
            </w:pPr>
            <w:r>
              <w:t>$309</w:t>
            </w:r>
          </w:p>
        </w:tc>
        <w:tc>
          <w:tcPr>
            <w:tcW w:w="1276" w:type="dxa"/>
          </w:tcPr>
          <w:p w14:paraId="7BE4A4AF" w14:textId="03C293B2" w:rsidR="0091329E" w:rsidRPr="00F538C1" w:rsidRDefault="0091329E" w:rsidP="00D538F5">
            <w:pPr>
              <w:pStyle w:val="DJCSbody"/>
              <w:ind w:left="0"/>
              <w:jc w:val="center"/>
              <w:rPr>
                <w:color w:val="FF0000"/>
              </w:rPr>
            </w:pPr>
            <w:r>
              <w:rPr>
                <w:color w:val="FF0000"/>
              </w:rPr>
              <w:t>-$23,757</w:t>
            </w:r>
          </w:p>
        </w:tc>
        <w:tc>
          <w:tcPr>
            <w:tcW w:w="1207" w:type="dxa"/>
          </w:tcPr>
          <w:p w14:paraId="0D8EC96F" w14:textId="7545673A" w:rsidR="0091329E" w:rsidRPr="00F538C1" w:rsidRDefault="0091329E" w:rsidP="00D538F5">
            <w:pPr>
              <w:pStyle w:val="DJCSbody"/>
              <w:ind w:left="0"/>
              <w:jc w:val="center"/>
              <w:rPr>
                <w:color w:val="FF0000"/>
              </w:rPr>
            </w:pPr>
            <w:r>
              <w:rPr>
                <w:color w:val="FF0000"/>
              </w:rPr>
              <w:t>-$22,368</w:t>
            </w:r>
          </w:p>
        </w:tc>
        <w:tc>
          <w:tcPr>
            <w:tcW w:w="1487" w:type="dxa"/>
          </w:tcPr>
          <w:p w14:paraId="2AB92DA9" w14:textId="0633F98C" w:rsidR="0091329E" w:rsidRPr="00764FA9" w:rsidRDefault="0091329E" w:rsidP="00D538F5">
            <w:pPr>
              <w:pStyle w:val="DJCSbody"/>
              <w:ind w:left="0"/>
              <w:jc w:val="center"/>
              <w:rPr>
                <w:b/>
                <w:color w:val="FF0000"/>
              </w:rPr>
            </w:pPr>
            <w:r w:rsidRPr="00BE5ED9">
              <w:rPr>
                <w:b/>
                <w:bCs/>
                <w:color w:val="FF0000"/>
              </w:rPr>
              <w:t>-$4,</w:t>
            </w:r>
            <w:r>
              <w:rPr>
                <w:b/>
                <w:bCs/>
                <w:color w:val="FF0000"/>
              </w:rPr>
              <w:t>736</w:t>
            </w:r>
          </w:p>
        </w:tc>
      </w:tr>
    </w:tbl>
    <w:p w14:paraId="585C0FFE" w14:textId="77777777" w:rsidR="004F2F22" w:rsidRPr="004F2F22" w:rsidRDefault="004F2F22" w:rsidP="004F2F22">
      <w:pPr>
        <w:rPr>
          <w:highlight w:val="yellow"/>
        </w:rPr>
      </w:pPr>
    </w:p>
    <w:p w14:paraId="7575B3D8" w14:textId="0F302859" w:rsidR="002E27CC" w:rsidRDefault="00062AF9" w:rsidP="00CA3C50">
      <w:pPr>
        <w:pStyle w:val="Heading2"/>
      </w:pPr>
      <w:bookmarkStart w:id="86" w:name="_Toc221890846"/>
      <w:bookmarkStart w:id="87" w:name="_Toc221890912"/>
      <w:bookmarkStart w:id="88" w:name="_Toc221890847"/>
      <w:bookmarkStart w:id="89" w:name="_Toc221890913"/>
      <w:bookmarkStart w:id="90" w:name="_Toc221890848"/>
      <w:bookmarkStart w:id="91" w:name="_Toc221890914"/>
      <w:bookmarkStart w:id="92" w:name="_Toc221890849"/>
      <w:bookmarkStart w:id="93" w:name="_Toc221890915"/>
      <w:bookmarkStart w:id="94" w:name="_Toc220522701"/>
      <w:bookmarkStart w:id="95" w:name="_Toc220522702"/>
      <w:bookmarkStart w:id="96" w:name="_Toc220522703"/>
      <w:bookmarkStart w:id="97" w:name="_Toc220522704"/>
      <w:bookmarkStart w:id="98" w:name="_Toc220522753"/>
      <w:bookmarkStart w:id="99" w:name="_Toc220522802"/>
      <w:bookmarkStart w:id="100" w:name="_Toc220522803"/>
      <w:bookmarkStart w:id="101" w:name="_Toc220522852"/>
      <w:bookmarkStart w:id="102" w:name="_Toc220522901"/>
      <w:bookmarkStart w:id="103" w:name="_Toc220522902"/>
      <w:bookmarkStart w:id="104" w:name="_Toc220522903"/>
      <w:bookmarkStart w:id="105" w:name="_Toc220522904"/>
      <w:bookmarkStart w:id="106" w:name="_Toc220522905"/>
      <w:bookmarkStart w:id="107" w:name="_Toc22189091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Other</w:t>
      </w:r>
      <w:r w:rsidR="00D15793">
        <w:t xml:space="preserve"> </w:t>
      </w:r>
      <w:r w:rsidR="00AC6767">
        <w:t xml:space="preserve">design elements </w:t>
      </w:r>
      <w:r w:rsidR="00D15793">
        <w:t>of the preferred option</w:t>
      </w:r>
      <w:bookmarkEnd w:id="107"/>
    </w:p>
    <w:p w14:paraId="3F815BDB" w14:textId="67BFC8AE" w:rsidR="00B57F3C" w:rsidRPr="00B57F3C" w:rsidRDefault="0005325E" w:rsidP="00EA3186">
      <w:pPr>
        <w:pStyle w:val="DJCSbody"/>
        <w:ind w:left="0"/>
      </w:pPr>
      <w:r>
        <w:t xml:space="preserve">The </w:t>
      </w:r>
      <w:r w:rsidR="003E3E75">
        <w:t xml:space="preserve">amendments to the </w:t>
      </w:r>
      <w:r w:rsidR="00F544B5">
        <w:t>RT</w:t>
      </w:r>
      <w:r>
        <w:t xml:space="preserve"> Act state that </w:t>
      </w:r>
      <w:r w:rsidR="00482A60">
        <w:t xml:space="preserve">The </w:t>
      </w:r>
      <w:r w:rsidR="00803BFA">
        <w:t>Secretary</w:t>
      </w:r>
      <w:r w:rsidR="00482A60">
        <w:t xml:space="preserve"> </w:t>
      </w:r>
      <w:r w:rsidR="007E7A89">
        <w:t xml:space="preserve">may issue guidelines in relation to the </w:t>
      </w:r>
      <w:r w:rsidR="006C5427">
        <w:t>PRBS. The content for these Guidelines</w:t>
      </w:r>
      <w:r w:rsidR="000D63C3">
        <w:t xml:space="preserve"> will be in relation </w:t>
      </w:r>
      <w:r w:rsidR="00B43485">
        <w:t xml:space="preserve">to </w:t>
      </w:r>
      <w:r w:rsidR="00F90392">
        <w:t xml:space="preserve">administrative processes, manner </w:t>
      </w:r>
      <w:r w:rsidR="00BE6E04">
        <w:t>and cond</w:t>
      </w:r>
      <w:r w:rsidR="004505D9">
        <w:t>u</w:t>
      </w:r>
      <w:r w:rsidR="00BE6E04">
        <w:t xml:space="preserve">ct for the recovery of debt including </w:t>
      </w:r>
      <w:r w:rsidR="000C61F7">
        <w:t>payment plans</w:t>
      </w:r>
      <w:r w:rsidR="006847DD">
        <w:t xml:space="preserve"> </w:t>
      </w:r>
      <w:r w:rsidR="00B52A64">
        <w:t>and the management of merchant fees on bond and debt payments</w:t>
      </w:r>
      <w:r w:rsidR="00613712">
        <w:t xml:space="preserve">. </w:t>
      </w:r>
      <w:r w:rsidR="003146C9">
        <w:t xml:space="preserve">While the PRBS Guidelines </w:t>
      </w:r>
      <w:r w:rsidR="00B644DD">
        <w:t>are not formally subject to the RIS process</w:t>
      </w:r>
      <w:r w:rsidR="003146C9">
        <w:t xml:space="preserve">, </w:t>
      </w:r>
      <w:r w:rsidR="007B75A9">
        <w:t>t</w:t>
      </w:r>
      <w:r w:rsidR="005177F5">
        <w:t xml:space="preserve">he outcome of the RIS will inform </w:t>
      </w:r>
      <w:r w:rsidR="005177F5">
        <w:lastRenderedPageBreak/>
        <w:t>them</w:t>
      </w:r>
      <w:r w:rsidR="00674004">
        <w:t xml:space="preserve"> and any detail on fees and debt recovery action notices </w:t>
      </w:r>
      <w:r w:rsidR="0020233C">
        <w:t xml:space="preserve">will be included where appropriate and </w:t>
      </w:r>
      <w:r w:rsidR="00674004">
        <w:t>will be in alignment with the outcomes of the RIS and</w:t>
      </w:r>
      <w:r w:rsidR="007510AF">
        <w:t xml:space="preserve"> the</w:t>
      </w:r>
      <w:r w:rsidR="00674004">
        <w:t xml:space="preserve"> Regulations</w:t>
      </w:r>
      <w:r w:rsidR="005177F5">
        <w:t>.</w:t>
      </w:r>
    </w:p>
    <w:p w14:paraId="569D2196" w14:textId="46E6A976" w:rsidR="00F85CE1" w:rsidRPr="00F85CE1" w:rsidRDefault="00C9009F" w:rsidP="001F576E">
      <w:pPr>
        <w:pStyle w:val="Heading3"/>
      </w:pPr>
      <w:r w:rsidRPr="00C9009F">
        <w:t>Payment plan</w:t>
      </w:r>
      <w:r w:rsidR="003762C7">
        <w:t xml:space="preserve">s </w:t>
      </w:r>
    </w:p>
    <w:p w14:paraId="2BE04E2E" w14:textId="1C3B8689" w:rsidR="00C9009F" w:rsidRPr="00C9009F" w:rsidRDefault="00C9009F" w:rsidP="001F576E">
      <w:pPr>
        <w:pStyle w:val="Body"/>
        <w:rPr>
          <w:szCs w:val="24"/>
        </w:rPr>
      </w:pPr>
      <w:r w:rsidRPr="00C9009F">
        <w:rPr>
          <w:szCs w:val="24"/>
        </w:rPr>
        <w:t xml:space="preserve">To ensure that the PRBS addresses cost of living pressures for renters in Victoria, payment </w:t>
      </w:r>
      <w:r w:rsidRPr="009242D2">
        <w:rPr>
          <w:szCs w:val="24"/>
        </w:rPr>
        <w:t>plan</w:t>
      </w:r>
      <w:r w:rsidR="005177F5">
        <w:rPr>
          <w:szCs w:val="24"/>
        </w:rPr>
        <w:t>s will be available</w:t>
      </w:r>
      <w:r w:rsidRPr="00C9009F">
        <w:rPr>
          <w:szCs w:val="24"/>
        </w:rPr>
        <w:t xml:space="preserve">. </w:t>
      </w:r>
      <w:r w:rsidR="005177F5">
        <w:rPr>
          <w:szCs w:val="24"/>
        </w:rPr>
        <w:t>P</w:t>
      </w:r>
      <w:r w:rsidRPr="00C9009F">
        <w:rPr>
          <w:szCs w:val="24"/>
        </w:rPr>
        <w:t xml:space="preserve">ayment plans aim to improve the accessibility the PRBS for renters, while also marginally improving the rate of debt recovery for the </w:t>
      </w:r>
      <w:r w:rsidR="00953D7A">
        <w:rPr>
          <w:szCs w:val="24"/>
        </w:rPr>
        <w:t>Government</w:t>
      </w:r>
      <w:r w:rsidRPr="00C9009F">
        <w:rPr>
          <w:szCs w:val="24"/>
        </w:rPr>
        <w:t>. </w:t>
      </w:r>
    </w:p>
    <w:p w14:paraId="16957762" w14:textId="5DEB3486" w:rsidR="00914532" w:rsidRPr="00A16D2E" w:rsidRDefault="005177F5" w:rsidP="00EA3186">
      <w:pPr>
        <w:pStyle w:val="DJCSbody"/>
        <w:ind w:left="0"/>
      </w:pPr>
      <w:r>
        <w:t>Payment plans help</w:t>
      </w:r>
      <w:r w:rsidR="003114A7" w:rsidRPr="003114A7">
        <w:t xml:space="preserve"> balance the need to recover debt owed to the State with the provision of flexibility and options for renters to ensure compliance</w:t>
      </w:r>
      <w:r w:rsidR="006E5884">
        <w:t xml:space="preserve"> with the </w:t>
      </w:r>
      <w:r w:rsidR="00BA15F8">
        <w:t>PRBS</w:t>
      </w:r>
      <w:r w:rsidR="003114A7" w:rsidRPr="003114A7">
        <w:t>. Th</w:t>
      </w:r>
      <w:r w:rsidR="008E0764">
        <w:t>e</w:t>
      </w:r>
      <w:r w:rsidR="003114A7" w:rsidRPr="003114A7">
        <w:t xml:space="preserve"> approach </w:t>
      </w:r>
      <w:r w:rsidR="008E0764">
        <w:t>to payment plans will be outlined in the Guidelines</w:t>
      </w:r>
      <w:r w:rsidR="003114A7" w:rsidRPr="003114A7">
        <w:t xml:space="preserve"> </w:t>
      </w:r>
      <w:r w:rsidR="008E0764">
        <w:t xml:space="preserve">and </w:t>
      </w:r>
      <w:r w:rsidR="00612E2F">
        <w:t xml:space="preserve">reviewed </w:t>
      </w:r>
      <w:r w:rsidR="003114A7" w:rsidRPr="003114A7">
        <w:t xml:space="preserve">to ensure it meets policy aims, requirements and the effective recovery of debt.  </w:t>
      </w:r>
    </w:p>
    <w:p w14:paraId="4AC62C4C" w14:textId="77777777" w:rsidR="00654EE2" w:rsidRDefault="00654EE2">
      <w:pPr>
        <w:rPr>
          <w:rFonts w:ascii="Arial" w:eastAsiaTheme="majorEastAsia" w:hAnsi="Arial" w:cstheme="majorBidi"/>
          <w:b/>
          <w:color w:val="16145F" w:themeColor="accent3"/>
          <w:sz w:val="28"/>
          <w:szCs w:val="28"/>
        </w:rPr>
      </w:pPr>
      <w:r>
        <w:br w:type="page"/>
      </w:r>
    </w:p>
    <w:p w14:paraId="03250992" w14:textId="53FDCD9F" w:rsidR="00A13865" w:rsidRPr="00A13865" w:rsidRDefault="0036189A" w:rsidP="001F576E">
      <w:pPr>
        <w:pStyle w:val="Heading2"/>
      </w:pPr>
      <w:bookmarkStart w:id="108" w:name="_Toc221890917"/>
      <w:r>
        <w:lastRenderedPageBreak/>
        <w:t>Competition and s</w:t>
      </w:r>
      <w:r w:rsidR="00A13865">
        <w:t>mall business impact</w:t>
      </w:r>
      <w:r>
        <w:t>s</w:t>
      </w:r>
      <w:bookmarkEnd w:id="108"/>
      <w:r>
        <w:t xml:space="preserve"> </w:t>
      </w:r>
    </w:p>
    <w:p w14:paraId="36F007C0" w14:textId="378D40E4" w:rsidR="00FC7D2E" w:rsidRPr="001F576E" w:rsidRDefault="00FC7D2E" w:rsidP="00E72DE7">
      <w:pPr>
        <w:pStyle w:val="DJCSbody"/>
        <w:ind w:left="0"/>
        <w:rPr>
          <w:rFonts w:asciiTheme="minorHAnsi" w:eastAsia="Lucida Grande" w:hAnsiTheme="minorHAnsi" w:cstheme="minorHAnsi"/>
          <w:b/>
          <w:bCs/>
          <w:szCs w:val="22"/>
        </w:rPr>
      </w:pPr>
      <w:r>
        <w:rPr>
          <w:rFonts w:asciiTheme="minorHAnsi" w:eastAsia="Lucida Grande" w:hAnsiTheme="minorHAnsi" w:cstheme="minorHAnsi"/>
          <w:b/>
          <w:bCs/>
          <w:szCs w:val="22"/>
        </w:rPr>
        <w:t xml:space="preserve">Small business </w:t>
      </w:r>
    </w:p>
    <w:p w14:paraId="4777B4D6" w14:textId="02C6BEF3" w:rsidR="0084455D" w:rsidRDefault="007F41DE" w:rsidP="00E72DE7">
      <w:pPr>
        <w:pStyle w:val="DJCSbody"/>
        <w:ind w:left="0"/>
        <w:rPr>
          <w:rFonts w:asciiTheme="minorHAnsi" w:eastAsia="Lucida Grande" w:hAnsiTheme="minorHAnsi" w:cstheme="minorHAnsi"/>
          <w:szCs w:val="22"/>
        </w:rPr>
      </w:pPr>
      <w:r>
        <w:rPr>
          <w:rFonts w:asciiTheme="minorHAnsi" w:eastAsia="Lucida Grande" w:hAnsiTheme="minorHAnsi" w:cstheme="minorHAnsi"/>
          <w:szCs w:val="22"/>
        </w:rPr>
        <w:t xml:space="preserve">The Victorian Guide to Regulation states it is best practice for a RIS to specifically consider the impacts </w:t>
      </w:r>
      <w:r w:rsidR="00EA12B2">
        <w:rPr>
          <w:rFonts w:asciiTheme="minorHAnsi" w:eastAsia="Lucida Grande" w:hAnsiTheme="minorHAnsi" w:cstheme="minorHAnsi"/>
          <w:szCs w:val="22"/>
        </w:rPr>
        <w:t xml:space="preserve">of </w:t>
      </w:r>
      <w:r w:rsidR="004F27FE">
        <w:rPr>
          <w:rFonts w:asciiTheme="minorHAnsi" w:eastAsia="Lucida Grande" w:hAnsiTheme="minorHAnsi" w:cstheme="minorHAnsi"/>
          <w:szCs w:val="22"/>
        </w:rPr>
        <w:t xml:space="preserve">any </w:t>
      </w:r>
      <w:r w:rsidR="00EA12B2">
        <w:rPr>
          <w:rFonts w:asciiTheme="minorHAnsi" w:eastAsia="Lucida Grande" w:hAnsiTheme="minorHAnsi" w:cstheme="minorHAnsi"/>
          <w:szCs w:val="22"/>
        </w:rPr>
        <w:t xml:space="preserve">proposed regulations </w:t>
      </w:r>
      <w:r>
        <w:rPr>
          <w:rFonts w:asciiTheme="minorHAnsi" w:eastAsia="Lucida Grande" w:hAnsiTheme="minorHAnsi" w:cstheme="minorHAnsi"/>
          <w:szCs w:val="22"/>
        </w:rPr>
        <w:t xml:space="preserve">on small businesses. </w:t>
      </w:r>
      <w:r w:rsidR="00E72DE7">
        <w:rPr>
          <w:rFonts w:asciiTheme="minorHAnsi" w:eastAsia="Lucida Grande" w:hAnsiTheme="minorHAnsi" w:cstheme="minorHAnsi"/>
          <w:szCs w:val="22"/>
        </w:rPr>
        <w:t>Small businesses may experience dis</w:t>
      </w:r>
      <w:r w:rsidR="004C2355">
        <w:rPr>
          <w:rFonts w:asciiTheme="minorHAnsi" w:eastAsia="Lucida Grande" w:hAnsiTheme="minorHAnsi" w:cstheme="minorHAnsi"/>
          <w:szCs w:val="22"/>
        </w:rPr>
        <w:t>proportionate effects from regulatory requirements</w:t>
      </w:r>
      <w:r w:rsidR="00FE2C40">
        <w:rPr>
          <w:rFonts w:asciiTheme="minorHAnsi" w:eastAsia="Lucida Grande" w:hAnsiTheme="minorHAnsi" w:cstheme="minorHAnsi"/>
          <w:szCs w:val="22"/>
        </w:rPr>
        <w:t xml:space="preserve"> for a range of reasons</w:t>
      </w:r>
      <w:r w:rsidR="00E7096C">
        <w:rPr>
          <w:rFonts w:asciiTheme="minorHAnsi" w:eastAsia="Lucida Grande" w:hAnsiTheme="minorHAnsi" w:cstheme="minorHAnsi"/>
          <w:szCs w:val="22"/>
        </w:rPr>
        <w:t xml:space="preserve">. This may be due </w:t>
      </w:r>
      <w:r w:rsidR="004C2355">
        <w:rPr>
          <w:rFonts w:asciiTheme="minorHAnsi" w:eastAsia="Lucida Grande" w:hAnsiTheme="minorHAnsi" w:cstheme="minorHAnsi"/>
          <w:szCs w:val="22"/>
        </w:rPr>
        <w:t xml:space="preserve">to limited </w:t>
      </w:r>
      <w:r w:rsidR="00ED384E">
        <w:rPr>
          <w:rFonts w:asciiTheme="minorHAnsi" w:eastAsia="Lucida Grande" w:hAnsiTheme="minorHAnsi" w:cstheme="minorHAnsi"/>
          <w:szCs w:val="22"/>
        </w:rPr>
        <w:t xml:space="preserve">resourcing </w:t>
      </w:r>
      <w:r w:rsidR="004C2355">
        <w:rPr>
          <w:rFonts w:asciiTheme="minorHAnsi" w:eastAsia="Lucida Grande" w:hAnsiTheme="minorHAnsi" w:cstheme="minorHAnsi"/>
          <w:szCs w:val="22"/>
        </w:rPr>
        <w:t>to interpret compliance requirements or to keep pace wit</w:t>
      </w:r>
      <w:r w:rsidR="00A35884">
        <w:rPr>
          <w:rFonts w:asciiTheme="minorHAnsi" w:eastAsia="Lucida Grande" w:hAnsiTheme="minorHAnsi" w:cstheme="minorHAnsi"/>
          <w:szCs w:val="22"/>
        </w:rPr>
        <w:t>h</w:t>
      </w:r>
      <w:r w:rsidR="004C2355">
        <w:rPr>
          <w:rFonts w:asciiTheme="minorHAnsi" w:eastAsia="Lucida Grande" w:hAnsiTheme="minorHAnsi" w:cstheme="minorHAnsi"/>
          <w:szCs w:val="22"/>
        </w:rPr>
        <w:t xml:space="preserve"> regulatory changes</w:t>
      </w:r>
      <w:r w:rsidR="00FC7D2E">
        <w:rPr>
          <w:rFonts w:asciiTheme="minorHAnsi" w:eastAsia="Lucida Grande" w:hAnsiTheme="minorHAnsi" w:cstheme="minorHAnsi"/>
          <w:szCs w:val="22"/>
        </w:rPr>
        <w:t xml:space="preserve">. Small businesses </w:t>
      </w:r>
      <w:r w:rsidR="00F10F87">
        <w:rPr>
          <w:rFonts w:asciiTheme="minorHAnsi" w:eastAsia="Lucida Grande" w:hAnsiTheme="minorHAnsi" w:cstheme="minorHAnsi"/>
          <w:szCs w:val="22"/>
        </w:rPr>
        <w:t xml:space="preserve">may </w:t>
      </w:r>
      <w:r w:rsidR="00FC7D2E">
        <w:rPr>
          <w:rFonts w:asciiTheme="minorHAnsi" w:eastAsia="Lucida Grande" w:hAnsiTheme="minorHAnsi" w:cstheme="minorHAnsi"/>
          <w:szCs w:val="22"/>
        </w:rPr>
        <w:t xml:space="preserve">also </w:t>
      </w:r>
      <w:r w:rsidR="00F10F87">
        <w:rPr>
          <w:rFonts w:asciiTheme="minorHAnsi" w:eastAsia="Lucida Grande" w:hAnsiTheme="minorHAnsi" w:cstheme="minorHAnsi"/>
          <w:szCs w:val="22"/>
        </w:rPr>
        <w:t xml:space="preserve">disproportionately feel </w:t>
      </w:r>
      <w:r w:rsidR="004C2355">
        <w:rPr>
          <w:rFonts w:asciiTheme="minorHAnsi" w:eastAsia="Lucida Grande" w:hAnsiTheme="minorHAnsi" w:cstheme="minorHAnsi"/>
          <w:szCs w:val="22"/>
        </w:rPr>
        <w:t>the cumulative effect of different requirements</w:t>
      </w:r>
      <w:r w:rsidR="00F10F87">
        <w:rPr>
          <w:rFonts w:asciiTheme="minorHAnsi" w:eastAsia="Lucida Grande" w:hAnsiTheme="minorHAnsi" w:cstheme="minorHAnsi"/>
          <w:szCs w:val="22"/>
        </w:rPr>
        <w:t xml:space="preserve"> in the sector</w:t>
      </w:r>
      <w:r w:rsidR="004C2355">
        <w:rPr>
          <w:rFonts w:asciiTheme="minorHAnsi" w:eastAsia="Lucida Grande" w:hAnsiTheme="minorHAnsi" w:cstheme="minorHAnsi"/>
          <w:szCs w:val="22"/>
        </w:rPr>
        <w:t xml:space="preserve">. </w:t>
      </w:r>
    </w:p>
    <w:p w14:paraId="1490B072" w14:textId="2C0E9BB2" w:rsidR="00E72DE7" w:rsidRPr="00A16D2E" w:rsidRDefault="00CB472E" w:rsidP="00E72DE7">
      <w:pPr>
        <w:pStyle w:val="DJCSbody"/>
        <w:ind w:left="0"/>
      </w:pPr>
      <w:r w:rsidRPr="0091408A">
        <w:t>There is no fixed definition of small business, however, it is generally considered to refer to businesses with fewer than 20 employees</w:t>
      </w:r>
      <w:r>
        <w:t xml:space="preserve"> (Australian Bureau of Statistics) </w:t>
      </w:r>
      <w:r w:rsidRPr="0091408A">
        <w:t>or turnover of less than $10 million per year</w:t>
      </w:r>
      <w:r>
        <w:t xml:space="preserve"> (Australian Taxation Office).</w:t>
      </w:r>
      <w:r>
        <w:rPr>
          <w:rStyle w:val="FootnoteReference"/>
        </w:rPr>
        <w:footnoteReference w:id="62"/>
      </w:r>
      <w:r w:rsidRPr="0091408A">
        <w:t xml:space="preserve"> </w:t>
      </w:r>
    </w:p>
    <w:p w14:paraId="142132BD" w14:textId="118AE4D9" w:rsidR="00C049F2" w:rsidRDefault="00CB472E" w:rsidP="00936DCB">
      <w:pPr>
        <w:pStyle w:val="Body"/>
        <w:rPr>
          <w:rFonts w:ascii="Arial" w:eastAsia="Times" w:hAnsi="Arial" w:cs="Times New Roman"/>
          <w:szCs w:val="20"/>
        </w:rPr>
      </w:pPr>
      <w:r w:rsidRPr="0091408A">
        <w:t xml:space="preserve">This </w:t>
      </w:r>
      <w:r w:rsidR="00216375">
        <w:t>chapter</w:t>
      </w:r>
      <w:r w:rsidRPr="0091408A">
        <w:t xml:space="preserve"> considers whether the Regulations are likely to have a disproportionate impact on small businesses</w:t>
      </w:r>
      <w:r w:rsidR="002E16E8">
        <w:t xml:space="preserve">. </w:t>
      </w:r>
    </w:p>
    <w:p w14:paraId="6D0DAD02" w14:textId="0524131C" w:rsidR="002E16E8" w:rsidRPr="001F576E" w:rsidRDefault="002E16E8" w:rsidP="001F576E">
      <w:pPr>
        <w:rPr>
          <w:rFonts w:ascii="Arial" w:eastAsia="Times" w:hAnsi="Arial"/>
          <w:i/>
        </w:rPr>
      </w:pPr>
      <w:r w:rsidRPr="001F576E">
        <w:rPr>
          <w:rFonts w:ascii="Arial" w:eastAsia="Times" w:hAnsi="Arial"/>
          <w:i/>
          <w:iCs/>
        </w:rPr>
        <w:t>Fees</w:t>
      </w:r>
    </w:p>
    <w:p w14:paraId="5C6F467C" w14:textId="2AB8D8F4" w:rsidR="00762389" w:rsidRDefault="002E16E8" w:rsidP="00936DCB">
      <w:pPr>
        <w:pStyle w:val="Body"/>
        <w:rPr>
          <w:rFonts w:ascii="Arial" w:eastAsia="Times" w:hAnsi="Arial" w:cs="Times New Roman"/>
          <w:szCs w:val="20"/>
        </w:rPr>
      </w:pPr>
      <w:r>
        <w:rPr>
          <w:rFonts w:ascii="Arial" w:eastAsia="Times" w:hAnsi="Arial" w:cs="Times New Roman"/>
          <w:szCs w:val="20"/>
        </w:rPr>
        <w:t xml:space="preserve">The proposed application fee and </w:t>
      </w:r>
      <w:r w:rsidR="00BE5665">
        <w:rPr>
          <w:rFonts w:ascii="Arial" w:eastAsia="Times" w:hAnsi="Arial" w:cs="Times New Roman"/>
          <w:szCs w:val="20"/>
        </w:rPr>
        <w:t xml:space="preserve">debt recovery fee </w:t>
      </w:r>
      <w:r>
        <w:rPr>
          <w:rFonts w:ascii="Arial" w:eastAsia="Times" w:hAnsi="Arial" w:cs="Times New Roman"/>
          <w:szCs w:val="20"/>
        </w:rPr>
        <w:t xml:space="preserve">will be charged </w:t>
      </w:r>
      <w:r w:rsidR="004C2982">
        <w:rPr>
          <w:rFonts w:ascii="Arial" w:eastAsia="Times" w:hAnsi="Arial" w:cs="Times New Roman"/>
          <w:szCs w:val="20"/>
        </w:rPr>
        <w:t xml:space="preserve">directly </w:t>
      </w:r>
      <w:r>
        <w:rPr>
          <w:rFonts w:ascii="Arial" w:eastAsia="Times" w:hAnsi="Arial" w:cs="Times New Roman"/>
          <w:szCs w:val="20"/>
        </w:rPr>
        <w:t xml:space="preserve">to </w:t>
      </w:r>
      <w:r w:rsidR="004C2982">
        <w:rPr>
          <w:rFonts w:ascii="Arial" w:eastAsia="Times" w:hAnsi="Arial" w:cs="Times New Roman"/>
          <w:szCs w:val="20"/>
        </w:rPr>
        <w:t xml:space="preserve">individual </w:t>
      </w:r>
      <w:r>
        <w:rPr>
          <w:rFonts w:ascii="Arial" w:eastAsia="Times" w:hAnsi="Arial" w:cs="Times New Roman"/>
          <w:szCs w:val="20"/>
        </w:rPr>
        <w:t>renters</w:t>
      </w:r>
      <w:r w:rsidR="00291836">
        <w:rPr>
          <w:rFonts w:ascii="Arial" w:eastAsia="Times" w:hAnsi="Arial" w:cs="Times New Roman"/>
          <w:szCs w:val="20"/>
        </w:rPr>
        <w:t xml:space="preserve"> who are eligible and choose to participate in the PRBS</w:t>
      </w:r>
      <w:r w:rsidR="004C2982">
        <w:rPr>
          <w:rFonts w:ascii="Arial" w:eastAsia="Times" w:hAnsi="Arial" w:cs="Times New Roman"/>
          <w:szCs w:val="20"/>
        </w:rPr>
        <w:t>. As such,</w:t>
      </w:r>
      <w:r w:rsidR="0039376A">
        <w:rPr>
          <w:rFonts w:ascii="Arial" w:eastAsia="Times" w:hAnsi="Arial" w:cs="Times New Roman"/>
          <w:szCs w:val="20"/>
        </w:rPr>
        <w:t xml:space="preserve"> fees </w:t>
      </w:r>
      <w:r w:rsidR="005A4540">
        <w:rPr>
          <w:rFonts w:ascii="Arial" w:eastAsia="Times" w:hAnsi="Arial" w:cs="Times New Roman"/>
          <w:szCs w:val="20"/>
        </w:rPr>
        <w:t>are</w:t>
      </w:r>
      <w:r w:rsidR="0039376A">
        <w:rPr>
          <w:rFonts w:ascii="Arial" w:eastAsia="Times" w:hAnsi="Arial" w:cs="Times New Roman"/>
          <w:szCs w:val="20"/>
        </w:rPr>
        <w:t xml:space="preserve"> not expected to be borne </w:t>
      </w:r>
      <w:r w:rsidR="00DA773B">
        <w:rPr>
          <w:rFonts w:ascii="Arial" w:eastAsia="Times" w:hAnsi="Arial" w:cs="Times New Roman"/>
          <w:szCs w:val="20"/>
        </w:rPr>
        <w:t xml:space="preserve">directly </w:t>
      </w:r>
      <w:r w:rsidR="0039376A">
        <w:rPr>
          <w:rFonts w:ascii="Arial" w:eastAsia="Times" w:hAnsi="Arial" w:cs="Times New Roman"/>
          <w:szCs w:val="20"/>
        </w:rPr>
        <w:t>by</w:t>
      </w:r>
      <w:r w:rsidR="0055330C">
        <w:rPr>
          <w:rFonts w:ascii="Arial" w:eastAsia="Times" w:hAnsi="Arial" w:cs="Times New Roman"/>
          <w:szCs w:val="20"/>
        </w:rPr>
        <w:t xml:space="preserve"> small business</w:t>
      </w:r>
      <w:r w:rsidR="00B40C57">
        <w:rPr>
          <w:rFonts w:ascii="Arial" w:eastAsia="Times" w:hAnsi="Arial" w:cs="Times New Roman"/>
          <w:szCs w:val="20"/>
        </w:rPr>
        <w:t>es</w:t>
      </w:r>
      <w:r w:rsidR="0055330C">
        <w:rPr>
          <w:rFonts w:ascii="Arial" w:eastAsia="Times" w:hAnsi="Arial" w:cs="Times New Roman"/>
          <w:szCs w:val="20"/>
        </w:rPr>
        <w:t>.</w:t>
      </w:r>
      <w:r w:rsidR="0039376A">
        <w:rPr>
          <w:rFonts w:ascii="Arial" w:eastAsia="Times" w:hAnsi="Arial" w:cs="Times New Roman"/>
          <w:szCs w:val="20"/>
        </w:rPr>
        <w:t xml:space="preserve"> </w:t>
      </w:r>
    </w:p>
    <w:p w14:paraId="3632F30D" w14:textId="607574C7" w:rsidR="00F21AE7" w:rsidRDefault="00DA773B" w:rsidP="00936DCB">
      <w:pPr>
        <w:pStyle w:val="Body"/>
        <w:rPr>
          <w:rFonts w:ascii="Arial" w:eastAsia="Times" w:hAnsi="Arial" w:cs="Times New Roman"/>
          <w:szCs w:val="20"/>
        </w:rPr>
      </w:pPr>
      <w:r>
        <w:rPr>
          <w:rFonts w:ascii="Arial" w:eastAsia="Times" w:hAnsi="Arial" w:cs="Times New Roman"/>
          <w:szCs w:val="20"/>
        </w:rPr>
        <w:t xml:space="preserve">While some businesses </w:t>
      </w:r>
      <w:r w:rsidR="0028217E">
        <w:rPr>
          <w:rFonts w:ascii="Arial" w:eastAsia="Times" w:hAnsi="Arial" w:cs="Times New Roman"/>
          <w:szCs w:val="20"/>
        </w:rPr>
        <w:t xml:space="preserve">that provide competing bond loan or personal financing products </w:t>
      </w:r>
      <w:r>
        <w:rPr>
          <w:rFonts w:ascii="Arial" w:eastAsia="Times" w:hAnsi="Arial" w:cs="Times New Roman"/>
          <w:szCs w:val="20"/>
        </w:rPr>
        <w:t xml:space="preserve">may be impacted by the </w:t>
      </w:r>
      <w:r w:rsidR="00762389">
        <w:rPr>
          <w:rFonts w:ascii="Arial" w:eastAsia="Times" w:hAnsi="Arial" w:cs="Times New Roman"/>
          <w:szCs w:val="20"/>
        </w:rPr>
        <w:t>introduction of the PRBS (discussed in the competition impacts section below),</w:t>
      </w:r>
      <w:r w:rsidR="001227F7">
        <w:rPr>
          <w:rFonts w:ascii="Arial" w:eastAsia="Times" w:hAnsi="Arial" w:cs="Times New Roman"/>
          <w:szCs w:val="20"/>
        </w:rPr>
        <w:t xml:space="preserve"> t</w:t>
      </w:r>
      <w:r w:rsidR="00EE3ACE">
        <w:rPr>
          <w:rFonts w:ascii="Arial" w:eastAsia="Times" w:hAnsi="Arial" w:cs="Times New Roman"/>
          <w:szCs w:val="20"/>
        </w:rPr>
        <w:t xml:space="preserve">here are no known small businesses that provide </w:t>
      </w:r>
      <w:r w:rsidR="004501CD">
        <w:rPr>
          <w:rFonts w:ascii="Arial" w:eastAsia="Times" w:hAnsi="Arial" w:cs="Times New Roman"/>
          <w:szCs w:val="20"/>
        </w:rPr>
        <w:t>short-term bond loan</w:t>
      </w:r>
      <w:r w:rsidR="00244672">
        <w:rPr>
          <w:rFonts w:ascii="Arial" w:eastAsia="Times" w:hAnsi="Arial" w:cs="Times New Roman"/>
          <w:szCs w:val="20"/>
        </w:rPr>
        <w:t xml:space="preserve"> products </w:t>
      </w:r>
      <w:r w:rsidR="001318D7">
        <w:rPr>
          <w:rFonts w:ascii="Arial" w:eastAsia="Times" w:hAnsi="Arial" w:cs="Times New Roman"/>
          <w:szCs w:val="20"/>
        </w:rPr>
        <w:t xml:space="preserve">in Victoria. </w:t>
      </w:r>
    </w:p>
    <w:p w14:paraId="6818E26D" w14:textId="48276874" w:rsidR="00C049F2" w:rsidRDefault="0055330C" w:rsidP="00936DCB">
      <w:pPr>
        <w:pStyle w:val="Body"/>
        <w:rPr>
          <w:rFonts w:ascii="Arial" w:eastAsia="Times" w:hAnsi="Arial" w:cs="Times New Roman"/>
          <w:i/>
          <w:iCs/>
          <w:szCs w:val="20"/>
        </w:rPr>
      </w:pPr>
      <w:r>
        <w:rPr>
          <w:rFonts w:ascii="Arial" w:eastAsia="Times" w:hAnsi="Arial" w:cs="Times New Roman"/>
          <w:i/>
          <w:iCs/>
          <w:szCs w:val="20"/>
        </w:rPr>
        <w:t>D</w:t>
      </w:r>
      <w:r w:rsidR="00F21AE7" w:rsidRPr="001F576E">
        <w:rPr>
          <w:rFonts w:ascii="Arial" w:eastAsia="Times" w:hAnsi="Arial" w:cs="Times New Roman"/>
          <w:i/>
          <w:iCs/>
          <w:szCs w:val="20"/>
        </w:rPr>
        <w:t xml:space="preserve">ebt management and recovery </w:t>
      </w:r>
      <w:r>
        <w:rPr>
          <w:rFonts w:ascii="Arial" w:eastAsia="Times" w:hAnsi="Arial" w:cs="Times New Roman"/>
          <w:i/>
          <w:iCs/>
          <w:szCs w:val="20"/>
        </w:rPr>
        <w:t xml:space="preserve">process </w:t>
      </w:r>
    </w:p>
    <w:p w14:paraId="57F7B295" w14:textId="454E0428" w:rsidR="0055330C" w:rsidRDefault="0055330C" w:rsidP="00936DCB">
      <w:pPr>
        <w:pStyle w:val="Body"/>
      </w:pPr>
      <w:r w:rsidRPr="79E303FA">
        <w:rPr>
          <w:rFonts w:ascii="Arial" w:eastAsia="Times" w:hAnsi="Arial" w:cs="Times New Roman"/>
        </w:rPr>
        <w:t xml:space="preserve">The </w:t>
      </w:r>
      <w:r w:rsidR="00A8616D" w:rsidRPr="79E303FA">
        <w:rPr>
          <w:rFonts w:ascii="Arial" w:eastAsia="Times" w:hAnsi="Arial" w:cs="Times New Roman"/>
        </w:rPr>
        <w:t xml:space="preserve">3 </w:t>
      </w:r>
      <w:r w:rsidRPr="79E303FA">
        <w:rPr>
          <w:rFonts w:ascii="Arial" w:eastAsia="Times" w:hAnsi="Arial" w:cs="Times New Roman"/>
        </w:rPr>
        <w:t>notices</w:t>
      </w:r>
      <w:r w:rsidR="00F90409" w:rsidRPr="79E303FA">
        <w:rPr>
          <w:rFonts w:ascii="Arial" w:eastAsia="Times" w:hAnsi="Arial" w:cs="Times New Roman"/>
        </w:rPr>
        <w:t xml:space="preserve"> (</w:t>
      </w:r>
      <w:r w:rsidR="00F90409">
        <w:t xml:space="preserve">reminder </w:t>
      </w:r>
      <w:r w:rsidR="00A64A73">
        <w:t xml:space="preserve">of debt </w:t>
      </w:r>
      <w:r w:rsidR="00F90409">
        <w:t xml:space="preserve">notice, final reminder notices and notices of final demand) that are proposed to be prescribed will be issued by </w:t>
      </w:r>
      <w:r w:rsidR="00AD2C4D">
        <w:t>the Secretary or delegate</w:t>
      </w:r>
      <w:r w:rsidR="00F90409">
        <w:t xml:space="preserve"> to individuals who have </w:t>
      </w:r>
      <w:r w:rsidR="00BF34CE">
        <w:t xml:space="preserve">an overdue </w:t>
      </w:r>
      <w:r w:rsidR="00F90409">
        <w:t>debt</w:t>
      </w:r>
      <w:r w:rsidR="00033C59">
        <w:t xml:space="preserve">. The </w:t>
      </w:r>
      <w:r w:rsidR="00C349F4">
        <w:t xml:space="preserve">notices are not considered to have any impact on small business. </w:t>
      </w:r>
    </w:p>
    <w:p w14:paraId="35275A62" w14:textId="05F4F024" w:rsidR="00FC7D2E" w:rsidRDefault="00FC7D2E" w:rsidP="00936DCB">
      <w:pPr>
        <w:pStyle w:val="Body"/>
        <w:rPr>
          <w:b/>
          <w:bCs/>
        </w:rPr>
      </w:pPr>
      <w:r>
        <w:rPr>
          <w:b/>
          <w:bCs/>
        </w:rPr>
        <w:t xml:space="preserve">Competition impacts </w:t>
      </w:r>
    </w:p>
    <w:p w14:paraId="05F1C986" w14:textId="1067C8A2" w:rsidR="00FC7D2E" w:rsidRDefault="0070696D" w:rsidP="00936DCB">
      <w:pPr>
        <w:pStyle w:val="Body"/>
      </w:pPr>
      <w:r w:rsidRPr="001F576E">
        <w:t xml:space="preserve">Victoria is </w:t>
      </w:r>
      <w:r>
        <w:t xml:space="preserve">party to the </w:t>
      </w:r>
      <w:r w:rsidR="00487CF0">
        <w:t>Intergovernmental Agreement on National Competition Pol</w:t>
      </w:r>
      <w:r w:rsidR="004173CE">
        <w:t>icy</w:t>
      </w:r>
      <w:r>
        <w:t xml:space="preserve">, which requires that any new primary or subordinate legislation should not restrict competition unless it can be demonstrated that the Government’s objectives </w:t>
      </w:r>
      <w:r w:rsidR="00903145">
        <w:t xml:space="preserve">can only be achieved </w:t>
      </w:r>
      <w:r w:rsidR="00812B2A">
        <w:t xml:space="preserve">by </w:t>
      </w:r>
      <w:r w:rsidR="00903145">
        <w:t xml:space="preserve">restricting competition and that the benefits of the restriction outweigh the costs. </w:t>
      </w:r>
    </w:p>
    <w:p w14:paraId="5A59B040" w14:textId="29D333BB" w:rsidR="00520026" w:rsidRPr="0070696D" w:rsidRDefault="00533087" w:rsidP="00936DCB">
      <w:pPr>
        <w:pStyle w:val="Body"/>
      </w:pPr>
      <w:r w:rsidRPr="00533087">
        <w:t xml:space="preserve">In some cases, regulation can affect competition by preventing or limiting the ability of businesses and individuals to enter and compete within particular markets. </w:t>
      </w:r>
      <w:r w:rsidR="00A22670">
        <w:t xml:space="preserve">Where this occurs, </w:t>
      </w:r>
      <w:r w:rsidR="00A25EEF">
        <w:t xml:space="preserve">there are likely to be adverse effects for </w:t>
      </w:r>
      <w:r w:rsidRPr="00533087">
        <w:t xml:space="preserve">consumers, </w:t>
      </w:r>
      <w:r w:rsidR="00274B86">
        <w:t>and</w:t>
      </w:r>
      <w:r w:rsidRPr="00533087">
        <w:t xml:space="preserve"> can result in lower innovation and productivity, reduced choice of products and/or higher prices. </w:t>
      </w:r>
      <w:r w:rsidR="00503C2E">
        <w:t xml:space="preserve">Due to the potential for adverse </w:t>
      </w:r>
      <w:r w:rsidR="00001CAB">
        <w:t>effects</w:t>
      </w:r>
      <w:r w:rsidR="00503C2E">
        <w:t>, t</w:t>
      </w:r>
      <w:r w:rsidR="00DF7F2D">
        <w:t>he Victorian Guide to Regulation requires</w:t>
      </w:r>
      <w:r w:rsidR="00654E54">
        <w:t xml:space="preserve"> competition impacts of proposed Regulations to be assessed </w:t>
      </w:r>
      <w:r w:rsidR="00DF7F2D">
        <w:t xml:space="preserve">in the RIS. </w:t>
      </w:r>
    </w:p>
    <w:p w14:paraId="1695532E" w14:textId="7838FCAE" w:rsidR="00B574ED" w:rsidRDefault="003C0564" w:rsidP="00936DCB">
      <w:pPr>
        <w:pStyle w:val="Body"/>
      </w:pPr>
      <w:r>
        <w:t xml:space="preserve">As outlined in </w:t>
      </w:r>
      <w:r w:rsidR="0004789D">
        <w:t>Chapter 1</w:t>
      </w:r>
      <w:r>
        <w:t xml:space="preserve">, </w:t>
      </w:r>
      <w:r w:rsidR="00922867">
        <w:t xml:space="preserve">renters seeking </w:t>
      </w:r>
      <w:r w:rsidR="003763D6">
        <w:t>financial assistance to cover a double bond payment have access to</w:t>
      </w:r>
      <w:r>
        <w:t xml:space="preserve"> a range of </w:t>
      </w:r>
      <w:r w:rsidR="0004789D">
        <w:t xml:space="preserve">financing </w:t>
      </w:r>
      <w:r>
        <w:t xml:space="preserve">options </w:t>
      </w:r>
      <w:r w:rsidR="00F7390F">
        <w:t xml:space="preserve">in Victoria. </w:t>
      </w:r>
      <w:r w:rsidR="00894BAA">
        <w:t>General financing options</w:t>
      </w:r>
      <w:r w:rsidR="00F7390F">
        <w:t xml:space="preserve"> include </w:t>
      </w:r>
      <w:r w:rsidR="00124CA4">
        <w:t>personal loans</w:t>
      </w:r>
      <w:r w:rsidR="004D4996">
        <w:t>, bridging loans</w:t>
      </w:r>
      <w:r w:rsidR="0035698B">
        <w:t xml:space="preserve"> </w:t>
      </w:r>
      <w:r w:rsidR="00894BAA">
        <w:t xml:space="preserve">or credit cards </w:t>
      </w:r>
      <w:r w:rsidR="0035698B">
        <w:t>from banks</w:t>
      </w:r>
      <w:r w:rsidR="001064DE">
        <w:t xml:space="preserve"> or other financial institutions.</w:t>
      </w:r>
      <w:r w:rsidR="00F7390F">
        <w:t xml:space="preserve"> </w:t>
      </w:r>
      <w:r w:rsidR="00980357">
        <w:t>There are also a small number of p</w:t>
      </w:r>
      <w:r w:rsidR="00BB35BA">
        <w:t xml:space="preserve">rivate lenders </w:t>
      </w:r>
      <w:r w:rsidR="00980357">
        <w:t xml:space="preserve">that </w:t>
      </w:r>
      <w:r w:rsidR="00B77413">
        <w:t>offer specific products for</w:t>
      </w:r>
      <w:r w:rsidR="00980357">
        <w:t xml:space="preserve"> rent</w:t>
      </w:r>
      <w:r w:rsidR="00B77413">
        <w:t>al bonds</w:t>
      </w:r>
      <w:r w:rsidR="00980357">
        <w:t xml:space="preserve"> </w:t>
      </w:r>
      <w:r w:rsidR="00BB35BA">
        <w:t xml:space="preserve">such as </w:t>
      </w:r>
      <w:r w:rsidR="00F14DA6">
        <w:t xml:space="preserve">FairGo Finance, 2Apply Bond Loans and </w:t>
      </w:r>
      <w:r w:rsidR="003E6467">
        <w:t>RentBond</w:t>
      </w:r>
      <w:r w:rsidR="00B77413">
        <w:t>, which</w:t>
      </w:r>
      <w:r w:rsidR="003E6467">
        <w:t xml:space="preserve"> offer</w:t>
      </w:r>
      <w:r w:rsidR="00B77413">
        <w:t>s</w:t>
      </w:r>
      <w:r w:rsidR="003E6467">
        <w:t xml:space="preserve"> loans of up to $10,000 </w:t>
      </w:r>
      <w:r w:rsidR="00B77413">
        <w:t xml:space="preserve">to </w:t>
      </w:r>
      <w:r w:rsidR="003E6467">
        <w:t xml:space="preserve">cover bond payments interest-free for a 21-day period. </w:t>
      </w:r>
    </w:p>
    <w:p w14:paraId="493FFEDE" w14:textId="292AD9E8" w:rsidR="003C3844" w:rsidRDefault="00AB2490" w:rsidP="00936DCB">
      <w:pPr>
        <w:pStyle w:val="Body"/>
      </w:pPr>
      <w:r>
        <w:t>The fees and debt recovery arrangements outlined in the Regulations are unlikely to have any competition impacts themselves. However, it is noted that t</w:t>
      </w:r>
      <w:r w:rsidR="00B574ED">
        <w:t>he</w:t>
      </w:r>
      <w:r w:rsidR="00A070F3">
        <w:t xml:space="preserve"> </w:t>
      </w:r>
      <w:r>
        <w:t xml:space="preserve">operation of the </w:t>
      </w:r>
      <w:r w:rsidR="00B574ED">
        <w:t xml:space="preserve">PRBS </w:t>
      </w:r>
      <w:r w:rsidR="00977678">
        <w:t xml:space="preserve">may </w:t>
      </w:r>
      <w:r w:rsidR="007A48F5">
        <w:t xml:space="preserve">impact the demand for these </w:t>
      </w:r>
      <w:r w:rsidR="004D4996">
        <w:lastRenderedPageBreak/>
        <w:t xml:space="preserve">existing </w:t>
      </w:r>
      <w:r w:rsidR="00D8647C">
        <w:t xml:space="preserve">personal </w:t>
      </w:r>
      <w:r w:rsidR="00B440A7">
        <w:t>financing and</w:t>
      </w:r>
      <w:r w:rsidR="00D8647C">
        <w:t xml:space="preserve"> </w:t>
      </w:r>
      <w:r w:rsidR="007A48F5">
        <w:t>bond loan products</w:t>
      </w:r>
      <w:r w:rsidR="00962D01">
        <w:t xml:space="preserve">, as </w:t>
      </w:r>
      <w:r w:rsidR="002F5B82">
        <w:t xml:space="preserve">renters may choose to </w:t>
      </w:r>
      <w:r w:rsidR="00072AB6">
        <w:t xml:space="preserve">transfer a bond via the PRBS rather than </w:t>
      </w:r>
      <w:r w:rsidR="005455A7">
        <w:t>take</w:t>
      </w:r>
      <w:r w:rsidR="00B07F60">
        <w:t xml:space="preserve"> out a loan to cover a double bond payment. </w:t>
      </w:r>
    </w:p>
    <w:p w14:paraId="21CA0A8C" w14:textId="618CF45D" w:rsidR="00EB095B" w:rsidRDefault="00092FD3" w:rsidP="00936DCB">
      <w:pPr>
        <w:pStyle w:val="Body"/>
      </w:pPr>
      <w:r>
        <w:t xml:space="preserve">The </w:t>
      </w:r>
      <w:r w:rsidR="00654DEC">
        <w:t xml:space="preserve">equivalent </w:t>
      </w:r>
      <w:r w:rsidR="00565218">
        <w:t xml:space="preserve">fees </w:t>
      </w:r>
      <w:r w:rsidR="00CF4F42">
        <w:t>(</w:t>
      </w:r>
      <w:r w:rsidR="005455A7">
        <w:t xml:space="preserve">including application fees and </w:t>
      </w:r>
      <w:r w:rsidR="00CF4F42">
        <w:t xml:space="preserve">interest rates) </w:t>
      </w:r>
      <w:r w:rsidR="00565218">
        <w:t xml:space="preserve">charged by </w:t>
      </w:r>
      <w:r w:rsidR="00CF4F42">
        <w:t xml:space="preserve">the market </w:t>
      </w:r>
      <w:r w:rsidR="006F4948">
        <w:t xml:space="preserve">for a </w:t>
      </w:r>
      <w:r w:rsidR="00A15629">
        <w:t>loan</w:t>
      </w:r>
      <w:r w:rsidR="006F4948">
        <w:t xml:space="preserve"> </w:t>
      </w:r>
      <w:r w:rsidR="0058342C">
        <w:t xml:space="preserve">for an average bond </w:t>
      </w:r>
      <w:r w:rsidR="00CF4F42">
        <w:t>range</w:t>
      </w:r>
      <w:r w:rsidR="003C5876">
        <w:t>s</w:t>
      </w:r>
      <w:r w:rsidR="00CF4F42">
        <w:t xml:space="preserve"> </w:t>
      </w:r>
      <w:r w:rsidR="0058342C">
        <w:t>from</w:t>
      </w:r>
      <w:r w:rsidR="00761DE6">
        <w:t xml:space="preserve"> approximately</w:t>
      </w:r>
      <w:r w:rsidR="00CF4F42">
        <w:t xml:space="preserve"> </w:t>
      </w:r>
      <w:r w:rsidR="00CF4F42" w:rsidRPr="00B46D03">
        <w:t>$</w:t>
      </w:r>
      <w:r w:rsidR="00B46D03" w:rsidRPr="00BE5ED9">
        <w:t>20</w:t>
      </w:r>
      <w:r w:rsidR="00CF4F42" w:rsidRPr="00B46D03">
        <w:t xml:space="preserve"> to $</w:t>
      </w:r>
      <w:r w:rsidR="007F2B1D" w:rsidRPr="00BE5ED9">
        <w:t>5</w:t>
      </w:r>
      <w:r w:rsidR="00B46D03" w:rsidRPr="00BE5ED9">
        <w:t>0</w:t>
      </w:r>
      <w:r w:rsidR="007F2B1D" w:rsidRPr="00BE5ED9">
        <w:t xml:space="preserve"> (with </w:t>
      </w:r>
      <w:r w:rsidR="004A18B0" w:rsidRPr="00BE5ED9">
        <w:t>75% of renters expected to pay within this range)</w:t>
      </w:r>
      <w:r w:rsidR="006F4948" w:rsidRPr="00B46D03">
        <w:t>.</w:t>
      </w:r>
      <w:r w:rsidR="006F4948">
        <w:t xml:space="preserve"> This is </w:t>
      </w:r>
      <w:r w:rsidR="003E33E3">
        <w:t xml:space="preserve">broadly in line with the proposed $35 application fee for the PRBS. </w:t>
      </w:r>
      <w:r w:rsidR="00EC4BD1">
        <w:t xml:space="preserve">The </w:t>
      </w:r>
      <w:r w:rsidR="00415A13">
        <w:t xml:space="preserve">introduction of the </w:t>
      </w:r>
      <w:r w:rsidR="00EC4BD1">
        <w:t xml:space="preserve">PRBS </w:t>
      </w:r>
      <w:r w:rsidR="00D56B42">
        <w:t>may</w:t>
      </w:r>
      <w:r w:rsidR="00EC4BD1">
        <w:t xml:space="preserve"> therefore </w:t>
      </w:r>
      <w:r w:rsidR="00AF0784">
        <w:t xml:space="preserve">slightly </w:t>
      </w:r>
      <w:r w:rsidR="00D56B42">
        <w:t>re</w:t>
      </w:r>
      <w:r w:rsidR="00A1158A">
        <w:t>duce</w:t>
      </w:r>
      <w:r w:rsidR="00D56B42">
        <w:t xml:space="preserve"> </w:t>
      </w:r>
      <w:r w:rsidR="00A1158A">
        <w:t>demand</w:t>
      </w:r>
      <w:r w:rsidR="00AF0784">
        <w:t xml:space="preserve"> for loan</w:t>
      </w:r>
      <w:r w:rsidR="00991EB3">
        <w:t xml:space="preserve"> products</w:t>
      </w:r>
      <w:r w:rsidR="007D259F">
        <w:t xml:space="preserve"> offered by the market</w:t>
      </w:r>
      <w:r w:rsidR="00991EB3">
        <w:t>, given</w:t>
      </w:r>
      <w:r w:rsidR="00BC6D3E">
        <w:t xml:space="preserve"> the </w:t>
      </w:r>
      <w:r w:rsidR="00991EB3">
        <w:t xml:space="preserve">PRBS offers a </w:t>
      </w:r>
      <w:r w:rsidR="007D259F">
        <w:t>similarly priced alternative to these products.</w:t>
      </w:r>
      <w:r w:rsidR="00AF56AC">
        <w:t xml:space="preserve"> Additionally, the PRBS </w:t>
      </w:r>
      <w:r w:rsidR="00452CC8">
        <w:t>reduces administrative financial burden (no loan application required),</w:t>
      </w:r>
      <w:r w:rsidR="00DC6A9B">
        <w:t xml:space="preserve"> and no further costs arise in </w:t>
      </w:r>
      <w:r w:rsidR="009036D1">
        <w:t>the</w:t>
      </w:r>
      <w:r w:rsidR="00DC6A9B">
        <w:t xml:space="preserve"> case of a dispute (whereas alternative loan options would charge periodic interest based on duration).</w:t>
      </w:r>
      <w:r w:rsidR="00BC6D3E">
        <w:t xml:space="preserve"> </w:t>
      </w:r>
      <w:r w:rsidR="007D259F">
        <w:t>Reduced demand</w:t>
      </w:r>
      <w:r w:rsidR="00A258CD">
        <w:t xml:space="preserve"> </w:t>
      </w:r>
      <w:r w:rsidR="00A1158A">
        <w:t>make</w:t>
      </w:r>
      <w:r w:rsidR="00C5151C">
        <w:t>s</w:t>
      </w:r>
      <w:r w:rsidR="00A1158A">
        <w:t xml:space="preserve"> it more difficult for these suppliers to compete in the market, </w:t>
      </w:r>
      <w:r w:rsidR="00726CD6">
        <w:t>and there may</w:t>
      </w:r>
      <w:r w:rsidR="00F77E02">
        <w:t xml:space="preserve"> therefore</w:t>
      </w:r>
      <w:r w:rsidR="00726CD6">
        <w:t xml:space="preserve"> be some reduced incentive for them to compete. </w:t>
      </w:r>
    </w:p>
    <w:p w14:paraId="1552FB5E" w14:textId="33398D1E" w:rsidR="00126329" w:rsidRDefault="00126329" w:rsidP="00936DCB">
      <w:pPr>
        <w:pStyle w:val="Body"/>
      </w:pPr>
      <w:r>
        <w:t xml:space="preserve">However, </w:t>
      </w:r>
      <w:r w:rsidR="009D02B0" w:rsidRPr="009D02B0">
        <w:t xml:space="preserve">the impact on the market is </w:t>
      </w:r>
      <w:r w:rsidR="009D02B0">
        <w:t xml:space="preserve">likely to be </w:t>
      </w:r>
      <w:r w:rsidR="009D02B0" w:rsidRPr="009D02B0">
        <w:t>limited due to the size of the personal loan market.</w:t>
      </w:r>
      <w:r w:rsidR="009D02B0">
        <w:t xml:space="preserve"> C</w:t>
      </w:r>
      <w:r>
        <w:t>ompared to the estimated PRBS fee revenue of $5.3</w:t>
      </w:r>
      <w:r w:rsidR="008155E8">
        <w:t xml:space="preserve"> </w:t>
      </w:r>
      <w:r>
        <w:t>m</w:t>
      </w:r>
      <w:r w:rsidR="008155E8">
        <w:t>illion</w:t>
      </w:r>
      <w:r>
        <w:t xml:space="preserve"> per annum, the interest paid on the personal loan market in Australia is estimated as $5.4</w:t>
      </w:r>
      <w:r w:rsidR="008155E8">
        <w:t xml:space="preserve"> </w:t>
      </w:r>
      <w:r>
        <w:t>b</w:t>
      </w:r>
      <w:r w:rsidR="008155E8">
        <w:t>illio</w:t>
      </w:r>
      <w:r>
        <w:t>n (based on an average interest rate of 14% p.a. applied to national outstanding personal loan balances of $153</w:t>
      </w:r>
      <w:r w:rsidR="008155E8">
        <w:t xml:space="preserve"> </w:t>
      </w:r>
      <w:r>
        <w:t>b</w:t>
      </w:r>
      <w:r w:rsidR="008155E8">
        <w:t>illio</w:t>
      </w:r>
      <w:r>
        <w:t>n at September 2025</w:t>
      </w:r>
      <w:r w:rsidR="00C37C6A">
        <w:t>,</w:t>
      </w:r>
      <w:r>
        <w:rPr>
          <w:rStyle w:val="FootnoteReference"/>
        </w:rPr>
        <w:footnoteReference w:id="63"/>
      </w:r>
      <w:r>
        <w:t xml:space="preserve"> with a further allocation to Victoria based on population, which is approximately 25%</w:t>
      </w:r>
      <w:r>
        <w:rPr>
          <w:rStyle w:val="FootnoteReference"/>
        </w:rPr>
        <w:footnoteReference w:id="64"/>
      </w:r>
      <w:r>
        <w:t>). As such, the PRBS is estimated to represent 0.1% of the size of the personal loan market in Victoria.</w:t>
      </w:r>
    </w:p>
    <w:p w14:paraId="08E8C85D" w14:textId="1B33D12E" w:rsidR="00BD3ACD" w:rsidRDefault="006A261E" w:rsidP="00936DCB">
      <w:pPr>
        <w:pStyle w:val="Body"/>
      </w:pPr>
      <w:r>
        <w:t>It is noted that the PRBS assists renters in transferring bonds or paying bond claims for rental bonds that have already been paid on a rental agreement, rather than financing renters’ initial bond payment</w:t>
      </w:r>
      <w:r w:rsidR="00F77E02">
        <w:t>, which bond loan products can offer</w:t>
      </w:r>
      <w:r>
        <w:t xml:space="preserve">. </w:t>
      </w:r>
      <w:r w:rsidR="006D5C71">
        <w:t xml:space="preserve">Participation in the PRBS </w:t>
      </w:r>
      <w:r w:rsidR="00BB67B9">
        <w:t xml:space="preserve">is also on an opt-in basis and </w:t>
      </w:r>
      <w:r w:rsidR="006D5C71">
        <w:t xml:space="preserve">comes at a cost, </w:t>
      </w:r>
      <w:r w:rsidR="00695EF0">
        <w:t xml:space="preserve">so renters </w:t>
      </w:r>
      <w:r w:rsidR="003A45E5">
        <w:t xml:space="preserve">with a small bond amount </w:t>
      </w:r>
      <w:r w:rsidR="00B55D63">
        <w:t xml:space="preserve">and/or with </w:t>
      </w:r>
      <w:r w:rsidR="00E76E4B">
        <w:t>strong</w:t>
      </w:r>
      <w:r w:rsidR="00B55D63">
        <w:t xml:space="preserve"> access to credit </w:t>
      </w:r>
      <w:r w:rsidR="00695EF0">
        <w:t xml:space="preserve">may </w:t>
      </w:r>
      <w:r w:rsidR="003A45E5">
        <w:t xml:space="preserve">find it </w:t>
      </w:r>
      <w:r w:rsidR="00440A02">
        <w:t>cheaper to</w:t>
      </w:r>
      <w:r w:rsidR="003A45E5">
        <w:t xml:space="preserve"> </w:t>
      </w:r>
      <w:r w:rsidR="00695EF0">
        <w:t>take out a loan instead</w:t>
      </w:r>
      <w:r w:rsidR="00BD3ACD">
        <w:t xml:space="preserve"> to cover a double bond payment</w:t>
      </w:r>
      <w:r w:rsidR="006D5C71">
        <w:t xml:space="preserve">. </w:t>
      </w:r>
      <w:r w:rsidR="008C781B">
        <w:t>Because of this, the Regulations assessed in this RIS</w:t>
      </w:r>
      <w:r w:rsidR="002A5E52">
        <w:t xml:space="preserve"> and the operation of the PRBS</w:t>
      </w:r>
      <w:r w:rsidR="008C781B">
        <w:t xml:space="preserve"> </w:t>
      </w:r>
      <w:r w:rsidR="002A5E52">
        <w:t xml:space="preserve">is </w:t>
      </w:r>
      <w:r w:rsidR="00C649DE">
        <w:t xml:space="preserve">unlikely to </w:t>
      </w:r>
      <w:r w:rsidR="00BD3ACD">
        <w:t xml:space="preserve">disproportionately </w:t>
      </w:r>
      <w:r w:rsidR="00C649DE">
        <w:t xml:space="preserve">restrict competition in </w:t>
      </w:r>
      <w:r w:rsidR="008F28F0">
        <w:t>the</w:t>
      </w:r>
      <w:r w:rsidR="00C649DE">
        <w:t xml:space="preserve"> market</w:t>
      </w:r>
      <w:r w:rsidR="008F28F0">
        <w:t xml:space="preserve"> for rental bond assistance products</w:t>
      </w:r>
      <w:r w:rsidR="00C649DE">
        <w:t>.</w:t>
      </w:r>
      <w:r w:rsidR="00BD3ACD">
        <w:t xml:space="preserve"> </w:t>
      </w:r>
    </w:p>
    <w:p w14:paraId="17366041" w14:textId="451E86EA" w:rsidR="00000CDA" w:rsidRDefault="00BD3ACD" w:rsidP="00936DCB">
      <w:pPr>
        <w:pStyle w:val="Body"/>
      </w:pPr>
      <w:r>
        <w:t xml:space="preserve">Although there may be some </w:t>
      </w:r>
      <w:r w:rsidR="006E4BB5">
        <w:t xml:space="preserve">competition </w:t>
      </w:r>
      <w:r>
        <w:t>impact</w:t>
      </w:r>
      <w:r w:rsidR="006E4BB5">
        <w:t>s</w:t>
      </w:r>
      <w:r>
        <w:t xml:space="preserve"> </w:t>
      </w:r>
      <w:r w:rsidR="006E4BB5">
        <w:t xml:space="preserve">for </w:t>
      </w:r>
      <w:r>
        <w:t xml:space="preserve">bond loan products as a result of the PRBS, </w:t>
      </w:r>
      <w:r w:rsidR="006E4BB5">
        <w:t xml:space="preserve">the </w:t>
      </w:r>
      <w:r>
        <w:t xml:space="preserve">PRBS </w:t>
      </w:r>
      <w:r w:rsidR="006E4BB5">
        <w:t xml:space="preserve">will meet </w:t>
      </w:r>
      <w:r w:rsidR="00D34C12">
        <w:t xml:space="preserve">broader policy </w:t>
      </w:r>
      <w:r w:rsidR="006E4BB5">
        <w:t xml:space="preserve">and social </w:t>
      </w:r>
      <w:r w:rsidR="00D34C12">
        <w:t>objectives</w:t>
      </w:r>
      <w:r w:rsidR="006E4BB5">
        <w:t xml:space="preserve">, such as alleviating </w:t>
      </w:r>
      <w:r w:rsidR="006E4BB5" w:rsidRPr="001F7D9A">
        <w:t>cost of living pressures for renters</w:t>
      </w:r>
      <w:r w:rsidR="006E4BB5">
        <w:t xml:space="preserve">. </w:t>
      </w:r>
      <w:r w:rsidR="00000CDA">
        <w:br w:type="page"/>
      </w:r>
    </w:p>
    <w:p w14:paraId="6CD9CF61" w14:textId="77777777" w:rsidR="00415F01" w:rsidRPr="000F65FE" w:rsidRDefault="00D04BF0" w:rsidP="00415F01">
      <w:pPr>
        <w:pStyle w:val="Heading1"/>
      </w:pPr>
      <w:bookmarkStart w:id="109" w:name="_Toc221890918"/>
      <w:r w:rsidRPr="000F65FE">
        <w:lastRenderedPageBreak/>
        <w:t>Implementation plan</w:t>
      </w:r>
      <w:bookmarkEnd w:id="109"/>
    </w:p>
    <w:p w14:paraId="5A3D2AF4" w14:textId="6C25EED8" w:rsidR="00975384" w:rsidRDefault="00975384" w:rsidP="008A21F2">
      <w:pPr>
        <w:pStyle w:val="DJCSlist-bulletlevel1"/>
        <w:numPr>
          <w:ilvl w:val="0"/>
          <w:numId w:val="0"/>
        </w:numPr>
        <w:spacing w:before="0"/>
      </w:pPr>
      <w:r>
        <w:t>The PRBS is intended to commence in mid-</w:t>
      </w:r>
      <w:r w:rsidRPr="00B57C72">
        <w:t xml:space="preserve">2026. </w:t>
      </w:r>
      <w:r w:rsidRPr="00B57C72">
        <w:rPr>
          <w:lang w:val="en-US" w:eastAsia="en-AU"/>
        </w:rPr>
        <w:t xml:space="preserve">This </w:t>
      </w:r>
      <w:r>
        <w:rPr>
          <w:lang w:val="en-US" w:eastAsia="en-AU"/>
        </w:rPr>
        <w:t>chapter</w:t>
      </w:r>
      <w:r w:rsidRPr="00B57C72">
        <w:rPr>
          <w:lang w:val="en-US" w:eastAsia="en-AU"/>
        </w:rPr>
        <w:t xml:space="preserve"> outlines the key activities </w:t>
      </w:r>
      <w:r w:rsidRPr="00B57C72">
        <w:t xml:space="preserve">that will be undertaken </w:t>
      </w:r>
      <w:r w:rsidR="00B87A9B">
        <w:t>by the Department of Government Services</w:t>
      </w:r>
      <w:r w:rsidR="00B87A9B" w:rsidRPr="00B57C72">
        <w:t xml:space="preserve"> </w:t>
      </w:r>
      <w:r w:rsidRPr="00B57C72">
        <w:t xml:space="preserve">between now and then to support the launch of the </w:t>
      </w:r>
      <w:r>
        <w:t>PRBS</w:t>
      </w:r>
      <w:r w:rsidR="00B87A9B">
        <w:t>.</w:t>
      </w:r>
    </w:p>
    <w:p w14:paraId="071A72AB" w14:textId="695BC715" w:rsidR="00960CD5" w:rsidRPr="00960CD5" w:rsidRDefault="00960CD5" w:rsidP="007822A5">
      <w:pPr>
        <w:pStyle w:val="DJCSlist-bulletlevel1"/>
        <w:numPr>
          <w:ilvl w:val="0"/>
          <w:numId w:val="51"/>
        </w:numPr>
        <w:rPr>
          <w:b/>
        </w:rPr>
      </w:pPr>
      <w:r>
        <w:rPr>
          <w:b/>
        </w:rPr>
        <w:t>Consultation and finalisation on the Regulations</w:t>
      </w:r>
      <w:r w:rsidR="0011347A">
        <w:rPr>
          <w:b/>
        </w:rPr>
        <w:t xml:space="preserve"> </w:t>
      </w:r>
      <w:r w:rsidR="0011347A" w:rsidRPr="00077579">
        <w:rPr>
          <w:bCs/>
        </w:rPr>
        <w:t>–</w:t>
      </w:r>
      <w:r w:rsidRPr="00077579">
        <w:rPr>
          <w:bCs/>
        </w:rPr>
        <w:t xml:space="preserve"> </w:t>
      </w:r>
      <w:r w:rsidR="000E57E4" w:rsidRPr="00077579">
        <w:rPr>
          <w:bCs/>
        </w:rPr>
        <w:t xml:space="preserve">this has involved the </w:t>
      </w:r>
      <w:r w:rsidR="00C456C9">
        <w:rPr>
          <w:bCs/>
        </w:rPr>
        <w:t>development of</w:t>
      </w:r>
      <w:r w:rsidR="000E57E4" w:rsidRPr="00077579">
        <w:rPr>
          <w:bCs/>
        </w:rPr>
        <w:t xml:space="preserve"> this RIS document</w:t>
      </w:r>
      <w:r w:rsidR="00821577" w:rsidRPr="00077579">
        <w:rPr>
          <w:bCs/>
        </w:rPr>
        <w:t xml:space="preserve">, </w:t>
      </w:r>
      <w:r w:rsidR="00E5400B" w:rsidRPr="00077579">
        <w:rPr>
          <w:bCs/>
        </w:rPr>
        <w:t xml:space="preserve">including the design of </w:t>
      </w:r>
      <w:r w:rsidR="00AA2986" w:rsidRPr="00077579">
        <w:rPr>
          <w:bCs/>
        </w:rPr>
        <w:t xml:space="preserve">options for </w:t>
      </w:r>
      <w:r w:rsidR="006939D2">
        <w:rPr>
          <w:bCs/>
        </w:rPr>
        <w:t>application</w:t>
      </w:r>
      <w:r w:rsidR="00AA2986" w:rsidRPr="00077579">
        <w:rPr>
          <w:bCs/>
        </w:rPr>
        <w:t xml:space="preserve"> and debt recovery fees and </w:t>
      </w:r>
      <w:r w:rsidR="00E5400B" w:rsidRPr="00077579">
        <w:rPr>
          <w:bCs/>
        </w:rPr>
        <w:t>the assessment of</w:t>
      </w:r>
      <w:r w:rsidR="00AA2986" w:rsidRPr="00077579">
        <w:rPr>
          <w:bCs/>
        </w:rPr>
        <w:t xml:space="preserve"> these options against </w:t>
      </w:r>
      <w:r w:rsidR="00BA15F8">
        <w:rPr>
          <w:bCs/>
        </w:rPr>
        <w:t>PRBS</w:t>
      </w:r>
      <w:r w:rsidR="00BA15F8" w:rsidRPr="00077579">
        <w:rPr>
          <w:bCs/>
        </w:rPr>
        <w:t xml:space="preserve"> </w:t>
      </w:r>
      <w:r w:rsidR="00AA2986" w:rsidRPr="00077579">
        <w:rPr>
          <w:bCs/>
        </w:rPr>
        <w:t xml:space="preserve">objectives. </w:t>
      </w:r>
      <w:r w:rsidR="00E5400B" w:rsidRPr="00077579">
        <w:rPr>
          <w:bCs/>
        </w:rPr>
        <w:t>The next steps are to commence consultation on the RIS</w:t>
      </w:r>
      <w:r w:rsidR="00077579" w:rsidRPr="00077579">
        <w:rPr>
          <w:bCs/>
        </w:rPr>
        <w:t xml:space="preserve"> with relevant stakeholders and the public so that the </w:t>
      </w:r>
      <w:r w:rsidR="009E2789">
        <w:rPr>
          <w:bCs/>
        </w:rPr>
        <w:t xml:space="preserve">proposed PRBS </w:t>
      </w:r>
      <w:r w:rsidR="00077579" w:rsidRPr="00077579">
        <w:rPr>
          <w:bCs/>
        </w:rPr>
        <w:t xml:space="preserve">Regulations can be finalised in 2026. </w:t>
      </w:r>
      <w:r w:rsidR="00E5400B" w:rsidRPr="00077579">
        <w:rPr>
          <w:bCs/>
        </w:rPr>
        <w:t xml:space="preserve"> </w:t>
      </w:r>
    </w:p>
    <w:p w14:paraId="0369C00A" w14:textId="249E6665" w:rsidR="00843403" w:rsidRPr="00843403" w:rsidRDefault="00843403" w:rsidP="007822A5">
      <w:pPr>
        <w:pStyle w:val="DJCSlist-bulletlevel1"/>
        <w:numPr>
          <w:ilvl w:val="0"/>
          <w:numId w:val="51"/>
        </w:numPr>
        <w:rPr>
          <w:b/>
        </w:rPr>
      </w:pPr>
      <w:r w:rsidRPr="00843403">
        <w:rPr>
          <w:b/>
          <w:bCs/>
        </w:rPr>
        <w:t xml:space="preserve">Establishing </w:t>
      </w:r>
      <w:r w:rsidR="00490569">
        <w:rPr>
          <w:b/>
          <w:bCs/>
        </w:rPr>
        <w:t>the PRBS Guidelines</w:t>
      </w:r>
      <w:r w:rsidRPr="00843403">
        <w:rPr>
          <w:b/>
        </w:rPr>
        <w:t xml:space="preserve"> </w:t>
      </w:r>
      <w:r w:rsidRPr="00490569">
        <w:rPr>
          <w:bCs/>
        </w:rPr>
        <w:t xml:space="preserve">– this </w:t>
      </w:r>
      <w:r w:rsidR="00C02CC1">
        <w:rPr>
          <w:bCs/>
        </w:rPr>
        <w:t>involves</w:t>
      </w:r>
      <w:r w:rsidRPr="00490569">
        <w:rPr>
          <w:bCs/>
        </w:rPr>
        <w:t xml:space="preserve"> the development </w:t>
      </w:r>
      <w:r w:rsidR="00362EA8">
        <w:rPr>
          <w:bCs/>
        </w:rPr>
        <w:t xml:space="preserve">of </w:t>
      </w:r>
      <w:r w:rsidR="00AC20B0">
        <w:rPr>
          <w:bCs/>
        </w:rPr>
        <w:t xml:space="preserve">the </w:t>
      </w:r>
      <w:r w:rsidR="00362EA8">
        <w:rPr>
          <w:bCs/>
        </w:rPr>
        <w:t>Guidelines</w:t>
      </w:r>
      <w:r w:rsidR="00D56180">
        <w:rPr>
          <w:bCs/>
        </w:rPr>
        <w:t>, which will</w:t>
      </w:r>
      <w:r w:rsidR="00AC20B0">
        <w:rPr>
          <w:bCs/>
        </w:rPr>
        <w:t xml:space="preserve"> </w:t>
      </w:r>
      <w:r w:rsidR="00362EA8">
        <w:rPr>
          <w:bCs/>
        </w:rPr>
        <w:t>specify</w:t>
      </w:r>
      <w:r w:rsidR="004D7388">
        <w:rPr>
          <w:bCs/>
        </w:rPr>
        <w:t xml:space="preserve"> the payment options</w:t>
      </w:r>
      <w:r w:rsidR="004045BB" w:rsidRPr="004045BB">
        <w:rPr>
          <w:bCs/>
        </w:rPr>
        <w:t xml:space="preserve">, the </w:t>
      </w:r>
      <w:r w:rsidR="006847DD">
        <w:rPr>
          <w:bCs/>
        </w:rPr>
        <w:t>process for entering</w:t>
      </w:r>
      <w:r w:rsidR="004045BB" w:rsidRPr="004045BB">
        <w:rPr>
          <w:bCs/>
        </w:rPr>
        <w:t xml:space="preserve"> payment plans</w:t>
      </w:r>
      <w:r w:rsidR="009A445D">
        <w:rPr>
          <w:bCs/>
        </w:rPr>
        <w:t xml:space="preserve">, </w:t>
      </w:r>
      <w:r w:rsidR="004045BB" w:rsidRPr="004045BB">
        <w:rPr>
          <w:bCs/>
        </w:rPr>
        <w:t>provisions</w:t>
      </w:r>
      <w:r w:rsidR="009A445D">
        <w:rPr>
          <w:bCs/>
        </w:rPr>
        <w:t xml:space="preserve"> and </w:t>
      </w:r>
      <w:r w:rsidR="00DE212C">
        <w:rPr>
          <w:bCs/>
        </w:rPr>
        <w:t xml:space="preserve">other key operational </w:t>
      </w:r>
      <w:r w:rsidR="00C236DA">
        <w:rPr>
          <w:bCs/>
        </w:rPr>
        <w:t>policies for the PRBS</w:t>
      </w:r>
      <w:r w:rsidR="006A0A14">
        <w:rPr>
          <w:bCs/>
        </w:rPr>
        <w:t>.</w:t>
      </w:r>
    </w:p>
    <w:p w14:paraId="0AF8E061" w14:textId="64045BBF" w:rsidR="00843403" w:rsidRDefault="00DF1FE4" w:rsidP="007822A5">
      <w:pPr>
        <w:pStyle w:val="DJCSlist-bulletlevel1"/>
        <w:numPr>
          <w:ilvl w:val="0"/>
          <w:numId w:val="51"/>
        </w:numPr>
        <w:rPr>
          <w:bCs/>
        </w:rPr>
      </w:pPr>
      <w:r>
        <w:rPr>
          <w:b/>
          <w:bCs/>
        </w:rPr>
        <w:t>C</w:t>
      </w:r>
      <w:r w:rsidR="00843403" w:rsidRPr="00843403">
        <w:rPr>
          <w:b/>
          <w:bCs/>
        </w:rPr>
        <w:t xml:space="preserve">ommunications and </w:t>
      </w:r>
      <w:r>
        <w:rPr>
          <w:b/>
          <w:bCs/>
        </w:rPr>
        <w:t>awareness</w:t>
      </w:r>
      <w:r w:rsidR="000D3AF8">
        <w:rPr>
          <w:b/>
        </w:rPr>
        <w:t xml:space="preserve"> of the PRBS </w:t>
      </w:r>
      <w:r w:rsidR="00843403" w:rsidRPr="00843403">
        <w:rPr>
          <w:bCs/>
        </w:rPr>
        <w:t xml:space="preserve">– </w:t>
      </w:r>
      <w:r w:rsidR="00C02CC1">
        <w:rPr>
          <w:bCs/>
        </w:rPr>
        <w:t>this includes</w:t>
      </w:r>
      <w:r w:rsidR="00B95C96">
        <w:rPr>
          <w:bCs/>
        </w:rPr>
        <w:t xml:space="preserve"> the design and the distribution of </w:t>
      </w:r>
      <w:r w:rsidR="00843403" w:rsidRPr="00843403">
        <w:rPr>
          <w:bCs/>
        </w:rPr>
        <w:t xml:space="preserve">communication </w:t>
      </w:r>
      <w:r w:rsidR="00B95C96">
        <w:rPr>
          <w:bCs/>
        </w:rPr>
        <w:t xml:space="preserve">materials </w:t>
      </w:r>
      <w:r w:rsidR="00843403" w:rsidRPr="00843403">
        <w:rPr>
          <w:bCs/>
        </w:rPr>
        <w:t xml:space="preserve">for </w:t>
      </w:r>
      <w:r w:rsidR="00B95C96">
        <w:rPr>
          <w:bCs/>
        </w:rPr>
        <w:t>key stakeholders that outline</w:t>
      </w:r>
      <w:r w:rsidR="00B57C72">
        <w:rPr>
          <w:bCs/>
        </w:rPr>
        <w:t xml:space="preserve"> how </w:t>
      </w:r>
      <w:r w:rsidR="00B95C96">
        <w:rPr>
          <w:bCs/>
        </w:rPr>
        <w:t xml:space="preserve">the PRBS </w:t>
      </w:r>
      <w:r w:rsidR="00B57C72">
        <w:rPr>
          <w:bCs/>
        </w:rPr>
        <w:t xml:space="preserve">will work </w:t>
      </w:r>
      <w:r w:rsidR="00DB42AA">
        <w:rPr>
          <w:bCs/>
        </w:rPr>
        <w:t xml:space="preserve">and how renters can participate in the </w:t>
      </w:r>
      <w:r w:rsidR="00BA15F8">
        <w:rPr>
          <w:bCs/>
        </w:rPr>
        <w:t>PRBS</w:t>
      </w:r>
      <w:r w:rsidR="00DB42AA">
        <w:rPr>
          <w:bCs/>
        </w:rPr>
        <w:t>.</w:t>
      </w:r>
      <w:r w:rsidR="00B95C96">
        <w:rPr>
          <w:bCs/>
        </w:rPr>
        <w:t xml:space="preserve"> </w:t>
      </w:r>
      <w:r w:rsidR="00977C4B">
        <w:rPr>
          <w:bCs/>
        </w:rPr>
        <w:t xml:space="preserve">This </w:t>
      </w:r>
      <w:r w:rsidR="00DB42AA">
        <w:rPr>
          <w:bCs/>
        </w:rPr>
        <w:t xml:space="preserve">is likely to include the development of </w:t>
      </w:r>
      <w:r w:rsidR="006568D8">
        <w:rPr>
          <w:bCs/>
        </w:rPr>
        <w:t xml:space="preserve">frequently asked questions and other materials to support awareness and participation in the </w:t>
      </w:r>
      <w:r w:rsidR="00BA15F8">
        <w:rPr>
          <w:bCs/>
        </w:rPr>
        <w:t>PRBS</w:t>
      </w:r>
      <w:r w:rsidR="006568D8">
        <w:rPr>
          <w:bCs/>
        </w:rPr>
        <w:t xml:space="preserve">. </w:t>
      </w:r>
    </w:p>
    <w:p w14:paraId="336C7E56" w14:textId="02EF4D77" w:rsidR="00184FD4" w:rsidRPr="00184FD4" w:rsidRDefault="00421C77" w:rsidP="007822A5">
      <w:pPr>
        <w:pStyle w:val="DJCSlist-bulletlevel1"/>
        <w:numPr>
          <w:ilvl w:val="0"/>
          <w:numId w:val="51"/>
        </w:numPr>
      </w:pPr>
      <w:r>
        <w:rPr>
          <w:b/>
          <w:bCs/>
        </w:rPr>
        <w:t>Operationalisation of the PRBS</w:t>
      </w:r>
      <w:r w:rsidR="00490569">
        <w:rPr>
          <w:b/>
          <w:bCs/>
        </w:rPr>
        <w:t xml:space="preserve"> </w:t>
      </w:r>
      <w:r w:rsidR="00A247B7" w:rsidRPr="00A154D9">
        <w:t>–</w:t>
      </w:r>
      <w:r w:rsidR="00A247B7">
        <w:rPr>
          <w:b/>
          <w:bCs/>
        </w:rPr>
        <w:t xml:space="preserve"> </w:t>
      </w:r>
      <w:r w:rsidR="00A22097">
        <w:t xml:space="preserve">this </w:t>
      </w:r>
      <w:r w:rsidR="00F257E2">
        <w:t>involves</w:t>
      </w:r>
      <w:r>
        <w:t xml:space="preserve"> </w:t>
      </w:r>
      <w:r w:rsidR="007203AC">
        <w:t xml:space="preserve">hiring staff </w:t>
      </w:r>
      <w:r>
        <w:t>and implementing adequate technology systems</w:t>
      </w:r>
      <w:r w:rsidR="003364CB">
        <w:t xml:space="preserve"> that will ensure the PRBS is ready </w:t>
      </w:r>
      <w:r w:rsidR="004E6F69">
        <w:t xml:space="preserve">to </w:t>
      </w:r>
      <w:r w:rsidR="007203AC">
        <w:t>commence in early 2026</w:t>
      </w:r>
      <w:r>
        <w:t xml:space="preserve">. </w:t>
      </w:r>
      <w:r w:rsidR="00A979DB">
        <w:t>Additional r</w:t>
      </w:r>
      <w:r w:rsidR="00490569">
        <w:t xml:space="preserve">esourcing </w:t>
      </w:r>
      <w:r w:rsidR="00A22097">
        <w:t xml:space="preserve">is required to establish a contact centre, with available staff to </w:t>
      </w:r>
      <w:r>
        <w:t xml:space="preserve">respond to user </w:t>
      </w:r>
      <w:r w:rsidR="00A22097">
        <w:t xml:space="preserve">inquiries </w:t>
      </w:r>
      <w:r>
        <w:t>at</w:t>
      </w:r>
      <w:r w:rsidR="005A76C6">
        <w:t xml:space="preserve"> the point of go-live.</w:t>
      </w:r>
      <w:r w:rsidR="00FD0791">
        <w:t xml:space="preserve"> </w:t>
      </w:r>
      <w:r>
        <w:t>The</w:t>
      </w:r>
      <w:r w:rsidR="00FD0791">
        <w:t xml:space="preserve"> </w:t>
      </w:r>
      <w:r w:rsidR="0098172E">
        <w:t xml:space="preserve">Government </w:t>
      </w:r>
      <w:r w:rsidR="00FD0791">
        <w:t xml:space="preserve">will </w:t>
      </w:r>
      <w:r>
        <w:t xml:space="preserve">also </w:t>
      </w:r>
      <w:r w:rsidR="00FD0791">
        <w:t>need to ensure adequate reso</w:t>
      </w:r>
      <w:r w:rsidR="00E65D4B">
        <w:t>urces</w:t>
      </w:r>
      <w:r w:rsidR="004B351E">
        <w:t xml:space="preserve"> are available</w:t>
      </w:r>
      <w:r w:rsidR="00E65D4B">
        <w:t xml:space="preserve"> to process</w:t>
      </w:r>
      <w:r w:rsidR="006B3CEF">
        <w:t xml:space="preserve"> </w:t>
      </w:r>
      <w:r w:rsidR="00E65D4B">
        <w:t>payment plans</w:t>
      </w:r>
      <w:r w:rsidR="00255ACC">
        <w:t xml:space="preserve"> </w:t>
      </w:r>
      <w:r w:rsidR="006B3CEF">
        <w:t xml:space="preserve">and </w:t>
      </w:r>
      <w:r w:rsidR="00B57C72">
        <w:t>undertake</w:t>
      </w:r>
      <w:r w:rsidR="00E75BF1">
        <w:t xml:space="preserve"> internal debt recovery activities.</w:t>
      </w:r>
      <w:r>
        <w:t xml:space="preserve"> In addition to resourcing, necessary technology must be implemented</w:t>
      </w:r>
      <w:r w:rsidR="00843403" w:rsidRPr="00843403">
        <w:rPr>
          <w:bCs/>
        </w:rPr>
        <w:t xml:space="preserve"> to support </w:t>
      </w:r>
      <w:r w:rsidR="00FE0E1F">
        <w:rPr>
          <w:bCs/>
        </w:rPr>
        <w:t>c</w:t>
      </w:r>
      <w:r w:rsidR="000B1B3C">
        <w:rPr>
          <w:bCs/>
        </w:rPr>
        <w:t xml:space="preserve">ontact centre functions and </w:t>
      </w:r>
      <w:r w:rsidR="006D453F">
        <w:rPr>
          <w:bCs/>
        </w:rPr>
        <w:t>internal debt recovery activities,</w:t>
      </w:r>
      <w:r w:rsidR="004E506D">
        <w:rPr>
          <w:bCs/>
        </w:rPr>
        <w:t xml:space="preserve"> which may include</w:t>
      </w:r>
      <w:r w:rsidR="00D85743">
        <w:rPr>
          <w:bCs/>
        </w:rPr>
        <w:t xml:space="preserve"> establishing data platforms and </w:t>
      </w:r>
      <w:r w:rsidR="00BD207D">
        <w:rPr>
          <w:bCs/>
        </w:rPr>
        <w:t>obtaining appropriate software licenses.</w:t>
      </w:r>
    </w:p>
    <w:p w14:paraId="18BEBFE4" w14:textId="4896A995" w:rsidR="00AF026B" w:rsidRPr="000F65FE" w:rsidRDefault="00490569" w:rsidP="007822A5">
      <w:pPr>
        <w:pStyle w:val="DJCSlist-bulletlevel1"/>
        <w:numPr>
          <w:ilvl w:val="0"/>
          <w:numId w:val="51"/>
        </w:numPr>
      </w:pPr>
      <w:r>
        <w:rPr>
          <w:b/>
          <w:bCs/>
        </w:rPr>
        <w:t>Evaluation</w:t>
      </w:r>
      <w:r w:rsidR="008232F7">
        <w:rPr>
          <w:b/>
          <w:bCs/>
        </w:rPr>
        <w:t xml:space="preserve"> </w:t>
      </w:r>
      <w:r w:rsidR="00843403" w:rsidRPr="00843403">
        <w:rPr>
          <w:bCs/>
        </w:rPr>
        <w:t xml:space="preserve">– </w:t>
      </w:r>
      <w:r w:rsidR="00EF5C11">
        <w:rPr>
          <w:bCs/>
        </w:rPr>
        <w:t>A</w:t>
      </w:r>
      <w:r w:rsidR="00843403" w:rsidRPr="00843403">
        <w:rPr>
          <w:bCs/>
        </w:rPr>
        <w:t xml:space="preserve">ssess the </w:t>
      </w:r>
      <w:r w:rsidR="00E451EE">
        <w:rPr>
          <w:bCs/>
        </w:rPr>
        <w:t>PRBS</w:t>
      </w:r>
      <w:r w:rsidR="00843403" w:rsidRPr="00843403">
        <w:rPr>
          <w:bCs/>
        </w:rPr>
        <w:t xml:space="preserve"> against its intended objectives. </w:t>
      </w:r>
      <w:r w:rsidR="001C2C32">
        <w:rPr>
          <w:bCs/>
        </w:rPr>
        <w:t xml:space="preserve">This includes </w:t>
      </w:r>
      <w:r w:rsidR="00E451EE">
        <w:rPr>
          <w:bCs/>
        </w:rPr>
        <w:t xml:space="preserve">establishing reporting processes that support the ongoing monitoring of the </w:t>
      </w:r>
      <w:r w:rsidR="00BA15F8">
        <w:rPr>
          <w:bCs/>
        </w:rPr>
        <w:t>PRBS</w:t>
      </w:r>
      <w:r w:rsidR="00E451EE">
        <w:rPr>
          <w:bCs/>
        </w:rPr>
        <w:t xml:space="preserve">. The </w:t>
      </w:r>
      <w:r w:rsidR="00184FD4">
        <w:rPr>
          <w:bCs/>
        </w:rPr>
        <w:t>approach to evaluating the PRBS</w:t>
      </w:r>
      <w:r w:rsidR="00843403" w:rsidRPr="00843403">
        <w:rPr>
          <w:bCs/>
        </w:rPr>
        <w:t xml:space="preserve"> is discussed in </w:t>
      </w:r>
      <w:r w:rsidR="00EF10BC">
        <w:rPr>
          <w:bCs/>
        </w:rPr>
        <w:t>Chapter</w:t>
      </w:r>
      <w:r w:rsidR="00DC0DDB">
        <w:rPr>
          <w:bCs/>
        </w:rPr>
        <w:t xml:space="preserve"> 8</w:t>
      </w:r>
      <w:r w:rsidR="00843403" w:rsidRPr="00843403">
        <w:rPr>
          <w:bCs/>
        </w:rPr>
        <w:t>.</w:t>
      </w:r>
    </w:p>
    <w:p w14:paraId="3D741BCB" w14:textId="76D1B2B1" w:rsidR="00077579" w:rsidRPr="00077579" w:rsidRDefault="00077579" w:rsidP="00077579">
      <w:pPr>
        <w:rPr>
          <w:rFonts w:ascii="Arial" w:eastAsia="Times" w:hAnsi="Arial"/>
          <w:sz w:val="22"/>
        </w:rPr>
      </w:pPr>
      <w:r>
        <w:br w:type="page"/>
      </w:r>
    </w:p>
    <w:p w14:paraId="01DE2457" w14:textId="17764646" w:rsidR="005849A5" w:rsidRDefault="005849A5">
      <w:pPr>
        <w:pStyle w:val="Heading1"/>
      </w:pPr>
      <w:bookmarkStart w:id="110" w:name="_Toc221890919"/>
      <w:r>
        <w:lastRenderedPageBreak/>
        <w:t>Evaluation strategy</w:t>
      </w:r>
      <w:bookmarkEnd w:id="110"/>
    </w:p>
    <w:p w14:paraId="00812A19" w14:textId="160DBC96" w:rsidR="005849A5" w:rsidRPr="000F65FE" w:rsidRDefault="005849A5" w:rsidP="005849A5">
      <w:pPr>
        <w:pStyle w:val="DJCSbody"/>
        <w:ind w:left="0"/>
      </w:pPr>
      <w:r>
        <w:t xml:space="preserve">Evaluation of the preferred option in 6.1 will be critical to ensure the PRBS is meeting its long-term objectives. It will also support the effective administration of the </w:t>
      </w:r>
      <w:r w:rsidR="00BA15F8">
        <w:t xml:space="preserve">PRBS </w:t>
      </w:r>
      <w:r>
        <w:t>over time.</w:t>
      </w:r>
    </w:p>
    <w:p w14:paraId="7638B71A" w14:textId="3AC982B7" w:rsidR="005849A5" w:rsidRPr="000F65FE" w:rsidRDefault="005849A5" w:rsidP="005849A5">
      <w:pPr>
        <w:pStyle w:val="DJCSbody"/>
        <w:ind w:left="0"/>
      </w:pPr>
      <w:r w:rsidRPr="00DD7731">
        <w:t xml:space="preserve">This </w:t>
      </w:r>
      <w:r w:rsidR="00216375">
        <w:t>chapter</w:t>
      </w:r>
      <w:r w:rsidR="00216375" w:rsidRPr="00DD7731">
        <w:t xml:space="preserve"> </w:t>
      </w:r>
      <w:r w:rsidRPr="00DD7731">
        <w:t xml:space="preserve">outlines the various approaches to evaluating the </w:t>
      </w:r>
      <w:r>
        <w:t>PRBS</w:t>
      </w:r>
      <w:r w:rsidR="00B0647D">
        <w:t>, which include</w:t>
      </w:r>
      <w:r w:rsidRPr="00DD7731">
        <w:t xml:space="preserve"> </w:t>
      </w:r>
      <w:r>
        <w:t xml:space="preserve">the desire for ongoing monitoring of the </w:t>
      </w:r>
      <w:r w:rsidR="00BA15F8">
        <w:t xml:space="preserve">PRBS </w:t>
      </w:r>
      <w:r>
        <w:t>to support continual improvement, the Independent Legislative Review and the sunsetting process</w:t>
      </w:r>
      <w:r w:rsidR="00B0647D">
        <w:t xml:space="preserve"> of the Regulations.</w:t>
      </w:r>
    </w:p>
    <w:p w14:paraId="78D55F39" w14:textId="77777777" w:rsidR="005849A5" w:rsidRDefault="005849A5" w:rsidP="005849A5">
      <w:pPr>
        <w:pStyle w:val="Heading2"/>
      </w:pPr>
      <w:bookmarkStart w:id="111" w:name="_Toc221890920"/>
      <w:r>
        <w:t>Ongoing monitoring of the PRBS</w:t>
      </w:r>
      <w:bookmarkEnd w:id="111"/>
    </w:p>
    <w:p w14:paraId="02D01642" w14:textId="56ADA6DF" w:rsidR="002E337E" w:rsidRDefault="002B209B" w:rsidP="00FD22BE">
      <w:pPr>
        <w:pStyle w:val="DJCSbody"/>
        <w:ind w:left="0"/>
      </w:pPr>
      <w:r>
        <w:t>On an ongoing basis,</w:t>
      </w:r>
      <w:r w:rsidR="007F73AA">
        <w:t xml:space="preserve"> </w:t>
      </w:r>
      <w:r w:rsidR="00EB5B89">
        <w:t xml:space="preserve">the </w:t>
      </w:r>
      <w:r>
        <w:t>PRBS will be monitored</w:t>
      </w:r>
      <w:r w:rsidR="00D108C1">
        <w:t xml:space="preserve"> </w:t>
      </w:r>
      <w:r w:rsidR="009F53F4">
        <w:t xml:space="preserve">to </w:t>
      </w:r>
      <w:r w:rsidR="001B6B82">
        <w:t>ensure</w:t>
      </w:r>
      <w:r w:rsidR="00EB5B89">
        <w:t xml:space="preserve"> that</w:t>
      </w:r>
      <w:r w:rsidR="001B6B82">
        <w:t xml:space="preserve"> </w:t>
      </w:r>
      <w:r w:rsidR="0005163A">
        <w:t>it</w:t>
      </w:r>
      <w:r w:rsidR="001B6B82">
        <w:t xml:space="preserve"> is making progress </w:t>
      </w:r>
      <w:r w:rsidR="009F53F4">
        <w:t>against t</w:t>
      </w:r>
      <w:r w:rsidR="001B6B82">
        <w:t>he</w:t>
      </w:r>
      <w:r w:rsidR="009F53F4">
        <w:t xml:space="preserve"> objectives</w:t>
      </w:r>
      <w:r w:rsidR="001B6B82">
        <w:t xml:space="preserve"> of the Regulations</w:t>
      </w:r>
      <w:r w:rsidR="009F53F4">
        <w:t xml:space="preserve">, outlined in </w:t>
      </w:r>
      <w:r w:rsidR="00A24674">
        <w:t xml:space="preserve">Subchapter </w:t>
      </w:r>
      <w:r w:rsidR="009F53F4">
        <w:t>3.2.</w:t>
      </w:r>
      <w:r w:rsidR="001B6B82">
        <w:t xml:space="preserve"> </w:t>
      </w:r>
      <w:r w:rsidR="005A79FC">
        <w:t xml:space="preserve">To do this, the </w:t>
      </w:r>
      <w:r w:rsidR="0098172E">
        <w:t xml:space="preserve">Government </w:t>
      </w:r>
      <w:r w:rsidR="005A79FC">
        <w:t xml:space="preserve">will </w:t>
      </w:r>
      <w:r w:rsidR="00CE04E3">
        <w:t xml:space="preserve">monitor key operational parameters of the </w:t>
      </w:r>
      <w:r w:rsidR="00BA15F8">
        <w:t>PRBS</w:t>
      </w:r>
      <w:r w:rsidR="00CE04E3">
        <w:t xml:space="preserve">, such as </w:t>
      </w:r>
      <w:r w:rsidR="00A0607B">
        <w:t>the volume</w:t>
      </w:r>
      <w:r w:rsidR="005F05C6">
        <w:t xml:space="preserve"> </w:t>
      </w:r>
      <w:r w:rsidR="00B31EA3">
        <w:t>of users</w:t>
      </w:r>
      <w:r w:rsidR="00267F05">
        <w:t>, the number and amount of unpaid debts</w:t>
      </w:r>
      <w:r w:rsidR="00BB7B65">
        <w:t xml:space="preserve">, the volume </w:t>
      </w:r>
      <w:r w:rsidR="005F05C6">
        <w:t>and content</w:t>
      </w:r>
      <w:r w:rsidR="00A0607B">
        <w:t xml:space="preserve"> of</w:t>
      </w:r>
      <w:r w:rsidR="00D108C1">
        <w:t xml:space="preserve"> user</w:t>
      </w:r>
      <w:r w:rsidR="00A0607B">
        <w:t xml:space="preserve"> complaints,</w:t>
      </w:r>
      <w:r w:rsidR="00412061">
        <w:t xml:space="preserve"> </w:t>
      </w:r>
      <w:r w:rsidR="00350E18">
        <w:t xml:space="preserve">the </w:t>
      </w:r>
      <w:r w:rsidR="005F05C6">
        <w:t>inquiries</w:t>
      </w:r>
      <w:r w:rsidR="00350E18">
        <w:t xml:space="preserve"> </w:t>
      </w:r>
      <w:r w:rsidR="005F05C6">
        <w:t xml:space="preserve">and feedback </w:t>
      </w:r>
      <w:r w:rsidR="00350E18">
        <w:t>received on the</w:t>
      </w:r>
      <w:r w:rsidR="005F05C6">
        <w:t xml:space="preserve"> PRBS</w:t>
      </w:r>
      <w:r w:rsidR="00350E18">
        <w:t xml:space="preserve"> user experience, the operating costs of the </w:t>
      </w:r>
      <w:r w:rsidR="00BA15F8">
        <w:t xml:space="preserve">PRBS </w:t>
      </w:r>
      <w:r w:rsidR="0059412A">
        <w:t>and the PRBS participation rate.</w:t>
      </w:r>
    </w:p>
    <w:p w14:paraId="7EBCACE3" w14:textId="58C57142" w:rsidR="003502B7" w:rsidRDefault="007F73AA" w:rsidP="00EE0311">
      <w:pPr>
        <w:pStyle w:val="DJCSbody"/>
        <w:ind w:left="0"/>
      </w:pPr>
      <w:r>
        <w:t xml:space="preserve">This data will be used to </w:t>
      </w:r>
      <w:r w:rsidR="002B2844">
        <w:t>mo</w:t>
      </w:r>
      <w:r w:rsidR="00677018">
        <w:t>nitor</w:t>
      </w:r>
      <w:r w:rsidR="007451CB">
        <w:t xml:space="preserve"> the operational design </w:t>
      </w:r>
      <w:r w:rsidR="00677018">
        <w:t xml:space="preserve">and effectiveness </w:t>
      </w:r>
      <w:r w:rsidR="007451CB">
        <w:t xml:space="preserve">of the PRBS and to evaluate the accuracy of any assumptions </w:t>
      </w:r>
      <w:r w:rsidR="00FB02BB">
        <w:t xml:space="preserve">that were </w:t>
      </w:r>
      <w:r w:rsidR="005F05C6">
        <w:t>made</w:t>
      </w:r>
      <w:r w:rsidR="00FB02BB">
        <w:t xml:space="preserve"> prior to the</w:t>
      </w:r>
      <w:r w:rsidR="0047268D">
        <w:t xml:space="preserve"> implementation of the</w:t>
      </w:r>
      <w:r w:rsidR="00FB02BB">
        <w:t xml:space="preserve"> </w:t>
      </w:r>
      <w:r w:rsidR="00BA15F8">
        <w:t>PRBS</w:t>
      </w:r>
      <w:r w:rsidR="00FB02BB">
        <w:t xml:space="preserve">. </w:t>
      </w:r>
      <w:r w:rsidR="005962BA">
        <w:t xml:space="preserve">This includes testing whether the assumed participation rates and estimated cost base have reflected the actual scope of the </w:t>
      </w:r>
      <w:r w:rsidR="00BA15F8">
        <w:t xml:space="preserve">PRBS </w:t>
      </w:r>
      <w:r w:rsidR="005962BA">
        <w:t xml:space="preserve">in </w:t>
      </w:r>
      <w:r w:rsidR="00F241D0">
        <w:t xml:space="preserve">its </w:t>
      </w:r>
      <w:r w:rsidR="005962BA">
        <w:t>operation.</w:t>
      </w:r>
      <w:r w:rsidR="00215A98">
        <w:t xml:space="preserve"> Ongoing monitoring processes will also test the suitability of </w:t>
      </w:r>
      <w:r w:rsidR="003502B7">
        <w:t>participation</w:t>
      </w:r>
      <w:r w:rsidR="00215A98">
        <w:t xml:space="preserve"> and debt recovery fees and </w:t>
      </w:r>
      <w:r w:rsidR="00EE0311">
        <w:t>assess the effectiveness of internal debt recovery activities and notices</w:t>
      </w:r>
      <w:r w:rsidR="00754167">
        <w:t xml:space="preserve">. </w:t>
      </w:r>
    </w:p>
    <w:p w14:paraId="32BB9529" w14:textId="7BDBD639" w:rsidR="008C649E" w:rsidRPr="000F65FE" w:rsidRDefault="008C649E" w:rsidP="00EE0311">
      <w:pPr>
        <w:pStyle w:val="DJCSbody"/>
        <w:ind w:left="0"/>
      </w:pPr>
      <w:r>
        <w:t>These ongoing monitoring activities will support the refinement of the PRBS’ operations</w:t>
      </w:r>
      <w:r w:rsidR="00273019">
        <w:t>.</w:t>
      </w:r>
    </w:p>
    <w:p w14:paraId="6A12CD72" w14:textId="0648C012" w:rsidR="005849A5" w:rsidRPr="000F65FE" w:rsidRDefault="009B4BB9" w:rsidP="005849A5">
      <w:pPr>
        <w:pStyle w:val="Heading2"/>
      </w:pPr>
      <w:bookmarkStart w:id="112" w:name="_Toc221890921"/>
      <w:r>
        <w:t xml:space="preserve">Independent Review </w:t>
      </w:r>
      <w:r w:rsidR="00D234FA">
        <w:t xml:space="preserve"> </w:t>
      </w:r>
      <w:r>
        <w:t>(</w:t>
      </w:r>
      <w:r w:rsidR="005849A5">
        <w:t>between 1 and 3 years after commencement)</w:t>
      </w:r>
      <w:bookmarkEnd w:id="112"/>
    </w:p>
    <w:p w14:paraId="2D4C6CA0" w14:textId="06D5A5E2" w:rsidR="00544878" w:rsidRDefault="0054334E" w:rsidP="00544878">
      <w:pPr>
        <w:pStyle w:val="DJCSbody"/>
        <w:ind w:left="0"/>
      </w:pPr>
      <w:r>
        <w:t xml:space="preserve">An independent review of the </w:t>
      </w:r>
      <w:r w:rsidR="009F22B4">
        <w:t>PRBS</w:t>
      </w:r>
      <w:r>
        <w:t xml:space="preserve"> will be undertaken no sooner than 12 months after the commencement </w:t>
      </w:r>
      <w:r w:rsidR="0047268D">
        <w:t xml:space="preserve">of the PRBS </w:t>
      </w:r>
      <w:r>
        <w:t xml:space="preserve">and no later than </w:t>
      </w:r>
      <w:r w:rsidR="005B609F">
        <w:t>3</w:t>
      </w:r>
      <w:r>
        <w:t xml:space="preserve"> years afterward, as specified by </w:t>
      </w:r>
      <w:r w:rsidR="00B34BDE">
        <w:t xml:space="preserve">the </w:t>
      </w:r>
      <w:r w:rsidR="00B0647D">
        <w:t>amended</w:t>
      </w:r>
      <w:r w:rsidR="00B34BDE">
        <w:t xml:space="preserve"> </w:t>
      </w:r>
      <w:r w:rsidR="00F544B5">
        <w:t>R</w:t>
      </w:r>
      <w:r w:rsidR="00B017FC">
        <w:t>T</w:t>
      </w:r>
      <w:r w:rsidR="00F544B5">
        <w:t xml:space="preserve"> </w:t>
      </w:r>
      <w:r w:rsidR="00B34BDE">
        <w:t>Act</w:t>
      </w:r>
      <w:r>
        <w:t xml:space="preserve"> in </w:t>
      </w:r>
      <w:r w:rsidR="005849A5">
        <w:t xml:space="preserve">Section 423ZD. </w:t>
      </w:r>
      <w:r w:rsidR="00544878">
        <w:t>The review will consider the operation of the PRBS and other relevant matters.</w:t>
      </w:r>
    </w:p>
    <w:p w14:paraId="67F008FE" w14:textId="2180EE0A" w:rsidR="00544878" w:rsidRDefault="00544878" w:rsidP="00544878">
      <w:pPr>
        <w:pStyle w:val="DJCSbody"/>
        <w:ind w:left="0"/>
      </w:pPr>
      <w:r>
        <w:t xml:space="preserve">A review of the fees charged under the scheme will be carried out, either as part of this independent review, or, alternatively, between </w:t>
      </w:r>
      <w:r w:rsidR="005B609F">
        <w:t>3</w:t>
      </w:r>
      <w:r>
        <w:t xml:space="preserve"> and </w:t>
      </w:r>
      <w:r w:rsidR="005B609F">
        <w:t>5</w:t>
      </w:r>
      <w:r>
        <w:t xml:space="preserve"> years following the commencement of the PRBS.</w:t>
      </w:r>
    </w:p>
    <w:p w14:paraId="470C0C5A" w14:textId="6ACD9EEA" w:rsidR="005849A5" w:rsidRPr="000F65FE" w:rsidRDefault="005849A5" w:rsidP="005849A5">
      <w:pPr>
        <w:pStyle w:val="Heading2"/>
      </w:pPr>
      <w:bookmarkStart w:id="113" w:name="_Toc221890856"/>
      <w:bookmarkStart w:id="114" w:name="_Toc221890922"/>
      <w:bookmarkStart w:id="115" w:name="_Ref190858153"/>
      <w:bookmarkStart w:id="116" w:name="_Toc191043332"/>
      <w:bookmarkStart w:id="117" w:name="_Toc221890923"/>
      <w:bookmarkEnd w:id="113"/>
      <w:bookmarkEnd w:id="114"/>
      <w:r w:rsidRPr="000F65FE">
        <w:t>Sunsetting</w:t>
      </w:r>
      <w:bookmarkEnd w:id="115"/>
      <w:bookmarkEnd w:id="116"/>
      <w:r w:rsidR="00AD4CA8">
        <w:t xml:space="preserve"> </w:t>
      </w:r>
      <w:r w:rsidR="001E24B7">
        <w:t>of the Regulations</w:t>
      </w:r>
      <w:bookmarkEnd w:id="117"/>
    </w:p>
    <w:p w14:paraId="422780B3" w14:textId="20E40D40" w:rsidR="005849A5" w:rsidRPr="005849A5" w:rsidRDefault="005849A5" w:rsidP="005849A5">
      <w:pPr>
        <w:pStyle w:val="DJCSbody"/>
        <w:ind w:left="0"/>
      </w:pPr>
      <w:r>
        <w:t xml:space="preserve">The Regulations will sunset after 10 years. At this point, </w:t>
      </w:r>
      <w:r w:rsidR="002F67AD">
        <w:t xml:space="preserve">an </w:t>
      </w:r>
      <w:r w:rsidR="00B673D1">
        <w:t>evaluation of the Regulations will be undertaken</w:t>
      </w:r>
      <w:r>
        <w:t xml:space="preserve"> to identify </w:t>
      </w:r>
      <w:r w:rsidR="005F5DA8">
        <w:t>if the</w:t>
      </w:r>
      <w:r w:rsidR="005119D5">
        <w:t xml:space="preserve">y </w:t>
      </w:r>
      <w:r w:rsidR="005F5DA8">
        <w:t xml:space="preserve">remain necessary, and if </w:t>
      </w:r>
      <w:r w:rsidR="00B673D1">
        <w:t xml:space="preserve">any </w:t>
      </w:r>
      <w:r>
        <w:t xml:space="preserve">refinements </w:t>
      </w:r>
      <w:r w:rsidR="005F5DA8">
        <w:t xml:space="preserve">are necessary to </w:t>
      </w:r>
      <w:r>
        <w:t>support the contin</w:t>
      </w:r>
      <w:r w:rsidR="00143D2B">
        <w:t xml:space="preserve">uing operation </w:t>
      </w:r>
      <w:r>
        <w:t xml:space="preserve">of the PRBS. </w:t>
      </w:r>
      <w:r w:rsidR="0057636F">
        <w:t xml:space="preserve">As per the </w:t>
      </w:r>
      <w:r w:rsidR="002F67AD">
        <w:t>Victorian</w:t>
      </w:r>
      <w:r w:rsidR="0057636F">
        <w:t xml:space="preserve"> Guide to </w:t>
      </w:r>
      <w:r w:rsidR="00B673D1">
        <w:t>Regulation</w:t>
      </w:r>
      <w:r w:rsidR="002F67AD">
        <w:t>,</w:t>
      </w:r>
      <w:r w:rsidR="00B673D1">
        <w:t xml:space="preserve"> </w:t>
      </w:r>
      <w:r w:rsidR="00CA4FD3">
        <w:t>the sunsetting process</w:t>
      </w:r>
      <w:r w:rsidR="00B673D1">
        <w:t xml:space="preserve"> will</w:t>
      </w:r>
      <w:r w:rsidR="00EE2387">
        <w:t xml:space="preserve"> involve consultation with relevant stakeholders</w:t>
      </w:r>
      <w:r w:rsidR="00143D2B">
        <w:t xml:space="preserve"> to understand the effectiveness of the </w:t>
      </w:r>
      <w:r w:rsidR="00B42F32">
        <w:t>Regulations</w:t>
      </w:r>
      <w:r w:rsidR="00647359">
        <w:t>,</w:t>
      </w:r>
      <w:r w:rsidR="00CB01BF">
        <w:t xml:space="preserve"> </w:t>
      </w:r>
      <w:r w:rsidR="002A6D65">
        <w:t xml:space="preserve">and </w:t>
      </w:r>
      <w:r w:rsidR="005119D5">
        <w:t>if any</w:t>
      </w:r>
      <w:r w:rsidR="008039E4">
        <w:t xml:space="preserve"> changes to the Regulations are required to </w:t>
      </w:r>
      <w:r w:rsidR="00600BA3">
        <w:t xml:space="preserve">ensure the PRBS continues to </w:t>
      </w:r>
      <w:r w:rsidR="004D6302">
        <w:t>achiev</w:t>
      </w:r>
      <w:r w:rsidR="005F714A">
        <w:t xml:space="preserve">e </w:t>
      </w:r>
      <w:r w:rsidR="00600BA3">
        <w:t xml:space="preserve">its </w:t>
      </w:r>
      <w:r w:rsidR="003015D7">
        <w:t>objectives.</w:t>
      </w:r>
    </w:p>
    <w:p w14:paraId="6606993B" w14:textId="77777777" w:rsidR="005849A5" w:rsidRDefault="005849A5">
      <w:pPr>
        <w:rPr>
          <w:rFonts w:ascii="Arial" w:eastAsia="MS Gothic" w:hAnsi="Arial" w:cs="Arial"/>
          <w:b/>
          <w:bCs/>
          <w:color w:val="16145F" w:themeColor="accent3"/>
          <w:kern w:val="32"/>
          <w:sz w:val="32"/>
          <w:szCs w:val="40"/>
        </w:rPr>
      </w:pPr>
      <w:r>
        <w:br w:type="page"/>
      </w:r>
    </w:p>
    <w:p w14:paraId="549835BC" w14:textId="6577C1D2" w:rsidR="001816E9" w:rsidRPr="000F65FE" w:rsidRDefault="001816E9" w:rsidP="00302342">
      <w:pPr>
        <w:pStyle w:val="Heading1"/>
      </w:pPr>
      <w:bookmarkStart w:id="118" w:name="_Toc221890924"/>
      <w:r w:rsidRPr="000F65FE">
        <w:lastRenderedPageBreak/>
        <w:t xml:space="preserve">Appendix A </w:t>
      </w:r>
      <w:r w:rsidR="00192B3B">
        <w:t>– Assumptions used in the analysis of options</w:t>
      </w:r>
      <w:bookmarkEnd w:id="118"/>
    </w:p>
    <w:p w14:paraId="74174080" w14:textId="330C7EDA" w:rsidR="005960A1" w:rsidRPr="005960A1" w:rsidRDefault="005960A1" w:rsidP="00BB7831">
      <w:pPr>
        <w:pStyle w:val="DJCSbody"/>
        <w:ind w:left="0"/>
      </w:pPr>
      <w:r>
        <w:t xml:space="preserve">This </w:t>
      </w:r>
      <w:r w:rsidR="00216375">
        <w:t xml:space="preserve">chapter </w:t>
      </w:r>
      <w:r>
        <w:t>provides further information on the assumptions outlined in 5.1.3.</w:t>
      </w:r>
    </w:p>
    <w:p w14:paraId="2A234280" w14:textId="2B9B2E1A" w:rsidR="00D503C4" w:rsidRPr="002652B2" w:rsidRDefault="00D503C4" w:rsidP="00D503C4">
      <w:pPr>
        <w:pStyle w:val="Heading4"/>
        <w:ind w:left="0"/>
      </w:pPr>
      <w:r w:rsidRPr="002652B2">
        <w:t>Participation rate</w:t>
      </w:r>
    </w:p>
    <w:p w14:paraId="2E10A292" w14:textId="2A0F0CC1" w:rsidR="00D75CCC" w:rsidRDefault="00B0647D" w:rsidP="00BB7831">
      <w:pPr>
        <w:pStyle w:val="DJCSbody"/>
        <w:ind w:left="0"/>
      </w:pPr>
      <w:r>
        <w:t>The participation</w:t>
      </w:r>
      <w:r w:rsidRPr="002652B2">
        <w:t xml:space="preserve"> </w:t>
      </w:r>
      <w:r w:rsidR="00D75CCC" w:rsidRPr="002652B2">
        <w:t xml:space="preserve">rate refers to the proportion of renters who choose to engage with the PRBS </w:t>
      </w:r>
      <w:r w:rsidR="00D75CCC">
        <w:t xml:space="preserve">when they move between properties. This rate can differ </w:t>
      </w:r>
      <w:r w:rsidR="00D75CCC" w:rsidRPr="002652B2">
        <w:t xml:space="preserve">under </w:t>
      </w:r>
      <w:r w:rsidR="00D75CCC">
        <w:t>the various</w:t>
      </w:r>
      <w:r w:rsidR="00D75CCC" w:rsidRPr="002652B2">
        <w:t xml:space="preserve"> fee structure</w:t>
      </w:r>
      <w:r w:rsidR="00D75CCC">
        <w:t>s and options/sub-options</w:t>
      </w:r>
      <w:r w:rsidR="00D75CCC" w:rsidRPr="002652B2">
        <w:t>.</w:t>
      </w:r>
    </w:p>
    <w:p w14:paraId="0E7A7139" w14:textId="513444AC" w:rsidR="00BA3AEC" w:rsidRPr="002652B2" w:rsidRDefault="00BA3AEC" w:rsidP="00BB7831">
      <w:pPr>
        <w:pStyle w:val="DJCSbody"/>
        <w:ind w:left="0"/>
      </w:pPr>
      <w:r w:rsidRPr="002652B2">
        <w:t>Our approach to determining the participation rate for each scenario and fixed fee level involved</w:t>
      </w:r>
      <w:r>
        <w:t xml:space="preserve"> determining an implied application fee derived from alternative short-term financing options available to renters. </w:t>
      </w:r>
    </w:p>
    <w:p w14:paraId="4F399660" w14:textId="01F1DC80" w:rsidR="00D75CCC" w:rsidRDefault="00D75CCC" w:rsidP="00BB7831">
      <w:pPr>
        <w:pStyle w:val="DJCSbody"/>
        <w:ind w:left="0"/>
      </w:pPr>
      <w:r w:rsidRPr="002652B2">
        <w:t xml:space="preserve">The participation rate is inversely related to the </w:t>
      </w:r>
      <w:r>
        <w:t>application</w:t>
      </w:r>
      <w:r w:rsidRPr="002652B2">
        <w:t xml:space="preserve"> fee: lower fees are expected to result in higher participation, while higher fees are likely to reduce uptake.</w:t>
      </w:r>
    </w:p>
    <w:p w14:paraId="2353D459" w14:textId="36A4BA1F" w:rsidR="00D75CCC" w:rsidRPr="002652B2" w:rsidRDefault="005D0E0B" w:rsidP="001F576E">
      <w:pPr>
        <w:pStyle w:val="Caption"/>
      </w:pPr>
      <w:r>
        <w:t xml:space="preserve">  Figure A1: Selected </w:t>
      </w:r>
      <w:r w:rsidR="00C3621E">
        <w:t xml:space="preserve">participation </w:t>
      </w:r>
      <w:r>
        <w:t>curve</w:t>
      </w:r>
    </w:p>
    <w:p w14:paraId="4CBA0BFD" w14:textId="40F750FD" w:rsidR="0034276E" w:rsidRPr="002652B2" w:rsidRDefault="00C3621E" w:rsidP="0006091C">
      <w:pPr>
        <w:pStyle w:val="DJCSbody"/>
      </w:pPr>
      <w:r w:rsidRPr="00C3621E">
        <w:rPr>
          <w:noProof/>
        </w:rPr>
        <w:drawing>
          <wp:inline distT="0" distB="0" distL="0" distR="0" wp14:anchorId="0E54D84F" wp14:editId="49690950">
            <wp:extent cx="5230495" cy="3291840"/>
            <wp:effectExtent l="0" t="0" r="0" b="0"/>
            <wp:docPr id="1739092277" name="Picture 1" descr="This graph shows the modelled participation rate for the PRBS. The graph shows how the participation rate would be expected to decline as the participation fee in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92277" name="Picture 1" descr="This graph shows the modelled participation rate for the PRBS. The graph shows how the participation rate would be expected to decline as the participation fee increas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0495" cy="3291840"/>
                    </a:xfrm>
                    <a:prstGeom prst="rect">
                      <a:avLst/>
                    </a:prstGeom>
                    <a:noFill/>
                    <a:ln>
                      <a:noFill/>
                    </a:ln>
                  </pic:spPr>
                </pic:pic>
              </a:graphicData>
            </a:graphic>
          </wp:inline>
        </w:drawing>
      </w:r>
    </w:p>
    <w:p w14:paraId="6554C500" w14:textId="77777777" w:rsidR="0090466B" w:rsidRDefault="0090466B" w:rsidP="0090466B">
      <w:pPr>
        <w:pStyle w:val="DJCSbody"/>
        <w:ind w:left="0"/>
      </w:pPr>
      <w:r w:rsidRPr="002652B2">
        <w:t xml:space="preserve">To model this relationship, </w:t>
      </w:r>
      <w:r>
        <w:t xml:space="preserve">RTBA bond-level data was grouped increments of $100, with a calculation performed to determine the proportion of bonds within each cohort.  </w:t>
      </w:r>
    </w:p>
    <w:p w14:paraId="00168ECF" w14:textId="07D42F8C" w:rsidR="0090466B" w:rsidRDefault="0090466B" w:rsidP="0090466B">
      <w:pPr>
        <w:pStyle w:val="DJCSbody"/>
        <w:ind w:left="0"/>
      </w:pPr>
      <w:r>
        <w:t xml:space="preserve">Each cohort was then assigned an assumed access to credit (ie. interest rate they would have access to) if they were to adopt an alternative form of short-term financing to fund the second bond rather than using the PRBS as these </w:t>
      </w:r>
      <w:r w:rsidR="005B609F">
        <w:t xml:space="preserve">2 </w:t>
      </w:r>
      <w:r>
        <w:t>options offer similar outcomes. The range of interest rates available from these short-term financing options was researched and is outlined below:</w:t>
      </w:r>
    </w:p>
    <w:p w14:paraId="7C714DB3" w14:textId="77777777" w:rsidR="0090466B" w:rsidRDefault="0090466B" w:rsidP="0090466B">
      <w:pPr>
        <w:pStyle w:val="Caption"/>
      </w:pPr>
      <w:r>
        <w:t xml:space="preserve">  Table A1: Range of short-term financing options</w:t>
      </w:r>
    </w:p>
    <w:tbl>
      <w:tblPr>
        <w:tblStyle w:val="TableGridLight"/>
        <w:tblW w:w="9355" w:type="dxa"/>
        <w:tblInd w:w="846" w:type="dxa"/>
        <w:tblLayout w:type="fixed"/>
        <w:tblLook w:val="04A0" w:firstRow="1" w:lastRow="0" w:firstColumn="1" w:lastColumn="0" w:noHBand="0" w:noVBand="1"/>
      </w:tblPr>
      <w:tblGrid>
        <w:gridCol w:w="6520"/>
        <w:gridCol w:w="2835"/>
      </w:tblGrid>
      <w:tr w:rsidR="0090466B" w:rsidRPr="00B877CE" w14:paraId="159FE2AE" w14:textId="77777777">
        <w:trPr>
          <w:tblHeader/>
        </w:trPr>
        <w:tc>
          <w:tcPr>
            <w:tcW w:w="6520" w:type="dxa"/>
            <w:shd w:val="clear" w:color="auto" w:fill="002060"/>
            <w:vAlign w:val="center"/>
          </w:tcPr>
          <w:p w14:paraId="21BEB634" w14:textId="77777777" w:rsidR="0090466B" w:rsidRPr="00B877CE" w:rsidRDefault="0090466B">
            <w:pPr>
              <w:pStyle w:val="DJCSbody"/>
              <w:ind w:left="0"/>
              <w:jc w:val="center"/>
              <w:rPr>
                <w:b/>
              </w:rPr>
            </w:pPr>
            <w:r w:rsidRPr="00B877CE">
              <w:rPr>
                <w:b/>
              </w:rPr>
              <w:t xml:space="preserve">Credit Type </w:t>
            </w:r>
          </w:p>
        </w:tc>
        <w:tc>
          <w:tcPr>
            <w:tcW w:w="2835" w:type="dxa"/>
            <w:shd w:val="clear" w:color="auto" w:fill="002060"/>
            <w:vAlign w:val="center"/>
          </w:tcPr>
          <w:p w14:paraId="2C60B8D7" w14:textId="77777777" w:rsidR="0090466B" w:rsidRPr="00B877CE" w:rsidRDefault="0090466B">
            <w:pPr>
              <w:pStyle w:val="DJCSbody"/>
              <w:ind w:left="0"/>
              <w:jc w:val="center"/>
              <w:rPr>
                <w:b/>
              </w:rPr>
            </w:pPr>
            <w:r w:rsidRPr="00B877CE">
              <w:rPr>
                <w:b/>
              </w:rPr>
              <w:t>Interest Rate</w:t>
            </w:r>
          </w:p>
        </w:tc>
      </w:tr>
      <w:tr w:rsidR="0090466B" w14:paraId="1B9D79A9" w14:textId="77777777">
        <w:tc>
          <w:tcPr>
            <w:tcW w:w="6520" w:type="dxa"/>
          </w:tcPr>
          <w:p w14:paraId="31C7E722" w14:textId="77777777" w:rsidR="0090466B" w:rsidRPr="00B877CE" w:rsidRDefault="0090466B">
            <w:pPr>
              <w:pStyle w:val="DJCSbody"/>
              <w:ind w:left="0"/>
              <w:jc w:val="center"/>
              <w:rPr>
                <w:b/>
              </w:rPr>
            </w:pPr>
            <w:r w:rsidRPr="00B877CE">
              <w:rPr>
                <w:b/>
              </w:rPr>
              <w:t>Personal Loans (Larger Banks)</w:t>
            </w:r>
          </w:p>
        </w:tc>
        <w:tc>
          <w:tcPr>
            <w:tcW w:w="2835" w:type="dxa"/>
          </w:tcPr>
          <w:p w14:paraId="5CFAC67C" w14:textId="77777777" w:rsidR="0090466B" w:rsidRDefault="0090466B">
            <w:pPr>
              <w:pStyle w:val="DJCSbody"/>
              <w:ind w:left="0"/>
              <w:jc w:val="center"/>
            </w:pPr>
            <w:r>
              <w:t>6%-22%</w:t>
            </w:r>
            <w:r>
              <w:rPr>
                <w:rStyle w:val="FootnoteReference"/>
              </w:rPr>
              <w:footnoteReference w:id="65"/>
            </w:r>
          </w:p>
        </w:tc>
      </w:tr>
      <w:tr w:rsidR="0090466B" w14:paraId="7662B1E5" w14:textId="77777777">
        <w:tc>
          <w:tcPr>
            <w:tcW w:w="6520" w:type="dxa"/>
          </w:tcPr>
          <w:p w14:paraId="0351107B" w14:textId="77777777" w:rsidR="0090466B" w:rsidRPr="00B877CE" w:rsidRDefault="0090466B">
            <w:pPr>
              <w:pStyle w:val="DJCSbody"/>
              <w:ind w:left="0"/>
              <w:jc w:val="left"/>
              <w:rPr>
                <w:b/>
              </w:rPr>
            </w:pPr>
            <w:r w:rsidRPr="00B877CE">
              <w:rPr>
                <w:b/>
              </w:rPr>
              <w:lastRenderedPageBreak/>
              <w:t>Credit Cards</w:t>
            </w:r>
          </w:p>
        </w:tc>
        <w:tc>
          <w:tcPr>
            <w:tcW w:w="2835" w:type="dxa"/>
          </w:tcPr>
          <w:p w14:paraId="57F1E81E" w14:textId="77777777" w:rsidR="0090466B" w:rsidRDefault="0090466B">
            <w:pPr>
              <w:pStyle w:val="DJCSbody"/>
              <w:ind w:left="0"/>
              <w:jc w:val="center"/>
            </w:pPr>
            <w:r>
              <w:t>20%-30%</w:t>
            </w:r>
            <w:r>
              <w:rPr>
                <w:rStyle w:val="FootnoteReference"/>
              </w:rPr>
              <w:footnoteReference w:id="66"/>
            </w:r>
          </w:p>
        </w:tc>
      </w:tr>
      <w:tr w:rsidR="0090466B" w14:paraId="3D2F81E7" w14:textId="77777777">
        <w:tc>
          <w:tcPr>
            <w:tcW w:w="6520" w:type="dxa"/>
          </w:tcPr>
          <w:p w14:paraId="434F9DB8" w14:textId="77777777" w:rsidR="0090466B" w:rsidRPr="00B877CE" w:rsidRDefault="0090466B">
            <w:pPr>
              <w:pStyle w:val="DJCSbody"/>
              <w:ind w:left="0"/>
              <w:jc w:val="left"/>
              <w:rPr>
                <w:b/>
              </w:rPr>
            </w:pPr>
            <w:r w:rsidRPr="00B877CE">
              <w:rPr>
                <w:b/>
              </w:rPr>
              <w:t>Non-Traditional Loans</w:t>
            </w:r>
          </w:p>
        </w:tc>
        <w:tc>
          <w:tcPr>
            <w:tcW w:w="2835" w:type="dxa"/>
          </w:tcPr>
          <w:p w14:paraId="60627BAD" w14:textId="77777777" w:rsidR="0090466B" w:rsidRDefault="0090466B">
            <w:pPr>
              <w:pStyle w:val="DJCSbody"/>
              <w:ind w:left="0"/>
              <w:jc w:val="center"/>
            </w:pPr>
            <w:r>
              <w:t>30%-60%</w:t>
            </w:r>
            <w:r>
              <w:rPr>
                <w:rStyle w:val="FootnoteReference"/>
              </w:rPr>
              <w:footnoteReference w:id="67"/>
            </w:r>
          </w:p>
        </w:tc>
      </w:tr>
      <w:tr w:rsidR="0090466B" w14:paraId="75B31916" w14:textId="77777777">
        <w:tc>
          <w:tcPr>
            <w:tcW w:w="6520" w:type="dxa"/>
          </w:tcPr>
          <w:p w14:paraId="62973D87" w14:textId="77777777" w:rsidR="0090466B" w:rsidRPr="00B877CE" w:rsidRDefault="0090466B">
            <w:pPr>
              <w:pStyle w:val="DJCSbody"/>
              <w:ind w:left="0"/>
              <w:jc w:val="left"/>
              <w:rPr>
                <w:b/>
              </w:rPr>
            </w:pPr>
            <w:r w:rsidRPr="00B877CE">
              <w:rPr>
                <w:b/>
              </w:rPr>
              <w:t>Specialist Bond Loan Providers</w:t>
            </w:r>
          </w:p>
        </w:tc>
        <w:tc>
          <w:tcPr>
            <w:tcW w:w="2835" w:type="dxa"/>
          </w:tcPr>
          <w:p w14:paraId="5F20503D" w14:textId="77777777" w:rsidR="0090466B" w:rsidRDefault="0090466B">
            <w:pPr>
              <w:pStyle w:val="DJCSbody"/>
              <w:ind w:left="0"/>
              <w:jc w:val="center"/>
            </w:pPr>
            <w:r>
              <w:t>50% After 21 Days</w:t>
            </w:r>
            <w:r>
              <w:rPr>
                <w:rStyle w:val="FootnoteReference"/>
              </w:rPr>
              <w:footnoteReference w:id="68"/>
            </w:r>
          </w:p>
        </w:tc>
      </w:tr>
    </w:tbl>
    <w:p w14:paraId="72D65487" w14:textId="77777777" w:rsidR="0090466B" w:rsidRDefault="0090466B" w:rsidP="0090466B">
      <w:pPr>
        <w:pStyle w:val="DJCSbody"/>
        <w:ind w:left="0"/>
      </w:pPr>
      <w:r>
        <w:t xml:space="preserve">It was assumed that the lower bond cohorts would have a lower access to credit (i.e higher interest rates within the range quoted above), and this would gradually decrease as the bond amounts increased (i.e renters paying higher bond amounts would have better access to credit and lower interest rates). This profile is shown in the table below. </w:t>
      </w:r>
    </w:p>
    <w:p w14:paraId="2375C2D8" w14:textId="77777777" w:rsidR="0090466B" w:rsidRDefault="0090466B" w:rsidP="0090466B">
      <w:pPr>
        <w:pStyle w:val="Caption"/>
      </w:pPr>
      <w:r>
        <w:t xml:space="preserve">  Table A2: Access to Credit Profile</w:t>
      </w:r>
    </w:p>
    <w:tbl>
      <w:tblPr>
        <w:tblW w:w="9351" w:type="dxa"/>
        <w:jc w:val="center"/>
        <w:tblLook w:val="04A0" w:firstRow="1" w:lastRow="0" w:firstColumn="1" w:lastColumn="0" w:noHBand="0" w:noVBand="1"/>
      </w:tblPr>
      <w:tblGrid>
        <w:gridCol w:w="1120"/>
        <w:gridCol w:w="1195"/>
        <w:gridCol w:w="1508"/>
        <w:gridCol w:w="2126"/>
        <w:gridCol w:w="3402"/>
      </w:tblGrid>
      <w:tr w:rsidR="0090466B" w:rsidRPr="00492BE7" w14:paraId="4053D020" w14:textId="77777777">
        <w:trPr>
          <w:trHeight w:val="580"/>
          <w:tblHeader/>
          <w:jc w:val="center"/>
        </w:trPr>
        <w:tc>
          <w:tcPr>
            <w:tcW w:w="1120"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77C09F6C" w14:textId="77777777" w:rsidR="0090466B" w:rsidRPr="00F473CD" w:rsidRDefault="0090466B">
            <w:pPr>
              <w:pStyle w:val="DJCSbody"/>
              <w:ind w:left="0"/>
              <w:jc w:val="center"/>
              <w:rPr>
                <w:b/>
              </w:rPr>
            </w:pPr>
            <w:r w:rsidRPr="00F473CD">
              <w:rPr>
                <w:b/>
              </w:rPr>
              <w:t>Min Bond</w:t>
            </w:r>
            <w:r>
              <w:rPr>
                <w:b/>
              </w:rPr>
              <w:t xml:space="preserve"> ($)</w:t>
            </w:r>
          </w:p>
        </w:tc>
        <w:tc>
          <w:tcPr>
            <w:tcW w:w="1195" w:type="dxa"/>
            <w:tcBorders>
              <w:top w:val="single" w:sz="4" w:space="0" w:color="auto"/>
              <w:left w:val="nil"/>
              <w:bottom w:val="single" w:sz="4" w:space="0" w:color="auto"/>
              <w:right w:val="single" w:sz="4" w:space="0" w:color="auto"/>
            </w:tcBorders>
            <w:shd w:val="clear" w:color="000000" w:fill="002060"/>
            <w:vAlign w:val="bottom"/>
            <w:hideMark/>
          </w:tcPr>
          <w:p w14:paraId="33B0F2F6" w14:textId="77777777" w:rsidR="0090466B" w:rsidRPr="00F473CD" w:rsidRDefault="0090466B">
            <w:pPr>
              <w:pStyle w:val="DJCSbody"/>
              <w:ind w:left="0"/>
              <w:jc w:val="center"/>
              <w:rPr>
                <w:b/>
              </w:rPr>
            </w:pPr>
            <w:r w:rsidRPr="00F473CD">
              <w:rPr>
                <w:b/>
              </w:rPr>
              <w:t>Max Bond</w:t>
            </w:r>
            <w:r>
              <w:rPr>
                <w:b/>
              </w:rPr>
              <w:t xml:space="preserve"> ($)</w:t>
            </w:r>
          </w:p>
        </w:tc>
        <w:tc>
          <w:tcPr>
            <w:tcW w:w="1508" w:type="dxa"/>
            <w:tcBorders>
              <w:top w:val="single" w:sz="4" w:space="0" w:color="auto"/>
              <w:left w:val="nil"/>
              <w:bottom w:val="single" w:sz="4" w:space="0" w:color="auto"/>
              <w:right w:val="single" w:sz="4" w:space="0" w:color="auto"/>
            </w:tcBorders>
            <w:shd w:val="clear" w:color="000000" w:fill="002060"/>
            <w:vAlign w:val="bottom"/>
            <w:hideMark/>
          </w:tcPr>
          <w:p w14:paraId="2665A39B" w14:textId="77777777" w:rsidR="0090466B" w:rsidRPr="00F473CD" w:rsidRDefault="0090466B">
            <w:pPr>
              <w:pStyle w:val="DJCSbody"/>
              <w:ind w:left="0"/>
              <w:jc w:val="center"/>
              <w:rPr>
                <w:b/>
              </w:rPr>
            </w:pPr>
            <w:r w:rsidRPr="00F473CD">
              <w:rPr>
                <w:b/>
              </w:rPr>
              <w:t>Proportion</w:t>
            </w:r>
          </w:p>
        </w:tc>
        <w:tc>
          <w:tcPr>
            <w:tcW w:w="2126" w:type="dxa"/>
            <w:tcBorders>
              <w:top w:val="single" w:sz="4" w:space="0" w:color="auto"/>
              <w:left w:val="nil"/>
              <w:bottom w:val="single" w:sz="4" w:space="0" w:color="auto"/>
              <w:right w:val="single" w:sz="4" w:space="0" w:color="auto"/>
            </w:tcBorders>
            <w:shd w:val="clear" w:color="000000" w:fill="002060"/>
            <w:vAlign w:val="bottom"/>
            <w:hideMark/>
          </w:tcPr>
          <w:p w14:paraId="24423BCA" w14:textId="77777777" w:rsidR="0090466B" w:rsidRPr="00F473CD" w:rsidRDefault="0090466B">
            <w:pPr>
              <w:pStyle w:val="DJCSbody"/>
              <w:ind w:left="0"/>
              <w:jc w:val="center"/>
              <w:rPr>
                <w:b/>
              </w:rPr>
            </w:pPr>
            <w:r w:rsidRPr="00F473CD">
              <w:rPr>
                <w:b/>
              </w:rPr>
              <w:t>Access to Credit</w:t>
            </w:r>
          </w:p>
        </w:tc>
        <w:tc>
          <w:tcPr>
            <w:tcW w:w="3402" w:type="dxa"/>
            <w:tcBorders>
              <w:top w:val="single" w:sz="4" w:space="0" w:color="auto"/>
              <w:left w:val="nil"/>
              <w:bottom w:val="single" w:sz="4" w:space="0" w:color="auto"/>
              <w:right w:val="single" w:sz="4" w:space="0" w:color="auto"/>
            </w:tcBorders>
            <w:shd w:val="clear" w:color="000000" w:fill="002060"/>
            <w:vAlign w:val="bottom"/>
            <w:hideMark/>
          </w:tcPr>
          <w:p w14:paraId="1BFC7CFE" w14:textId="77777777" w:rsidR="0090466B" w:rsidRPr="00F473CD" w:rsidRDefault="0090466B">
            <w:pPr>
              <w:pStyle w:val="DJCSbody"/>
              <w:ind w:left="0"/>
              <w:jc w:val="center"/>
              <w:rPr>
                <w:b/>
              </w:rPr>
            </w:pPr>
            <w:r w:rsidRPr="00F473CD">
              <w:rPr>
                <w:b/>
              </w:rPr>
              <w:t>Notional Application Fee</w:t>
            </w:r>
            <w:r>
              <w:rPr>
                <w:b/>
              </w:rPr>
              <w:t xml:space="preserve"> ($)</w:t>
            </w:r>
          </w:p>
        </w:tc>
      </w:tr>
      <w:tr w:rsidR="0090466B" w:rsidRPr="00492BE7" w14:paraId="62F612C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A6429C6"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1195" w:type="dxa"/>
            <w:tcBorders>
              <w:top w:val="nil"/>
              <w:left w:val="nil"/>
              <w:bottom w:val="single" w:sz="4" w:space="0" w:color="auto"/>
              <w:right w:val="single" w:sz="4" w:space="0" w:color="auto"/>
            </w:tcBorders>
            <w:noWrap/>
            <w:vAlign w:val="bottom"/>
            <w:hideMark/>
          </w:tcPr>
          <w:p w14:paraId="1FA37C14" w14:textId="77777777" w:rsidR="0090466B" w:rsidRPr="00F473CD" w:rsidRDefault="0090466B">
            <w:pPr>
              <w:jc w:val="right"/>
              <w:rPr>
                <w:rFonts w:ascii="Arial" w:eastAsia="Times" w:hAnsi="Arial"/>
                <w:sz w:val="22"/>
              </w:rPr>
            </w:pPr>
            <w:r w:rsidRPr="00F473CD">
              <w:rPr>
                <w:rFonts w:ascii="Arial" w:eastAsia="Times" w:hAnsi="Arial"/>
                <w:sz w:val="22"/>
              </w:rPr>
              <w:t>99</w:t>
            </w:r>
          </w:p>
        </w:tc>
        <w:tc>
          <w:tcPr>
            <w:tcW w:w="1508" w:type="dxa"/>
            <w:tcBorders>
              <w:top w:val="nil"/>
              <w:left w:val="nil"/>
              <w:bottom w:val="single" w:sz="4" w:space="0" w:color="auto"/>
              <w:right w:val="single" w:sz="4" w:space="0" w:color="auto"/>
            </w:tcBorders>
            <w:noWrap/>
            <w:vAlign w:val="bottom"/>
            <w:hideMark/>
          </w:tcPr>
          <w:p w14:paraId="5DDBDB5D"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2126" w:type="dxa"/>
            <w:tcBorders>
              <w:top w:val="nil"/>
              <w:left w:val="nil"/>
              <w:bottom w:val="single" w:sz="4" w:space="0" w:color="auto"/>
              <w:right w:val="single" w:sz="4" w:space="0" w:color="auto"/>
            </w:tcBorders>
            <w:noWrap/>
            <w:vAlign w:val="bottom"/>
            <w:hideMark/>
          </w:tcPr>
          <w:p w14:paraId="567B5F4B" w14:textId="77777777" w:rsidR="0090466B" w:rsidRPr="00F473CD" w:rsidRDefault="0090466B">
            <w:pPr>
              <w:jc w:val="right"/>
              <w:rPr>
                <w:rFonts w:ascii="Arial" w:eastAsia="Times" w:hAnsi="Arial"/>
                <w:sz w:val="22"/>
              </w:rPr>
            </w:pPr>
            <w:r w:rsidRPr="00F473CD">
              <w:rPr>
                <w:rFonts w:ascii="Arial" w:eastAsia="Times" w:hAnsi="Arial"/>
                <w:sz w:val="22"/>
              </w:rPr>
              <w:t>60.0%</w:t>
            </w:r>
          </w:p>
        </w:tc>
        <w:tc>
          <w:tcPr>
            <w:tcW w:w="3402" w:type="dxa"/>
            <w:tcBorders>
              <w:top w:val="nil"/>
              <w:left w:val="nil"/>
              <w:bottom w:val="single" w:sz="4" w:space="0" w:color="auto"/>
              <w:right w:val="single" w:sz="4" w:space="0" w:color="auto"/>
            </w:tcBorders>
            <w:noWrap/>
            <w:vAlign w:val="bottom"/>
            <w:hideMark/>
          </w:tcPr>
          <w:p w14:paraId="56039849" w14:textId="77777777" w:rsidR="0090466B" w:rsidRPr="00F473CD" w:rsidRDefault="0090466B">
            <w:pPr>
              <w:jc w:val="right"/>
              <w:rPr>
                <w:rFonts w:ascii="Arial" w:eastAsia="Times" w:hAnsi="Arial"/>
                <w:sz w:val="22"/>
              </w:rPr>
            </w:pPr>
            <w:r w:rsidRPr="00F473CD">
              <w:rPr>
                <w:rFonts w:ascii="Arial" w:eastAsia="Times" w:hAnsi="Arial"/>
                <w:sz w:val="22"/>
              </w:rPr>
              <w:t>2.50</w:t>
            </w:r>
          </w:p>
        </w:tc>
      </w:tr>
      <w:tr w:rsidR="0090466B" w:rsidRPr="00492BE7" w14:paraId="0C50650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53AD8C6" w14:textId="77777777" w:rsidR="0090466B" w:rsidRPr="00F473CD" w:rsidRDefault="0090466B">
            <w:pPr>
              <w:jc w:val="right"/>
              <w:rPr>
                <w:rFonts w:ascii="Arial" w:eastAsia="Times" w:hAnsi="Arial"/>
                <w:sz w:val="22"/>
              </w:rPr>
            </w:pPr>
            <w:r w:rsidRPr="00F473CD">
              <w:rPr>
                <w:rFonts w:ascii="Arial" w:eastAsia="Times" w:hAnsi="Arial"/>
                <w:sz w:val="22"/>
              </w:rPr>
              <w:t>100</w:t>
            </w:r>
          </w:p>
        </w:tc>
        <w:tc>
          <w:tcPr>
            <w:tcW w:w="1195" w:type="dxa"/>
            <w:tcBorders>
              <w:top w:val="nil"/>
              <w:left w:val="nil"/>
              <w:bottom w:val="single" w:sz="4" w:space="0" w:color="auto"/>
              <w:right w:val="single" w:sz="4" w:space="0" w:color="auto"/>
            </w:tcBorders>
            <w:noWrap/>
            <w:vAlign w:val="bottom"/>
            <w:hideMark/>
          </w:tcPr>
          <w:p w14:paraId="0D9AE92B" w14:textId="77777777" w:rsidR="0090466B" w:rsidRPr="00F473CD" w:rsidRDefault="0090466B">
            <w:pPr>
              <w:jc w:val="right"/>
              <w:rPr>
                <w:rFonts w:ascii="Arial" w:eastAsia="Times" w:hAnsi="Arial"/>
                <w:sz w:val="22"/>
              </w:rPr>
            </w:pPr>
            <w:r w:rsidRPr="00F473CD">
              <w:rPr>
                <w:rFonts w:ascii="Arial" w:eastAsia="Times" w:hAnsi="Arial"/>
                <w:sz w:val="22"/>
              </w:rPr>
              <w:t>199</w:t>
            </w:r>
          </w:p>
        </w:tc>
        <w:tc>
          <w:tcPr>
            <w:tcW w:w="1508" w:type="dxa"/>
            <w:tcBorders>
              <w:top w:val="nil"/>
              <w:left w:val="nil"/>
              <w:bottom w:val="single" w:sz="4" w:space="0" w:color="auto"/>
              <w:right w:val="single" w:sz="4" w:space="0" w:color="auto"/>
            </w:tcBorders>
            <w:noWrap/>
            <w:vAlign w:val="bottom"/>
            <w:hideMark/>
          </w:tcPr>
          <w:p w14:paraId="0AEFC3CE"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2126" w:type="dxa"/>
            <w:tcBorders>
              <w:top w:val="nil"/>
              <w:left w:val="nil"/>
              <w:bottom w:val="single" w:sz="4" w:space="0" w:color="auto"/>
              <w:right w:val="single" w:sz="4" w:space="0" w:color="auto"/>
            </w:tcBorders>
            <w:noWrap/>
            <w:vAlign w:val="bottom"/>
            <w:hideMark/>
          </w:tcPr>
          <w:p w14:paraId="2B377D9E" w14:textId="77777777" w:rsidR="0090466B" w:rsidRPr="00F473CD" w:rsidRDefault="0090466B">
            <w:pPr>
              <w:jc w:val="right"/>
              <w:rPr>
                <w:rFonts w:ascii="Arial" w:eastAsia="Times" w:hAnsi="Arial"/>
                <w:sz w:val="22"/>
              </w:rPr>
            </w:pPr>
            <w:r w:rsidRPr="00F473CD">
              <w:rPr>
                <w:rFonts w:ascii="Arial" w:eastAsia="Times" w:hAnsi="Arial"/>
                <w:sz w:val="22"/>
              </w:rPr>
              <w:t>50.0%</w:t>
            </w:r>
          </w:p>
        </w:tc>
        <w:tc>
          <w:tcPr>
            <w:tcW w:w="3402" w:type="dxa"/>
            <w:tcBorders>
              <w:top w:val="nil"/>
              <w:left w:val="nil"/>
              <w:bottom w:val="single" w:sz="4" w:space="0" w:color="auto"/>
              <w:right w:val="single" w:sz="4" w:space="0" w:color="auto"/>
            </w:tcBorders>
            <w:noWrap/>
            <w:vAlign w:val="bottom"/>
            <w:hideMark/>
          </w:tcPr>
          <w:p w14:paraId="0ADAF0B1" w14:textId="77777777" w:rsidR="0090466B" w:rsidRPr="00F473CD" w:rsidRDefault="0090466B">
            <w:pPr>
              <w:jc w:val="right"/>
              <w:rPr>
                <w:rFonts w:ascii="Arial" w:eastAsia="Times" w:hAnsi="Arial"/>
                <w:sz w:val="22"/>
              </w:rPr>
            </w:pPr>
            <w:r w:rsidRPr="00F473CD">
              <w:rPr>
                <w:rFonts w:ascii="Arial" w:eastAsia="Times" w:hAnsi="Arial"/>
                <w:sz w:val="22"/>
              </w:rPr>
              <w:t>6.25</w:t>
            </w:r>
          </w:p>
        </w:tc>
      </w:tr>
      <w:tr w:rsidR="0090466B" w:rsidRPr="00492BE7" w14:paraId="248F4E22"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341B11E" w14:textId="77777777" w:rsidR="0090466B" w:rsidRPr="00F473CD" w:rsidRDefault="0090466B">
            <w:pPr>
              <w:jc w:val="right"/>
              <w:rPr>
                <w:rFonts w:ascii="Arial" w:eastAsia="Times" w:hAnsi="Arial"/>
                <w:sz w:val="22"/>
              </w:rPr>
            </w:pPr>
            <w:r w:rsidRPr="00F473CD">
              <w:rPr>
                <w:rFonts w:ascii="Arial" w:eastAsia="Times" w:hAnsi="Arial"/>
                <w:sz w:val="22"/>
              </w:rPr>
              <w:t>200</w:t>
            </w:r>
          </w:p>
        </w:tc>
        <w:tc>
          <w:tcPr>
            <w:tcW w:w="1195" w:type="dxa"/>
            <w:tcBorders>
              <w:top w:val="nil"/>
              <w:left w:val="nil"/>
              <w:bottom w:val="single" w:sz="4" w:space="0" w:color="auto"/>
              <w:right w:val="single" w:sz="4" w:space="0" w:color="auto"/>
            </w:tcBorders>
            <w:noWrap/>
            <w:vAlign w:val="bottom"/>
            <w:hideMark/>
          </w:tcPr>
          <w:p w14:paraId="0A347603" w14:textId="77777777" w:rsidR="0090466B" w:rsidRPr="00F473CD" w:rsidRDefault="0090466B">
            <w:pPr>
              <w:jc w:val="right"/>
              <w:rPr>
                <w:rFonts w:ascii="Arial" w:eastAsia="Times" w:hAnsi="Arial"/>
                <w:sz w:val="22"/>
              </w:rPr>
            </w:pPr>
            <w:r w:rsidRPr="00F473CD">
              <w:rPr>
                <w:rFonts w:ascii="Arial" w:eastAsia="Times" w:hAnsi="Arial"/>
                <w:sz w:val="22"/>
              </w:rPr>
              <w:t>299</w:t>
            </w:r>
          </w:p>
        </w:tc>
        <w:tc>
          <w:tcPr>
            <w:tcW w:w="1508" w:type="dxa"/>
            <w:tcBorders>
              <w:top w:val="nil"/>
              <w:left w:val="nil"/>
              <w:bottom w:val="single" w:sz="4" w:space="0" w:color="auto"/>
              <w:right w:val="single" w:sz="4" w:space="0" w:color="auto"/>
            </w:tcBorders>
            <w:noWrap/>
            <w:vAlign w:val="bottom"/>
            <w:hideMark/>
          </w:tcPr>
          <w:p w14:paraId="19A007B8"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2126" w:type="dxa"/>
            <w:tcBorders>
              <w:top w:val="nil"/>
              <w:left w:val="nil"/>
              <w:bottom w:val="single" w:sz="4" w:space="0" w:color="auto"/>
              <w:right w:val="single" w:sz="4" w:space="0" w:color="auto"/>
            </w:tcBorders>
            <w:noWrap/>
            <w:vAlign w:val="bottom"/>
            <w:hideMark/>
          </w:tcPr>
          <w:p w14:paraId="2B54D1E9" w14:textId="77777777" w:rsidR="0090466B" w:rsidRPr="00F473CD" w:rsidRDefault="0090466B">
            <w:pPr>
              <w:jc w:val="right"/>
              <w:rPr>
                <w:rFonts w:ascii="Arial" w:eastAsia="Times" w:hAnsi="Arial"/>
                <w:sz w:val="22"/>
              </w:rPr>
            </w:pPr>
            <w:r w:rsidRPr="00F473CD">
              <w:rPr>
                <w:rFonts w:ascii="Arial" w:eastAsia="Times" w:hAnsi="Arial"/>
                <w:sz w:val="22"/>
              </w:rPr>
              <w:t>40.0%</w:t>
            </w:r>
          </w:p>
        </w:tc>
        <w:tc>
          <w:tcPr>
            <w:tcW w:w="3402" w:type="dxa"/>
            <w:tcBorders>
              <w:top w:val="nil"/>
              <w:left w:val="nil"/>
              <w:bottom w:val="single" w:sz="4" w:space="0" w:color="auto"/>
              <w:right w:val="single" w:sz="4" w:space="0" w:color="auto"/>
            </w:tcBorders>
            <w:noWrap/>
            <w:vAlign w:val="bottom"/>
            <w:hideMark/>
          </w:tcPr>
          <w:p w14:paraId="7005AB73" w14:textId="77777777" w:rsidR="0090466B" w:rsidRPr="00F473CD" w:rsidRDefault="0090466B">
            <w:pPr>
              <w:jc w:val="right"/>
              <w:rPr>
                <w:rFonts w:ascii="Arial" w:eastAsia="Times" w:hAnsi="Arial"/>
                <w:sz w:val="22"/>
              </w:rPr>
            </w:pPr>
            <w:r w:rsidRPr="00F473CD">
              <w:rPr>
                <w:rFonts w:ascii="Arial" w:eastAsia="Times" w:hAnsi="Arial"/>
                <w:sz w:val="22"/>
              </w:rPr>
              <w:t>8.33</w:t>
            </w:r>
          </w:p>
        </w:tc>
      </w:tr>
      <w:tr w:rsidR="0090466B" w:rsidRPr="00492BE7" w14:paraId="2FF241B9"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28B52713" w14:textId="77777777" w:rsidR="0090466B" w:rsidRPr="00F473CD" w:rsidRDefault="0090466B">
            <w:pPr>
              <w:jc w:val="right"/>
              <w:rPr>
                <w:rFonts w:ascii="Arial" w:eastAsia="Times" w:hAnsi="Arial"/>
                <w:sz w:val="22"/>
              </w:rPr>
            </w:pPr>
            <w:r w:rsidRPr="00F473CD">
              <w:rPr>
                <w:rFonts w:ascii="Arial" w:eastAsia="Times" w:hAnsi="Arial"/>
                <w:sz w:val="22"/>
              </w:rPr>
              <w:t>300</w:t>
            </w:r>
          </w:p>
        </w:tc>
        <w:tc>
          <w:tcPr>
            <w:tcW w:w="1195" w:type="dxa"/>
            <w:tcBorders>
              <w:top w:val="nil"/>
              <w:left w:val="nil"/>
              <w:bottom w:val="single" w:sz="4" w:space="0" w:color="auto"/>
              <w:right w:val="single" w:sz="4" w:space="0" w:color="auto"/>
            </w:tcBorders>
            <w:noWrap/>
            <w:vAlign w:val="bottom"/>
            <w:hideMark/>
          </w:tcPr>
          <w:p w14:paraId="48A8CAA2" w14:textId="77777777" w:rsidR="0090466B" w:rsidRPr="00F473CD" w:rsidRDefault="0090466B">
            <w:pPr>
              <w:jc w:val="right"/>
              <w:rPr>
                <w:rFonts w:ascii="Arial" w:eastAsia="Times" w:hAnsi="Arial"/>
                <w:sz w:val="22"/>
              </w:rPr>
            </w:pPr>
            <w:r w:rsidRPr="00F473CD">
              <w:rPr>
                <w:rFonts w:ascii="Arial" w:eastAsia="Times" w:hAnsi="Arial"/>
                <w:sz w:val="22"/>
              </w:rPr>
              <w:t>399</w:t>
            </w:r>
          </w:p>
        </w:tc>
        <w:tc>
          <w:tcPr>
            <w:tcW w:w="1508" w:type="dxa"/>
            <w:tcBorders>
              <w:top w:val="nil"/>
              <w:left w:val="nil"/>
              <w:bottom w:val="single" w:sz="4" w:space="0" w:color="auto"/>
              <w:right w:val="single" w:sz="4" w:space="0" w:color="auto"/>
            </w:tcBorders>
            <w:noWrap/>
            <w:vAlign w:val="bottom"/>
            <w:hideMark/>
          </w:tcPr>
          <w:p w14:paraId="0E7294AD"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2126" w:type="dxa"/>
            <w:tcBorders>
              <w:top w:val="nil"/>
              <w:left w:val="nil"/>
              <w:bottom w:val="single" w:sz="4" w:space="0" w:color="auto"/>
              <w:right w:val="single" w:sz="4" w:space="0" w:color="auto"/>
            </w:tcBorders>
            <w:noWrap/>
            <w:vAlign w:val="bottom"/>
            <w:hideMark/>
          </w:tcPr>
          <w:p w14:paraId="5CBE72EF" w14:textId="77777777" w:rsidR="0090466B" w:rsidRPr="00F473CD" w:rsidRDefault="0090466B">
            <w:pPr>
              <w:jc w:val="right"/>
              <w:rPr>
                <w:rFonts w:ascii="Arial" w:eastAsia="Times" w:hAnsi="Arial"/>
                <w:sz w:val="22"/>
              </w:rPr>
            </w:pPr>
            <w:r w:rsidRPr="00F473CD">
              <w:rPr>
                <w:rFonts w:ascii="Arial" w:eastAsia="Times" w:hAnsi="Arial"/>
                <w:sz w:val="22"/>
              </w:rPr>
              <w:t>30.0%</w:t>
            </w:r>
          </w:p>
        </w:tc>
        <w:tc>
          <w:tcPr>
            <w:tcW w:w="3402" w:type="dxa"/>
            <w:tcBorders>
              <w:top w:val="nil"/>
              <w:left w:val="nil"/>
              <w:bottom w:val="single" w:sz="4" w:space="0" w:color="auto"/>
              <w:right w:val="single" w:sz="4" w:space="0" w:color="auto"/>
            </w:tcBorders>
            <w:noWrap/>
            <w:vAlign w:val="bottom"/>
            <w:hideMark/>
          </w:tcPr>
          <w:p w14:paraId="114C1C9C" w14:textId="77777777" w:rsidR="0090466B" w:rsidRPr="00F473CD" w:rsidRDefault="0090466B">
            <w:pPr>
              <w:jc w:val="right"/>
              <w:rPr>
                <w:rFonts w:ascii="Arial" w:eastAsia="Times" w:hAnsi="Arial"/>
                <w:sz w:val="22"/>
              </w:rPr>
            </w:pPr>
            <w:r w:rsidRPr="00F473CD">
              <w:rPr>
                <w:rFonts w:ascii="Arial" w:eastAsia="Times" w:hAnsi="Arial"/>
                <w:sz w:val="22"/>
              </w:rPr>
              <w:t>8.75</w:t>
            </w:r>
          </w:p>
        </w:tc>
      </w:tr>
      <w:tr w:rsidR="0090466B" w:rsidRPr="00492BE7" w14:paraId="57EDD971"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7BD020C2" w14:textId="77777777" w:rsidR="0090466B" w:rsidRPr="00F473CD" w:rsidRDefault="0090466B">
            <w:pPr>
              <w:jc w:val="right"/>
              <w:rPr>
                <w:rFonts w:ascii="Arial" w:eastAsia="Times" w:hAnsi="Arial"/>
                <w:sz w:val="22"/>
              </w:rPr>
            </w:pPr>
            <w:r w:rsidRPr="00F473CD">
              <w:rPr>
                <w:rFonts w:ascii="Arial" w:eastAsia="Times" w:hAnsi="Arial"/>
                <w:sz w:val="22"/>
              </w:rPr>
              <w:t>400</w:t>
            </w:r>
          </w:p>
        </w:tc>
        <w:tc>
          <w:tcPr>
            <w:tcW w:w="1195" w:type="dxa"/>
            <w:tcBorders>
              <w:top w:val="nil"/>
              <w:left w:val="nil"/>
              <w:bottom w:val="single" w:sz="4" w:space="0" w:color="auto"/>
              <w:right w:val="single" w:sz="4" w:space="0" w:color="auto"/>
            </w:tcBorders>
            <w:noWrap/>
            <w:vAlign w:val="bottom"/>
            <w:hideMark/>
          </w:tcPr>
          <w:p w14:paraId="7A85A869" w14:textId="77777777" w:rsidR="0090466B" w:rsidRPr="00F473CD" w:rsidRDefault="0090466B">
            <w:pPr>
              <w:jc w:val="right"/>
              <w:rPr>
                <w:rFonts w:ascii="Arial" w:eastAsia="Times" w:hAnsi="Arial"/>
                <w:sz w:val="22"/>
              </w:rPr>
            </w:pPr>
            <w:r w:rsidRPr="00F473CD">
              <w:rPr>
                <w:rFonts w:ascii="Arial" w:eastAsia="Times" w:hAnsi="Arial"/>
                <w:sz w:val="22"/>
              </w:rPr>
              <w:t>499</w:t>
            </w:r>
          </w:p>
        </w:tc>
        <w:tc>
          <w:tcPr>
            <w:tcW w:w="1508" w:type="dxa"/>
            <w:tcBorders>
              <w:top w:val="nil"/>
              <w:left w:val="nil"/>
              <w:bottom w:val="single" w:sz="4" w:space="0" w:color="auto"/>
              <w:right w:val="single" w:sz="4" w:space="0" w:color="auto"/>
            </w:tcBorders>
            <w:noWrap/>
            <w:vAlign w:val="bottom"/>
            <w:hideMark/>
          </w:tcPr>
          <w:p w14:paraId="749AC0BF"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6FE16249" w14:textId="77777777" w:rsidR="0090466B" w:rsidRPr="00F473CD" w:rsidRDefault="0090466B">
            <w:pPr>
              <w:jc w:val="right"/>
              <w:rPr>
                <w:rFonts w:ascii="Arial" w:eastAsia="Times" w:hAnsi="Arial"/>
                <w:sz w:val="22"/>
              </w:rPr>
            </w:pPr>
            <w:r w:rsidRPr="00F473CD">
              <w:rPr>
                <w:rFonts w:ascii="Arial" w:eastAsia="Times" w:hAnsi="Arial"/>
                <w:sz w:val="22"/>
              </w:rPr>
              <w:t>29.5%</w:t>
            </w:r>
          </w:p>
        </w:tc>
        <w:tc>
          <w:tcPr>
            <w:tcW w:w="3402" w:type="dxa"/>
            <w:tcBorders>
              <w:top w:val="nil"/>
              <w:left w:val="nil"/>
              <w:bottom w:val="single" w:sz="4" w:space="0" w:color="auto"/>
              <w:right w:val="single" w:sz="4" w:space="0" w:color="auto"/>
            </w:tcBorders>
            <w:noWrap/>
            <w:vAlign w:val="bottom"/>
            <w:hideMark/>
          </w:tcPr>
          <w:p w14:paraId="348470F3" w14:textId="77777777" w:rsidR="0090466B" w:rsidRPr="00F473CD" w:rsidRDefault="0090466B">
            <w:pPr>
              <w:jc w:val="right"/>
              <w:rPr>
                <w:rFonts w:ascii="Arial" w:eastAsia="Times" w:hAnsi="Arial"/>
                <w:sz w:val="22"/>
              </w:rPr>
            </w:pPr>
            <w:r w:rsidRPr="00F473CD">
              <w:rPr>
                <w:rFonts w:ascii="Arial" w:eastAsia="Times" w:hAnsi="Arial"/>
                <w:sz w:val="22"/>
              </w:rPr>
              <w:t>11.06</w:t>
            </w:r>
          </w:p>
        </w:tc>
      </w:tr>
      <w:tr w:rsidR="0090466B" w:rsidRPr="00492BE7" w14:paraId="2B25E810"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5ABBA29C" w14:textId="77777777" w:rsidR="0090466B" w:rsidRPr="00F473CD" w:rsidRDefault="0090466B">
            <w:pPr>
              <w:jc w:val="right"/>
              <w:rPr>
                <w:rFonts w:ascii="Arial" w:eastAsia="Times" w:hAnsi="Arial"/>
                <w:sz w:val="22"/>
              </w:rPr>
            </w:pPr>
            <w:r w:rsidRPr="00F473CD">
              <w:rPr>
                <w:rFonts w:ascii="Arial" w:eastAsia="Times" w:hAnsi="Arial"/>
                <w:sz w:val="22"/>
              </w:rPr>
              <w:t>500</w:t>
            </w:r>
          </w:p>
        </w:tc>
        <w:tc>
          <w:tcPr>
            <w:tcW w:w="1195" w:type="dxa"/>
            <w:tcBorders>
              <w:top w:val="nil"/>
              <w:left w:val="nil"/>
              <w:bottom w:val="single" w:sz="4" w:space="0" w:color="auto"/>
              <w:right w:val="single" w:sz="4" w:space="0" w:color="auto"/>
            </w:tcBorders>
            <w:noWrap/>
            <w:vAlign w:val="bottom"/>
            <w:hideMark/>
          </w:tcPr>
          <w:p w14:paraId="6B5A1D5A" w14:textId="77777777" w:rsidR="0090466B" w:rsidRPr="00F473CD" w:rsidRDefault="0090466B">
            <w:pPr>
              <w:jc w:val="right"/>
              <w:rPr>
                <w:rFonts w:ascii="Arial" w:eastAsia="Times" w:hAnsi="Arial"/>
                <w:sz w:val="22"/>
              </w:rPr>
            </w:pPr>
            <w:r w:rsidRPr="00F473CD">
              <w:rPr>
                <w:rFonts w:ascii="Arial" w:eastAsia="Times" w:hAnsi="Arial"/>
                <w:sz w:val="22"/>
              </w:rPr>
              <w:t>599</w:t>
            </w:r>
          </w:p>
        </w:tc>
        <w:tc>
          <w:tcPr>
            <w:tcW w:w="1508" w:type="dxa"/>
            <w:tcBorders>
              <w:top w:val="nil"/>
              <w:left w:val="nil"/>
              <w:bottom w:val="single" w:sz="4" w:space="0" w:color="auto"/>
              <w:right w:val="single" w:sz="4" w:space="0" w:color="auto"/>
            </w:tcBorders>
            <w:noWrap/>
            <w:vAlign w:val="bottom"/>
            <w:hideMark/>
          </w:tcPr>
          <w:p w14:paraId="7B24E7FF"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51E52DD4" w14:textId="77777777" w:rsidR="0090466B" w:rsidRPr="00F473CD" w:rsidRDefault="0090466B">
            <w:pPr>
              <w:jc w:val="right"/>
              <w:rPr>
                <w:rFonts w:ascii="Arial" w:eastAsia="Times" w:hAnsi="Arial"/>
                <w:sz w:val="22"/>
              </w:rPr>
            </w:pPr>
            <w:r w:rsidRPr="00F473CD">
              <w:rPr>
                <w:rFonts w:ascii="Arial" w:eastAsia="Times" w:hAnsi="Arial"/>
                <w:sz w:val="22"/>
              </w:rPr>
              <w:t>29.0%</w:t>
            </w:r>
          </w:p>
        </w:tc>
        <w:tc>
          <w:tcPr>
            <w:tcW w:w="3402" w:type="dxa"/>
            <w:tcBorders>
              <w:top w:val="nil"/>
              <w:left w:val="nil"/>
              <w:bottom w:val="single" w:sz="4" w:space="0" w:color="auto"/>
              <w:right w:val="single" w:sz="4" w:space="0" w:color="auto"/>
            </w:tcBorders>
            <w:noWrap/>
            <w:vAlign w:val="bottom"/>
            <w:hideMark/>
          </w:tcPr>
          <w:p w14:paraId="601BF229" w14:textId="77777777" w:rsidR="0090466B" w:rsidRPr="00F473CD" w:rsidRDefault="0090466B">
            <w:pPr>
              <w:jc w:val="right"/>
              <w:rPr>
                <w:rFonts w:ascii="Arial" w:eastAsia="Times" w:hAnsi="Arial"/>
                <w:sz w:val="22"/>
              </w:rPr>
            </w:pPr>
            <w:r w:rsidRPr="00F473CD">
              <w:rPr>
                <w:rFonts w:ascii="Arial" w:eastAsia="Times" w:hAnsi="Arial"/>
                <w:sz w:val="22"/>
              </w:rPr>
              <w:t>13.29</w:t>
            </w:r>
          </w:p>
        </w:tc>
      </w:tr>
      <w:tr w:rsidR="0090466B" w:rsidRPr="00492BE7" w14:paraId="1590C14B"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8446721" w14:textId="77777777" w:rsidR="0090466B" w:rsidRPr="00F473CD" w:rsidRDefault="0090466B">
            <w:pPr>
              <w:jc w:val="right"/>
              <w:rPr>
                <w:rFonts w:ascii="Arial" w:eastAsia="Times" w:hAnsi="Arial"/>
                <w:sz w:val="22"/>
              </w:rPr>
            </w:pPr>
            <w:r w:rsidRPr="00F473CD">
              <w:rPr>
                <w:rFonts w:ascii="Arial" w:eastAsia="Times" w:hAnsi="Arial"/>
                <w:sz w:val="22"/>
              </w:rPr>
              <w:t>600</w:t>
            </w:r>
          </w:p>
        </w:tc>
        <w:tc>
          <w:tcPr>
            <w:tcW w:w="1195" w:type="dxa"/>
            <w:tcBorders>
              <w:top w:val="nil"/>
              <w:left w:val="nil"/>
              <w:bottom w:val="single" w:sz="4" w:space="0" w:color="auto"/>
              <w:right w:val="single" w:sz="4" w:space="0" w:color="auto"/>
            </w:tcBorders>
            <w:noWrap/>
            <w:vAlign w:val="bottom"/>
            <w:hideMark/>
          </w:tcPr>
          <w:p w14:paraId="23355B78" w14:textId="77777777" w:rsidR="0090466B" w:rsidRPr="00F473CD" w:rsidRDefault="0090466B">
            <w:pPr>
              <w:jc w:val="right"/>
              <w:rPr>
                <w:rFonts w:ascii="Arial" w:eastAsia="Times" w:hAnsi="Arial"/>
                <w:sz w:val="22"/>
              </w:rPr>
            </w:pPr>
            <w:r w:rsidRPr="00F473CD">
              <w:rPr>
                <w:rFonts w:ascii="Arial" w:eastAsia="Times" w:hAnsi="Arial"/>
                <w:sz w:val="22"/>
              </w:rPr>
              <w:t>699</w:t>
            </w:r>
          </w:p>
        </w:tc>
        <w:tc>
          <w:tcPr>
            <w:tcW w:w="1508" w:type="dxa"/>
            <w:tcBorders>
              <w:top w:val="nil"/>
              <w:left w:val="nil"/>
              <w:bottom w:val="single" w:sz="4" w:space="0" w:color="auto"/>
              <w:right w:val="single" w:sz="4" w:space="0" w:color="auto"/>
            </w:tcBorders>
            <w:noWrap/>
            <w:vAlign w:val="bottom"/>
            <w:hideMark/>
          </w:tcPr>
          <w:p w14:paraId="5102D572"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74C361DC" w14:textId="77777777" w:rsidR="0090466B" w:rsidRPr="00F473CD" w:rsidRDefault="0090466B">
            <w:pPr>
              <w:jc w:val="right"/>
              <w:rPr>
                <w:rFonts w:ascii="Arial" w:eastAsia="Times" w:hAnsi="Arial"/>
                <w:sz w:val="22"/>
              </w:rPr>
            </w:pPr>
            <w:r w:rsidRPr="00F473CD">
              <w:rPr>
                <w:rFonts w:ascii="Arial" w:eastAsia="Times" w:hAnsi="Arial"/>
                <w:sz w:val="22"/>
              </w:rPr>
              <w:t>28.5%</w:t>
            </w:r>
          </w:p>
        </w:tc>
        <w:tc>
          <w:tcPr>
            <w:tcW w:w="3402" w:type="dxa"/>
            <w:tcBorders>
              <w:top w:val="nil"/>
              <w:left w:val="nil"/>
              <w:bottom w:val="single" w:sz="4" w:space="0" w:color="auto"/>
              <w:right w:val="single" w:sz="4" w:space="0" w:color="auto"/>
            </w:tcBorders>
            <w:noWrap/>
            <w:vAlign w:val="bottom"/>
            <w:hideMark/>
          </w:tcPr>
          <w:p w14:paraId="068E20E6" w14:textId="77777777" w:rsidR="0090466B" w:rsidRPr="00F473CD" w:rsidRDefault="0090466B">
            <w:pPr>
              <w:jc w:val="right"/>
              <w:rPr>
                <w:rFonts w:ascii="Arial" w:eastAsia="Times" w:hAnsi="Arial"/>
                <w:sz w:val="22"/>
              </w:rPr>
            </w:pPr>
            <w:r w:rsidRPr="00F473CD">
              <w:rPr>
                <w:rFonts w:ascii="Arial" w:eastAsia="Times" w:hAnsi="Arial"/>
                <w:sz w:val="22"/>
              </w:rPr>
              <w:t>15.44</w:t>
            </w:r>
          </w:p>
        </w:tc>
      </w:tr>
      <w:tr w:rsidR="0090466B" w:rsidRPr="00492BE7" w14:paraId="49DDD7E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D541463" w14:textId="77777777" w:rsidR="0090466B" w:rsidRPr="00F473CD" w:rsidRDefault="0090466B">
            <w:pPr>
              <w:jc w:val="right"/>
              <w:rPr>
                <w:rFonts w:ascii="Arial" w:eastAsia="Times" w:hAnsi="Arial"/>
                <w:sz w:val="22"/>
              </w:rPr>
            </w:pPr>
            <w:r w:rsidRPr="00F473CD">
              <w:rPr>
                <w:rFonts w:ascii="Arial" w:eastAsia="Times" w:hAnsi="Arial"/>
                <w:sz w:val="22"/>
              </w:rPr>
              <w:t>700</w:t>
            </w:r>
          </w:p>
        </w:tc>
        <w:tc>
          <w:tcPr>
            <w:tcW w:w="1195" w:type="dxa"/>
            <w:tcBorders>
              <w:top w:val="nil"/>
              <w:left w:val="nil"/>
              <w:bottom w:val="single" w:sz="4" w:space="0" w:color="auto"/>
              <w:right w:val="single" w:sz="4" w:space="0" w:color="auto"/>
            </w:tcBorders>
            <w:noWrap/>
            <w:vAlign w:val="bottom"/>
            <w:hideMark/>
          </w:tcPr>
          <w:p w14:paraId="4D9F185E" w14:textId="77777777" w:rsidR="0090466B" w:rsidRPr="00F473CD" w:rsidRDefault="0090466B">
            <w:pPr>
              <w:jc w:val="right"/>
              <w:rPr>
                <w:rFonts w:ascii="Arial" w:eastAsia="Times" w:hAnsi="Arial"/>
                <w:sz w:val="22"/>
              </w:rPr>
            </w:pPr>
            <w:r w:rsidRPr="00F473CD">
              <w:rPr>
                <w:rFonts w:ascii="Arial" w:eastAsia="Times" w:hAnsi="Arial"/>
                <w:sz w:val="22"/>
              </w:rPr>
              <w:t>799</w:t>
            </w:r>
          </w:p>
        </w:tc>
        <w:tc>
          <w:tcPr>
            <w:tcW w:w="1508" w:type="dxa"/>
            <w:tcBorders>
              <w:top w:val="nil"/>
              <w:left w:val="nil"/>
              <w:bottom w:val="single" w:sz="4" w:space="0" w:color="auto"/>
              <w:right w:val="single" w:sz="4" w:space="0" w:color="auto"/>
            </w:tcBorders>
            <w:noWrap/>
            <w:vAlign w:val="bottom"/>
            <w:hideMark/>
          </w:tcPr>
          <w:p w14:paraId="6B76B878"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448FCA21" w14:textId="77777777" w:rsidR="0090466B" w:rsidRPr="00F473CD" w:rsidRDefault="0090466B">
            <w:pPr>
              <w:jc w:val="right"/>
              <w:rPr>
                <w:rFonts w:ascii="Arial" w:eastAsia="Times" w:hAnsi="Arial"/>
                <w:sz w:val="22"/>
              </w:rPr>
            </w:pPr>
            <w:r w:rsidRPr="00F473CD">
              <w:rPr>
                <w:rFonts w:ascii="Arial" w:eastAsia="Times" w:hAnsi="Arial"/>
                <w:sz w:val="22"/>
              </w:rPr>
              <w:t>28.0%</w:t>
            </w:r>
          </w:p>
        </w:tc>
        <w:tc>
          <w:tcPr>
            <w:tcW w:w="3402" w:type="dxa"/>
            <w:tcBorders>
              <w:top w:val="nil"/>
              <w:left w:val="nil"/>
              <w:bottom w:val="single" w:sz="4" w:space="0" w:color="auto"/>
              <w:right w:val="single" w:sz="4" w:space="0" w:color="auto"/>
            </w:tcBorders>
            <w:noWrap/>
            <w:vAlign w:val="bottom"/>
            <w:hideMark/>
          </w:tcPr>
          <w:p w14:paraId="5B4A3B9D" w14:textId="77777777" w:rsidR="0090466B" w:rsidRPr="00F473CD" w:rsidRDefault="0090466B">
            <w:pPr>
              <w:jc w:val="right"/>
              <w:rPr>
                <w:rFonts w:ascii="Arial" w:eastAsia="Times" w:hAnsi="Arial"/>
                <w:sz w:val="22"/>
              </w:rPr>
            </w:pPr>
            <w:r w:rsidRPr="00F473CD">
              <w:rPr>
                <w:rFonts w:ascii="Arial" w:eastAsia="Times" w:hAnsi="Arial"/>
                <w:sz w:val="22"/>
              </w:rPr>
              <w:t>17.50</w:t>
            </w:r>
          </w:p>
        </w:tc>
      </w:tr>
      <w:tr w:rsidR="0090466B" w:rsidRPr="00492BE7" w14:paraId="0C6EA5A7"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5EB02835" w14:textId="77777777" w:rsidR="0090466B" w:rsidRPr="00F473CD" w:rsidRDefault="0090466B">
            <w:pPr>
              <w:jc w:val="right"/>
              <w:rPr>
                <w:rFonts w:ascii="Arial" w:eastAsia="Times" w:hAnsi="Arial"/>
                <w:sz w:val="22"/>
              </w:rPr>
            </w:pPr>
            <w:r w:rsidRPr="00F473CD">
              <w:rPr>
                <w:rFonts w:ascii="Arial" w:eastAsia="Times" w:hAnsi="Arial"/>
                <w:sz w:val="22"/>
              </w:rPr>
              <w:t>800</w:t>
            </w:r>
          </w:p>
        </w:tc>
        <w:tc>
          <w:tcPr>
            <w:tcW w:w="1195" w:type="dxa"/>
            <w:tcBorders>
              <w:top w:val="nil"/>
              <w:left w:val="nil"/>
              <w:bottom w:val="single" w:sz="4" w:space="0" w:color="auto"/>
              <w:right w:val="single" w:sz="4" w:space="0" w:color="auto"/>
            </w:tcBorders>
            <w:noWrap/>
            <w:vAlign w:val="bottom"/>
            <w:hideMark/>
          </w:tcPr>
          <w:p w14:paraId="2703660D" w14:textId="77777777" w:rsidR="0090466B" w:rsidRPr="00F473CD" w:rsidRDefault="0090466B">
            <w:pPr>
              <w:jc w:val="right"/>
              <w:rPr>
                <w:rFonts w:ascii="Arial" w:eastAsia="Times" w:hAnsi="Arial"/>
                <w:sz w:val="22"/>
              </w:rPr>
            </w:pPr>
            <w:r w:rsidRPr="00F473CD">
              <w:rPr>
                <w:rFonts w:ascii="Arial" w:eastAsia="Times" w:hAnsi="Arial"/>
                <w:sz w:val="22"/>
              </w:rPr>
              <w:t>899</w:t>
            </w:r>
          </w:p>
        </w:tc>
        <w:tc>
          <w:tcPr>
            <w:tcW w:w="1508" w:type="dxa"/>
            <w:tcBorders>
              <w:top w:val="nil"/>
              <w:left w:val="nil"/>
              <w:bottom w:val="single" w:sz="4" w:space="0" w:color="auto"/>
              <w:right w:val="single" w:sz="4" w:space="0" w:color="auto"/>
            </w:tcBorders>
            <w:noWrap/>
            <w:vAlign w:val="bottom"/>
            <w:hideMark/>
          </w:tcPr>
          <w:p w14:paraId="486ED0AC"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5E48290E" w14:textId="77777777" w:rsidR="0090466B" w:rsidRPr="00F473CD" w:rsidRDefault="0090466B">
            <w:pPr>
              <w:jc w:val="right"/>
              <w:rPr>
                <w:rFonts w:ascii="Arial" w:eastAsia="Times" w:hAnsi="Arial"/>
                <w:sz w:val="22"/>
              </w:rPr>
            </w:pPr>
            <w:r w:rsidRPr="00F473CD">
              <w:rPr>
                <w:rFonts w:ascii="Arial" w:eastAsia="Times" w:hAnsi="Arial"/>
                <w:sz w:val="22"/>
              </w:rPr>
              <w:t>27.5%</w:t>
            </w:r>
          </w:p>
        </w:tc>
        <w:tc>
          <w:tcPr>
            <w:tcW w:w="3402" w:type="dxa"/>
            <w:tcBorders>
              <w:top w:val="nil"/>
              <w:left w:val="nil"/>
              <w:bottom w:val="single" w:sz="4" w:space="0" w:color="auto"/>
              <w:right w:val="single" w:sz="4" w:space="0" w:color="auto"/>
            </w:tcBorders>
            <w:noWrap/>
            <w:vAlign w:val="bottom"/>
            <w:hideMark/>
          </w:tcPr>
          <w:p w14:paraId="115BDE5F" w14:textId="77777777" w:rsidR="0090466B" w:rsidRPr="00F473CD" w:rsidRDefault="0090466B">
            <w:pPr>
              <w:jc w:val="right"/>
              <w:rPr>
                <w:rFonts w:ascii="Arial" w:eastAsia="Times" w:hAnsi="Arial"/>
                <w:sz w:val="22"/>
              </w:rPr>
            </w:pPr>
            <w:r w:rsidRPr="00F473CD">
              <w:rPr>
                <w:rFonts w:ascii="Arial" w:eastAsia="Times" w:hAnsi="Arial"/>
                <w:sz w:val="22"/>
              </w:rPr>
              <w:t>19.48</w:t>
            </w:r>
          </w:p>
        </w:tc>
      </w:tr>
      <w:tr w:rsidR="0090466B" w:rsidRPr="00492BE7" w14:paraId="40DF1E3C"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BD5A18E" w14:textId="77777777" w:rsidR="0090466B" w:rsidRPr="00F473CD" w:rsidRDefault="0090466B">
            <w:pPr>
              <w:jc w:val="right"/>
              <w:rPr>
                <w:rFonts w:ascii="Arial" w:eastAsia="Times" w:hAnsi="Arial"/>
                <w:sz w:val="22"/>
              </w:rPr>
            </w:pPr>
            <w:r w:rsidRPr="00F473CD">
              <w:rPr>
                <w:rFonts w:ascii="Arial" w:eastAsia="Times" w:hAnsi="Arial"/>
                <w:sz w:val="22"/>
              </w:rPr>
              <w:t>900</w:t>
            </w:r>
          </w:p>
        </w:tc>
        <w:tc>
          <w:tcPr>
            <w:tcW w:w="1195" w:type="dxa"/>
            <w:tcBorders>
              <w:top w:val="nil"/>
              <w:left w:val="nil"/>
              <w:bottom w:val="single" w:sz="4" w:space="0" w:color="auto"/>
              <w:right w:val="single" w:sz="4" w:space="0" w:color="auto"/>
            </w:tcBorders>
            <w:noWrap/>
            <w:vAlign w:val="bottom"/>
            <w:hideMark/>
          </w:tcPr>
          <w:p w14:paraId="1DA38CAB" w14:textId="77777777" w:rsidR="0090466B" w:rsidRPr="00F473CD" w:rsidRDefault="0090466B">
            <w:pPr>
              <w:jc w:val="right"/>
              <w:rPr>
                <w:rFonts w:ascii="Arial" w:eastAsia="Times" w:hAnsi="Arial"/>
                <w:sz w:val="22"/>
              </w:rPr>
            </w:pPr>
            <w:r w:rsidRPr="00F473CD">
              <w:rPr>
                <w:rFonts w:ascii="Arial" w:eastAsia="Times" w:hAnsi="Arial"/>
                <w:sz w:val="22"/>
              </w:rPr>
              <w:t>999</w:t>
            </w:r>
          </w:p>
        </w:tc>
        <w:tc>
          <w:tcPr>
            <w:tcW w:w="1508" w:type="dxa"/>
            <w:tcBorders>
              <w:top w:val="nil"/>
              <w:left w:val="nil"/>
              <w:bottom w:val="single" w:sz="4" w:space="0" w:color="auto"/>
              <w:right w:val="single" w:sz="4" w:space="0" w:color="auto"/>
            </w:tcBorders>
            <w:noWrap/>
            <w:vAlign w:val="bottom"/>
            <w:hideMark/>
          </w:tcPr>
          <w:p w14:paraId="26584BEC"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2465615F" w14:textId="77777777" w:rsidR="0090466B" w:rsidRPr="00F473CD" w:rsidRDefault="0090466B">
            <w:pPr>
              <w:jc w:val="right"/>
              <w:rPr>
                <w:rFonts w:ascii="Arial" w:eastAsia="Times" w:hAnsi="Arial"/>
                <w:sz w:val="22"/>
              </w:rPr>
            </w:pPr>
            <w:r w:rsidRPr="00F473CD">
              <w:rPr>
                <w:rFonts w:ascii="Arial" w:eastAsia="Times" w:hAnsi="Arial"/>
                <w:sz w:val="22"/>
              </w:rPr>
              <w:t>27.0%</w:t>
            </w:r>
          </w:p>
        </w:tc>
        <w:tc>
          <w:tcPr>
            <w:tcW w:w="3402" w:type="dxa"/>
            <w:tcBorders>
              <w:top w:val="nil"/>
              <w:left w:val="nil"/>
              <w:bottom w:val="single" w:sz="4" w:space="0" w:color="auto"/>
              <w:right w:val="single" w:sz="4" w:space="0" w:color="auto"/>
            </w:tcBorders>
            <w:noWrap/>
            <w:vAlign w:val="bottom"/>
            <w:hideMark/>
          </w:tcPr>
          <w:p w14:paraId="60553BAC" w14:textId="77777777" w:rsidR="0090466B" w:rsidRPr="00F473CD" w:rsidRDefault="0090466B">
            <w:pPr>
              <w:jc w:val="right"/>
              <w:rPr>
                <w:rFonts w:ascii="Arial" w:eastAsia="Times" w:hAnsi="Arial"/>
                <w:sz w:val="22"/>
              </w:rPr>
            </w:pPr>
            <w:r w:rsidRPr="00F473CD">
              <w:rPr>
                <w:rFonts w:ascii="Arial" w:eastAsia="Times" w:hAnsi="Arial"/>
                <w:sz w:val="22"/>
              </w:rPr>
              <w:t>21.38</w:t>
            </w:r>
          </w:p>
        </w:tc>
      </w:tr>
      <w:tr w:rsidR="0090466B" w:rsidRPr="00492BE7" w14:paraId="055515D5"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A97BB17" w14:textId="77777777" w:rsidR="0090466B" w:rsidRPr="00F473CD" w:rsidRDefault="0090466B">
            <w:pPr>
              <w:jc w:val="right"/>
              <w:rPr>
                <w:rFonts w:ascii="Arial" w:eastAsia="Times" w:hAnsi="Arial"/>
                <w:sz w:val="22"/>
              </w:rPr>
            </w:pPr>
            <w:r w:rsidRPr="00F473CD">
              <w:rPr>
                <w:rFonts w:ascii="Arial" w:eastAsia="Times" w:hAnsi="Arial"/>
                <w:sz w:val="22"/>
              </w:rPr>
              <w:t>1000</w:t>
            </w:r>
          </w:p>
        </w:tc>
        <w:tc>
          <w:tcPr>
            <w:tcW w:w="1195" w:type="dxa"/>
            <w:tcBorders>
              <w:top w:val="nil"/>
              <w:left w:val="nil"/>
              <w:bottom w:val="single" w:sz="4" w:space="0" w:color="auto"/>
              <w:right w:val="single" w:sz="4" w:space="0" w:color="auto"/>
            </w:tcBorders>
            <w:noWrap/>
            <w:vAlign w:val="bottom"/>
            <w:hideMark/>
          </w:tcPr>
          <w:p w14:paraId="39F12C49" w14:textId="77777777" w:rsidR="0090466B" w:rsidRPr="00F473CD" w:rsidRDefault="0090466B">
            <w:pPr>
              <w:jc w:val="right"/>
              <w:rPr>
                <w:rFonts w:ascii="Arial" w:eastAsia="Times" w:hAnsi="Arial"/>
                <w:sz w:val="22"/>
              </w:rPr>
            </w:pPr>
            <w:r w:rsidRPr="00F473CD">
              <w:rPr>
                <w:rFonts w:ascii="Arial" w:eastAsia="Times" w:hAnsi="Arial"/>
                <w:sz w:val="22"/>
              </w:rPr>
              <w:t>1099</w:t>
            </w:r>
          </w:p>
        </w:tc>
        <w:tc>
          <w:tcPr>
            <w:tcW w:w="1508" w:type="dxa"/>
            <w:tcBorders>
              <w:top w:val="nil"/>
              <w:left w:val="nil"/>
              <w:bottom w:val="single" w:sz="4" w:space="0" w:color="auto"/>
              <w:right w:val="single" w:sz="4" w:space="0" w:color="auto"/>
            </w:tcBorders>
            <w:noWrap/>
            <w:vAlign w:val="bottom"/>
            <w:hideMark/>
          </w:tcPr>
          <w:p w14:paraId="743CB892"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5881A0E3" w14:textId="77777777" w:rsidR="0090466B" w:rsidRPr="00F473CD" w:rsidRDefault="0090466B">
            <w:pPr>
              <w:jc w:val="right"/>
              <w:rPr>
                <w:rFonts w:ascii="Arial" w:eastAsia="Times" w:hAnsi="Arial"/>
                <w:sz w:val="22"/>
              </w:rPr>
            </w:pPr>
            <w:r w:rsidRPr="00F473CD">
              <w:rPr>
                <w:rFonts w:ascii="Arial" w:eastAsia="Times" w:hAnsi="Arial"/>
                <w:sz w:val="22"/>
              </w:rPr>
              <w:t>26.5%</w:t>
            </w:r>
          </w:p>
        </w:tc>
        <w:tc>
          <w:tcPr>
            <w:tcW w:w="3402" w:type="dxa"/>
            <w:tcBorders>
              <w:top w:val="nil"/>
              <w:left w:val="nil"/>
              <w:bottom w:val="single" w:sz="4" w:space="0" w:color="auto"/>
              <w:right w:val="single" w:sz="4" w:space="0" w:color="auto"/>
            </w:tcBorders>
            <w:noWrap/>
            <w:vAlign w:val="bottom"/>
            <w:hideMark/>
          </w:tcPr>
          <w:p w14:paraId="00061B61" w14:textId="77777777" w:rsidR="0090466B" w:rsidRPr="00F473CD" w:rsidRDefault="0090466B">
            <w:pPr>
              <w:jc w:val="right"/>
              <w:rPr>
                <w:rFonts w:ascii="Arial" w:eastAsia="Times" w:hAnsi="Arial"/>
                <w:sz w:val="22"/>
              </w:rPr>
            </w:pPr>
            <w:r w:rsidRPr="00F473CD">
              <w:rPr>
                <w:rFonts w:ascii="Arial" w:eastAsia="Times" w:hAnsi="Arial"/>
                <w:sz w:val="22"/>
              </w:rPr>
              <w:t>23.19</w:t>
            </w:r>
          </w:p>
        </w:tc>
      </w:tr>
      <w:tr w:rsidR="0090466B" w:rsidRPr="00492BE7" w14:paraId="73D870EA"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2C334BB2" w14:textId="77777777" w:rsidR="0090466B" w:rsidRPr="00F473CD" w:rsidRDefault="0090466B">
            <w:pPr>
              <w:jc w:val="right"/>
              <w:rPr>
                <w:rFonts w:ascii="Arial" w:eastAsia="Times" w:hAnsi="Arial"/>
                <w:sz w:val="22"/>
              </w:rPr>
            </w:pPr>
            <w:r w:rsidRPr="00F473CD">
              <w:rPr>
                <w:rFonts w:ascii="Arial" w:eastAsia="Times" w:hAnsi="Arial"/>
                <w:sz w:val="22"/>
              </w:rPr>
              <w:t>1100</w:t>
            </w:r>
          </w:p>
        </w:tc>
        <w:tc>
          <w:tcPr>
            <w:tcW w:w="1195" w:type="dxa"/>
            <w:tcBorders>
              <w:top w:val="nil"/>
              <w:left w:val="nil"/>
              <w:bottom w:val="single" w:sz="4" w:space="0" w:color="auto"/>
              <w:right w:val="single" w:sz="4" w:space="0" w:color="auto"/>
            </w:tcBorders>
            <w:noWrap/>
            <w:vAlign w:val="bottom"/>
            <w:hideMark/>
          </w:tcPr>
          <w:p w14:paraId="46EBBF74" w14:textId="77777777" w:rsidR="0090466B" w:rsidRPr="00F473CD" w:rsidRDefault="0090466B">
            <w:pPr>
              <w:jc w:val="right"/>
              <w:rPr>
                <w:rFonts w:ascii="Arial" w:eastAsia="Times" w:hAnsi="Arial"/>
                <w:sz w:val="22"/>
              </w:rPr>
            </w:pPr>
            <w:r w:rsidRPr="00F473CD">
              <w:rPr>
                <w:rFonts w:ascii="Arial" w:eastAsia="Times" w:hAnsi="Arial"/>
                <w:sz w:val="22"/>
              </w:rPr>
              <w:t>1199</w:t>
            </w:r>
          </w:p>
        </w:tc>
        <w:tc>
          <w:tcPr>
            <w:tcW w:w="1508" w:type="dxa"/>
            <w:tcBorders>
              <w:top w:val="nil"/>
              <w:left w:val="nil"/>
              <w:bottom w:val="single" w:sz="4" w:space="0" w:color="auto"/>
              <w:right w:val="single" w:sz="4" w:space="0" w:color="auto"/>
            </w:tcBorders>
            <w:noWrap/>
            <w:vAlign w:val="bottom"/>
            <w:hideMark/>
          </w:tcPr>
          <w:p w14:paraId="5D1C99F5"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2D4B3D86" w14:textId="77777777" w:rsidR="0090466B" w:rsidRPr="00F473CD" w:rsidRDefault="0090466B">
            <w:pPr>
              <w:jc w:val="right"/>
              <w:rPr>
                <w:rFonts w:ascii="Arial" w:eastAsia="Times" w:hAnsi="Arial"/>
                <w:sz w:val="22"/>
              </w:rPr>
            </w:pPr>
            <w:r w:rsidRPr="00F473CD">
              <w:rPr>
                <w:rFonts w:ascii="Arial" w:eastAsia="Times" w:hAnsi="Arial"/>
                <w:sz w:val="22"/>
              </w:rPr>
              <w:t>26.0%</w:t>
            </w:r>
          </w:p>
        </w:tc>
        <w:tc>
          <w:tcPr>
            <w:tcW w:w="3402" w:type="dxa"/>
            <w:tcBorders>
              <w:top w:val="nil"/>
              <w:left w:val="nil"/>
              <w:bottom w:val="single" w:sz="4" w:space="0" w:color="auto"/>
              <w:right w:val="single" w:sz="4" w:space="0" w:color="auto"/>
            </w:tcBorders>
            <w:noWrap/>
            <w:vAlign w:val="bottom"/>
            <w:hideMark/>
          </w:tcPr>
          <w:p w14:paraId="3A83F846" w14:textId="77777777" w:rsidR="0090466B" w:rsidRPr="00F473CD" w:rsidRDefault="0090466B">
            <w:pPr>
              <w:jc w:val="right"/>
              <w:rPr>
                <w:rFonts w:ascii="Arial" w:eastAsia="Times" w:hAnsi="Arial"/>
                <w:sz w:val="22"/>
              </w:rPr>
            </w:pPr>
            <w:r w:rsidRPr="00F473CD">
              <w:rPr>
                <w:rFonts w:ascii="Arial" w:eastAsia="Times" w:hAnsi="Arial"/>
                <w:sz w:val="22"/>
              </w:rPr>
              <w:t>24.92</w:t>
            </w:r>
          </w:p>
        </w:tc>
      </w:tr>
      <w:tr w:rsidR="0090466B" w:rsidRPr="00492BE7" w14:paraId="118C4D2B"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5170B8E4" w14:textId="77777777" w:rsidR="0090466B" w:rsidRPr="00F473CD" w:rsidRDefault="0090466B">
            <w:pPr>
              <w:jc w:val="right"/>
              <w:rPr>
                <w:rFonts w:ascii="Arial" w:eastAsia="Times" w:hAnsi="Arial"/>
                <w:sz w:val="22"/>
              </w:rPr>
            </w:pPr>
            <w:r w:rsidRPr="00F473CD">
              <w:rPr>
                <w:rFonts w:ascii="Arial" w:eastAsia="Times" w:hAnsi="Arial"/>
                <w:sz w:val="22"/>
              </w:rPr>
              <w:t>1200</w:t>
            </w:r>
          </w:p>
        </w:tc>
        <w:tc>
          <w:tcPr>
            <w:tcW w:w="1195" w:type="dxa"/>
            <w:tcBorders>
              <w:top w:val="nil"/>
              <w:left w:val="nil"/>
              <w:bottom w:val="single" w:sz="4" w:space="0" w:color="auto"/>
              <w:right w:val="single" w:sz="4" w:space="0" w:color="auto"/>
            </w:tcBorders>
            <w:noWrap/>
            <w:vAlign w:val="bottom"/>
            <w:hideMark/>
          </w:tcPr>
          <w:p w14:paraId="6C71F4A4" w14:textId="77777777" w:rsidR="0090466B" w:rsidRPr="00F473CD" w:rsidRDefault="0090466B">
            <w:pPr>
              <w:jc w:val="right"/>
              <w:rPr>
                <w:rFonts w:ascii="Arial" w:eastAsia="Times" w:hAnsi="Arial"/>
                <w:sz w:val="22"/>
              </w:rPr>
            </w:pPr>
            <w:r w:rsidRPr="00F473CD">
              <w:rPr>
                <w:rFonts w:ascii="Arial" w:eastAsia="Times" w:hAnsi="Arial"/>
                <w:sz w:val="22"/>
              </w:rPr>
              <w:t>1299</w:t>
            </w:r>
          </w:p>
        </w:tc>
        <w:tc>
          <w:tcPr>
            <w:tcW w:w="1508" w:type="dxa"/>
            <w:tcBorders>
              <w:top w:val="nil"/>
              <w:left w:val="nil"/>
              <w:bottom w:val="single" w:sz="4" w:space="0" w:color="auto"/>
              <w:right w:val="single" w:sz="4" w:space="0" w:color="auto"/>
            </w:tcBorders>
            <w:noWrap/>
            <w:vAlign w:val="bottom"/>
            <w:hideMark/>
          </w:tcPr>
          <w:p w14:paraId="6AC33468" w14:textId="77777777" w:rsidR="0090466B" w:rsidRPr="00F473CD" w:rsidRDefault="0090466B">
            <w:pPr>
              <w:jc w:val="right"/>
              <w:rPr>
                <w:rFonts w:ascii="Arial" w:eastAsia="Times" w:hAnsi="Arial"/>
                <w:sz w:val="22"/>
              </w:rPr>
            </w:pPr>
            <w:r w:rsidRPr="00F473CD">
              <w:rPr>
                <w:rFonts w:ascii="Arial" w:eastAsia="Times" w:hAnsi="Arial"/>
                <w:sz w:val="22"/>
              </w:rPr>
              <w:t>3%</w:t>
            </w:r>
          </w:p>
        </w:tc>
        <w:tc>
          <w:tcPr>
            <w:tcW w:w="2126" w:type="dxa"/>
            <w:tcBorders>
              <w:top w:val="nil"/>
              <w:left w:val="nil"/>
              <w:bottom w:val="single" w:sz="4" w:space="0" w:color="auto"/>
              <w:right w:val="single" w:sz="4" w:space="0" w:color="auto"/>
            </w:tcBorders>
            <w:noWrap/>
            <w:vAlign w:val="bottom"/>
            <w:hideMark/>
          </w:tcPr>
          <w:p w14:paraId="5DBE6B4C" w14:textId="77777777" w:rsidR="0090466B" w:rsidRPr="00F473CD" w:rsidRDefault="0090466B">
            <w:pPr>
              <w:jc w:val="right"/>
              <w:rPr>
                <w:rFonts w:ascii="Arial" w:eastAsia="Times" w:hAnsi="Arial"/>
                <w:sz w:val="22"/>
              </w:rPr>
            </w:pPr>
            <w:r w:rsidRPr="00F473CD">
              <w:rPr>
                <w:rFonts w:ascii="Arial" w:eastAsia="Times" w:hAnsi="Arial"/>
                <w:sz w:val="22"/>
              </w:rPr>
              <w:t>25.5%</w:t>
            </w:r>
          </w:p>
        </w:tc>
        <w:tc>
          <w:tcPr>
            <w:tcW w:w="3402" w:type="dxa"/>
            <w:tcBorders>
              <w:top w:val="nil"/>
              <w:left w:val="nil"/>
              <w:bottom w:val="single" w:sz="4" w:space="0" w:color="auto"/>
              <w:right w:val="single" w:sz="4" w:space="0" w:color="auto"/>
            </w:tcBorders>
            <w:noWrap/>
            <w:vAlign w:val="bottom"/>
            <w:hideMark/>
          </w:tcPr>
          <w:p w14:paraId="6D272390" w14:textId="77777777" w:rsidR="0090466B" w:rsidRPr="00F473CD" w:rsidRDefault="0090466B">
            <w:pPr>
              <w:jc w:val="right"/>
              <w:rPr>
                <w:rFonts w:ascii="Arial" w:eastAsia="Times" w:hAnsi="Arial"/>
                <w:sz w:val="22"/>
              </w:rPr>
            </w:pPr>
            <w:r w:rsidRPr="00F473CD">
              <w:rPr>
                <w:rFonts w:ascii="Arial" w:eastAsia="Times" w:hAnsi="Arial"/>
                <w:sz w:val="22"/>
              </w:rPr>
              <w:t>26.56</w:t>
            </w:r>
          </w:p>
        </w:tc>
      </w:tr>
      <w:tr w:rsidR="0090466B" w:rsidRPr="00492BE7" w14:paraId="27AA2E2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E7915DB" w14:textId="77777777" w:rsidR="0090466B" w:rsidRPr="00F473CD" w:rsidRDefault="0090466B">
            <w:pPr>
              <w:jc w:val="right"/>
              <w:rPr>
                <w:rFonts w:ascii="Arial" w:eastAsia="Times" w:hAnsi="Arial"/>
                <w:sz w:val="22"/>
              </w:rPr>
            </w:pPr>
            <w:r w:rsidRPr="00F473CD">
              <w:rPr>
                <w:rFonts w:ascii="Arial" w:eastAsia="Times" w:hAnsi="Arial"/>
                <w:sz w:val="22"/>
              </w:rPr>
              <w:t>1300</w:t>
            </w:r>
          </w:p>
        </w:tc>
        <w:tc>
          <w:tcPr>
            <w:tcW w:w="1195" w:type="dxa"/>
            <w:tcBorders>
              <w:top w:val="nil"/>
              <w:left w:val="nil"/>
              <w:bottom w:val="single" w:sz="4" w:space="0" w:color="auto"/>
              <w:right w:val="single" w:sz="4" w:space="0" w:color="auto"/>
            </w:tcBorders>
            <w:noWrap/>
            <w:vAlign w:val="bottom"/>
            <w:hideMark/>
          </w:tcPr>
          <w:p w14:paraId="164844FC" w14:textId="77777777" w:rsidR="0090466B" w:rsidRPr="00F473CD" w:rsidRDefault="0090466B">
            <w:pPr>
              <w:jc w:val="right"/>
              <w:rPr>
                <w:rFonts w:ascii="Arial" w:eastAsia="Times" w:hAnsi="Arial"/>
                <w:sz w:val="22"/>
              </w:rPr>
            </w:pPr>
            <w:r w:rsidRPr="00F473CD">
              <w:rPr>
                <w:rFonts w:ascii="Arial" w:eastAsia="Times" w:hAnsi="Arial"/>
                <w:sz w:val="22"/>
              </w:rPr>
              <w:t>1399</w:t>
            </w:r>
          </w:p>
        </w:tc>
        <w:tc>
          <w:tcPr>
            <w:tcW w:w="1508" w:type="dxa"/>
            <w:tcBorders>
              <w:top w:val="nil"/>
              <w:left w:val="nil"/>
              <w:bottom w:val="single" w:sz="4" w:space="0" w:color="auto"/>
              <w:right w:val="single" w:sz="4" w:space="0" w:color="auto"/>
            </w:tcBorders>
            <w:noWrap/>
            <w:vAlign w:val="bottom"/>
            <w:hideMark/>
          </w:tcPr>
          <w:p w14:paraId="6D8B2387" w14:textId="77777777" w:rsidR="0090466B" w:rsidRPr="00F473CD" w:rsidRDefault="0090466B">
            <w:pPr>
              <w:jc w:val="right"/>
              <w:rPr>
                <w:rFonts w:ascii="Arial" w:eastAsia="Times" w:hAnsi="Arial"/>
                <w:sz w:val="22"/>
              </w:rPr>
            </w:pPr>
            <w:r w:rsidRPr="00F473CD">
              <w:rPr>
                <w:rFonts w:ascii="Arial" w:eastAsia="Times" w:hAnsi="Arial"/>
                <w:sz w:val="22"/>
              </w:rPr>
              <w:t>4%</w:t>
            </w:r>
          </w:p>
        </w:tc>
        <w:tc>
          <w:tcPr>
            <w:tcW w:w="2126" w:type="dxa"/>
            <w:tcBorders>
              <w:top w:val="nil"/>
              <w:left w:val="nil"/>
              <w:bottom w:val="single" w:sz="4" w:space="0" w:color="auto"/>
              <w:right w:val="single" w:sz="4" w:space="0" w:color="auto"/>
            </w:tcBorders>
            <w:noWrap/>
            <w:vAlign w:val="bottom"/>
            <w:hideMark/>
          </w:tcPr>
          <w:p w14:paraId="0DDEE3CA" w14:textId="77777777" w:rsidR="0090466B" w:rsidRPr="00F473CD" w:rsidRDefault="0090466B">
            <w:pPr>
              <w:jc w:val="right"/>
              <w:rPr>
                <w:rFonts w:ascii="Arial" w:eastAsia="Times" w:hAnsi="Arial"/>
                <w:sz w:val="22"/>
              </w:rPr>
            </w:pPr>
            <w:r w:rsidRPr="00F473CD">
              <w:rPr>
                <w:rFonts w:ascii="Arial" w:eastAsia="Times" w:hAnsi="Arial"/>
                <w:sz w:val="22"/>
              </w:rPr>
              <w:t>25.0%</w:t>
            </w:r>
          </w:p>
        </w:tc>
        <w:tc>
          <w:tcPr>
            <w:tcW w:w="3402" w:type="dxa"/>
            <w:tcBorders>
              <w:top w:val="nil"/>
              <w:left w:val="nil"/>
              <w:bottom w:val="single" w:sz="4" w:space="0" w:color="auto"/>
              <w:right w:val="single" w:sz="4" w:space="0" w:color="auto"/>
            </w:tcBorders>
            <w:noWrap/>
            <w:vAlign w:val="bottom"/>
            <w:hideMark/>
          </w:tcPr>
          <w:p w14:paraId="3AD565AB" w14:textId="77777777" w:rsidR="0090466B" w:rsidRPr="00F473CD" w:rsidRDefault="0090466B">
            <w:pPr>
              <w:jc w:val="right"/>
              <w:rPr>
                <w:rFonts w:ascii="Arial" w:eastAsia="Times" w:hAnsi="Arial"/>
                <w:sz w:val="22"/>
              </w:rPr>
            </w:pPr>
            <w:r w:rsidRPr="00F473CD">
              <w:rPr>
                <w:rFonts w:ascii="Arial" w:eastAsia="Times" w:hAnsi="Arial"/>
                <w:sz w:val="22"/>
              </w:rPr>
              <w:t>28.13</w:t>
            </w:r>
          </w:p>
        </w:tc>
      </w:tr>
      <w:tr w:rsidR="0090466B" w:rsidRPr="00492BE7" w14:paraId="42E9CACE"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6BA8B7A" w14:textId="77777777" w:rsidR="0090466B" w:rsidRPr="00F473CD" w:rsidRDefault="0090466B">
            <w:pPr>
              <w:jc w:val="right"/>
              <w:rPr>
                <w:rFonts w:ascii="Arial" w:eastAsia="Times" w:hAnsi="Arial"/>
                <w:sz w:val="22"/>
              </w:rPr>
            </w:pPr>
            <w:r w:rsidRPr="00F473CD">
              <w:rPr>
                <w:rFonts w:ascii="Arial" w:eastAsia="Times" w:hAnsi="Arial"/>
                <w:sz w:val="22"/>
              </w:rPr>
              <w:t>1400</w:t>
            </w:r>
          </w:p>
        </w:tc>
        <w:tc>
          <w:tcPr>
            <w:tcW w:w="1195" w:type="dxa"/>
            <w:tcBorders>
              <w:top w:val="nil"/>
              <w:left w:val="nil"/>
              <w:bottom w:val="single" w:sz="4" w:space="0" w:color="auto"/>
              <w:right w:val="single" w:sz="4" w:space="0" w:color="auto"/>
            </w:tcBorders>
            <w:noWrap/>
            <w:vAlign w:val="bottom"/>
            <w:hideMark/>
          </w:tcPr>
          <w:p w14:paraId="7D85AF51" w14:textId="77777777" w:rsidR="0090466B" w:rsidRPr="00F473CD" w:rsidRDefault="0090466B">
            <w:pPr>
              <w:jc w:val="right"/>
              <w:rPr>
                <w:rFonts w:ascii="Arial" w:eastAsia="Times" w:hAnsi="Arial"/>
                <w:sz w:val="22"/>
              </w:rPr>
            </w:pPr>
            <w:r w:rsidRPr="00F473CD">
              <w:rPr>
                <w:rFonts w:ascii="Arial" w:eastAsia="Times" w:hAnsi="Arial"/>
                <w:sz w:val="22"/>
              </w:rPr>
              <w:t>1499</w:t>
            </w:r>
          </w:p>
        </w:tc>
        <w:tc>
          <w:tcPr>
            <w:tcW w:w="1508" w:type="dxa"/>
            <w:tcBorders>
              <w:top w:val="nil"/>
              <w:left w:val="nil"/>
              <w:bottom w:val="single" w:sz="4" w:space="0" w:color="auto"/>
              <w:right w:val="single" w:sz="4" w:space="0" w:color="auto"/>
            </w:tcBorders>
            <w:noWrap/>
            <w:vAlign w:val="bottom"/>
            <w:hideMark/>
          </w:tcPr>
          <w:p w14:paraId="0CA3BB21" w14:textId="77777777" w:rsidR="0090466B" w:rsidRPr="00F473CD" w:rsidRDefault="0090466B">
            <w:pPr>
              <w:jc w:val="right"/>
              <w:rPr>
                <w:rFonts w:ascii="Arial" w:eastAsia="Times" w:hAnsi="Arial"/>
                <w:sz w:val="22"/>
              </w:rPr>
            </w:pPr>
            <w:r w:rsidRPr="00F473CD">
              <w:rPr>
                <w:rFonts w:ascii="Arial" w:eastAsia="Times" w:hAnsi="Arial"/>
                <w:sz w:val="22"/>
              </w:rPr>
              <w:t>4%</w:t>
            </w:r>
          </w:p>
        </w:tc>
        <w:tc>
          <w:tcPr>
            <w:tcW w:w="2126" w:type="dxa"/>
            <w:tcBorders>
              <w:top w:val="nil"/>
              <w:left w:val="nil"/>
              <w:bottom w:val="single" w:sz="4" w:space="0" w:color="auto"/>
              <w:right w:val="single" w:sz="4" w:space="0" w:color="auto"/>
            </w:tcBorders>
            <w:noWrap/>
            <w:vAlign w:val="bottom"/>
            <w:hideMark/>
          </w:tcPr>
          <w:p w14:paraId="004E887B" w14:textId="77777777" w:rsidR="0090466B" w:rsidRPr="00F473CD" w:rsidRDefault="0090466B">
            <w:pPr>
              <w:jc w:val="right"/>
              <w:rPr>
                <w:rFonts w:ascii="Arial" w:eastAsia="Times" w:hAnsi="Arial"/>
                <w:sz w:val="22"/>
              </w:rPr>
            </w:pPr>
            <w:r w:rsidRPr="00F473CD">
              <w:rPr>
                <w:rFonts w:ascii="Arial" w:eastAsia="Times" w:hAnsi="Arial"/>
                <w:sz w:val="22"/>
              </w:rPr>
              <w:t>24.5%</w:t>
            </w:r>
          </w:p>
        </w:tc>
        <w:tc>
          <w:tcPr>
            <w:tcW w:w="3402" w:type="dxa"/>
            <w:tcBorders>
              <w:top w:val="nil"/>
              <w:left w:val="nil"/>
              <w:bottom w:val="single" w:sz="4" w:space="0" w:color="auto"/>
              <w:right w:val="single" w:sz="4" w:space="0" w:color="auto"/>
            </w:tcBorders>
            <w:noWrap/>
            <w:vAlign w:val="bottom"/>
            <w:hideMark/>
          </w:tcPr>
          <w:p w14:paraId="5FD67F98" w14:textId="77777777" w:rsidR="0090466B" w:rsidRPr="00F473CD" w:rsidRDefault="0090466B">
            <w:pPr>
              <w:jc w:val="right"/>
              <w:rPr>
                <w:rFonts w:ascii="Arial" w:eastAsia="Times" w:hAnsi="Arial"/>
                <w:sz w:val="22"/>
              </w:rPr>
            </w:pPr>
            <w:r w:rsidRPr="00F473CD">
              <w:rPr>
                <w:rFonts w:ascii="Arial" w:eastAsia="Times" w:hAnsi="Arial"/>
                <w:sz w:val="22"/>
              </w:rPr>
              <w:t>29.60</w:t>
            </w:r>
          </w:p>
        </w:tc>
      </w:tr>
      <w:tr w:rsidR="0090466B" w:rsidRPr="00492BE7" w14:paraId="05BEF986"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E1607DF" w14:textId="77777777" w:rsidR="0090466B" w:rsidRPr="00F473CD" w:rsidRDefault="0090466B">
            <w:pPr>
              <w:jc w:val="right"/>
              <w:rPr>
                <w:rFonts w:ascii="Arial" w:eastAsia="Times" w:hAnsi="Arial"/>
                <w:sz w:val="22"/>
              </w:rPr>
            </w:pPr>
            <w:r w:rsidRPr="00F473CD">
              <w:rPr>
                <w:rFonts w:ascii="Arial" w:eastAsia="Times" w:hAnsi="Arial"/>
                <w:sz w:val="22"/>
              </w:rPr>
              <w:t>1500</w:t>
            </w:r>
          </w:p>
        </w:tc>
        <w:tc>
          <w:tcPr>
            <w:tcW w:w="1195" w:type="dxa"/>
            <w:tcBorders>
              <w:top w:val="nil"/>
              <w:left w:val="nil"/>
              <w:bottom w:val="single" w:sz="4" w:space="0" w:color="auto"/>
              <w:right w:val="single" w:sz="4" w:space="0" w:color="auto"/>
            </w:tcBorders>
            <w:noWrap/>
            <w:vAlign w:val="bottom"/>
            <w:hideMark/>
          </w:tcPr>
          <w:p w14:paraId="4E38B0FB" w14:textId="77777777" w:rsidR="0090466B" w:rsidRPr="00F473CD" w:rsidRDefault="0090466B">
            <w:pPr>
              <w:jc w:val="right"/>
              <w:rPr>
                <w:rFonts w:ascii="Arial" w:eastAsia="Times" w:hAnsi="Arial"/>
                <w:sz w:val="22"/>
              </w:rPr>
            </w:pPr>
            <w:r w:rsidRPr="00F473CD">
              <w:rPr>
                <w:rFonts w:ascii="Arial" w:eastAsia="Times" w:hAnsi="Arial"/>
                <w:sz w:val="22"/>
              </w:rPr>
              <w:t>1599</w:t>
            </w:r>
          </w:p>
        </w:tc>
        <w:tc>
          <w:tcPr>
            <w:tcW w:w="1508" w:type="dxa"/>
            <w:tcBorders>
              <w:top w:val="nil"/>
              <w:left w:val="nil"/>
              <w:bottom w:val="single" w:sz="4" w:space="0" w:color="auto"/>
              <w:right w:val="single" w:sz="4" w:space="0" w:color="auto"/>
            </w:tcBorders>
            <w:noWrap/>
            <w:vAlign w:val="bottom"/>
            <w:hideMark/>
          </w:tcPr>
          <w:p w14:paraId="6FEA6526" w14:textId="77777777" w:rsidR="0090466B" w:rsidRPr="00F473CD" w:rsidRDefault="0090466B">
            <w:pPr>
              <w:jc w:val="right"/>
              <w:rPr>
                <w:rFonts w:ascii="Arial" w:eastAsia="Times" w:hAnsi="Arial"/>
                <w:sz w:val="22"/>
              </w:rPr>
            </w:pPr>
            <w:r w:rsidRPr="00F473CD">
              <w:rPr>
                <w:rFonts w:ascii="Arial" w:eastAsia="Times" w:hAnsi="Arial"/>
                <w:sz w:val="22"/>
              </w:rPr>
              <w:t>4%</w:t>
            </w:r>
          </w:p>
        </w:tc>
        <w:tc>
          <w:tcPr>
            <w:tcW w:w="2126" w:type="dxa"/>
            <w:tcBorders>
              <w:top w:val="nil"/>
              <w:left w:val="nil"/>
              <w:bottom w:val="single" w:sz="4" w:space="0" w:color="auto"/>
              <w:right w:val="single" w:sz="4" w:space="0" w:color="auto"/>
            </w:tcBorders>
            <w:noWrap/>
            <w:vAlign w:val="bottom"/>
            <w:hideMark/>
          </w:tcPr>
          <w:p w14:paraId="0E374617" w14:textId="77777777" w:rsidR="0090466B" w:rsidRPr="00F473CD" w:rsidRDefault="0090466B">
            <w:pPr>
              <w:jc w:val="right"/>
              <w:rPr>
                <w:rFonts w:ascii="Arial" w:eastAsia="Times" w:hAnsi="Arial"/>
                <w:sz w:val="22"/>
              </w:rPr>
            </w:pPr>
            <w:r w:rsidRPr="00F473CD">
              <w:rPr>
                <w:rFonts w:ascii="Arial" w:eastAsia="Times" w:hAnsi="Arial"/>
                <w:sz w:val="22"/>
              </w:rPr>
              <w:t>24.0%</w:t>
            </w:r>
          </w:p>
        </w:tc>
        <w:tc>
          <w:tcPr>
            <w:tcW w:w="3402" w:type="dxa"/>
            <w:tcBorders>
              <w:top w:val="nil"/>
              <w:left w:val="nil"/>
              <w:bottom w:val="single" w:sz="4" w:space="0" w:color="auto"/>
              <w:right w:val="single" w:sz="4" w:space="0" w:color="auto"/>
            </w:tcBorders>
            <w:noWrap/>
            <w:vAlign w:val="bottom"/>
            <w:hideMark/>
          </w:tcPr>
          <w:p w14:paraId="79888764" w14:textId="77777777" w:rsidR="0090466B" w:rsidRPr="00F473CD" w:rsidRDefault="0090466B">
            <w:pPr>
              <w:jc w:val="right"/>
              <w:rPr>
                <w:rFonts w:ascii="Arial" w:eastAsia="Times" w:hAnsi="Arial"/>
                <w:sz w:val="22"/>
              </w:rPr>
            </w:pPr>
            <w:r w:rsidRPr="00F473CD">
              <w:rPr>
                <w:rFonts w:ascii="Arial" w:eastAsia="Times" w:hAnsi="Arial"/>
                <w:sz w:val="22"/>
              </w:rPr>
              <w:t>31.00</w:t>
            </w:r>
          </w:p>
        </w:tc>
      </w:tr>
      <w:tr w:rsidR="0090466B" w:rsidRPr="00492BE7" w14:paraId="5318E7A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A773644" w14:textId="77777777" w:rsidR="0090466B" w:rsidRPr="00F473CD" w:rsidRDefault="0090466B">
            <w:pPr>
              <w:jc w:val="right"/>
              <w:rPr>
                <w:rFonts w:ascii="Arial" w:eastAsia="Times" w:hAnsi="Arial"/>
                <w:sz w:val="22"/>
              </w:rPr>
            </w:pPr>
            <w:r w:rsidRPr="00F473CD">
              <w:rPr>
                <w:rFonts w:ascii="Arial" w:eastAsia="Times" w:hAnsi="Arial"/>
                <w:sz w:val="22"/>
              </w:rPr>
              <w:t>1600</w:t>
            </w:r>
          </w:p>
        </w:tc>
        <w:tc>
          <w:tcPr>
            <w:tcW w:w="1195" w:type="dxa"/>
            <w:tcBorders>
              <w:top w:val="nil"/>
              <w:left w:val="nil"/>
              <w:bottom w:val="single" w:sz="4" w:space="0" w:color="auto"/>
              <w:right w:val="single" w:sz="4" w:space="0" w:color="auto"/>
            </w:tcBorders>
            <w:noWrap/>
            <w:vAlign w:val="bottom"/>
            <w:hideMark/>
          </w:tcPr>
          <w:p w14:paraId="1A69851B" w14:textId="77777777" w:rsidR="0090466B" w:rsidRPr="00F473CD" w:rsidRDefault="0090466B">
            <w:pPr>
              <w:jc w:val="right"/>
              <w:rPr>
                <w:rFonts w:ascii="Arial" w:eastAsia="Times" w:hAnsi="Arial"/>
                <w:sz w:val="22"/>
              </w:rPr>
            </w:pPr>
            <w:r w:rsidRPr="00F473CD">
              <w:rPr>
                <w:rFonts w:ascii="Arial" w:eastAsia="Times" w:hAnsi="Arial"/>
                <w:sz w:val="22"/>
              </w:rPr>
              <w:t>1699</w:t>
            </w:r>
          </w:p>
        </w:tc>
        <w:tc>
          <w:tcPr>
            <w:tcW w:w="1508" w:type="dxa"/>
            <w:tcBorders>
              <w:top w:val="nil"/>
              <w:left w:val="nil"/>
              <w:bottom w:val="single" w:sz="4" w:space="0" w:color="auto"/>
              <w:right w:val="single" w:sz="4" w:space="0" w:color="auto"/>
            </w:tcBorders>
            <w:noWrap/>
            <w:vAlign w:val="bottom"/>
            <w:hideMark/>
          </w:tcPr>
          <w:p w14:paraId="5D240B56"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4AD3DABA" w14:textId="77777777" w:rsidR="0090466B" w:rsidRPr="00F473CD" w:rsidRDefault="0090466B">
            <w:pPr>
              <w:jc w:val="right"/>
              <w:rPr>
                <w:rFonts w:ascii="Arial" w:eastAsia="Times" w:hAnsi="Arial"/>
                <w:sz w:val="22"/>
              </w:rPr>
            </w:pPr>
            <w:r w:rsidRPr="00F473CD">
              <w:rPr>
                <w:rFonts w:ascii="Arial" w:eastAsia="Times" w:hAnsi="Arial"/>
                <w:sz w:val="22"/>
              </w:rPr>
              <w:t>23.5%</w:t>
            </w:r>
          </w:p>
        </w:tc>
        <w:tc>
          <w:tcPr>
            <w:tcW w:w="3402" w:type="dxa"/>
            <w:tcBorders>
              <w:top w:val="nil"/>
              <w:left w:val="nil"/>
              <w:bottom w:val="single" w:sz="4" w:space="0" w:color="auto"/>
              <w:right w:val="single" w:sz="4" w:space="0" w:color="auto"/>
            </w:tcBorders>
            <w:noWrap/>
            <w:vAlign w:val="bottom"/>
            <w:hideMark/>
          </w:tcPr>
          <w:p w14:paraId="3C7AEE68" w14:textId="77777777" w:rsidR="0090466B" w:rsidRPr="00F473CD" w:rsidRDefault="0090466B">
            <w:pPr>
              <w:jc w:val="right"/>
              <w:rPr>
                <w:rFonts w:ascii="Arial" w:eastAsia="Times" w:hAnsi="Arial"/>
                <w:sz w:val="22"/>
              </w:rPr>
            </w:pPr>
            <w:r w:rsidRPr="00F473CD">
              <w:rPr>
                <w:rFonts w:ascii="Arial" w:eastAsia="Times" w:hAnsi="Arial"/>
                <w:sz w:val="22"/>
              </w:rPr>
              <w:t>32.31</w:t>
            </w:r>
          </w:p>
        </w:tc>
      </w:tr>
      <w:tr w:rsidR="0090466B" w:rsidRPr="00492BE7" w14:paraId="7EA3A8AE"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7D7B72F0" w14:textId="77777777" w:rsidR="0090466B" w:rsidRPr="00F473CD" w:rsidRDefault="0090466B">
            <w:pPr>
              <w:jc w:val="right"/>
              <w:rPr>
                <w:rFonts w:ascii="Arial" w:eastAsia="Times" w:hAnsi="Arial"/>
                <w:sz w:val="22"/>
              </w:rPr>
            </w:pPr>
            <w:r w:rsidRPr="00F473CD">
              <w:rPr>
                <w:rFonts w:ascii="Arial" w:eastAsia="Times" w:hAnsi="Arial"/>
                <w:sz w:val="22"/>
              </w:rPr>
              <w:t>1700</w:t>
            </w:r>
          </w:p>
        </w:tc>
        <w:tc>
          <w:tcPr>
            <w:tcW w:w="1195" w:type="dxa"/>
            <w:tcBorders>
              <w:top w:val="nil"/>
              <w:left w:val="nil"/>
              <w:bottom w:val="single" w:sz="4" w:space="0" w:color="auto"/>
              <w:right w:val="single" w:sz="4" w:space="0" w:color="auto"/>
            </w:tcBorders>
            <w:noWrap/>
            <w:vAlign w:val="bottom"/>
            <w:hideMark/>
          </w:tcPr>
          <w:p w14:paraId="03F564C4" w14:textId="77777777" w:rsidR="0090466B" w:rsidRPr="00F473CD" w:rsidRDefault="0090466B">
            <w:pPr>
              <w:jc w:val="right"/>
              <w:rPr>
                <w:rFonts w:ascii="Arial" w:eastAsia="Times" w:hAnsi="Arial"/>
                <w:sz w:val="22"/>
              </w:rPr>
            </w:pPr>
            <w:r w:rsidRPr="00F473CD">
              <w:rPr>
                <w:rFonts w:ascii="Arial" w:eastAsia="Times" w:hAnsi="Arial"/>
                <w:sz w:val="22"/>
              </w:rPr>
              <w:t>1799</w:t>
            </w:r>
          </w:p>
        </w:tc>
        <w:tc>
          <w:tcPr>
            <w:tcW w:w="1508" w:type="dxa"/>
            <w:tcBorders>
              <w:top w:val="nil"/>
              <w:left w:val="nil"/>
              <w:bottom w:val="single" w:sz="4" w:space="0" w:color="auto"/>
              <w:right w:val="single" w:sz="4" w:space="0" w:color="auto"/>
            </w:tcBorders>
            <w:noWrap/>
            <w:vAlign w:val="bottom"/>
            <w:hideMark/>
          </w:tcPr>
          <w:p w14:paraId="7827652D"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1A617579" w14:textId="77777777" w:rsidR="0090466B" w:rsidRPr="00F473CD" w:rsidRDefault="0090466B">
            <w:pPr>
              <w:jc w:val="right"/>
              <w:rPr>
                <w:rFonts w:ascii="Arial" w:eastAsia="Times" w:hAnsi="Arial"/>
                <w:sz w:val="22"/>
              </w:rPr>
            </w:pPr>
            <w:r w:rsidRPr="00F473CD">
              <w:rPr>
                <w:rFonts w:ascii="Arial" w:eastAsia="Times" w:hAnsi="Arial"/>
                <w:sz w:val="22"/>
              </w:rPr>
              <w:t>23.0%</w:t>
            </w:r>
          </w:p>
        </w:tc>
        <w:tc>
          <w:tcPr>
            <w:tcW w:w="3402" w:type="dxa"/>
            <w:tcBorders>
              <w:top w:val="nil"/>
              <w:left w:val="nil"/>
              <w:bottom w:val="single" w:sz="4" w:space="0" w:color="auto"/>
              <w:right w:val="single" w:sz="4" w:space="0" w:color="auto"/>
            </w:tcBorders>
            <w:noWrap/>
            <w:vAlign w:val="bottom"/>
            <w:hideMark/>
          </w:tcPr>
          <w:p w14:paraId="27E45BD4" w14:textId="77777777" w:rsidR="0090466B" w:rsidRPr="00F473CD" w:rsidRDefault="0090466B">
            <w:pPr>
              <w:jc w:val="right"/>
              <w:rPr>
                <w:rFonts w:ascii="Arial" w:eastAsia="Times" w:hAnsi="Arial"/>
                <w:sz w:val="22"/>
              </w:rPr>
            </w:pPr>
            <w:r w:rsidRPr="00F473CD">
              <w:rPr>
                <w:rFonts w:ascii="Arial" w:eastAsia="Times" w:hAnsi="Arial"/>
                <w:sz w:val="22"/>
              </w:rPr>
              <w:t>33.54</w:t>
            </w:r>
          </w:p>
        </w:tc>
      </w:tr>
      <w:tr w:rsidR="0090466B" w:rsidRPr="00492BE7" w14:paraId="37E0FF58"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78B2527" w14:textId="77777777" w:rsidR="0090466B" w:rsidRPr="00F473CD" w:rsidRDefault="0090466B">
            <w:pPr>
              <w:jc w:val="right"/>
              <w:rPr>
                <w:rFonts w:ascii="Arial" w:eastAsia="Times" w:hAnsi="Arial"/>
                <w:sz w:val="22"/>
              </w:rPr>
            </w:pPr>
            <w:r w:rsidRPr="00F473CD">
              <w:rPr>
                <w:rFonts w:ascii="Arial" w:eastAsia="Times" w:hAnsi="Arial"/>
                <w:sz w:val="22"/>
              </w:rPr>
              <w:t>1800</w:t>
            </w:r>
          </w:p>
        </w:tc>
        <w:tc>
          <w:tcPr>
            <w:tcW w:w="1195" w:type="dxa"/>
            <w:tcBorders>
              <w:top w:val="nil"/>
              <w:left w:val="nil"/>
              <w:bottom w:val="single" w:sz="4" w:space="0" w:color="auto"/>
              <w:right w:val="single" w:sz="4" w:space="0" w:color="auto"/>
            </w:tcBorders>
            <w:noWrap/>
            <w:vAlign w:val="bottom"/>
            <w:hideMark/>
          </w:tcPr>
          <w:p w14:paraId="601D3271" w14:textId="77777777" w:rsidR="0090466B" w:rsidRPr="00F473CD" w:rsidRDefault="0090466B">
            <w:pPr>
              <w:jc w:val="right"/>
              <w:rPr>
                <w:rFonts w:ascii="Arial" w:eastAsia="Times" w:hAnsi="Arial"/>
                <w:sz w:val="22"/>
              </w:rPr>
            </w:pPr>
            <w:r w:rsidRPr="00F473CD">
              <w:rPr>
                <w:rFonts w:ascii="Arial" w:eastAsia="Times" w:hAnsi="Arial"/>
                <w:sz w:val="22"/>
              </w:rPr>
              <w:t>1899</w:t>
            </w:r>
          </w:p>
        </w:tc>
        <w:tc>
          <w:tcPr>
            <w:tcW w:w="1508" w:type="dxa"/>
            <w:tcBorders>
              <w:top w:val="nil"/>
              <w:left w:val="nil"/>
              <w:bottom w:val="single" w:sz="4" w:space="0" w:color="auto"/>
              <w:right w:val="single" w:sz="4" w:space="0" w:color="auto"/>
            </w:tcBorders>
            <w:noWrap/>
            <w:vAlign w:val="bottom"/>
            <w:hideMark/>
          </w:tcPr>
          <w:p w14:paraId="5B24FAC2"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34B4B8EC" w14:textId="77777777" w:rsidR="0090466B" w:rsidRPr="00F473CD" w:rsidRDefault="0090466B">
            <w:pPr>
              <w:jc w:val="right"/>
              <w:rPr>
                <w:rFonts w:ascii="Arial" w:eastAsia="Times" w:hAnsi="Arial"/>
                <w:sz w:val="22"/>
              </w:rPr>
            </w:pPr>
            <w:r w:rsidRPr="00F473CD">
              <w:rPr>
                <w:rFonts w:ascii="Arial" w:eastAsia="Times" w:hAnsi="Arial"/>
                <w:sz w:val="22"/>
              </w:rPr>
              <w:t>22.8%</w:t>
            </w:r>
          </w:p>
        </w:tc>
        <w:tc>
          <w:tcPr>
            <w:tcW w:w="3402" w:type="dxa"/>
            <w:tcBorders>
              <w:top w:val="nil"/>
              <w:left w:val="nil"/>
              <w:bottom w:val="single" w:sz="4" w:space="0" w:color="auto"/>
              <w:right w:val="single" w:sz="4" w:space="0" w:color="auto"/>
            </w:tcBorders>
            <w:noWrap/>
            <w:vAlign w:val="bottom"/>
            <w:hideMark/>
          </w:tcPr>
          <w:p w14:paraId="14270469" w14:textId="77777777" w:rsidR="0090466B" w:rsidRPr="00F473CD" w:rsidRDefault="0090466B">
            <w:pPr>
              <w:jc w:val="right"/>
              <w:rPr>
                <w:rFonts w:ascii="Arial" w:eastAsia="Times" w:hAnsi="Arial"/>
                <w:sz w:val="22"/>
              </w:rPr>
            </w:pPr>
            <w:r w:rsidRPr="00F473CD">
              <w:rPr>
                <w:rFonts w:ascii="Arial" w:eastAsia="Times" w:hAnsi="Arial"/>
                <w:sz w:val="22"/>
              </w:rPr>
              <w:t>35.07</w:t>
            </w:r>
          </w:p>
        </w:tc>
      </w:tr>
      <w:tr w:rsidR="0090466B" w:rsidRPr="00492BE7" w14:paraId="33560BDE"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DB0AC95" w14:textId="77777777" w:rsidR="0090466B" w:rsidRPr="00F473CD" w:rsidRDefault="0090466B">
            <w:pPr>
              <w:jc w:val="right"/>
              <w:rPr>
                <w:rFonts w:ascii="Arial" w:eastAsia="Times" w:hAnsi="Arial"/>
                <w:sz w:val="22"/>
              </w:rPr>
            </w:pPr>
            <w:r w:rsidRPr="00F473CD">
              <w:rPr>
                <w:rFonts w:ascii="Arial" w:eastAsia="Times" w:hAnsi="Arial"/>
                <w:sz w:val="22"/>
              </w:rPr>
              <w:t>1900</w:t>
            </w:r>
          </w:p>
        </w:tc>
        <w:tc>
          <w:tcPr>
            <w:tcW w:w="1195" w:type="dxa"/>
            <w:tcBorders>
              <w:top w:val="nil"/>
              <w:left w:val="nil"/>
              <w:bottom w:val="single" w:sz="4" w:space="0" w:color="auto"/>
              <w:right w:val="single" w:sz="4" w:space="0" w:color="auto"/>
            </w:tcBorders>
            <w:noWrap/>
            <w:vAlign w:val="bottom"/>
            <w:hideMark/>
          </w:tcPr>
          <w:p w14:paraId="0DD9B343" w14:textId="77777777" w:rsidR="0090466B" w:rsidRPr="00F473CD" w:rsidRDefault="0090466B">
            <w:pPr>
              <w:jc w:val="right"/>
              <w:rPr>
                <w:rFonts w:ascii="Arial" w:eastAsia="Times" w:hAnsi="Arial"/>
                <w:sz w:val="22"/>
              </w:rPr>
            </w:pPr>
            <w:r w:rsidRPr="00F473CD">
              <w:rPr>
                <w:rFonts w:ascii="Arial" w:eastAsia="Times" w:hAnsi="Arial"/>
                <w:sz w:val="22"/>
              </w:rPr>
              <w:t>1999</w:t>
            </w:r>
          </w:p>
        </w:tc>
        <w:tc>
          <w:tcPr>
            <w:tcW w:w="1508" w:type="dxa"/>
            <w:tcBorders>
              <w:top w:val="nil"/>
              <w:left w:val="nil"/>
              <w:bottom w:val="single" w:sz="4" w:space="0" w:color="auto"/>
              <w:right w:val="single" w:sz="4" w:space="0" w:color="auto"/>
            </w:tcBorders>
            <w:noWrap/>
            <w:vAlign w:val="bottom"/>
            <w:hideMark/>
          </w:tcPr>
          <w:p w14:paraId="73BED0BA"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7A5A6308" w14:textId="77777777" w:rsidR="0090466B" w:rsidRPr="00F473CD" w:rsidRDefault="0090466B">
            <w:pPr>
              <w:jc w:val="right"/>
              <w:rPr>
                <w:rFonts w:ascii="Arial" w:eastAsia="Times" w:hAnsi="Arial"/>
                <w:sz w:val="22"/>
              </w:rPr>
            </w:pPr>
            <w:r w:rsidRPr="00F473CD">
              <w:rPr>
                <w:rFonts w:ascii="Arial" w:eastAsia="Times" w:hAnsi="Arial"/>
                <w:sz w:val="22"/>
              </w:rPr>
              <w:t>22.5%</w:t>
            </w:r>
          </w:p>
        </w:tc>
        <w:tc>
          <w:tcPr>
            <w:tcW w:w="3402" w:type="dxa"/>
            <w:tcBorders>
              <w:top w:val="nil"/>
              <w:left w:val="nil"/>
              <w:bottom w:val="single" w:sz="4" w:space="0" w:color="auto"/>
              <w:right w:val="single" w:sz="4" w:space="0" w:color="auto"/>
            </w:tcBorders>
            <w:noWrap/>
            <w:vAlign w:val="bottom"/>
            <w:hideMark/>
          </w:tcPr>
          <w:p w14:paraId="789626A9" w14:textId="77777777" w:rsidR="0090466B" w:rsidRPr="00F473CD" w:rsidRDefault="0090466B">
            <w:pPr>
              <w:jc w:val="right"/>
              <w:rPr>
                <w:rFonts w:ascii="Arial" w:eastAsia="Times" w:hAnsi="Arial"/>
                <w:sz w:val="22"/>
              </w:rPr>
            </w:pPr>
            <w:r w:rsidRPr="00F473CD">
              <w:rPr>
                <w:rFonts w:ascii="Arial" w:eastAsia="Times" w:hAnsi="Arial"/>
                <w:sz w:val="22"/>
              </w:rPr>
              <w:t>36.56</w:t>
            </w:r>
          </w:p>
        </w:tc>
      </w:tr>
      <w:tr w:rsidR="0090466B" w:rsidRPr="00492BE7" w14:paraId="65EA364D"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71221D6" w14:textId="77777777" w:rsidR="0090466B" w:rsidRPr="00F473CD" w:rsidRDefault="0090466B">
            <w:pPr>
              <w:jc w:val="right"/>
              <w:rPr>
                <w:rFonts w:ascii="Arial" w:eastAsia="Times" w:hAnsi="Arial"/>
                <w:sz w:val="22"/>
              </w:rPr>
            </w:pPr>
            <w:r w:rsidRPr="00F473CD">
              <w:rPr>
                <w:rFonts w:ascii="Arial" w:eastAsia="Times" w:hAnsi="Arial"/>
                <w:sz w:val="22"/>
              </w:rPr>
              <w:t>2000</w:t>
            </w:r>
          </w:p>
        </w:tc>
        <w:tc>
          <w:tcPr>
            <w:tcW w:w="1195" w:type="dxa"/>
            <w:tcBorders>
              <w:top w:val="nil"/>
              <w:left w:val="nil"/>
              <w:bottom w:val="single" w:sz="4" w:space="0" w:color="auto"/>
              <w:right w:val="single" w:sz="4" w:space="0" w:color="auto"/>
            </w:tcBorders>
            <w:noWrap/>
            <w:vAlign w:val="bottom"/>
            <w:hideMark/>
          </w:tcPr>
          <w:p w14:paraId="5DA8CE94" w14:textId="77777777" w:rsidR="0090466B" w:rsidRPr="00F473CD" w:rsidRDefault="0090466B">
            <w:pPr>
              <w:jc w:val="right"/>
              <w:rPr>
                <w:rFonts w:ascii="Arial" w:eastAsia="Times" w:hAnsi="Arial"/>
                <w:sz w:val="22"/>
              </w:rPr>
            </w:pPr>
            <w:r w:rsidRPr="00F473CD">
              <w:rPr>
                <w:rFonts w:ascii="Arial" w:eastAsia="Times" w:hAnsi="Arial"/>
                <w:sz w:val="22"/>
              </w:rPr>
              <w:t>2099</w:t>
            </w:r>
          </w:p>
        </w:tc>
        <w:tc>
          <w:tcPr>
            <w:tcW w:w="1508" w:type="dxa"/>
            <w:tcBorders>
              <w:top w:val="nil"/>
              <w:left w:val="nil"/>
              <w:bottom w:val="single" w:sz="4" w:space="0" w:color="auto"/>
              <w:right w:val="single" w:sz="4" w:space="0" w:color="auto"/>
            </w:tcBorders>
            <w:noWrap/>
            <w:vAlign w:val="bottom"/>
            <w:hideMark/>
          </w:tcPr>
          <w:p w14:paraId="3009FAAE"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09E2A2CE" w14:textId="77777777" w:rsidR="0090466B" w:rsidRPr="00F473CD" w:rsidRDefault="0090466B">
            <w:pPr>
              <w:jc w:val="right"/>
              <w:rPr>
                <w:rFonts w:ascii="Arial" w:eastAsia="Times" w:hAnsi="Arial"/>
                <w:sz w:val="22"/>
              </w:rPr>
            </w:pPr>
            <w:r w:rsidRPr="00F473CD">
              <w:rPr>
                <w:rFonts w:ascii="Arial" w:eastAsia="Times" w:hAnsi="Arial"/>
                <w:sz w:val="22"/>
              </w:rPr>
              <w:t>22.3%</w:t>
            </w:r>
          </w:p>
        </w:tc>
        <w:tc>
          <w:tcPr>
            <w:tcW w:w="3402" w:type="dxa"/>
            <w:tcBorders>
              <w:top w:val="nil"/>
              <w:left w:val="nil"/>
              <w:bottom w:val="single" w:sz="4" w:space="0" w:color="auto"/>
              <w:right w:val="single" w:sz="4" w:space="0" w:color="auto"/>
            </w:tcBorders>
            <w:noWrap/>
            <w:vAlign w:val="bottom"/>
            <w:hideMark/>
          </w:tcPr>
          <w:p w14:paraId="568C7826" w14:textId="77777777" w:rsidR="0090466B" w:rsidRPr="00F473CD" w:rsidRDefault="0090466B">
            <w:pPr>
              <w:jc w:val="right"/>
              <w:rPr>
                <w:rFonts w:ascii="Arial" w:eastAsia="Times" w:hAnsi="Arial"/>
                <w:sz w:val="22"/>
              </w:rPr>
            </w:pPr>
            <w:r w:rsidRPr="00F473CD">
              <w:rPr>
                <w:rFonts w:ascii="Arial" w:eastAsia="Times" w:hAnsi="Arial"/>
                <w:sz w:val="22"/>
              </w:rPr>
              <w:t>38.01</w:t>
            </w:r>
          </w:p>
        </w:tc>
      </w:tr>
      <w:tr w:rsidR="0090466B" w:rsidRPr="00492BE7" w14:paraId="148E79D2"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5320269" w14:textId="77777777" w:rsidR="0090466B" w:rsidRPr="00F473CD" w:rsidRDefault="0090466B">
            <w:pPr>
              <w:jc w:val="right"/>
              <w:rPr>
                <w:rFonts w:ascii="Arial" w:eastAsia="Times" w:hAnsi="Arial"/>
                <w:sz w:val="22"/>
              </w:rPr>
            </w:pPr>
            <w:r w:rsidRPr="00F473CD">
              <w:rPr>
                <w:rFonts w:ascii="Arial" w:eastAsia="Times" w:hAnsi="Arial"/>
                <w:sz w:val="22"/>
              </w:rPr>
              <w:t>2100</w:t>
            </w:r>
          </w:p>
        </w:tc>
        <w:tc>
          <w:tcPr>
            <w:tcW w:w="1195" w:type="dxa"/>
            <w:tcBorders>
              <w:top w:val="nil"/>
              <w:left w:val="nil"/>
              <w:bottom w:val="single" w:sz="4" w:space="0" w:color="auto"/>
              <w:right w:val="single" w:sz="4" w:space="0" w:color="auto"/>
            </w:tcBorders>
            <w:noWrap/>
            <w:vAlign w:val="bottom"/>
            <w:hideMark/>
          </w:tcPr>
          <w:p w14:paraId="4A935933" w14:textId="77777777" w:rsidR="0090466B" w:rsidRPr="00F473CD" w:rsidRDefault="0090466B">
            <w:pPr>
              <w:jc w:val="right"/>
              <w:rPr>
                <w:rFonts w:ascii="Arial" w:eastAsia="Times" w:hAnsi="Arial"/>
                <w:sz w:val="22"/>
              </w:rPr>
            </w:pPr>
            <w:r w:rsidRPr="00F473CD">
              <w:rPr>
                <w:rFonts w:ascii="Arial" w:eastAsia="Times" w:hAnsi="Arial"/>
                <w:sz w:val="22"/>
              </w:rPr>
              <w:t>2199</w:t>
            </w:r>
          </w:p>
        </w:tc>
        <w:tc>
          <w:tcPr>
            <w:tcW w:w="1508" w:type="dxa"/>
            <w:tcBorders>
              <w:top w:val="nil"/>
              <w:left w:val="nil"/>
              <w:bottom w:val="single" w:sz="4" w:space="0" w:color="auto"/>
              <w:right w:val="single" w:sz="4" w:space="0" w:color="auto"/>
            </w:tcBorders>
            <w:noWrap/>
            <w:vAlign w:val="bottom"/>
            <w:hideMark/>
          </w:tcPr>
          <w:p w14:paraId="11D1D851" w14:textId="77777777" w:rsidR="0090466B" w:rsidRPr="00F473CD" w:rsidRDefault="0090466B">
            <w:pPr>
              <w:jc w:val="right"/>
              <w:rPr>
                <w:rFonts w:ascii="Arial" w:eastAsia="Times" w:hAnsi="Arial"/>
                <w:sz w:val="22"/>
              </w:rPr>
            </w:pPr>
            <w:r w:rsidRPr="00F473CD">
              <w:rPr>
                <w:rFonts w:ascii="Arial" w:eastAsia="Times" w:hAnsi="Arial"/>
                <w:sz w:val="22"/>
              </w:rPr>
              <w:t>5%</w:t>
            </w:r>
          </w:p>
        </w:tc>
        <w:tc>
          <w:tcPr>
            <w:tcW w:w="2126" w:type="dxa"/>
            <w:tcBorders>
              <w:top w:val="nil"/>
              <w:left w:val="nil"/>
              <w:bottom w:val="single" w:sz="4" w:space="0" w:color="auto"/>
              <w:right w:val="single" w:sz="4" w:space="0" w:color="auto"/>
            </w:tcBorders>
            <w:noWrap/>
            <w:vAlign w:val="bottom"/>
            <w:hideMark/>
          </w:tcPr>
          <w:p w14:paraId="3A644649" w14:textId="77777777" w:rsidR="0090466B" w:rsidRPr="00F473CD" w:rsidRDefault="0090466B">
            <w:pPr>
              <w:jc w:val="right"/>
              <w:rPr>
                <w:rFonts w:ascii="Arial" w:eastAsia="Times" w:hAnsi="Arial"/>
                <w:sz w:val="22"/>
              </w:rPr>
            </w:pPr>
            <w:r w:rsidRPr="00F473CD">
              <w:rPr>
                <w:rFonts w:ascii="Arial" w:eastAsia="Times" w:hAnsi="Arial"/>
                <w:sz w:val="22"/>
              </w:rPr>
              <w:t>22.0%</w:t>
            </w:r>
          </w:p>
        </w:tc>
        <w:tc>
          <w:tcPr>
            <w:tcW w:w="3402" w:type="dxa"/>
            <w:tcBorders>
              <w:top w:val="nil"/>
              <w:left w:val="nil"/>
              <w:bottom w:val="single" w:sz="4" w:space="0" w:color="auto"/>
              <w:right w:val="single" w:sz="4" w:space="0" w:color="auto"/>
            </w:tcBorders>
            <w:noWrap/>
            <w:vAlign w:val="bottom"/>
            <w:hideMark/>
          </w:tcPr>
          <w:p w14:paraId="33E93477" w14:textId="77777777" w:rsidR="0090466B" w:rsidRPr="00F473CD" w:rsidRDefault="0090466B">
            <w:pPr>
              <w:jc w:val="right"/>
              <w:rPr>
                <w:rFonts w:ascii="Arial" w:eastAsia="Times" w:hAnsi="Arial"/>
                <w:sz w:val="22"/>
              </w:rPr>
            </w:pPr>
            <w:r w:rsidRPr="00F473CD">
              <w:rPr>
                <w:rFonts w:ascii="Arial" w:eastAsia="Times" w:hAnsi="Arial"/>
                <w:sz w:val="22"/>
              </w:rPr>
              <w:t>39.42</w:t>
            </w:r>
          </w:p>
        </w:tc>
      </w:tr>
      <w:tr w:rsidR="0090466B" w:rsidRPr="00492BE7" w14:paraId="3F4710F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8E436CB" w14:textId="77777777" w:rsidR="0090466B" w:rsidRPr="00F473CD" w:rsidRDefault="0090466B">
            <w:pPr>
              <w:jc w:val="right"/>
              <w:rPr>
                <w:rFonts w:ascii="Arial" w:eastAsia="Times" w:hAnsi="Arial"/>
                <w:sz w:val="22"/>
              </w:rPr>
            </w:pPr>
            <w:r w:rsidRPr="00F473CD">
              <w:rPr>
                <w:rFonts w:ascii="Arial" w:eastAsia="Times" w:hAnsi="Arial"/>
                <w:sz w:val="22"/>
              </w:rPr>
              <w:t>2200</w:t>
            </w:r>
          </w:p>
        </w:tc>
        <w:tc>
          <w:tcPr>
            <w:tcW w:w="1195" w:type="dxa"/>
            <w:tcBorders>
              <w:top w:val="nil"/>
              <w:left w:val="nil"/>
              <w:bottom w:val="single" w:sz="4" w:space="0" w:color="auto"/>
              <w:right w:val="single" w:sz="4" w:space="0" w:color="auto"/>
            </w:tcBorders>
            <w:noWrap/>
            <w:vAlign w:val="bottom"/>
            <w:hideMark/>
          </w:tcPr>
          <w:p w14:paraId="2616EADB" w14:textId="77777777" w:rsidR="0090466B" w:rsidRPr="00F473CD" w:rsidRDefault="0090466B">
            <w:pPr>
              <w:jc w:val="right"/>
              <w:rPr>
                <w:rFonts w:ascii="Arial" w:eastAsia="Times" w:hAnsi="Arial"/>
                <w:sz w:val="22"/>
              </w:rPr>
            </w:pPr>
            <w:r w:rsidRPr="00F473CD">
              <w:rPr>
                <w:rFonts w:ascii="Arial" w:eastAsia="Times" w:hAnsi="Arial"/>
                <w:sz w:val="22"/>
              </w:rPr>
              <w:t>2299</w:t>
            </w:r>
          </w:p>
        </w:tc>
        <w:tc>
          <w:tcPr>
            <w:tcW w:w="1508" w:type="dxa"/>
            <w:tcBorders>
              <w:top w:val="nil"/>
              <w:left w:val="nil"/>
              <w:bottom w:val="single" w:sz="4" w:space="0" w:color="auto"/>
              <w:right w:val="single" w:sz="4" w:space="0" w:color="auto"/>
            </w:tcBorders>
            <w:noWrap/>
            <w:vAlign w:val="bottom"/>
            <w:hideMark/>
          </w:tcPr>
          <w:p w14:paraId="583C969E" w14:textId="77777777" w:rsidR="0090466B" w:rsidRPr="00F473CD" w:rsidRDefault="0090466B">
            <w:pPr>
              <w:jc w:val="right"/>
              <w:rPr>
                <w:rFonts w:ascii="Arial" w:eastAsia="Times" w:hAnsi="Arial"/>
                <w:sz w:val="22"/>
              </w:rPr>
            </w:pPr>
            <w:r w:rsidRPr="00F473CD">
              <w:rPr>
                <w:rFonts w:ascii="Arial" w:eastAsia="Times" w:hAnsi="Arial"/>
                <w:sz w:val="22"/>
              </w:rPr>
              <w:t>4%</w:t>
            </w:r>
          </w:p>
        </w:tc>
        <w:tc>
          <w:tcPr>
            <w:tcW w:w="2126" w:type="dxa"/>
            <w:tcBorders>
              <w:top w:val="nil"/>
              <w:left w:val="nil"/>
              <w:bottom w:val="single" w:sz="4" w:space="0" w:color="auto"/>
              <w:right w:val="single" w:sz="4" w:space="0" w:color="auto"/>
            </w:tcBorders>
            <w:noWrap/>
            <w:vAlign w:val="bottom"/>
            <w:hideMark/>
          </w:tcPr>
          <w:p w14:paraId="276B1B0B" w14:textId="77777777" w:rsidR="0090466B" w:rsidRPr="00F473CD" w:rsidRDefault="0090466B">
            <w:pPr>
              <w:jc w:val="right"/>
              <w:rPr>
                <w:rFonts w:ascii="Arial" w:eastAsia="Times" w:hAnsi="Arial"/>
                <w:sz w:val="22"/>
              </w:rPr>
            </w:pPr>
            <w:r w:rsidRPr="00F473CD">
              <w:rPr>
                <w:rFonts w:ascii="Arial" w:eastAsia="Times" w:hAnsi="Arial"/>
                <w:sz w:val="22"/>
              </w:rPr>
              <w:t>21.8%</w:t>
            </w:r>
          </w:p>
        </w:tc>
        <w:tc>
          <w:tcPr>
            <w:tcW w:w="3402" w:type="dxa"/>
            <w:tcBorders>
              <w:top w:val="nil"/>
              <w:left w:val="nil"/>
              <w:bottom w:val="single" w:sz="4" w:space="0" w:color="auto"/>
              <w:right w:val="single" w:sz="4" w:space="0" w:color="auto"/>
            </w:tcBorders>
            <w:noWrap/>
            <w:vAlign w:val="bottom"/>
            <w:hideMark/>
          </w:tcPr>
          <w:p w14:paraId="52F94133" w14:textId="77777777" w:rsidR="0090466B" w:rsidRPr="00F473CD" w:rsidRDefault="0090466B">
            <w:pPr>
              <w:jc w:val="right"/>
              <w:rPr>
                <w:rFonts w:ascii="Arial" w:eastAsia="Times" w:hAnsi="Arial"/>
                <w:sz w:val="22"/>
              </w:rPr>
            </w:pPr>
            <w:r w:rsidRPr="00F473CD">
              <w:rPr>
                <w:rFonts w:ascii="Arial" w:eastAsia="Times" w:hAnsi="Arial"/>
                <w:sz w:val="22"/>
              </w:rPr>
              <w:t>40.78</w:t>
            </w:r>
          </w:p>
        </w:tc>
      </w:tr>
      <w:tr w:rsidR="0090466B" w:rsidRPr="00492BE7" w14:paraId="6B92BEF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246228CC" w14:textId="77777777" w:rsidR="0090466B" w:rsidRPr="00F473CD" w:rsidRDefault="0090466B">
            <w:pPr>
              <w:jc w:val="right"/>
              <w:rPr>
                <w:rFonts w:ascii="Arial" w:eastAsia="Times" w:hAnsi="Arial"/>
                <w:sz w:val="22"/>
              </w:rPr>
            </w:pPr>
            <w:r w:rsidRPr="00F473CD">
              <w:rPr>
                <w:rFonts w:ascii="Arial" w:eastAsia="Times" w:hAnsi="Arial"/>
                <w:sz w:val="22"/>
              </w:rPr>
              <w:t>2300</w:t>
            </w:r>
          </w:p>
        </w:tc>
        <w:tc>
          <w:tcPr>
            <w:tcW w:w="1195" w:type="dxa"/>
            <w:tcBorders>
              <w:top w:val="nil"/>
              <w:left w:val="nil"/>
              <w:bottom w:val="single" w:sz="4" w:space="0" w:color="auto"/>
              <w:right w:val="single" w:sz="4" w:space="0" w:color="auto"/>
            </w:tcBorders>
            <w:noWrap/>
            <w:vAlign w:val="bottom"/>
            <w:hideMark/>
          </w:tcPr>
          <w:p w14:paraId="64C3F0E0" w14:textId="77777777" w:rsidR="0090466B" w:rsidRPr="00F473CD" w:rsidRDefault="0090466B">
            <w:pPr>
              <w:jc w:val="right"/>
              <w:rPr>
                <w:rFonts w:ascii="Arial" w:eastAsia="Times" w:hAnsi="Arial"/>
                <w:sz w:val="22"/>
              </w:rPr>
            </w:pPr>
            <w:r w:rsidRPr="00F473CD">
              <w:rPr>
                <w:rFonts w:ascii="Arial" w:eastAsia="Times" w:hAnsi="Arial"/>
                <w:sz w:val="22"/>
              </w:rPr>
              <w:t>2399</w:t>
            </w:r>
          </w:p>
        </w:tc>
        <w:tc>
          <w:tcPr>
            <w:tcW w:w="1508" w:type="dxa"/>
            <w:tcBorders>
              <w:top w:val="nil"/>
              <w:left w:val="nil"/>
              <w:bottom w:val="single" w:sz="4" w:space="0" w:color="auto"/>
              <w:right w:val="single" w:sz="4" w:space="0" w:color="auto"/>
            </w:tcBorders>
            <w:noWrap/>
            <w:vAlign w:val="bottom"/>
            <w:hideMark/>
          </w:tcPr>
          <w:p w14:paraId="4BFCA840" w14:textId="77777777" w:rsidR="0090466B" w:rsidRPr="00F473CD" w:rsidRDefault="0090466B">
            <w:pPr>
              <w:jc w:val="right"/>
              <w:rPr>
                <w:rFonts w:ascii="Arial" w:eastAsia="Times" w:hAnsi="Arial"/>
                <w:sz w:val="22"/>
              </w:rPr>
            </w:pPr>
            <w:r w:rsidRPr="00F473CD">
              <w:rPr>
                <w:rFonts w:ascii="Arial" w:eastAsia="Times" w:hAnsi="Arial"/>
                <w:sz w:val="22"/>
              </w:rPr>
              <w:t>4%</w:t>
            </w:r>
          </w:p>
        </w:tc>
        <w:tc>
          <w:tcPr>
            <w:tcW w:w="2126" w:type="dxa"/>
            <w:tcBorders>
              <w:top w:val="nil"/>
              <w:left w:val="nil"/>
              <w:bottom w:val="single" w:sz="4" w:space="0" w:color="auto"/>
              <w:right w:val="single" w:sz="4" w:space="0" w:color="auto"/>
            </w:tcBorders>
            <w:noWrap/>
            <w:vAlign w:val="bottom"/>
            <w:hideMark/>
          </w:tcPr>
          <w:p w14:paraId="36CF8827" w14:textId="77777777" w:rsidR="0090466B" w:rsidRPr="00F473CD" w:rsidRDefault="0090466B">
            <w:pPr>
              <w:jc w:val="right"/>
              <w:rPr>
                <w:rFonts w:ascii="Arial" w:eastAsia="Times" w:hAnsi="Arial"/>
                <w:sz w:val="22"/>
              </w:rPr>
            </w:pPr>
            <w:r w:rsidRPr="00F473CD">
              <w:rPr>
                <w:rFonts w:ascii="Arial" w:eastAsia="Times" w:hAnsi="Arial"/>
                <w:sz w:val="22"/>
              </w:rPr>
              <w:t>21.5%</w:t>
            </w:r>
          </w:p>
        </w:tc>
        <w:tc>
          <w:tcPr>
            <w:tcW w:w="3402" w:type="dxa"/>
            <w:tcBorders>
              <w:top w:val="nil"/>
              <w:left w:val="nil"/>
              <w:bottom w:val="single" w:sz="4" w:space="0" w:color="auto"/>
              <w:right w:val="single" w:sz="4" w:space="0" w:color="auto"/>
            </w:tcBorders>
            <w:noWrap/>
            <w:vAlign w:val="bottom"/>
            <w:hideMark/>
          </w:tcPr>
          <w:p w14:paraId="52A6FF08" w14:textId="77777777" w:rsidR="0090466B" w:rsidRPr="00F473CD" w:rsidRDefault="0090466B">
            <w:pPr>
              <w:jc w:val="right"/>
              <w:rPr>
                <w:rFonts w:ascii="Arial" w:eastAsia="Times" w:hAnsi="Arial"/>
                <w:sz w:val="22"/>
              </w:rPr>
            </w:pPr>
            <w:r w:rsidRPr="00F473CD">
              <w:rPr>
                <w:rFonts w:ascii="Arial" w:eastAsia="Times" w:hAnsi="Arial"/>
                <w:sz w:val="22"/>
              </w:rPr>
              <w:t>42.10</w:t>
            </w:r>
          </w:p>
        </w:tc>
      </w:tr>
      <w:tr w:rsidR="0090466B" w:rsidRPr="00492BE7" w14:paraId="018DE8D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77B489CD" w14:textId="77777777" w:rsidR="0090466B" w:rsidRPr="00F473CD" w:rsidRDefault="0090466B">
            <w:pPr>
              <w:jc w:val="right"/>
              <w:rPr>
                <w:rFonts w:ascii="Arial" w:eastAsia="Times" w:hAnsi="Arial"/>
                <w:sz w:val="22"/>
              </w:rPr>
            </w:pPr>
            <w:r w:rsidRPr="00F473CD">
              <w:rPr>
                <w:rFonts w:ascii="Arial" w:eastAsia="Times" w:hAnsi="Arial"/>
                <w:sz w:val="22"/>
              </w:rPr>
              <w:t>2400</w:t>
            </w:r>
          </w:p>
        </w:tc>
        <w:tc>
          <w:tcPr>
            <w:tcW w:w="1195" w:type="dxa"/>
            <w:tcBorders>
              <w:top w:val="nil"/>
              <w:left w:val="nil"/>
              <w:bottom w:val="single" w:sz="4" w:space="0" w:color="auto"/>
              <w:right w:val="single" w:sz="4" w:space="0" w:color="auto"/>
            </w:tcBorders>
            <w:noWrap/>
            <w:vAlign w:val="bottom"/>
            <w:hideMark/>
          </w:tcPr>
          <w:p w14:paraId="641784B7" w14:textId="77777777" w:rsidR="0090466B" w:rsidRPr="00F473CD" w:rsidRDefault="0090466B">
            <w:pPr>
              <w:jc w:val="right"/>
              <w:rPr>
                <w:rFonts w:ascii="Arial" w:eastAsia="Times" w:hAnsi="Arial"/>
                <w:sz w:val="22"/>
              </w:rPr>
            </w:pPr>
            <w:r w:rsidRPr="00F473CD">
              <w:rPr>
                <w:rFonts w:ascii="Arial" w:eastAsia="Times" w:hAnsi="Arial"/>
                <w:sz w:val="22"/>
              </w:rPr>
              <w:t>2499</w:t>
            </w:r>
          </w:p>
        </w:tc>
        <w:tc>
          <w:tcPr>
            <w:tcW w:w="1508" w:type="dxa"/>
            <w:tcBorders>
              <w:top w:val="nil"/>
              <w:left w:val="nil"/>
              <w:bottom w:val="single" w:sz="4" w:space="0" w:color="auto"/>
              <w:right w:val="single" w:sz="4" w:space="0" w:color="auto"/>
            </w:tcBorders>
            <w:noWrap/>
            <w:vAlign w:val="bottom"/>
            <w:hideMark/>
          </w:tcPr>
          <w:p w14:paraId="754B5B6F" w14:textId="77777777" w:rsidR="0090466B" w:rsidRPr="00F473CD" w:rsidRDefault="0090466B">
            <w:pPr>
              <w:jc w:val="right"/>
              <w:rPr>
                <w:rFonts w:ascii="Arial" w:eastAsia="Times" w:hAnsi="Arial"/>
                <w:sz w:val="22"/>
              </w:rPr>
            </w:pPr>
            <w:r w:rsidRPr="00F473CD">
              <w:rPr>
                <w:rFonts w:ascii="Arial" w:eastAsia="Times" w:hAnsi="Arial"/>
                <w:sz w:val="22"/>
              </w:rPr>
              <w:t>3%</w:t>
            </w:r>
          </w:p>
        </w:tc>
        <w:tc>
          <w:tcPr>
            <w:tcW w:w="2126" w:type="dxa"/>
            <w:tcBorders>
              <w:top w:val="nil"/>
              <w:left w:val="nil"/>
              <w:bottom w:val="single" w:sz="4" w:space="0" w:color="auto"/>
              <w:right w:val="single" w:sz="4" w:space="0" w:color="auto"/>
            </w:tcBorders>
            <w:noWrap/>
            <w:vAlign w:val="bottom"/>
            <w:hideMark/>
          </w:tcPr>
          <w:p w14:paraId="66FFB44C" w14:textId="77777777" w:rsidR="0090466B" w:rsidRPr="00F473CD" w:rsidRDefault="0090466B">
            <w:pPr>
              <w:jc w:val="right"/>
              <w:rPr>
                <w:rFonts w:ascii="Arial" w:eastAsia="Times" w:hAnsi="Arial"/>
                <w:sz w:val="22"/>
              </w:rPr>
            </w:pPr>
            <w:r w:rsidRPr="00F473CD">
              <w:rPr>
                <w:rFonts w:ascii="Arial" w:eastAsia="Times" w:hAnsi="Arial"/>
                <w:sz w:val="22"/>
              </w:rPr>
              <w:t>21.3%</w:t>
            </w:r>
          </w:p>
        </w:tc>
        <w:tc>
          <w:tcPr>
            <w:tcW w:w="3402" w:type="dxa"/>
            <w:tcBorders>
              <w:top w:val="nil"/>
              <w:left w:val="nil"/>
              <w:bottom w:val="single" w:sz="4" w:space="0" w:color="auto"/>
              <w:right w:val="single" w:sz="4" w:space="0" w:color="auto"/>
            </w:tcBorders>
            <w:noWrap/>
            <w:vAlign w:val="bottom"/>
            <w:hideMark/>
          </w:tcPr>
          <w:p w14:paraId="7AB4B4ED" w14:textId="77777777" w:rsidR="0090466B" w:rsidRPr="00F473CD" w:rsidRDefault="0090466B">
            <w:pPr>
              <w:jc w:val="right"/>
              <w:rPr>
                <w:rFonts w:ascii="Arial" w:eastAsia="Times" w:hAnsi="Arial"/>
                <w:sz w:val="22"/>
              </w:rPr>
            </w:pPr>
            <w:r w:rsidRPr="00F473CD">
              <w:rPr>
                <w:rFonts w:ascii="Arial" w:eastAsia="Times" w:hAnsi="Arial"/>
                <w:sz w:val="22"/>
              </w:rPr>
              <w:t>43.39</w:t>
            </w:r>
          </w:p>
        </w:tc>
      </w:tr>
      <w:tr w:rsidR="0090466B" w:rsidRPr="00492BE7" w14:paraId="1267FDA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C29C2E4" w14:textId="77777777" w:rsidR="0090466B" w:rsidRPr="00F473CD" w:rsidRDefault="0090466B">
            <w:pPr>
              <w:jc w:val="right"/>
              <w:rPr>
                <w:rFonts w:ascii="Arial" w:eastAsia="Times" w:hAnsi="Arial"/>
                <w:sz w:val="22"/>
              </w:rPr>
            </w:pPr>
            <w:r w:rsidRPr="00F473CD">
              <w:rPr>
                <w:rFonts w:ascii="Arial" w:eastAsia="Times" w:hAnsi="Arial"/>
                <w:sz w:val="22"/>
              </w:rPr>
              <w:lastRenderedPageBreak/>
              <w:t>2500</w:t>
            </w:r>
          </w:p>
        </w:tc>
        <w:tc>
          <w:tcPr>
            <w:tcW w:w="1195" w:type="dxa"/>
            <w:tcBorders>
              <w:top w:val="nil"/>
              <w:left w:val="nil"/>
              <w:bottom w:val="single" w:sz="4" w:space="0" w:color="auto"/>
              <w:right w:val="single" w:sz="4" w:space="0" w:color="auto"/>
            </w:tcBorders>
            <w:noWrap/>
            <w:vAlign w:val="bottom"/>
            <w:hideMark/>
          </w:tcPr>
          <w:p w14:paraId="29266F4F" w14:textId="77777777" w:rsidR="0090466B" w:rsidRPr="00F473CD" w:rsidRDefault="0090466B">
            <w:pPr>
              <w:jc w:val="right"/>
              <w:rPr>
                <w:rFonts w:ascii="Arial" w:eastAsia="Times" w:hAnsi="Arial"/>
                <w:sz w:val="22"/>
              </w:rPr>
            </w:pPr>
            <w:r w:rsidRPr="00F473CD">
              <w:rPr>
                <w:rFonts w:ascii="Arial" w:eastAsia="Times" w:hAnsi="Arial"/>
                <w:sz w:val="22"/>
              </w:rPr>
              <w:t>2599</w:t>
            </w:r>
          </w:p>
        </w:tc>
        <w:tc>
          <w:tcPr>
            <w:tcW w:w="1508" w:type="dxa"/>
            <w:tcBorders>
              <w:top w:val="nil"/>
              <w:left w:val="nil"/>
              <w:bottom w:val="single" w:sz="4" w:space="0" w:color="auto"/>
              <w:right w:val="single" w:sz="4" w:space="0" w:color="auto"/>
            </w:tcBorders>
            <w:noWrap/>
            <w:vAlign w:val="bottom"/>
            <w:hideMark/>
          </w:tcPr>
          <w:p w14:paraId="4288FDC5" w14:textId="77777777" w:rsidR="0090466B" w:rsidRPr="00F473CD" w:rsidRDefault="0090466B">
            <w:pPr>
              <w:jc w:val="right"/>
              <w:rPr>
                <w:rFonts w:ascii="Arial" w:eastAsia="Times" w:hAnsi="Arial"/>
                <w:sz w:val="22"/>
              </w:rPr>
            </w:pPr>
            <w:r w:rsidRPr="00F473CD">
              <w:rPr>
                <w:rFonts w:ascii="Arial" w:eastAsia="Times" w:hAnsi="Arial"/>
                <w:sz w:val="22"/>
              </w:rPr>
              <w:t>3%</w:t>
            </w:r>
          </w:p>
        </w:tc>
        <w:tc>
          <w:tcPr>
            <w:tcW w:w="2126" w:type="dxa"/>
            <w:tcBorders>
              <w:top w:val="nil"/>
              <w:left w:val="nil"/>
              <w:bottom w:val="single" w:sz="4" w:space="0" w:color="auto"/>
              <w:right w:val="single" w:sz="4" w:space="0" w:color="auto"/>
            </w:tcBorders>
            <w:noWrap/>
            <w:vAlign w:val="bottom"/>
            <w:hideMark/>
          </w:tcPr>
          <w:p w14:paraId="1C7C40C4" w14:textId="77777777" w:rsidR="0090466B" w:rsidRPr="00F473CD" w:rsidRDefault="0090466B">
            <w:pPr>
              <w:jc w:val="right"/>
              <w:rPr>
                <w:rFonts w:ascii="Arial" w:eastAsia="Times" w:hAnsi="Arial"/>
                <w:sz w:val="22"/>
              </w:rPr>
            </w:pPr>
            <w:r w:rsidRPr="00F473CD">
              <w:rPr>
                <w:rFonts w:ascii="Arial" w:eastAsia="Times" w:hAnsi="Arial"/>
                <w:sz w:val="22"/>
              </w:rPr>
              <w:t>21.0%</w:t>
            </w:r>
          </w:p>
        </w:tc>
        <w:tc>
          <w:tcPr>
            <w:tcW w:w="3402" w:type="dxa"/>
            <w:tcBorders>
              <w:top w:val="nil"/>
              <w:left w:val="nil"/>
              <w:bottom w:val="single" w:sz="4" w:space="0" w:color="auto"/>
              <w:right w:val="single" w:sz="4" w:space="0" w:color="auto"/>
            </w:tcBorders>
            <w:noWrap/>
            <w:vAlign w:val="bottom"/>
            <w:hideMark/>
          </w:tcPr>
          <w:p w14:paraId="65CD5CA4" w14:textId="77777777" w:rsidR="0090466B" w:rsidRPr="00F473CD" w:rsidRDefault="0090466B">
            <w:pPr>
              <w:jc w:val="right"/>
              <w:rPr>
                <w:rFonts w:ascii="Arial" w:eastAsia="Times" w:hAnsi="Arial"/>
                <w:sz w:val="22"/>
              </w:rPr>
            </w:pPr>
            <w:r w:rsidRPr="00F473CD">
              <w:rPr>
                <w:rFonts w:ascii="Arial" w:eastAsia="Times" w:hAnsi="Arial"/>
                <w:sz w:val="22"/>
              </w:rPr>
              <w:t>44.63</w:t>
            </w:r>
          </w:p>
        </w:tc>
      </w:tr>
      <w:tr w:rsidR="0090466B" w:rsidRPr="00492BE7" w14:paraId="44707E7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A7BF0F3" w14:textId="77777777" w:rsidR="0090466B" w:rsidRPr="00F473CD" w:rsidRDefault="0090466B">
            <w:pPr>
              <w:jc w:val="right"/>
              <w:rPr>
                <w:rFonts w:ascii="Arial" w:eastAsia="Times" w:hAnsi="Arial"/>
                <w:sz w:val="22"/>
              </w:rPr>
            </w:pPr>
            <w:r w:rsidRPr="00F473CD">
              <w:rPr>
                <w:rFonts w:ascii="Arial" w:eastAsia="Times" w:hAnsi="Arial"/>
                <w:sz w:val="22"/>
              </w:rPr>
              <w:t>2600</w:t>
            </w:r>
          </w:p>
        </w:tc>
        <w:tc>
          <w:tcPr>
            <w:tcW w:w="1195" w:type="dxa"/>
            <w:tcBorders>
              <w:top w:val="nil"/>
              <w:left w:val="nil"/>
              <w:bottom w:val="single" w:sz="4" w:space="0" w:color="auto"/>
              <w:right w:val="single" w:sz="4" w:space="0" w:color="auto"/>
            </w:tcBorders>
            <w:noWrap/>
            <w:vAlign w:val="bottom"/>
            <w:hideMark/>
          </w:tcPr>
          <w:p w14:paraId="3FD773F8" w14:textId="77777777" w:rsidR="0090466B" w:rsidRPr="00F473CD" w:rsidRDefault="0090466B">
            <w:pPr>
              <w:jc w:val="right"/>
              <w:rPr>
                <w:rFonts w:ascii="Arial" w:eastAsia="Times" w:hAnsi="Arial"/>
                <w:sz w:val="22"/>
              </w:rPr>
            </w:pPr>
            <w:r w:rsidRPr="00F473CD">
              <w:rPr>
                <w:rFonts w:ascii="Arial" w:eastAsia="Times" w:hAnsi="Arial"/>
                <w:sz w:val="22"/>
              </w:rPr>
              <w:t>2699</w:t>
            </w:r>
          </w:p>
        </w:tc>
        <w:tc>
          <w:tcPr>
            <w:tcW w:w="1508" w:type="dxa"/>
            <w:tcBorders>
              <w:top w:val="nil"/>
              <w:left w:val="nil"/>
              <w:bottom w:val="single" w:sz="4" w:space="0" w:color="auto"/>
              <w:right w:val="single" w:sz="4" w:space="0" w:color="auto"/>
            </w:tcBorders>
            <w:noWrap/>
            <w:vAlign w:val="bottom"/>
            <w:hideMark/>
          </w:tcPr>
          <w:p w14:paraId="4788B4D4" w14:textId="77777777" w:rsidR="0090466B" w:rsidRPr="00F473CD" w:rsidRDefault="0090466B">
            <w:pPr>
              <w:jc w:val="right"/>
              <w:rPr>
                <w:rFonts w:ascii="Arial" w:eastAsia="Times" w:hAnsi="Arial"/>
                <w:sz w:val="22"/>
              </w:rPr>
            </w:pPr>
            <w:r w:rsidRPr="00F473CD">
              <w:rPr>
                <w:rFonts w:ascii="Arial" w:eastAsia="Times" w:hAnsi="Arial"/>
                <w:sz w:val="22"/>
              </w:rPr>
              <w:t>3%</w:t>
            </w:r>
          </w:p>
        </w:tc>
        <w:tc>
          <w:tcPr>
            <w:tcW w:w="2126" w:type="dxa"/>
            <w:tcBorders>
              <w:top w:val="nil"/>
              <w:left w:val="nil"/>
              <w:bottom w:val="single" w:sz="4" w:space="0" w:color="auto"/>
              <w:right w:val="single" w:sz="4" w:space="0" w:color="auto"/>
            </w:tcBorders>
            <w:noWrap/>
            <w:vAlign w:val="bottom"/>
            <w:hideMark/>
          </w:tcPr>
          <w:p w14:paraId="628E0AA5" w14:textId="77777777" w:rsidR="0090466B" w:rsidRPr="00F473CD" w:rsidRDefault="0090466B">
            <w:pPr>
              <w:jc w:val="right"/>
              <w:rPr>
                <w:rFonts w:ascii="Arial" w:eastAsia="Times" w:hAnsi="Arial"/>
                <w:sz w:val="22"/>
              </w:rPr>
            </w:pPr>
            <w:r w:rsidRPr="00F473CD">
              <w:rPr>
                <w:rFonts w:ascii="Arial" w:eastAsia="Times" w:hAnsi="Arial"/>
                <w:sz w:val="22"/>
              </w:rPr>
              <w:t>20.8%</w:t>
            </w:r>
          </w:p>
        </w:tc>
        <w:tc>
          <w:tcPr>
            <w:tcW w:w="3402" w:type="dxa"/>
            <w:tcBorders>
              <w:top w:val="nil"/>
              <w:left w:val="nil"/>
              <w:bottom w:val="single" w:sz="4" w:space="0" w:color="auto"/>
              <w:right w:val="single" w:sz="4" w:space="0" w:color="auto"/>
            </w:tcBorders>
            <w:noWrap/>
            <w:vAlign w:val="bottom"/>
            <w:hideMark/>
          </w:tcPr>
          <w:p w14:paraId="7E3B4FC7" w14:textId="77777777" w:rsidR="0090466B" w:rsidRPr="00F473CD" w:rsidRDefault="0090466B">
            <w:pPr>
              <w:jc w:val="right"/>
              <w:rPr>
                <w:rFonts w:ascii="Arial" w:eastAsia="Times" w:hAnsi="Arial"/>
                <w:sz w:val="22"/>
              </w:rPr>
            </w:pPr>
            <w:r w:rsidRPr="00F473CD">
              <w:rPr>
                <w:rFonts w:ascii="Arial" w:eastAsia="Times" w:hAnsi="Arial"/>
                <w:sz w:val="22"/>
              </w:rPr>
              <w:t>45.82</w:t>
            </w:r>
          </w:p>
        </w:tc>
      </w:tr>
      <w:tr w:rsidR="0090466B" w:rsidRPr="00492BE7" w14:paraId="6D09F608"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2AAFF70B" w14:textId="77777777" w:rsidR="0090466B" w:rsidRPr="00F473CD" w:rsidRDefault="0090466B">
            <w:pPr>
              <w:jc w:val="right"/>
              <w:rPr>
                <w:rFonts w:ascii="Arial" w:eastAsia="Times" w:hAnsi="Arial"/>
                <w:sz w:val="22"/>
              </w:rPr>
            </w:pPr>
            <w:r w:rsidRPr="00F473CD">
              <w:rPr>
                <w:rFonts w:ascii="Arial" w:eastAsia="Times" w:hAnsi="Arial"/>
                <w:sz w:val="22"/>
              </w:rPr>
              <w:t>2700</w:t>
            </w:r>
          </w:p>
        </w:tc>
        <w:tc>
          <w:tcPr>
            <w:tcW w:w="1195" w:type="dxa"/>
            <w:tcBorders>
              <w:top w:val="nil"/>
              <w:left w:val="nil"/>
              <w:bottom w:val="single" w:sz="4" w:space="0" w:color="auto"/>
              <w:right w:val="single" w:sz="4" w:space="0" w:color="auto"/>
            </w:tcBorders>
            <w:noWrap/>
            <w:vAlign w:val="bottom"/>
            <w:hideMark/>
          </w:tcPr>
          <w:p w14:paraId="3BA51EBD" w14:textId="77777777" w:rsidR="0090466B" w:rsidRPr="00F473CD" w:rsidRDefault="0090466B">
            <w:pPr>
              <w:jc w:val="right"/>
              <w:rPr>
                <w:rFonts w:ascii="Arial" w:eastAsia="Times" w:hAnsi="Arial"/>
                <w:sz w:val="22"/>
              </w:rPr>
            </w:pPr>
            <w:r w:rsidRPr="00F473CD">
              <w:rPr>
                <w:rFonts w:ascii="Arial" w:eastAsia="Times" w:hAnsi="Arial"/>
                <w:sz w:val="22"/>
              </w:rPr>
              <w:t>2799</w:t>
            </w:r>
          </w:p>
        </w:tc>
        <w:tc>
          <w:tcPr>
            <w:tcW w:w="1508" w:type="dxa"/>
            <w:tcBorders>
              <w:top w:val="nil"/>
              <w:left w:val="nil"/>
              <w:bottom w:val="single" w:sz="4" w:space="0" w:color="auto"/>
              <w:right w:val="single" w:sz="4" w:space="0" w:color="auto"/>
            </w:tcBorders>
            <w:noWrap/>
            <w:vAlign w:val="bottom"/>
            <w:hideMark/>
          </w:tcPr>
          <w:p w14:paraId="489905E9"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31849FE6" w14:textId="77777777" w:rsidR="0090466B" w:rsidRPr="00F473CD" w:rsidRDefault="0090466B">
            <w:pPr>
              <w:jc w:val="right"/>
              <w:rPr>
                <w:rFonts w:ascii="Arial" w:eastAsia="Times" w:hAnsi="Arial"/>
                <w:sz w:val="22"/>
              </w:rPr>
            </w:pPr>
            <w:r w:rsidRPr="00F473CD">
              <w:rPr>
                <w:rFonts w:ascii="Arial" w:eastAsia="Times" w:hAnsi="Arial"/>
                <w:sz w:val="22"/>
              </w:rPr>
              <w:t>20.5%</w:t>
            </w:r>
          </w:p>
        </w:tc>
        <w:tc>
          <w:tcPr>
            <w:tcW w:w="3402" w:type="dxa"/>
            <w:tcBorders>
              <w:top w:val="nil"/>
              <w:left w:val="nil"/>
              <w:bottom w:val="single" w:sz="4" w:space="0" w:color="auto"/>
              <w:right w:val="single" w:sz="4" w:space="0" w:color="auto"/>
            </w:tcBorders>
            <w:noWrap/>
            <w:vAlign w:val="bottom"/>
            <w:hideMark/>
          </w:tcPr>
          <w:p w14:paraId="47F715BE" w14:textId="77777777" w:rsidR="0090466B" w:rsidRPr="00F473CD" w:rsidRDefault="0090466B">
            <w:pPr>
              <w:jc w:val="right"/>
              <w:rPr>
                <w:rFonts w:ascii="Arial" w:eastAsia="Times" w:hAnsi="Arial"/>
                <w:sz w:val="22"/>
              </w:rPr>
            </w:pPr>
            <w:r w:rsidRPr="00F473CD">
              <w:rPr>
                <w:rFonts w:ascii="Arial" w:eastAsia="Times" w:hAnsi="Arial"/>
                <w:sz w:val="22"/>
              </w:rPr>
              <w:t>46.98</w:t>
            </w:r>
          </w:p>
        </w:tc>
      </w:tr>
      <w:tr w:rsidR="0090466B" w:rsidRPr="00492BE7" w14:paraId="2DBDE49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2309335" w14:textId="77777777" w:rsidR="0090466B" w:rsidRPr="00F473CD" w:rsidRDefault="0090466B">
            <w:pPr>
              <w:jc w:val="right"/>
              <w:rPr>
                <w:rFonts w:ascii="Arial" w:eastAsia="Times" w:hAnsi="Arial"/>
                <w:sz w:val="22"/>
              </w:rPr>
            </w:pPr>
            <w:r w:rsidRPr="00F473CD">
              <w:rPr>
                <w:rFonts w:ascii="Arial" w:eastAsia="Times" w:hAnsi="Arial"/>
                <w:sz w:val="22"/>
              </w:rPr>
              <w:t>2800</w:t>
            </w:r>
          </w:p>
        </w:tc>
        <w:tc>
          <w:tcPr>
            <w:tcW w:w="1195" w:type="dxa"/>
            <w:tcBorders>
              <w:top w:val="nil"/>
              <w:left w:val="nil"/>
              <w:bottom w:val="single" w:sz="4" w:space="0" w:color="auto"/>
              <w:right w:val="single" w:sz="4" w:space="0" w:color="auto"/>
            </w:tcBorders>
            <w:noWrap/>
            <w:vAlign w:val="bottom"/>
            <w:hideMark/>
          </w:tcPr>
          <w:p w14:paraId="0C8C2D4D" w14:textId="77777777" w:rsidR="0090466B" w:rsidRPr="00F473CD" w:rsidRDefault="0090466B">
            <w:pPr>
              <w:jc w:val="right"/>
              <w:rPr>
                <w:rFonts w:ascii="Arial" w:eastAsia="Times" w:hAnsi="Arial"/>
                <w:sz w:val="22"/>
              </w:rPr>
            </w:pPr>
            <w:r w:rsidRPr="00F473CD">
              <w:rPr>
                <w:rFonts w:ascii="Arial" w:eastAsia="Times" w:hAnsi="Arial"/>
                <w:sz w:val="22"/>
              </w:rPr>
              <w:t>2899</w:t>
            </w:r>
          </w:p>
        </w:tc>
        <w:tc>
          <w:tcPr>
            <w:tcW w:w="1508" w:type="dxa"/>
            <w:tcBorders>
              <w:top w:val="nil"/>
              <w:left w:val="nil"/>
              <w:bottom w:val="single" w:sz="4" w:space="0" w:color="auto"/>
              <w:right w:val="single" w:sz="4" w:space="0" w:color="auto"/>
            </w:tcBorders>
            <w:noWrap/>
            <w:vAlign w:val="bottom"/>
            <w:hideMark/>
          </w:tcPr>
          <w:p w14:paraId="78B29CAA"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773120B6" w14:textId="77777777" w:rsidR="0090466B" w:rsidRPr="00F473CD" w:rsidRDefault="0090466B">
            <w:pPr>
              <w:jc w:val="right"/>
              <w:rPr>
                <w:rFonts w:ascii="Arial" w:eastAsia="Times" w:hAnsi="Arial"/>
                <w:sz w:val="22"/>
              </w:rPr>
            </w:pPr>
            <w:r w:rsidRPr="00F473CD">
              <w:rPr>
                <w:rFonts w:ascii="Arial" w:eastAsia="Times" w:hAnsi="Arial"/>
                <w:sz w:val="22"/>
              </w:rPr>
              <w:t>20.3%</w:t>
            </w:r>
          </w:p>
        </w:tc>
        <w:tc>
          <w:tcPr>
            <w:tcW w:w="3402" w:type="dxa"/>
            <w:tcBorders>
              <w:top w:val="nil"/>
              <w:left w:val="nil"/>
              <w:bottom w:val="single" w:sz="4" w:space="0" w:color="auto"/>
              <w:right w:val="single" w:sz="4" w:space="0" w:color="auto"/>
            </w:tcBorders>
            <w:noWrap/>
            <w:vAlign w:val="bottom"/>
            <w:hideMark/>
          </w:tcPr>
          <w:p w14:paraId="32C0E92B" w14:textId="77777777" w:rsidR="0090466B" w:rsidRPr="00F473CD" w:rsidRDefault="0090466B">
            <w:pPr>
              <w:jc w:val="right"/>
              <w:rPr>
                <w:rFonts w:ascii="Arial" w:eastAsia="Times" w:hAnsi="Arial"/>
                <w:sz w:val="22"/>
              </w:rPr>
            </w:pPr>
            <w:r w:rsidRPr="00F473CD">
              <w:rPr>
                <w:rFonts w:ascii="Arial" w:eastAsia="Times" w:hAnsi="Arial"/>
                <w:sz w:val="22"/>
              </w:rPr>
              <w:t>48.09</w:t>
            </w:r>
          </w:p>
        </w:tc>
      </w:tr>
      <w:tr w:rsidR="0090466B" w:rsidRPr="00492BE7" w14:paraId="753ECB5D"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8F884F8" w14:textId="77777777" w:rsidR="0090466B" w:rsidRPr="00F473CD" w:rsidRDefault="0090466B">
            <w:pPr>
              <w:jc w:val="right"/>
              <w:rPr>
                <w:rFonts w:ascii="Arial" w:eastAsia="Times" w:hAnsi="Arial"/>
                <w:sz w:val="22"/>
              </w:rPr>
            </w:pPr>
            <w:r w:rsidRPr="00F473CD">
              <w:rPr>
                <w:rFonts w:ascii="Arial" w:eastAsia="Times" w:hAnsi="Arial"/>
                <w:sz w:val="22"/>
              </w:rPr>
              <w:t>2900</w:t>
            </w:r>
          </w:p>
        </w:tc>
        <w:tc>
          <w:tcPr>
            <w:tcW w:w="1195" w:type="dxa"/>
            <w:tcBorders>
              <w:top w:val="nil"/>
              <w:left w:val="nil"/>
              <w:bottom w:val="single" w:sz="4" w:space="0" w:color="auto"/>
              <w:right w:val="single" w:sz="4" w:space="0" w:color="auto"/>
            </w:tcBorders>
            <w:noWrap/>
            <w:vAlign w:val="bottom"/>
            <w:hideMark/>
          </w:tcPr>
          <w:p w14:paraId="21121CCD" w14:textId="77777777" w:rsidR="0090466B" w:rsidRPr="00F473CD" w:rsidRDefault="0090466B">
            <w:pPr>
              <w:jc w:val="right"/>
              <w:rPr>
                <w:rFonts w:ascii="Arial" w:eastAsia="Times" w:hAnsi="Arial"/>
                <w:sz w:val="22"/>
              </w:rPr>
            </w:pPr>
            <w:r w:rsidRPr="00F473CD">
              <w:rPr>
                <w:rFonts w:ascii="Arial" w:eastAsia="Times" w:hAnsi="Arial"/>
                <w:sz w:val="22"/>
              </w:rPr>
              <w:t>2999</w:t>
            </w:r>
          </w:p>
        </w:tc>
        <w:tc>
          <w:tcPr>
            <w:tcW w:w="1508" w:type="dxa"/>
            <w:tcBorders>
              <w:top w:val="nil"/>
              <w:left w:val="nil"/>
              <w:bottom w:val="single" w:sz="4" w:space="0" w:color="auto"/>
              <w:right w:val="single" w:sz="4" w:space="0" w:color="auto"/>
            </w:tcBorders>
            <w:noWrap/>
            <w:vAlign w:val="bottom"/>
            <w:hideMark/>
          </w:tcPr>
          <w:p w14:paraId="4EE79DDE"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26A02CBC" w14:textId="77777777" w:rsidR="0090466B" w:rsidRPr="00F473CD" w:rsidRDefault="0090466B">
            <w:pPr>
              <w:jc w:val="right"/>
              <w:rPr>
                <w:rFonts w:ascii="Arial" w:eastAsia="Times" w:hAnsi="Arial"/>
                <w:sz w:val="22"/>
              </w:rPr>
            </w:pPr>
            <w:r w:rsidRPr="00F473CD">
              <w:rPr>
                <w:rFonts w:ascii="Arial" w:eastAsia="Times" w:hAnsi="Arial"/>
                <w:sz w:val="22"/>
              </w:rPr>
              <w:t>20.0%</w:t>
            </w:r>
          </w:p>
        </w:tc>
        <w:tc>
          <w:tcPr>
            <w:tcW w:w="3402" w:type="dxa"/>
            <w:tcBorders>
              <w:top w:val="nil"/>
              <w:left w:val="nil"/>
              <w:bottom w:val="single" w:sz="4" w:space="0" w:color="auto"/>
              <w:right w:val="single" w:sz="4" w:space="0" w:color="auto"/>
            </w:tcBorders>
            <w:noWrap/>
            <w:vAlign w:val="bottom"/>
            <w:hideMark/>
          </w:tcPr>
          <w:p w14:paraId="69E0EF07" w14:textId="77777777" w:rsidR="0090466B" w:rsidRPr="00F473CD" w:rsidRDefault="0090466B">
            <w:pPr>
              <w:jc w:val="right"/>
              <w:rPr>
                <w:rFonts w:ascii="Arial" w:eastAsia="Times" w:hAnsi="Arial"/>
                <w:sz w:val="22"/>
              </w:rPr>
            </w:pPr>
            <w:r w:rsidRPr="00F473CD">
              <w:rPr>
                <w:rFonts w:ascii="Arial" w:eastAsia="Times" w:hAnsi="Arial"/>
                <w:sz w:val="22"/>
              </w:rPr>
              <w:t>49.17</w:t>
            </w:r>
          </w:p>
        </w:tc>
      </w:tr>
      <w:tr w:rsidR="0090466B" w:rsidRPr="00492BE7" w14:paraId="6E32969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50C973D" w14:textId="77777777" w:rsidR="0090466B" w:rsidRPr="00F473CD" w:rsidRDefault="0090466B">
            <w:pPr>
              <w:jc w:val="right"/>
              <w:rPr>
                <w:rFonts w:ascii="Arial" w:eastAsia="Times" w:hAnsi="Arial"/>
                <w:sz w:val="22"/>
              </w:rPr>
            </w:pPr>
            <w:r w:rsidRPr="00F473CD">
              <w:rPr>
                <w:rFonts w:ascii="Arial" w:eastAsia="Times" w:hAnsi="Arial"/>
                <w:sz w:val="22"/>
              </w:rPr>
              <w:t>3000</w:t>
            </w:r>
          </w:p>
        </w:tc>
        <w:tc>
          <w:tcPr>
            <w:tcW w:w="1195" w:type="dxa"/>
            <w:tcBorders>
              <w:top w:val="nil"/>
              <w:left w:val="nil"/>
              <w:bottom w:val="single" w:sz="4" w:space="0" w:color="auto"/>
              <w:right w:val="single" w:sz="4" w:space="0" w:color="auto"/>
            </w:tcBorders>
            <w:noWrap/>
            <w:vAlign w:val="bottom"/>
            <w:hideMark/>
          </w:tcPr>
          <w:p w14:paraId="4F12BABA" w14:textId="77777777" w:rsidR="0090466B" w:rsidRPr="00F473CD" w:rsidRDefault="0090466B">
            <w:pPr>
              <w:jc w:val="right"/>
              <w:rPr>
                <w:rFonts w:ascii="Arial" w:eastAsia="Times" w:hAnsi="Arial"/>
                <w:sz w:val="22"/>
              </w:rPr>
            </w:pPr>
            <w:r w:rsidRPr="00F473CD">
              <w:rPr>
                <w:rFonts w:ascii="Arial" w:eastAsia="Times" w:hAnsi="Arial"/>
                <w:sz w:val="22"/>
              </w:rPr>
              <w:t>3099</w:t>
            </w:r>
          </w:p>
        </w:tc>
        <w:tc>
          <w:tcPr>
            <w:tcW w:w="1508" w:type="dxa"/>
            <w:tcBorders>
              <w:top w:val="nil"/>
              <w:left w:val="nil"/>
              <w:bottom w:val="single" w:sz="4" w:space="0" w:color="auto"/>
              <w:right w:val="single" w:sz="4" w:space="0" w:color="auto"/>
            </w:tcBorders>
            <w:noWrap/>
            <w:vAlign w:val="bottom"/>
            <w:hideMark/>
          </w:tcPr>
          <w:p w14:paraId="1C925AEC"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35B6D20C" w14:textId="77777777" w:rsidR="0090466B" w:rsidRPr="00F473CD" w:rsidRDefault="0090466B">
            <w:pPr>
              <w:jc w:val="right"/>
              <w:rPr>
                <w:rFonts w:ascii="Arial" w:eastAsia="Times" w:hAnsi="Arial"/>
                <w:sz w:val="22"/>
              </w:rPr>
            </w:pPr>
            <w:r w:rsidRPr="00F473CD">
              <w:rPr>
                <w:rFonts w:ascii="Arial" w:eastAsia="Times" w:hAnsi="Arial"/>
                <w:sz w:val="22"/>
              </w:rPr>
              <w:t>19.8%</w:t>
            </w:r>
          </w:p>
        </w:tc>
        <w:tc>
          <w:tcPr>
            <w:tcW w:w="3402" w:type="dxa"/>
            <w:tcBorders>
              <w:top w:val="nil"/>
              <w:left w:val="nil"/>
              <w:bottom w:val="single" w:sz="4" w:space="0" w:color="auto"/>
              <w:right w:val="single" w:sz="4" w:space="0" w:color="auto"/>
            </w:tcBorders>
            <w:noWrap/>
            <w:vAlign w:val="bottom"/>
            <w:hideMark/>
          </w:tcPr>
          <w:p w14:paraId="41A4E6AF" w14:textId="77777777" w:rsidR="0090466B" w:rsidRPr="00F473CD" w:rsidRDefault="0090466B">
            <w:pPr>
              <w:jc w:val="right"/>
              <w:rPr>
                <w:rFonts w:ascii="Arial" w:eastAsia="Times" w:hAnsi="Arial"/>
                <w:sz w:val="22"/>
              </w:rPr>
            </w:pPr>
            <w:r w:rsidRPr="00F473CD">
              <w:rPr>
                <w:rFonts w:ascii="Arial" w:eastAsia="Times" w:hAnsi="Arial"/>
                <w:sz w:val="22"/>
              </w:rPr>
              <w:t>50.20</w:t>
            </w:r>
          </w:p>
        </w:tc>
      </w:tr>
      <w:tr w:rsidR="0090466B" w:rsidRPr="00492BE7" w14:paraId="37928418"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25C943CE" w14:textId="77777777" w:rsidR="0090466B" w:rsidRPr="00F473CD" w:rsidRDefault="0090466B">
            <w:pPr>
              <w:jc w:val="right"/>
              <w:rPr>
                <w:rFonts w:ascii="Arial" w:eastAsia="Times" w:hAnsi="Arial"/>
                <w:sz w:val="22"/>
              </w:rPr>
            </w:pPr>
            <w:r w:rsidRPr="00F473CD">
              <w:rPr>
                <w:rFonts w:ascii="Arial" w:eastAsia="Times" w:hAnsi="Arial"/>
                <w:sz w:val="22"/>
              </w:rPr>
              <w:t>3100</w:t>
            </w:r>
          </w:p>
        </w:tc>
        <w:tc>
          <w:tcPr>
            <w:tcW w:w="1195" w:type="dxa"/>
            <w:tcBorders>
              <w:top w:val="nil"/>
              <w:left w:val="nil"/>
              <w:bottom w:val="single" w:sz="4" w:space="0" w:color="auto"/>
              <w:right w:val="single" w:sz="4" w:space="0" w:color="auto"/>
            </w:tcBorders>
            <w:noWrap/>
            <w:vAlign w:val="bottom"/>
            <w:hideMark/>
          </w:tcPr>
          <w:p w14:paraId="353AFAFF" w14:textId="77777777" w:rsidR="0090466B" w:rsidRPr="00F473CD" w:rsidRDefault="0090466B">
            <w:pPr>
              <w:jc w:val="right"/>
              <w:rPr>
                <w:rFonts w:ascii="Arial" w:eastAsia="Times" w:hAnsi="Arial"/>
                <w:sz w:val="22"/>
              </w:rPr>
            </w:pPr>
            <w:r w:rsidRPr="00F473CD">
              <w:rPr>
                <w:rFonts w:ascii="Arial" w:eastAsia="Times" w:hAnsi="Arial"/>
                <w:sz w:val="22"/>
              </w:rPr>
              <w:t>3199</w:t>
            </w:r>
          </w:p>
        </w:tc>
        <w:tc>
          <w:tcPr>
            <w:tcW w:w="1508" w:type="dxa"/>
            <w:tcBorders>
              <w:top w:val="nil"/>
              <w:left w:val="nil"/>
              <w:bottom w:val="single" w:sz="4" w:space="0" w:color="auto"/>
              <w:right w:val="single" w:sz="4" w:space="0" w:color="auto"/>
            </w:tcBorders>
            <w:noWrap/>
            <w:vAlign w:val="bottom"/>
            <w:hideMark/>
          </w:tcPr>
          <w:p w14:paraId="32BBD537"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6AEF6AE1" w14:textId="77777777" w:rsidR="0090466B" w:rsidRPr="00F473CD" w:rsidRDefault="0090466B">
            <w:pPr>
              <w:jc w:val="right"/>
              <w:rPr>
                <w:rFonts w:ascii="Arial" w:eastAsia="Times" w:hAnsi="Arial"/>
                <w:sz w:val="22"/>
              </w:rPr>
            </w:pPr>
            <w:r w:rsidRPr="00F473CD">
              <w:rPr>
                <w:rFonts w:ascii="Arial" w:eastAsia="Times" w:hAnsi="Arial"/>
                <w:sz w:val="22"/>
              </w:rPr>
              <w:t>19.5%</w:t>
            </w:r>
          </w:p>
        </w:tc>
        <w:tc>
          <w:tcPr>
            <w:tcW w:w="3402" w:type="dxa"/>
            <w:tcBorders>
              <w:top w:val="nil"/>
              <w:left w:val="nil"/>
              <w:bottom w:val="single" w:sz="4" w:space="0" w:color="auto"/>
              <w:right w:val="single" w:sz="4" w:space="0" w:color="auto"/>
            </w:tcBorders>
            <w:noWrap/>
            <w:vAlign w:val="bottom"/>
            <w:hideMark/>
          </w:tcPr>
          <w:p w14:paraId="7DE43A03" w14:textId="77777777" w:rsidR="0090466B" w:rsidRPr="00F473CD" w:rsidRDefault="0090466B">
            <w:pPr>
              <w:jc w:val="right"/>
              <w:rPr>
                <w:rFonts w:ascii="Arial" w:eastAsia="Times" w:hAnsi="Arial"/>
                <w:sz w:val="22"/>
              </w:rPr>
            </w:pPr>
            <w:r w:rsidRPr="00F473CD">
              <w:rPr>
                <w:rFonts w:ascii="Arial" w:eastAsia="Times" w:hAnsi="Arial"/>
                <w:sz w:val="22"/>
              </w:rPr>
              <w:t>51.19</w:t>
            </w:r>
          </w:p>
        </w:tc>
      </w:tr>
      <w:tr w:rsidR="0090466B" w:rsidRPr="00492BE7" w14:paraId="40803D01"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AE26211" w14:textId="77777777" w:rsidR="0090466B" w:rsidRPr="00F473CD" w:rsidRDefault="0090466B">
            <w:pPr>
              <w:jc w:val="right"/>
              <w:rPr>
                <w:rFonts w:ascii="Arial" w:eastAsia="Times" w:hAnsi="Arial"/>
                <w:sz w:val="22"/>
              </w:rPr>
            </w:pPr>
            <w:r w:rsidRPr="00F473CD">
              <w:rPr>
                <w:rFonts w:ascii="Arial" w:eastAsia="Times" w:hAnsi="Arial"/>
                <w:sz w:val="22"/>
              </w:rPr>
              <w:t>3200</w:t>
            </w:r>
          </w:p>
        </w:tc>
        <w:tc>
          <w:tcPr>
            <w:tcW w:w="1195" w:type="dxa"/>
            <w:tcBorders>
              <w:top w:val="nil"/>
              <w:left w:val="nil"/>
              <w:bottom w:val="single" w:sz="4" w:space="0" w:color="auto"/>
              <w:right w:val="single" w:sz="4" w:space="0" w:color="auto"/>
            </w:tcBorders>
            <w:noWrap/>
            <w:vAlign w:val="bottom"/>
            <w:hideMark/>
          </w:tcPr>
          <w:p w14:paraId="29D8D562" w14:textId="77777777" w:rsidR="0090466B" w:rsidRPr="00F473CD" w:rsidRDefault="0090466B">
            <w:pPr>
              <w:jc w:val="right"/>
              <w:rPr>
                <w:rFonts w:ascii="Arial" w:eastAsia="Times" w:hAnsi="Arial"/>
                <w:sz w:val="22"/>
              </w:rPr>
            </w:pPr>
            <w:r w:rsidRPr="00F473CD">
              <w:rPr>
                <w:rFonts w:ascii="Arial" w:eastAsia="Times" w:hAnsi="Arial"/>
                <w:sz w:val="22"/>
              </w:rPr>
              <w:t>3299</w:t>
            </w:r>
          </w:p>
        </w:tc>
        <w:tc>
          <w:tcPr>
            <w:tcW w:w="1508" w:type="dxa"/>
            <w:tcBorders>
              <w:top w:val="nil"/>
              <w:left w:val="nil"/>
              <w:bottom w:val="single" w:sz="4" w:space="0" w:color="auto"/>
              <w:right w:val="single" w:sz="4" w:space="0" w:color="auto"/>
            </w:tcBorders>
            <w:noWrap/>
            <w:vAlign w:val="bottom"/>
            <w:hideMark/>
          </w:tcPr>
          <w:p w14:paraId="7E7ED4B5"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62B3283A" w14:textId="77777777" w:rsidR="0090466B" w:rsidRPr="00F473CD" w:rsidRDefault="0090466B">
            <w:pPr>
              <w:jc w:val="right"/>
              <w:rPr>
                <w:rFonts w:ascii="Arial" w:eastAsia="Times" w:hAnsi="Arial"/>
                <w:sz w:val="22"/>
              </w:rPr>
            </w:pPr>
            <w:r w:rsidRPr="00F473CD">
              <w:rPr>
                <w:rFonts w:ascii="Arial" w:eastAsia="Times" w:hAnsi="Arial"/>
                <w:sz w:val="22"/>
              </w:rPr>
              <w:t>19.3%</w:t>
            </w:r>
          </w:p>
        </w:tc>
        <w:tc>
          <w:tcPr>
            <w:tcW w:w="3402" w:type="dxa"/>
            <w:tcBorders>
              <w:top w:val="nil"/>
              <w:left w:val="nil"/>
              <w:bottom w:val="single" w:sz="4" w:space="0" w:color="auto"/>
              <w:right w:val="single" w:sz="4" w:space="0" w:color="auto"/>
            </w:tcBorders>
            <w:noWrap/>
            <w:vAlign w:val="bottom"/>
            <w:hideMark/>
          </w:tcPr>
          <w:p w14:paraId="0E1B184F" w14:textId="77777777" w:rsidR="0090466B" w:rsidRPr="00F473CD" w:rsidRDefault="0090466B">
            <w:pPr>
              <w:jc w:val="right"/>
              <w:rPr>
                <w:rFonts w:ascii="Arial" w:eastAsia="Times" w:hAnsi="Arial"/>
                <w:sz w:val="22"/>
              </w:rPr>
            </w:pPr>
            <w:r w:rsidRPr="00F473CD">
              <w:rPr>
                <w:rFonts w:ascii="Arial" w:eastAsia="Times" w:hAnsi="Arial"/>
                <w:sz w:val="22"/>
              </w:rPr>
              <w:t>52.14</w:t>
            </w:r>
          </w:p>
        </w:tc>
      </w:tr>
      <w:tr w:rsidR="0090466B" w:rsidRPr="00492BE7" w14:paraId="3EE743FC"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2B132F2" w14:textId="77777777" w:rsidR="0090466B" w:rsidRPr="00F473CD" w:rsidRDefault="0090466B">
            <w:pPr>
              <w:jc w:val="right"/>
              <w:rPr>
                <w:rFonts w:ascii="Arial" w:eastAsia="Times" w:hAnsi="Arial"/>
                <w:sz w:val="22"/>
              </w:rPr>
            </w:pPr>
            <w:r w:rsidRPr="00F473CD">
              <w:rPr>
                <w:rFonts w:ascii="Arial" w:eastAsia="Times" w:hAnsi="Arial"/>
                <w:sz w:val="22"/>
              </w:rPr>
              <w:t>3300</w:t>
            </w:r>
          </w:p>
        </w:tc>
        <w:tc>
          <w:tcPr>
            <w:tcW w:w="1195" w:type="dxa"/>
            <w:tcBorders>
              <w:top w:val="nil"/>
              <w:left w:val="nil"/>
              <w:bottom w:val="single" w:sz="4" w:space="0" w:color="auto"/>
              <w:right w:val="single" w:sz="4" w:space="0" w:color="auto"/>
            </w:tcBorders>
            <w:noWrap/>
            <w:vAlign w:val="bottom"/>
            <w:hideMark/>
          </w:tcPr>
          <w:p w14:paraId="32FC30C0" w14:textId="77777777" w:rsidR="0090466B" w:rsidRPr="00F473CD" w:rsidRDefault="0090466B">
            <w:pPr>
              <w:jc w:val="right"/>
              <w:rPr>
                <w:rFonts w:ascii="Arial" w:eastAsia="Times" w:hAnsi="Arial"/>
                <w:sz w:val="22"/>
              </w:rPr>
            </w:pPr>
            <w:r w:rsidRPr="00F473CD">
              <w:rPr>
                <w:rFonts w:ascii="Arial" w:eastAsia="Times" w:hAnsi="Arial"/>
                <w:sz w:val="22"/>
              </w:rPr>
              <w:t>3399</w:t>
            </w:r>
          </w:p>
        </w:tc>
        <w:tc>
          <w:tcPr>
            <w:tcW w:w="1508" w:type="dxa"/>
            <w:tcBorders>
              <w:top w:val="nil"/>
              <w:left w:val="nil"/>
              <w:bottom w:val="single" w:sz="4" w:space="0" w:color="auto"/>
              <w:right w:val="single" w:sz="4" w:space="0" w:color="auto"/>
            </w:tcBorders>
            <w:noWrap/>
            <w:vAlign w:val="bottom"/>
            <w:hideMark/>
          </w:tcPr>
          <w:p w14:paraId="0FE7107E" w14:textId="77777777" w:rsidR="0090466B" w:rsidRPr="00F473CD" w:rsidRDefault="0090466B">
            <w:pPr>
              <w:jc w:val="right"/>
              <w:rPr>
                <w:rFonts w:ascii="Arial" w:eastAsia="Times" w:hAnsi="Arial"/>
                <w:sz w:val="22"/>
              </w:rPr>
            </w:pPr>
            <w:r w:rsidRPr="00F473CD">
              <w:rPr>
                <w:rFonts w:ascii="Arial" w:eastAsia="Times" w:hAnsi="Arial"/>
                <w:sz w:val="22"/>
              </w:rPr>
              <w:t>2%</w:t>
            </w:r>
          </w:p>
        </w:tc>
        <w:tc>
          <w:tcPr>
            <w:tcW w:w="2126" w:type="dxa"/>
            <w:tcBorders>
              <w:top w:val="nil"/>
              <w:left w:val="nil"/>
              <w:bottom w:val="single" w:sz="4" w:space="0" w:color="auto"/>
              <w:right w:val="single" w:sz="4" w:space="0" w:color="auto"/>
            </w:tcBorders>
            <w:noWrap/>
            <w:vAlign w:val="bottom"/>
            <w:hideMark/>
          </w:tcPr>
          <w:p w14:paraId="2E7063FA" w14:textId="77777777" w:rsidR="0090466B" w:rsidRPr="00F473CD" w:rsidRDefault="0090466B">
            <w:pPr>
              <w:jc w:val="right"/>
              <w:rPr>
                <w:rFonts w:ascii="Arial" w:eastAsia="Times" w:hAnsi="Arial"/>
                <w:sz w:val="22"/>
              </w:rPr>
            </w:pPr>
            <w:r w:rsidRPr="00F473CD">
              <w:rPr>
                <w:rFonts w:ascii="Arial" w:eastAsia="Times" w:hAnsi="Arial"/>
                <w:sz w:val="22"/>
              </w:rPr>
              <w:t>19.0%</w:t>
            </w:r>
          </w:p>
        </w:tc>
        <w:tc>
          <w:tcPr>
            <w:tcW w:w="3402" w:type="dxa"/>
            <w:tcBorders>
              <w:top w:val="nil"/>
              <w:left w:val="nil"/>
              <w:bottom w:val="single" w:sz="4" w:space="0" w:color="auto"/>
              <w:right w:val="single" w:sz="4" w:space="0" w:color="auto"/>
            </w:tcBorders>
            <w:noWrap/>
            <w:vAlign w:val="bottom"/>
            <w:hideMark/>
          </w:tcPr>
          <w:p w14:paraId="28B83C1F" w14:textId="77777777" w:rsidR="0090466B" w:rsidRPr="00F473CD" w:rsidRDefault="0090466B">
            <w:pPr>
              <w:jc w:val="right"/>
              <w:rPr>
                <w:rFonts w:ascii="Arial" w:eastAsia="Times" w:hAnsi="Arial"/>
                <w:sz w:val="22"/>
              </w:rPr>
            </w:pPr>
            <w:r w:rsidRPr="00F473CD">
              <w:rPr>
                <w:rFonts w:ascii="Arial" w:eastAsia="Times" w:hAnsi="Arial"/>
                <w:sz w:val="22"/>
              </w:rPr>
              <w:t>53.04</w:t>
            </w:r>
          </w:p>
        </w:tc>
      </w:tr>
      <w:tr w:rsidR="0090466B" w:rsidRPr="00492BE7" w14:paraId="4D3D2F30"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927E267" w14:textId="77777777" w:rsidR="0090466B" w:rsidRPr="00F473CD" w:rsidRDefault="0090466B">
            <w:pPr>
              <w:jc w:val="right"/>
              <w:rPr>
                <w:rFonts w:ascii="Arial" w:eastAsia="Times" w:hAnsi="Arial"/>
                <w:sz w:val="22"/>
              </w:rPr>
            </w:pPr>
            <w:r w:rsidRPr="00F473CD">
              <w:rPr>
                <w:rFonts w:ascii="Arial" w:eastAsia="Times" w:hAnsi="Arial"/>
                <w:sz w:val="22"/>
              </w:rPr>
              <w:t>3400</w:t>
            </w:r>
          </w:p>
        </w:tc>
        <w:tc>
          <w:tcPr>
            <w:tcW w:w="1195" w:type="dxa"/>
            <w:tcBorders>
              <w:top w:val="nil"/>
              <w:left w:val="nil"/>
              <w:bottom w:val="single" w:sz="4" w:space="0" w:color="auto"/>
              <w:right w:val="single" w:sz="4" w:space="0" w:color="auto"/>
            </w:tcBorders>
            <w:noWrap/>
            <w:vAlign w:val="bottom"/>
            <w:hideMark/>
          </w:tcPr>
          <w:p w14:paraId="1A256AAD" w14:textId="77777777" w:rsidR="0090466B" w:rsidRPr="00F473CD" w:rsidRDefault="0090466B">
            <w:pPr>
              <w:jc w:val="right"/>
              <w:rPr>
                <w:rFonts w:ascii="Arial" w:eastAsia="Times" w:hAnsi="Arial"/>
                <w:sz w:val="22"/>
              </w:rPr>
            </w:pPr>
            <w:r w:rsidRPr="00F473CD">
              <w:rPr>
                <w:rFonts w:ascii="Arial" w:eastAsia="Times" w:hAnsi="Arial"/>
                <w:sz w:val="22"/>
              </w:rPr>
              <w:t>3499</w:t>
            </w:r>
          </w:p>
        </w:tc>
        <w:tc>
          <w:tcPr>
            <w:tcW w:w="1508" w:type="dxa"/>
            <w:tcBorders>
              <w:top w:val="nil"/>
              <w:left w:val="nil"/>
              <w:bottom w:val="single" w:sz="4" w:space="0" w:color="auto"/>
              <w:right w:val="single" w:sz="4" w:space="0" w:color="auto"/>
            </w:tcBorders>
            <w:noWrap/>
            <w:vAlign w:val="bottom"/>
            <w:hideMark/>
          </w:tcPr>
          <w:p w14:paraId="287A3FD9"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74F028DE" w14:textId="77777777" w:rsidR="0090466B" w:rsidRPr="00F473CD" w:rsidRDefault="0090466B">
            <w:pPr>
              <w:jc w:val="right"/>
              <w:rPr>
                <w:rFonts w:ascii="Arial" w:eastAsia="Times" w:hAnsi="Arial"/>
                <w:sz w:val="22"/>
              </w:rPr>
            </w:pPr>
            <w:r w:rsidRPr="00F473CD">
              <w:rPr>
                <w:rFonts w:ascii="Arial" w:eastAsia="Times" w:hAnsi="Arial"/>
                <w:sz w:val="22"/>
              </w:rPr>
              <w:t>18.8%</w:t>
            </w:r>
          </w:p>
        </w:tc>
        <w:tc>
          <w:tcPr>
            <w:tcW w:w="3402" w:type="dxa"/>
            <w:tcBorders>
              <w:top w:val="nil"/>
              <w:left w:val="nil"/>
              <w:bottom w:val="single" w:sz="4" w:space="0" w:color="auto"/>
              <w:right w:val="single" w:sz="4" w:space="0" w:color="auto"/>
            </w:tcBorders>
            <w:noWrap/>
            <w:vAlign w:val="bottom"/>
            <w:hideMark/>
          </w:tcPr>
          <w:p w14:paraId="3C5CBFF7" w14:textId="77777777" w:rsidR="0090466B" w:rsidRPr="00F473CD" w:rsidRDefault="0090466B">
            <w:pPr>
              <w:jc w:val="right"/>
              <w:rPr>
                <w:rFonts w:ascii="Arial" w:eastAsia="Times" w:hAnsi="Arial"/>
                <w:sz w:val="22"/>
              </w:rPr>
            </w:pPr>
            <w:r w:rsidRPr="00F473CD">
              <w:rPr>
                <w:rFonts w:ascii="Arial" w:eastAsia="Times" w:hAnsi="Arial"/>
                <w:sz w:val="22"/>
              </w:rPr>
              <w:t>53.91</w:t>
            </w:r>
          </w:p>
        </w:tc>
      </w:tr>
      <w:tr w:rsidR="0090466B" w:rsidRPr="00492BE7" w14:paraId="5450D2AB"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F4810B7" w14:textId="77777777" w:rsidR="0090466B" w:rsidRPr="00F473CD" w:rsidRDefault="0090466B">
            <w:pPr>
              <w:jc w:val="right"/>
              <w:rPr>
                <w:rFonts w:ascii="Arial" w:eastAsia="Times" w:hAnsi="Arial"/>
                <w:sz w:val="22"/>
              </w:rPr>
            </w:pPr>
            <w:r w:rsidRPr="00F473CD">
              <w:rPr>
                <w:rFonts w:ascii="Arial" w:eastAsia="Times" w:hAnsi="Arial"/>
                <w:sz w:val="22"/>
              </w:rPr>
              <w:t>3500</w:t>
            </w:r>
          </w:p>
        </w:tc>
        <w:tc>
          <w:tcPr>
            <w:tcW w:w="1195" w:type="dxa"/>
            <w:tcBorders>
              <w:top w:val="nil"/>
              <w:left w:val="nil"/>
              <w:bottom w:val="single" w:sz="4" w:space="0" w:color="auto"/>
              <w:right w:val="single" w:sz="4" w:space="0" w:color="auto"/>
            </w:tcBorders>
            <w:noWrap/>
            <w:vAlign w:val="bottom"/>
            <w:hideMark/>
          </w:tcPr>
          <w:p w14:paraId="4AB612DF" w14:textId="77777777" w:rsidR="0090466B" w:rsidRPr="00F473CD" w:rsidRDefault="0090466B">
            <w:pPr>
              <w:jc w:val="right"/>
              <w:rPr>
                <w:rFonts w:ascii="Arial" w:eastAsia="Times" w:hAnsi="Arial"/>
                <w:sz w:val="22"/>
              </w:rPr>
            </w:pPr>
            <w:r w:rsidRPr="00F473CD">
              <w:rPr>
                <w:rFonts w:ascii="Arial" w:eastAsia="Times" w:hAnsi="Arial"/>
                <w:sz w:val="22"/>
              </w:rPr>
              <w:t>3599</w:t>
            </w:r>
          </w:p>
        </w:tc>
        <w:tc>
          <w:tcPr>
            <w:tcW w:w="1508" w:type="dxa"/>
            <w:tcBorders>
              <w:top w:val="nil"/>
              <w:left w:val="nil"/>
              <w:bottom w:val="single" w:sz="4" w:space="0" w:color="auto"/>
              <w:right w:val="single" w:sz="4" w:space="0" w:color="auto"/>
            </w:tcBorders>
            <w:noWrap/>
            <w:vAlign w:val="bottom"/>
            <w:hideMark/>
          </w:tcPr>
          <w:p w14:paraId="45FEDF69"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5DCD9649" w14:textId="77777777" w:rsidR="0090466B" w:rsidRPr="00F473CD" w:rsidRDefault="0090466B">
            <w:pPr>
              <w:jc w:val="right"/>
              <w:rPr>
                <w:rFonts w:ascii="Arial" w:eastAsia="Times" w:hAnsi="Arial"/>
                <w:sz w:val="22"/>
              </w:rPr>
            </w:pPr>
            <w:r w:rsidRPr="00F473CD">
              <w:rPr>
                <w:rFonts w:ascii="Arial" w:eastAsia="Times" w:hAnsi="Arial"/>
                <w:sz w:val="22"/>
              </w:rPr>
              <w:t>18.5%</w:t>
            </w:r>
          </w:p>
        </w:tc>
        <w:tc>
          <w:tcPr>
            <w:tcW w:w="3402" w:type="dxa"/>
            <w:tcBorders>
              <w:top w:val="nil"/>
              <w:left w:val="nil"/>
              <w:bottom w:val="single" w:sz="4" w:space="0" w:color="auto"/>
              <w:right w:val="single" w:sz="4" w:space="0" w:color="auto"/>
            </w:tcBorders>
            <w:noWrap/>
            <w:vAlign w:val="bottom"/>
            <w:hideMark/>
          </w:tcPr>
          <w:p w14:paraId="330B51E0" w14:textId="77777777" w:rsidR="0090466B" w:rsidRPr="00F473CD" w:rsidRDefault="0090466B">
            <w:pPr>
              <w:jc w:val="right"/>
              <w:rPr>
                <w:rFonts w:ascii="Arial" w:eastAsia="Times" w:hAnsi="Arial"/>
                <w:sz w:val="22"/>
              </w:rPr>
            </w:pPr>
            <w:r w:rsidRPr="00F473CD">
              <w:rPr>
                <w:rFonts w:ascii="Arial" w:eastAsia="Times" w:hAnsi="Arial"/>
                <w:sz w:val="22"/>
              </w:rPr>
              <w:t>54.73</w:t>
            </w:r>
          </w:p>
        </w:tc>
      </w:tr>
      <w:tr w:rsidR="0090466B" w:rsidRPr="00492BE7" w14:paraId="2BFB2A0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BAED139" w14:textId="77777777" w:rsidR="0090466B" w:rsidRPr="00F473CD" w:rsidRDefault="0090466B">
            <w:pPr>
              <w:jc w:val="right"/>
              <w:rPr>
                <w:rFonts w:ascii="Arial" w:eastAsia="Times" w:hAnsi="Arial"/>
                <w:sz w:val="22"/>
              </w:rPr>
            </w:pPr>
            <w:r w:rsidRPr="00F473CD">
              <w:rPr>
                <w:rFonts w:ascii="Arial" w:eastAsia="Times" w:hAnsi="Arial"/>
                <w:sz w:val="22"/>
              </w:rPr>
              <w:t>3600</w:t>
            </w:r>
          </w:p>
        </w:tc>
        <w:tc>
          <w:tcPr>
            <w:tcW w:w="1195" w:type="dxa"/>
            <w:tcBorders>
              <w:top w:val="nil"/>
              <w:left w:val="nil"/>
              <w:bottom w:val="single" w:sz="4" w:space="0" w:color="auto"/>
              <w:right w:val="single" w:sz="4" w:space="0" w:color="auto"/>
            </w:tcBorders>
            <w:noWrap/>
            <w:vAlign w:val="bottom"/>
            <w:hideMark/>
          </w:tcPr>
          <w:p w14:paraId="3C9D4F26" w14:textId="77777777" w:rsidR="0090466B" w:rsidRPr="00F473CD" w:rsidRDefault="0090466B">
            <w:pPr>
              <w:jc w:val="right"/>
              <w:rPr>
                <w:rFonts w:ascii="Arial" w:eastAsia="Times" w:hAnsi="Arial"/>
                <w:sz w:val="22"/>
              </w:rPr>
            </w:pPr>
            <w:r w:rsidRPr="00F473CD">
              <w:rPr>
                <w:rFonts w:ascii="Arial" w:eastAsia="Times" w:hAnsi="Arial"/>
                <w:sz w:val="22"/>
              </w:rPr>
              <w:t>3699</w:t>
            </w:r>
          </w:p>
        </w:tc>
        <w:tc>
          <w:tcPr>
            <w:tcW w:w="1508" w:type="dxa"/>
            <w:tcBorders>
              <w:top w:val="nil"/>
              <w:left w:val="nil"/>
              <w:bottom w:val="single" w:sz="4" w:space="0" w:color="auto"/>
              <w:right w:val="single" w:sz="4" w:space="0" w:color="auto"/>
            </w:tcBorders>
            <w:noWrap/>
            <w:vAlign w:val="bottom"/>
            <w:hideMark/>
          </w:tcPr>
          <w:p w14:paraId="79F23DAB"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5D34B34B" w14:textId="77777777" w:rsidR="0090466B" w:rsidRPr="00F473CD" w:rsidRDefault="0090466B">
            <w:pPr>
              <w:jc w:val="right"/>
              <w:rPr>
                <w:rFonts w:ascii="Arial" w:eastAsia="Times" w:hAnsi="Arial"/>
                <w:sz w:val="22"/>
              </w:rPr>
            </w:pPr>
            <w:r w:rsidRPr="00F473CD">
              <w:rPr>
                <w:rFonts w:ascii="Arial" w:eastAsia="Times" w:hAnsi="Arial"/>
                <w:sz w:val="22"/>
              </w:rPr>
              <w:t>16.5%</w:t>
            </w:r>
          </w:p>
        </w:tc>
        <w:tc>
          <w:tcPr>
            <w:tcW w:w="3402" w:type="dxa"/>
            <w:tcBorders>
              <w:top w:val="nil"/>
              <w:left w:val="nil"/>
              <w:bottom w:val="single" w:sz="4" w:space="0" w:color="auto"/>
              <w:right w:val="single" w:sz="4" w:space="0" w:color="auto"/>
            </w:tcBorders>
            <w:noWrap/>
            <w:vAlign w:val="bottom"/>
            <w:hideMark/>
          </w:tcPr>
          <w:p w14:paraId="49CF2CEC" w14:textId="77777777" w:rsidR="0090466B" w:rsidRPr="00F473CD" w:rsidRDefault="0090466B">
            <w:pPr>
              <w:jc w:val="right"/>
              <w:rPr>
                <w:rFonts w:ascii="Arial" w:eastAsia="Times" w:hAnsi="Arial"/>
                <w:sz w:val="22"/>
              </w:rPr>
            </w:pPr>
            <w:r w:rsidRPr="00F473CD">
              <w:rPr>
                <w:rFonts w:ascii="Arial" w:eastAsia="Times" w:hAnsi="Arial"/>
                <w:sz w:val="22"/>
              </w:rPr>
              <w:t>50.19</w:t>
            </w:r>
          </w:p>
        </w:tc>
      </w:tr>
      <w:tr w:rsidR="0090466B" w:rsidRPr="00492BE7" w14:paraId="5F9C97E0"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5D89507F" w14:textId="77777777" w:rsidR="0090466B" w:rsidRPr="00F473CD" w:rsidRDefault="0090466B">
            <w:pPr>
              <w:jc w:val="right"/>
              <w:rPr>
                <w:rFonts w:ascii="Arial" w:eastAsia="Times" w:hAnsi="Arial"/>
                <w:sz w:val="22"/>
              </w:rPr>
            </w:pPr>
            <w:r w:rsidRPr="00F473CD">
              <w:rPr>
                <w:rFonts w:ascii="Arial" w:eastAsia="Times" w:hAnsi="Arial"/>
                <w:sz w:val="22"/>
              </w:rPr>
              <w:t>3700</w:t>
            </w:r>
          </w:p>
        </w:tc>
        <w:tc>
          <w:tcPr>
            <w:tcW w:w="1195" w:type="dxa"/>
            <w:tcBorders>
              <w:top w:val="nil"/>
              <w:left w:val="nil"/>
              <w:bottom w:val="single" w:sz="4" w:space="0" w:color="auto"/>
              <w:right w:val="single" w:sz="4" w:space="0" w:color="auto"/>
            </w:tcBorders>
            <w:noWrap/>
            <w:vAlign w:val="bottom"/>
            <w:hideMark/>
          </w:tcPr>
          <w:p w14:paraId="77E20A2D" w14:textId="77777777" w:rsidR="0090466B" w:rsidRPr="00F473CD" w:rsidRDefault="0090466B">
            <w:pPr>
              <w:jc w:val="right"/>
              <w:rPr>
                <w:rFonts w:ascii="Arial" w:eastAsia="Times" w:hAnsi="Arial"/>
                <w:sz w:val="22"/>
              </w:rPr>
            </w:pPr>
            <w:r w:rsidRPr="00F473CD">
              <w:rPr>
                <w:rFonts w:ascii="Arial" w:eastAsia="Times" w:hAnsi="Arial"/>
                <w:sz w:val="22"/>
              </w:rPr>
              <w:t>3799</w:t>
            </w:r>
          </w:p>
        </w:tc>
        <w:tc>
          <w:tcPr>
            <w:tcW w:w="1508" w:type="dxa"/>
            <w:tcBorders>
              <w:top w:val="nil"/>
              <w:left w:val="nil"/>
              <w:bottom w:val="single" w:sz="4" w:space="0" w:color="auto"/>
              <w:right w:val="single" w:sz="4" w:space="0" w:color="auto"/>
            </w:tcBorders>
            <w:noWrap/>
            <w:vAlign w:val="bottom"/>
            <w:hideMark/>
          </w:tcPr>
          <w:p w14:paraId="35AD4BB9"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543EB6EC" w14:textId="77777777" w:rsidR="0090466B" w:rsidRPr="00F473CD" w:rsidRDefault="0090466B">
            <w:pPr>
              <w:jc w:val="right"/>
              <w:rPr>
                <w:rFonts w:ascii="Arial" w:eastAsia="Times" w:hAnsi="Arial"/>
                <w:sz w:val="22"/>
              </w:rPr>
            </w:pPr>
            <w:r w:rsidRPr="00F473CD">
              <w:rPr>
                <w:rFonts w:ascii="Arial" w:eastAsia="Times" w:hAnsi="Arial"/>
                <w:sz w:val="22"/>
              </w:rPr>
              <w:t>14.5%</w:t>
            </w:r>
          </w:p>
        </w:tc>
        <w:tc>
          <w:tcPr>
            <w:tcW w:w="3402" w:type="dxa"/>
            <w:tcBorders>
              <w:top w:val="nil"/>
              <w:left w:val="nil"/>
              <w:bottom w:val="single" w:sz="4" w:space="0" w:color="auto"/>
              <w:right w:val="single" w:sz="4" w:space="0" w:color="auto"/>
            </w:tcBorders>
            <w:noWrap/>
            <w:vAlign w:val="bottom"/>
            <w:hideMark/>
          </w:tcPr>
          <w:p w14:paraId="04FC56DA" w14:textId="77777777" w:rsidR="0090466B" w:rsidRPr="00F473CD" w:rsidRDefault="0090466B">
            <w:pPr>
              <w:jc w:val="right"/>
              <w:rPr>
                <w:rFonts w:ascii="Arial" w:eastAsia="Times" w:hAnsi="Arial"/>
                <w:sz w:val="22"/>
              </w:rPr>
            </w:pPr>
            <w:r w:rsidRPr="00F473CD">
              <w:rPr>
                <w:rFonts w:ascii="Arial" w:eastAsia="Times" w:hAnsi="Arial"/>
                <w:sz w:val="22"/>
              </w:rPr>
              <w:t>45.31</w:t>
            </w:r>
          </w:p>
        </w:tc>
      </w:tr>
      <w:tr w:rsidR="0090466B" w:rsidRPr="00492BE7" w14:paraId="7198EB06"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57B4C70" w14:textId="77777777" w:rsidR="0090466B" w:rsidRPr="00F473CD" w:rsidRDefault="0090466B">
            <w:pPr>
              <w:jc w:val="right"/>
              <w:rPr>
                <w:rFonts w:ascii="Arial" w:eastAsia="Times" w:hAnsi="Arial"/>
                <w:sz w:val="22"/>
              </w:rPr>
            </w:pPr>
            <w:r w:rsidRPr="00F473CD">
              <w:rPr>
                <w:rFonts w:ascii="Arial" w:eastAsia="Times" w:hAnsi="Arial"/>
                <w:sz w:val="22"/>
              </w:rPr>
              <w:t>3800</w:t>
            </w:r>
          </w:p>
        </w:tc>
        <w:tc>
          <w:tcPr>
            <w:tcW w:w="1195" w:type="dxa"/>
            <w:tcBorders>
              <w:top w:val="nil"/>
              <w:left w:val="nil"/>
              <w:bottom w:val="single" w:sz="4" w:space="0" w:color="auto"/>
              <w:right w:val="single" w:sz="4" w:space="0" w:color="auto"/>
            </w:tcBorders>
            <w:noWrap/>
            <w:vAlign w:val="bottom"/>
            <w:hideMark/>
          </w:tcPr>
          <w:p w14:paraId="363012EB" w14:textId="77777777" w:rsidR="0090466B" w:rsidRPr="00F473CD" w:rsidRDefault="0090466B">
            <w:pPr>
              <w:jc w:val="right"/>
              <w:rPr>
                <w:rFonts w:ascii="Arial" w:eastAsia="Times" w:hAnsi="Arial"/>
                <w:sz w:val="22"/>
              </w:rPr>
            </w:pPr>
            <w:r w:rsidRPr="00F473CD">
              <w:rPr>
                <w:rFonts w:ascii="Arial" w:eastAsia="Times" w:hAnsi="Arial"/>
                <w:sz w:val="22"/>
              </w:rPr>
              <w:t>3899</w:t>
            </w:r>
          </w:p>
        </w:tc>
        <w:tc>
          <w:tcPr>
            <w:tcW w:w="1508" w:type="dxa"/>
            <w:tcBorders>
              <w:top w:val="nil"/>
              <w:left w:val="nil"/>
              <w:bottom w:val="single" w:sz="4" w:space="0" w:color="auto"/>
              <w:right w:val="single" w:sz="4" w:space="0" w:color="auto"/>
            </w:tcBorders>
            <w:noWrap/>
            <w:vAlign w:val="bottom"/>
            <w:hideMark/>
          </w:tcPr>
          <w:p w14:paraId="6D529DFB"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15839382" w14:textId="77777777" w:rsidR="0090466B" w:rsidRPr="00F473CD" w:rsidRDefault="0090466B">
            <w:pPr>
              <w:jc w:val="right"/>
              <w:rPr>
                <w:rFonts w:ascii="Arial" w:eastAsia="Times" w:hAnsi="Arial"/>
                <w:sz w:val="22"/>
              </w:rPr>
            </w:pPr>
            <w:r w:rsidRPr="00F473CD">
              <w:rPr>
                <w:rFonts w:ascii="Arial" w:eastAsia="Times" w:hAnsi="Arial"/>
                <w:sz w:val="22"/>
              </w:rPr>
              <w:t>12.5%</w:t>
            </w:r>
          </w:p>
        </w:tc>
        <w:tc>
          <w:tcPr>
            <w:tcW w:w="3402" w:type="dxa"/>
            <w:tcBorders>
              <w:top w:val="nil"/>
              <w:left w:val="nil"/>
              <w:bottom w:val="single" w:sz="4" w:space="0" w:color="auto"/>
              <w:right w:val="single" w:sz="4" w:space="0" w:color="auto"/>
            </w:tcBorders>
            <w:noWrap/>
            <w:vAlign w:val="bottom"/>
            <w:hideMark/>
          </w:tcPr>
          <w:p w14:paraId="73BE964D" w14:textId="77777777" w:rsidR="0090466B" w:rsidRPr="00F473CD" w:rsidRDefault="0090466B">
            <w:pPr>
              <w:jc w:val="right"/>
              <w:rPr>
                <w:rFonts w:ascii="Arial" w:eastAsia="Times" w:hAnsi="Arial"/>
                <w:sz w:val="22"/>
              </w:rPr>
            </w:pPr>
            <w:r w:rsidRPr="00F473CD">
              <w:rPr>
                <w:rFonts w:ascii="Arial" w:eastAsia="Times" w:hAnsi="Arial"/>
                <w:sz w:val="22"/>
              </w:rPr>
              <w:t>40.10</w:t>
            </w:r>
          </w:p>
        </w:tc>
      </w:tr>
      <w:tr w:rsidR="0090466B" w:rsidRPr="00492BE7" w14:paraId="233C9986"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27D4A7B" w14:textId="77777777" w:rsidR="0090466B" w:rsidRPr="00F473CD" w:rsidRDefault="0090466B">
            <w:pPr>
              <w:jc w:val="right"/>
              <w:rPr>
                <w:rFonts w:ascii="Arial" w:eastAsia="Times" w:hAnsi="Arial"/>
                <w:sz w:val="22"/>
              </w:rPr>
            </w:pPr>
            <w:r w:rsidRPr="00F473CD">
              <w:rPr>
                <w:rFonts w:ascii="Arial" w:eastAsia="Times" w:hAnsi="Arial"/>
                <w:sz w:val="22"/>
              </w:rPr>
              <w:t>3900</w:t>
            </w:r>
          </w:p>
        </w:tc>
        <w:tc>
          <w:tcPr>
            <w:tcW w:w="1195" w:type="dxa"/>
            <w:tcBorders>
              <w:top w:val="nil"/>
              <w:left w:val="nil"/>
              <w:bottom w:val="single" w:sz="4" w:space="0" w:color="auto"/>
              <w:right w:val="single" w:sz="4" w:space="0" w:color="auto"/>
            </w:tcBorders>
            <w:noWrap/>
            <w:vAlign w:val="bottom"/>
            <w:hideMark/>
          </w:tcPr>
          <w:p w14:paraId="6B9F098D" w14:textId="77777777" w:rsidR="0090466B" w:rsidRPr="00F473CD" w:rsidRDefault="0090466B">
            <w:pPr>
              <w:jc w:val="right"/>
              <w:rPr>
                <w:rFonts w:ascii="Arial" w:eastAsia="Times" w:hAnsi="Arial"/>
                <w:sz w:val="22"/>
              </w:rPr>
            </w:pPr>
            <w:r w:rsidRPr="00F473CD">
              <w:rPr>
                <w:rFonts w:ascii="Arial" w:eastAsia="Times" w:hAnsi="Arial"/>
                <w:sz w:val="22"/>
              </w:rPr>
              <w:t>3999</w:t>
            </w:r>
          </w:p>
        </w:tc>
        <w:tc>
          <w:tcPr>
            <w:tcW w:w="1508" w:type="dxa"/>
            <w:tcBorders>
              <w:top w:val="nil"/>
              <w:left w:val="nil"/>
              <w:bottom w:val="single" w:sz="4" w:space="0" w:color="auto"/>
              <w:right w:val="single" w:sz="4" w:space="0" w:color="auto"/>
            </w:tcBorders>
            <w:noWrap/>
            <w:vAlign w:val="bottom"/>
            <w:hideMark/>
          </w:tcPr>
          <w:p w14:paraId="4F3E6141"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2725DE58" w14:textId="77777777" w:rsidR="0090466B" w:rsidRPr="00F473CD" w:rsidRDefault="0090466B">
            <w:pPr>
              <w:jc w:val="right"/>
              <w:rPr>
                <w:rFonts w:ascii="Arial" w:eastAsia="Times" w:hAnsi="Arial"/>
                <w:sz w:val="22"/>
              </w:rPr>
            </w:pPr>
            <w:r w:rsidRPr="00F473CD">
              <w:rPr>
                <w:rFonts w:ascii="Arial" w:eastAsia="Times" w:hAnsi="Arial"/>
                <w:sz w:val="22"/>
              </w:rPr>
              <w:t>10.5%</w:t>
            </w:r>
          </w:p>
        </w:tc>
        <w:tc>
          <w:tcPr>
            <w:tcW w:w="3402" w:type="dxa"/>
            <w:tcBorders>
              <w:top w:val="nil"/>
              <w:left w:val="nil"/>
              <w:bottom w:val="single" w:sz="4" w:space="0" w:color="auto"/>
              <w:right w:val="single" w:sz="4" w:space="0" w:color="auto"/>
            </w:tcBorders>
            <w:noWrap/>
            <w:vAlign w:val="bottom"/>
            <w:hideMark/>
          </w:tcPr>
          <w:p w14:paraId="72CFA6BD" w14:textId="77777777" w:rsidR="0090466B" w:rsidRPr="00F473CD" w:rsidRDefault="0090466B">
            <w:pPr>
              <w:jc w:val="right"/>
              <w:rPr>
                <w:rFonts w:ascii="Arial" w:eastAsia="Times" w:hAnsi="Arial"/>
                <w:sz w:val="22"/>
              </w:rPr>
            </w:pPr>
            <w:r w:rsidRPr="00F473CD">
              <w:rPr>
                <w:rFonts w:ascii="Arial" w:eastAsia="Times" w:hAnsi="Arial"/>
                <w:sz w:val="22"/>
              </w:rPr>
              <w:t>34.56</w:t>
            </w:r>
          </w:p>
        </w:tc>
      </w:tr>
      <w:tr w:rsidR="0090466B" w:rsidRPr="00492BE7" w14:paraId="38B80D18"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6DA5CB4" w14:textId="77777777" w:rsidR="0090466B" w:rsidRPr="00F473CD" w:rsidRDefault="0090466B">
            <w:pPr>
              <w:jc w:val="right"/>
              <w:rPr>
                <w:rFonts w:ascii="Arial" w:eastAsia="Times" w:hAnsi="Arial"/>
                <w:sz w:val="22"/>
              </w:rPr>
            </w:pPr>
            <w:r w:rsidRPr="00F473CD">
              <w:rPr>
                <w:rFonts w:ascii="Arial" w:eastAsia="Times" w:hAnsi="Arial"/>
                <w:sz w:val="22"/>
              </w:rPr>
              <w:t>4000</w:t>
            </w:r>
          </w:p>
        </w:tc>
        <w:tc>
          <w:tcPr>
            <w:tcW w:w="1195" w:type="dxa"/>
            <w:tcBorders>
              <w:top w:val="nil"/>
              <w:left w:val="nil"/>
              <w:bottom w:val="single" w:sz="4" w:space="0" w:color="auto"/>
              <w:right w:val="single" w:sz="4" w:space="0" w:color="auto"/>
            </w:tcBorders>
            <w:noWrap/>
            <w:vAlign w:val="bottom"/>
            <w:hideMark/>
          </w:tcPr>
          <w:p w14:paraId="622359FA" w14:textId="77777777" w:rsidR="0090466B" w:rsidRPr="00F473CD" w:rsidRDefault="0090466B">
            <w:pPr>
              <w:jc w:val="right"/>
              <w:rPr>
                <w:rFonts w:ascii="Arial" w:eastAsia="Times" w:hAnsi="Arial"/>
                <w:sz w:val="22"/>
              </w:rPr>
            </w:pPr>
            <w:r w:rsidRPr="00F473CD">
              <w:rPr>
                <w:rFonts w:ascii="Arial" w:eastAsia="Times" w:hAnsi="Arial"/>
                <w:sz w:val="22"/>
              </w:rPr>
              <w:t>4099</w:t>
            </w:r>
          </w:p>
        </w:tc>
        <w:tc>
          <w:tcPr>
            <w:tcW w:w="1508" w:type="dxa"/>
            <w:tcBorders>
              <w:top w:val="nil"/>
              <w:left w:val="nil"/>
              <w:bottom w:val="single" w:sz="4" w:space="0" w:color="auto"/>
              <w:right w:val="single" w:sz="4" w:space="0" w:color="auto"/>
            </w:tcBorders>
            <w:noWrap/>
            <w:vAlign w:val="bottom"/>
            <w:hideMark/>
          </w:tcPr>
          <w:p w14:paraId="013FBDF1"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05666C2B" w14:textId="77777777" w:rsidR="0090466B" w:rsidRPr="00F473CD" w:rsidRDefault="0090466B">
            <w:pPr>
              <w:jc w:val="right"/>
              <w:rPr>
                <w:rFonts w:ascii="Arial" w:eastAsia="Times" w:hAnsi="Arial"/>
                <w:sz w:val="22"/>
              </w:rPr>
            </w:pPr>
            <w:r w:rsidRPr="00F473CD">
              <w:rPr>
                <w:rFonts w:ascii="Arial" w:eastAsia="Times" w:hAnsi="Arial"/>
                <w:sz w:val="22"/>
              </w:rPr>
              <w:t>10.0%</w:t>
            </w:r>
          </w:p>
        </w:tc>
        <w:tc>
          <w:tcPr>
            <w:tcW w:w="3402" w:type="dxa"/>
            <w:tcBorders>
              <w:top w:val="nil"/>
              <w:left w:val="nil"/>
              <w:bottom w:val="single" w:sz="4" w:space="0" w:color="auto"/>
              <w:right w:val="single" w:sz="4" w:space="0" w:color="auto"/>
            </w:tcBorders>
            <w:noWrap/>
            <w:vAlign w:val="bottom"/>
            <w:hideMark/>
          </w:tcPr>
          <w:p w14:paraId="45506824" w14:textId="77777777" w:rsidR="0090466B" w:rsidRPr="00F473CD" w:rsidRDefault="0090466B">
            <w:pPr>
              <w:jc w:val="right"/>
              <w:rPr>
                <w:rFonts w:ascii="Arial" w:eastAsia="Times" w:hAnsi="Arial"/>
                <w:sz w:val="22"/>
              </w:rPr>
            </w:pPr>
            <w:r w:rsidRPr="00F473CD">
              <w:rPr>
                <w:rFonts w:ascii="Arial" w:eastAsia="Times" w:hAnsi="Arial"/>
                <w:sz w:val="22"/>
              </w:rPr>
              <w:t>33.75</w:t>
            </w:r>
          </w:p>
        </w:tc>
      </w:tr>
      <w:tr w:rsidR="0090466B" w:rsidRPr="00492BE7" w14:paraId="2EE98499"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7DB2E69" w14:textId="77777777" w:rsidR="0090466B" w:rsidRPr="00F473CD" w:rsidRDefault="0090466B">
            <w:pPr>
              <w:jc w:val="right"/>
              <w:rPr>
                <w:rFonts w:ascii="Arial" w:eastAsia="Times" w:hAnsi="Arial"/>
                <w:sz w:val="22"/>
              </w:rPr>
            </w:pPr>
            <w:r w:rsidRPr="00F473CD">
              <w:rPr>
                <w:rFonts w:ascii="Arial" w:eastAsia="Times" w:hAnsi="Arial"/>
                <w:sz w:val="22"/>
              </w:rPr>
              <w:t>4100</w:t>
            </w:r>
          </w:p>
        </w:tc>
        <w:tc>
          <w:tcPr>
            <w:tcW w:w="1195" w:type="dxa"/>
            <w:tcBorders>
              <w:top w:val="nil"/>
              <w:left w:val="nil"/>
              <w:bottom w:val="single" w:sz="4" w:space="0" w:color="auto"/>
              <w:right w:val="single" w:sz="4" w:space="0" w:color="auto"/>
            </w:tcBorders>
            <w:noWrap/>
            <w:vAlign w:val="bottom"/>
            <w:hideMark/>
          </w:tcPr>
          <w:p w14:paraId="7E9019B4" w14:textId="77777777" w:rsidR="0090466B" w:rsidRPr="00F473CD" w:rsidRDefault="0090466B">
            <w:pPr>
              <w:jc w:val="right"/>
              <w:rPr>
                <w:rFonts w:ascii="Arial" w:eastAsia="Times" w:hAnsi="Arial"/>
                <w:sz w:val="22"/>
              </w:rPr>
            </w:pPr>
            <w:r w:rsidRPr="00F473CD">
              <w:rPr>
                <w:rFonts w:ascii="Arial" w:eastAsia="Times" w:hAnsi="Arial"/>
                <w:sz w:val="22"/>
              </w:rPr>
              <w:t>4199</w:t>
            </w:r>
          </w:p>
        </w:tc>
        <w:tc>
          <w:tcPr>
            <w:tcW w:w="1508" w:type="dxa"/>
            <w:tcBorders>
              <w:top w:val="nil"/>
              <w:left w:val="nil"/>
              <w:bottom w:val="single" w:sz="4" w:space="0" w:color="auto"/>
              <w:right w:val="single" w:sz="4" w:space="0" w:color="auto"/>
            </w:tcBorders>
            <w:noWrap/>
            <w:vAlign w:val="bottom"/>
            <w:hideMark/>
          </w:tcPr>
          <w:p w14:paraId="79370AFE"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4FADB52C" w14:textId="77777777" w:rsidR="0090466B" w:rsidRPr="00F473CD" w:rsidRDefault="0090466B">
            <w:pPr>
              <w:jc w:val="right"/>
              <w:rPr>
                <w:rFonts w:ascii="Arial" w:eastAsia="Times" w:hAnsi="Arial"/>
                <w:sz w:val="22"/>
              </w:rPr>
            </w:pPr>
            <w:r w:rsidRPr="00F473CD">
              <w:rPr>
                <w:rFonts w:ascii="Arial" w:eastAsia="Times" w:hAnsi="Arial"/>
                <w:sz w:val="22"/>
              </w:rPr>
              <w:t>9.5%</w:t>
            </w:r>
          </w:p>
        </w:tc>
        <w:tc>
          <w:tcPr>
            <w:tcW w:w="3402" w:type="dxa"/>
            <w:tcBorders>
              <w:top w:val="nil"/>
              <w:left w:val="nil"/>
              <w:bottom w:val="single" w:sz="4" w:space="0" w:color="auto"/>
              <w:right w:val="single" w:sz="4" w:space="0" w:color="auto"/>
            </w:tcBorders>
            <w:noWrap/>
            <w:vAlign w:val="bottom"/>
            <w:hideMark/>
          </w:tcPr>
          <w:p w14:paraId="560C3F69" w14:textId="77777777" w:rsidR="0090466B" w:rsidRPr="00F473CD" w:rsidRDefault="0090466B">
            <w:pPr>
              <w:jc w:val="right"/>
              <w:rPr>
                <w:rFonts w:ascii="Arial" w:eastAsia="Times" w:hAnsi="Arial"/>
                <w:sz w:val="22"/>
              </w:rPr>
            </w:pPr>
            <w:r w:rsidRPr="00F473CD">
              <w:rPr>
                <w:rFonts w:ascii="Arial" w:eastAsia="Times" w:hAnsi="Arial"/>
                <w:sz w:val="22"/>
              </w:rPr>
              <w:t>32.85</w:t>
            </w:r>
          </w:p>
        </w:tc>
      </w:tr>
      <w:tr w:rsidR="0090466B" w:rsidRPr="00492BE7" w14:paraId="11AF5AB1"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4F90B92C" w14:textId="77777777" w:rsidR="0090466B" w:rsidRPr="00F473CD" w:rsidRDefault="0090466B">
            <w:pPr>
              <w:jc w:val="right"/>
              <w:rPr>
                <w:rFonts w:ascii="Arial" w:eastAsia="Times" w:hAnsi="Arial"/>
                <w:sz w:val="22"/>
              </w:rPr>
            </w:pPr>
            <w:r w:rsidRPr="00F473CD">
              <w:rPr>
                <w:rFonts w:ascii="Arial" w:eastAsia="Times" w:hAnsi="Arial"/>
                <w:sz w:val="22"/>
              </w:rPr>
              <w:t>4200</w:t>
            </w:r>
          </w:p>
        </w:tc>
        <w:tc>
          <w:tcPr>
            <w:tcW w:w="1195" w:type="dxa"/>
            <w:tcBorders>
              <w:top w:val="nil"/>
              <w:left w:val="nil"/>
              <w:bottom w:val="single" w:sz="4" w:space="0" w:color="auto"/>
              <w:right w:val="single" w:sz="4" w:space="0" w:color="auto"/>
            </w:tcBorders>
            <w:noWrap/>
            <w:vAlign w:val="bottom"/>
            <w:hideMark/>
          </w:tcPr>
          <w:p w14:paraId="7E1CB3C8" w14:textId="77777777" w:rsidR="0090466B" w:rsidRPr="00F473CD" w:rsidRDefault="0090466B">
            <w:pPr>
              <w:jc w:val="right"/>
              <w:rPr>
                <w:rFonts w:ascii="Arial" w:eastAsia="Times" w:hAnsi="Arial"/>
                <w:sz w:val="22"/>
              </w:rPr>
            </w:pPr>
            <w:r w:rsidRPr="00F473CD">
              <w:rPr>
                <w:rFonts w:ascii="Arial" w:eastAsia="Times" w:hAnsi="Arial"/>
                <w:sz w:val="22"/>
              </w:rPr>
              <w:t>4299</w:t>
            </w:r>
          </w:p>
        </w:tc>
        <w:tc>
          <w:tcPr>
            <w:tcW w:w="1508" w:type="dxa"/>
            <w:tcBorders>
              <w:top w:val="nil"/>
              <w:left w:val="nil"/>
              <w:bottom w:val="single" w:sz="4" w:space="0" w:color="auto"/>
              <w:right w:val="single" w:sz="4" w:space="0" w:color="auto"/>
            </w:tcBorders>
            <w:noWrap/>
            <w:vAlign w:val="bottom"/>
            <w:hideMark/>
          </w:tcPr>
          <w:p w14:paraId="2E2A07F4"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1D7FDEB4" w14:textId="77777777" w:rsidR="0090466B" w:rsidRPr="00F473CD" w:rsidRDefault="0090466B">
            <w:pPr>
              <w:jc w:val="right"/>
              <w:rPr>
                <w:rFonts w:ascii="Arial" w:eastAsia="Times" w:hAnsi="Arial"/>
                <w:sz w:val="22"/>
              </w:rPr>
            </w:pPr>
            <w:r w:rsidRPr="00F473CD">
              <w:rPr>
                <w:rFonts w:ascii="Arial" w:eastAsia="Times" w:hAnsi="Arial"/>
                <w:sz w:val="22"/>
              </w:rPr>
              <w:t>9.0%</w:t>
            </w:r>
          </w:p>
        </w:tc>
        <w:tc>
          <w:tcPr>
            <w:tcW w:w="3402" w:type="dxa"/>
            <w:tcBorders>
              <w:top w:val="nil"/>
              <w:left w:val="nil"/>
              <w:bottom w:val="single" w:sz="4" w:space="0" w:color="auto"/>
              <w:right w:val="single" w:sz="4" w:space="0" w:color="auto"/>
            </w:tcBorders>
            <w:noWrap/>
            <w:vAlign w:val="bottom"/>
            <w:hideMark/>
          </w:tcPr>
          <w:p w14:paraId="4D8F68AC" w14:textId="77777777" w:rsidR="0090466B" w:rsidRPr="00F473CD" w:rsidRDefault="0090466B">
            <w:pPr>
              <w:jc w:val="right"/>
              <w:rPr>
                <w:rFonts w:ascii="Arial" w:eastAsia="Times" w:hAnsi="Arial"/>
                <w:sz w:val="22"/>
              </w:rPr>
            </w:pPr>
            <w:r w:rsidRPr="00F473CD">
              <w:rPr>
                <w:rFonts w:ascii="Arial" w:eastAsia="Times" w:hAnsi="Arial"/>
                <w:sz w:val="22"/>
              </w:rPr>
              <w:t>31.88</w:t>
            </w:r>
          </w:p>
        </w:tc>
      </w:tr>
      <w:tr w:rsidR="0090466B" w:rsidRPr="00492BE7" w14:paraId="41160C3D"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F36E15D" w14:textId="77777777" w:rsidR="0090466B" w:rsidRPr="00F473CD" w:rsidRDefault="0090466B">
            <w:pPr>
              <w:jc w:val="right"/>
              <w:rPr>
                <w:rFonts w:ascii="Arial" w:eastAsia="Times" w:hAnsi="Arial"/>
                <w:sz w:val="22"/>
              </w:rPr>
            </w:pPr>
            <w:r w:rsidRPr="00F473CD">
              <w:rPr>
                <w:rFonts w:ascii="Arial" w:eastAsia="Times" w:hAnsi="Arial"/>
                <w:sz w:val="22"/>
              </w:rPr>
              <w:t>4300</w:t>
            </w:r>
          </w:p>
        </w:tc>
        <w:tc>
          <w:tcPr>
            <w:tcW w:w="1195" w:type="dxa"/>
            <w:tcBorders>
              <w:top w:val="nil"/>
              <w:left w:val="nil"/>
              <w:bottom w:val="single" w:sz="4" w:space="0" w:color="auto"/>
              <w:right w:val="single" w:sz="4" w:space="0" w:color="auto"/>
            </w:tcBorders>
            <w:noWrap/>
            <w:vAlign w:val="bottom"/>
            <w:hideMark/>
          </w:tcPr>
          <w:p w14:paraId="477074F1" w14:textId="77777777" w:rsidR="0090466B" w:rsidRPr="00F473CD" w:rsidRDefault="0090466B">
            <w:pPr>
              <w:jc w:val="right"/>
              <w:rPr>
                <w:rFonts w:ascii="Arial" w:eastAsia="Times" w:hAnsi="Arial"/>
                <w:sz w:val="22"/>
              </w:rPr>
            </w:pPr>
            <w:r w:rsidRPr="00F473CD">
              <w:rPr>
                <w:rFonts w:ascii="Arial" w:eastAsia="Times" w:hAnsi="Arial"/>
                <w:sz w:val="22"/>
              </w:rPr>
              <w:t>4399</w:t>
            </w:r>
          </w:p>
        </w:tc>
        <w:tc>
          <w:tcPr>
            <w:tcW w:w="1508" w:type="dxa"/>
            <w:tcBorders>
              <w:top w:val="nil"/>
              <w:left w:val="nil"/>
              <w:bottom w:val="single" w:sz="4" w:space="0" w:color="auto"/>
              <w:right w:val="single" w:sz="4" w:space="0" w:color="auto"/>
            </w:tcBorders>
            <w:noWrap/>
            <w:vAlign w:val="bottom"/>
            <w:hideMark/>
          </w:tcPr>
          <w:p w14:paraId="40431851"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6908C24D" w14:textId="77777777" w:rsidR="0090466B" w:rsidRPr="00F473CD" w:rsidRDefault="0090466B">
            <w:pPr>
              <w:jc w:val="right"/>
              <w:rPr>
                <w:rFonts w:ascii="Arial" w:eastAsia="Times" w:hAnsi="Arial"/>
                <w:sz w:val="22"/>
              </w:rPr>
            </w:pPr>
            <w:r w:rsidRPr="00F473CD">
              <w:rPr>
                <w:rFonts w:ascii="Arial" w:eastAsia="Times" w:hAnsi="Arial"/>
                <w:sz w:val="22"/>
              </w:rPr>
              <w:t>8.5%</w:t>
            </w:r>
          </w:p>
        </w:tc>
        <w:tc>
          <w:tcPr>
            <w:tcW w:w="3402" w:type="dxa"/>
            <w:tcBorders>
              <w:top w:val="nil"/>
              <w:left w:val="nil"/>
              <w:bottom w:val="single" w:sz="4" w:space="0" w:color="auto"/>
              <w:right w:val="single" w:sz="4" w:space="0" w:color="auto"/>
            </w:tcBorders>
            <w:noWrap/>
            <w:vAlign w:val="bottom"/>
            <w:hideMark/>
          </w:tcPr>
          <w:p w14:paraId="1012ECE0" w14:textId="77777777" w:rsidR="0090466B" w:rsidRPr="00F473CD" w:rsidRDefault="0090466B">
            <w:pPr>
              <w:jc w:val="right"/>
              <w:rPr>
                <w:rFonts w:ascii="Arial" w:eastAsia="Times" w:hAnsi="Arial"/>
                <w:sz w:val="22"/>
              </w:rPr>
            </w:pPr>
            <w:r w:rsidRPr="00F473CD">
              <w:rPr>
                <w:rFonts w:ascii="Arial" w:eastAsia="Times" w:hAnsi="Arial"/>
                <w:sz w:val="22"/>
              </w:rPr>
              <w:t>30.81</w:t>
            </w:r>
          </w:p>
        </w:tc>
      </w:tr>
      <w:tr w:rsidR="0090466B" w:rsidRPr="00492BE7" w14:paraId="253E5504"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5E06937" w14:textId="77777777" w:rsidR="0090466B" w:rsidRPr="00F473CD" w:rsidRDefault="0090466B">
            <w:pPr>
              <w:jc w:val="right"/>
              <w:rPr>
                <w:rFonts w:ascii="Arial" w:eastAsia="Times" w:hAnsi="Arial"/>
                <w:sz w:val="22"/>
              </w:rPr>
            </w:pPr>
            <w:r w:rsidRPr="00F473CD">
              <w:rPr>
                <w:rFonts w:ascii="Arial" w:eastAsia="Times" w:hAnsi="Arial"/>
                <w:sz w:val="22"/>
              </w:rPr>
              <w:t>4400</w:t>
            </w:r>
          </w:p>
        </w:tc>
        <w:tc>
          <w:tcPr>
            <w:tcW w:w="1195" w:type="dxa"/>
            <w:tcBorders>
              <w:top w:val="nil"/>
              <w:left w:val="nil"/>
              <w:bottom w:val="single" w:sz="4" w:space="0" w:color="auto"/>
              <w:right w:val="single" w:sz="4" w:space="0" w:color="auto"/>
            </w:tcBorders>
            <w:noWrap/>
            <w:vAlign w:val="bottom"/>
            <w:hideMark/>
          </w:tcPr>
          <w:p w14:paraId="0D31096C" w14:textId="77777777" w:rsidR="0090466B" w:rsidRPr="00F473CD" w:rsidRDefault="0090466B">
            <w:pPr>
              <w:jc w:val="right"/>
              <w:rPr>
                <w:rFonts w:ascii="Arial" w:eastAsia="Times" w:hAnsi="Arial"/>
                <w:sz w:val="22"/>
              </w:rPr>
            </w:pPr>
            <w:r w:rsidRPr="00F473CD">
              <w:rPr>
                <w:rFonts w:ascii="Arial" w:eastAsia="Times" w:hAnsi="Arial"/>
                <w:sz w:val="22"/>
              </w:rPr>
              <w:t>4499</w:t>
            </w:r>
          </w:p>
        </w:tc>
        <w:tc>
          <w:tcPr>
            <w:tcW w:w="1508" w:type="dxa"/>
            <w:tcBorders>
              <w:top w:val="nil"/>
              <w:left w:val="nil"/>
              <w:bottom w:val="single" w:sz="4" w:space="0" w:color="auto"/>
              <w:right w:val="single" w:sz="4" w:space="0" w:color="auto"/>
            </w:tcBorders>
            <w:noWrap/>
            <w:vAlign w:val="bottom"/>
            <w:hideMark/>
          </w:tcPr>
          <w:p w14:paraId="2D432EAE"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056296C4" w14:textId="77777777" w:rsidR="0090466B" w:rsidRPr="00F473CD" w:rsidRDefault="0090466B">
            <w:pPr>
              <w:jc w:val="right"/>
              <w:rPr>
                <w:rFonts w:ascii="Arial" w:eastAsia="Times" w:hAnsi="Arial"/>
                <w:sz w:val="22"/>
              </w:rPr>
            </w:pPr>
            <w:r w:rsidRPr="00F473CD">
              <w:rPr>
                <w:rFonts w:ascii="Arial" w:eastAsia="Times" w:hAnsi="Arial"/>
                <w:sz w:val="22"/>
              </w:rPr>
              <w:t>8.0%</w:t>
            </w:r>
          </w:p>
        </w:tc>
        <w:tc>
          <w:tcPr>
            <w:tcW w:w="3402" w:type="dxa"/>
            <w:tcBorders>
              <w:top w:val="nil"/>
              <w:left w:val="nil"/>
              <w:bottom w:val="single" w:sz="4" w:space="0" w:color="auto"/>
              <w:right w:val="single" w:sz="4" w:space="0" w:color="auto"/>
            </w:tcBorders>
            <w:noWrap/>
            <w:vAlign w:val="bottom"/>
            <w:hideMark/>
          </w:tcPr>
          <w:p w14:paraId="323E909B" w14:textId="77777777" w:rsidR="0090466B" w:rsidRPr="00F473CD" w:rsidRDefault="0090466B">
            <w:pPr>
              <w:jc w:val="right"/>
              <w:rPr>
                <w:rFonts w:ascii="Arial" w:eastAsia="Times" w:hAnsi="Arial"/>
                <w:sz w:val="22"/>
              </w:rPr>
            </w:pPr>
            <w:r w:rsidRPr="00F473CD">
              <w:rPr>
                <w:rFonts w:ascii="Arial" w:eastAsia="Times" w:hAnsi="Arial"/>
                <w:sz w:val="22"/>
              </w:rPr>
              <w:t>29.67</w:t>
            </w:r>
          </w:p>
        </w:tc>
      </w:tr>
      <w:tr w:rsidR="0090466B" w:rsidRPr="00492BE7" w14:paraId="31A810C2"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3503199" w14:textId="77777777" w:rsidR="0090466B" w:rsidRPr="00F473CD" w:rsidRDefault="0090466B">
            <w:pPr>
              <w:jc w:val="right"/>
              <w:rPr>
                <w:rFonts w:ascii="Arial" w:eastAsia="Times" w:hAnsi="Arial"/>
                <w:sz w:val="22"/>
              </w:rPr>
            </w:pPr>
            <w:r w:rsidRPr="00F473CD">
              <w:rPr>
                <w:rFonts w:ascii="Arial" w:eastAsia="Times" w:hAnsi="Arial"/>
                <w:sz w:val="22"/>
              </w:rPr>
              <w:t>4500</w:t>
            </w:r>
          </w:p>
        </w:tc>
        <w:tc>
          <w:tcPr>
            <w:tcW w:w="1195" w:type="dxa"/>
            <w:tcBorders>
              <w:top w:val="nil"/>
              <w:left w:val="nil"/>
              <w:bottom w:val="single" w:sz="4" w:space="0" w:color="auto"/>
              <w:right w:val="single" w:sz="4" w:space="0" w:color="auto"/>
            </w:tcBorders>
            <w:noWrap/>
            <w:vAlign w:val="bottom"/>
            <w:hideMark/>
          </w:tcPr>
          <w:p w14:paraId="168BAECC" w14:textId="77777777" w:rsidR="0090466B" w:rsidRPr="00F473CD" w:rsidRDefault="0090466B">
            <w:pPr>
              <w:jc w:val="right"/>
              <w:rPr>
                <w:rFonts w:ascii="Arial" w:eastAsia="Times" w:hAnsi="Arial"/>
                <w:sz w:val="22"/>
              </w:rPr>
            </w:pPr>
            <w:r w:rsidRPr="00F473CD">
              <w:rPr>
                <w:rFonts w:ascii="Arial" w:eastAsia="Times" w:hAnsi="Arial"/>
                <w:sz w:val="22"/>
              </w:rPr>
              <w:t>4599</w:t>
            </w:r>
          </w:p>
        </w:tc>
        <w:tc>
          <w:tcPr>
            <w:tcW w:w="1508" w:type="dxa"/>
            <w:tcBorders>
              <w:top w:val="nil"/>
              <w:left w:val="nil"/>
              <w:bottom w:val="single" w:sz="4" w:space="0" w:color="auto"/>
              <w:right w:val="single" w:sz="4" w:space="0" w:color="auto"/>
            </w:tcBorders>
            <w:noWrap/>
            <w:vAlign w:val="bottom"/>
            <w:hideMark/>
          </w:tcPr>
          <w:p w14:paraId="07BD9763"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0F656B30" w14:textId="77777777" w:rsidR="0090466B" w:rsidRPr="00F473CD" w:rsidRDefault="0090466B">
            <w:pPr>
              <w:jc w:val="right"/>
              <w:rPr>
                <w:rFonts w:ascii="Arial" w:eastAsia="Times" w:hAnsi="Arial"/>
                <w:sz w:val="22"/>
              </w:rPr>
            </w:pPr>
            <w:r w:rsidRPr="00F473CD">
              <w:rPr>
                <w:rFonts w:ascii="Arial" w:eastAsia="Times" w:hAnsi="Arial"/>
                <w:sz w:val="22"/>
              </w:rPr>
              <w:t>7.5%</w:t>
            </w:r>
          </w:p>
        </w:tc>
        <w:tc>
          <w:tcPr>
            <w:tcW w:w="3402" w:type="dxa"/>
            <w:tcBorders>
              <w:top w:val="nil"/>
              <w:left w:val="nil"/>
              <w:bottom w:val="single" w:sz="4" w:space="0" w:color="auto"/>
              <w:right w:val="single" w:sz="4" w:space="0" w:color="auto"/>
            </w:tcBorders>
            <w:noWrap/>
            <w:vAlign w:val="bottom"/>
            <w:hideMark/>
          </w:tcPr>
          <w:p w14:paraId="40CDC915" w14:textId="77777777" w:rsidR="0090466B" w:rsidRPr="00F473CD" w:rsidRDefault="0090466B">
            <w:pPr>
              <w:jc w:val="right"/>
              <w:rPr>
                <w:rFonts w:ascii="Arial" w:eastAsia="Times" w:hAnsi="Arial"/>
                <w:sz w:val="22"/>
              </w:rPr>
            </w:pPr>
            <w:r w:rsidRPr="00F473CD">
              <w:rPr>
                <w:rFonts w:ascii="Arial" w:eastAsia="Times" w:hAnsi="Arial"/>
                <w:sz w:val="22"/>
              </w:rPr>
              <w:t>28.44</w:t>
            </w:r>
          </w:p>
        </w:tc>
      </w:tr>
      <w:tr w:rsidR="0090466B" w:rsidRPr="00492BE7" w14:paraId="5482F12A"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1797AC0F" w14:textId="77777777" w:rsidR="0090466B" w:rsidRPr="00F473CD" w:rsidRDefault="0090466B">
            <w:pPr>
              <w:jc w:val="right"/>
              <w:rPr>
                <w:rFonts w:ascii="Arial" w:eastAsia="Times" w:hAnsi="Arial"/>
                <w:sz w:val="22"/>
              </w:rPr>
            </w:pPr>
            <w:r w:rsidRPr="00F473CD">
              <w:rPr>
                <w:rFonts w:ascii="Arial" w:eastAsia="Times" w:hAnsi="Arial"/>
                <w:sz w:val="22"/>
              </w:rPr>
              <w:t>4600</w:t>
            </w:r>
          </w:p>
        </w:tc>
        <w:tc>
          <w:tcPr>
            <w:tcW w:w="1195" w:type="dxa"/>
            <w:tcBorders>
              <w:top w:val="nil"/>
              <w:left w:val="nil"/>
              <w:bottom w:val="single" w:sz="4" w:space="0" w:color="auto"/>
              <w:right w:val="single" w:sz="4" w:space="0" w:color="auto"/>
            </w:tcBorders>
            <w:noWrap/>
            <w:vAlign w:val="bottom"/>
            <w:hideMark/>
          </w:tcPr>
          <w:p w14:paraId="30B07D2A" w14:textId="77777777" w:rsidR="0090466B" w:rsidRPr="00F473CD" w:rsidRDefault="0090466B">
            <w:pPr>
              <w:jc w:val="right"/>
              <w:rPr>
                <w:rFonts w:ascii="Arial" w:eastAsia="Times" w:hAnsi="Arial"/>
                <w:sz w:val="22"/>
              </w:rPr>
            </w:pPr>
            <w:r w:rsidRPr="00F473CD">
              <w:rPr>
                <w:rFonts w:ascii="Arial" w:eastAsia="Times" w:hAnsi="Arial"/>
                <w:sz w:val="22"/>
              </w:rPr>
              <w:t>4699</w:t>
            </w:r>
          </w:p>
        </w:tc>
        <w:tc>
          <w:tcPr>
            <w:tcW w:w="1508" w:type="dxa"/>
            <w:tcBorders>
              <w:top w:val="nil"/>
              <w:left w:val="nil"/>
              <w:bottom w:val="single" w:sz="4" w:space="0" w:color="auto"/>
              <w:right w:val="single" w:sz="4" w:space="0" w:color="auto"/>
            </w:tcBorders>
            <w:noWrap/>
            <w:vAlign w:val="bottom"/>
            <w:hideMark/>
          </w:tcPr>
          <w:p w14:paraId="7DBE7332"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0E56352F" w14:textId="77777777" w:rsidR="0090466B" w:rsidRPr="00F473CD" w:rsidRDefault="0090466B">
            <w:pPr>
              <w:jc w:val="right"/>
              <w:rPr>
                <w:rFonts w:ascii="Arial" w:eastAsia="Times" w:hAnsi="Arial"/>
                <w:sz w:val="22"/>
              </w:rPr>
            </w:pPr>
            <w:r w:rsidRPr="00F473CD">
              <w:rPr>
                <w:rFonts w:ascii="Arial" w:eastAsia="Times" w:hAnsi="Arial"/>
                <w:sz w:val="22"/>
              </w:rPr>
              <w:t>7.0%</w:t>
            </w:r>
          </w:p>
        </w:tc>
        <w:tc>
          <w:tcPr>
            <w:tcW w:w="3402" w:type="dxa"/>
            <w:tcBorders>
              <w:top w:val="nil"/>
              <w:left w:val="nil"/>
              <w:bottom w:val="single" w:sz="4" w:space="0" w:color="auto"/>
              <w:right w:val="single" w:sz="4" w:space="0" w:color="auto"/>
            </w:tcBorders>
            <w:noWrap/>
            <w:vAlign w:val="bottom"/>
            <w:hideMark/>
          </w:tcPr>
          <w:p w14:paraId="1C4314D5" w14:textId="77777777" w:rsidR="0090466B" w:rsidRPr="00F473CD" w:rsidRDefault="0090466B">
            <w:pPr>
              <w:jc w:val="right"/>
              <w:rPr>
                <w:rFonts w:ascii="Arial" w:eastAsia="Times" w:hAnsi="Arial"/>
                <w:sz w:val="22"/>
              </w:rPr>
            </w:pPr>
            <w:r w:rsidRPr="00F473CD">
              <w:rPr>
                <w:rFonts w:ascii="Arial" w:eastAsia="Times" w:hAnsi="Arial"/>
                <w:sz w:val="22"/>
              </w:rPr>
              <w:t>27.13</w:t>
            </w:r>
          </w:p>
        </w:tc>
      </w:tr>
      <w:tr w:rsidR="0090466B" w:rsidRPr="00492BE7" w14:paraId="79353CDF"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3E6AC488" w14:textId="77777777" w:rsidR="0090466B" w:rsidRPr="00F473CD" w:rsidRDefault="0090466B">
            <w:pPr>
              <w:jc w:val="right"/>
              <w:rPr>
                <w:rFonts w:ascii="Arial" w:eastAsia="Times" w:hAnsi="Arial"/>
                <w:sz w:val="22"/>
              </w:rPr>
            </w:pPr>
            <w:r w:rsidRPr="00F473CD">
              <w:rPr>
                <w:rFonts w:ascii="Arial" w:eastAsia="Times" w:hAnsi="Arial"/>
                <w:sz w:val="22"/>
              </w:rPr>
              <w:t>4700</w:t>
            </w:r>
          </w:p>
        </w:tc>
        <w:tc>
          <w:tcPr>
            <w:tcW w:w="1195" w:type="dxa"/>
            <w:tcBorders>
              <w:top w:val="nil"/>
              <w:left w:val="nil"/>
              <w:bottom w:val="single" w:sz="4" w:space="0" w:color="auto"/>
              <w:right w:val="single" w:sz="4" w:space="0" w:color="auto"/>
            </w:tcBorders>
            <w:noWrap/>
            <w:vAlign w:val="bottom"/>
            <w:hideMark/>
          </w:tcPr>
          <w:p w14:paraId="21025AF1" w14:textId="77777777" w:rsidR="0090466B" w:rsidRPr="00F473CD" w:rsidRDefault="0090466B">
            <w:pPr>
              <w:jc w:val="right"/>
              <w:rPr>
                <w:rFonts w:ascii="Arial" w:eastAsia="Times" w:hAnsi="Arial"/>
                <w:sz w:val="22"/>
              </w:rPr>
            </w:pPr>
            <w:r w:rsidRPr="00F473CD">
              <w:rPr>
                <w:rFonts w:ascii="Arial" w:eastAsia="Times" w:hAnsi="Arial"/>
                <w:sz w:val="22"/>
              </w:rPr>
              <w:t>4799</w:t>
            </w:r>
          </w:p>
        </w:tc>
        <w:tc>
          <w:tcPr>
            <w:tcW w:w="1508" w:type="dxa"/>
            <w:tcBorders>
              <w:top w:val="nil"/>
              <w:left w:val="nil"/>
              <w:bottom w:val="single" w:sz="4" w:space="0" w:color="auto"/>
              <w:right w:val="single" w:sz="4" w:space="0" w:color="auto"/>
            </w:tcBorders>
            <w:noWrap/>
            <w:vAlign w:val="bottom"/>
            <w:hideMark/>
          </w:tcPr>
          <w:p w14:paraId="7267989A"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0B564FF9" w14:textId="77777777" w:rsidR="0090466B" w:rsidRPr="00F473CD" w:rsidRDefault="0090466B">
            <w:pPr>
              <w:jc w:val="right"/>
              <w:rPr>
                <w:rFonts w:ascii="Arial" w:eastAsia="Times" w:hAnsi="Arial"/>
                <w:sz w:val="22"/>
              </w:rPr>
            </w:pPr>
            <w:r w:rsidRPr="00F473CD">
              <w:rPr>
                <w:rFonts w:ascii="Arial" w:eastAsia="Times" w:hAnsi="Arial"/>
                <w:sz w:val="22"/>
              </w:rPr>
              <w:t>6.5%</w:t>
            </w:r>
          </w:p>
        </w:tc>
        <w:tc>
          <w:tcPr>
            <w:tcW w:w="3402" w:type="dxa"/>
            <w:tcBorders>
              <w:top w:val="nil"/>
              <w:left w:val="nil"/>
              <w:bottom w:val="single" w:sz="4" w:space="0" w:color="auto"/>
              <w:right w:val="single" w:sz="4" w:space="0" w:color="auto"/>
            </w:tcBorders>
            <w:noWrap/>
            <w:vAlign w:val="bottom"/>
            <w:hideMark/>
          </w:tcPr>
          <w:p w14:paraId="0946B909" w14:textId="77777777" w:rsidR="0090466B" w:rsidRPr="00F473CD" w:rsidRDefault="0090466B">
            <w:pPr>
              <w:jc w:val="right"/>
              <w:rPr>
                <w:rFonts w:ascii="Arial" w:eastAsia="Times" w:hAnsi="Arial"/>
                <w:sz w:val="22"/>
              </w:rPr>
            </w:pPr>
            <w:r w:rsidRPr="00F473CD">
              <w:rPr>
                <w:rFonts w:ascii="Arial" w:eastAsia="Times" w:hAnsi="Arial"/>
                <w:sz w:val="22"/>
              </w:rPr>
              <w:t>25.73</w:t>
            </w:r>
          </w:p>
        </w:tc>
      </w:tr>
      <w:tr w:rsidR="0090466B" w:rsidRPr="00492BE7" w14:paraId="6A08B13A"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0A6D3678" w14:textId="77777777" w:rsidR="0090466B" w:rsidRPr="00F473CD" w:rsidRDefault="0090466B">
            <w:pPr>
              <w:jc w:val="right"/>
              <w:rPr>
                <w:rFonts w:ascii="Arial" w:eastAsia="Times" w:hAnsi="Arial"/>
                <w:sz w:val="22"/>
              </w:rPr>
            </w:pPr>
            <w:r w:rsidRPr="00F473CD">
              <w:rPr>
                <w:rFonts w:ascii="Arial" w:eastAsia="Times" w:hAnsi="Arial"/>
                <w:sz w:val="22"/>
              </w:rPr>
              <w:t>4800</w:t>
            </w:r>
          </w:p>
        </w:tc>
        <w:tc>
          <w:tcPr>
            <w:tcW w:w="1195" w:type="dxa"/>
            <w:tcBorders>
              <w:top w:val="nil"/>
              <w:left w:val="nil"/>
              <w:bottom w:val="single" w:sz="4" w:space="0" w:color="auto"/>
              <w:right w:val="single" w:sz="4" w:space="0" w:color="auto"/>
            </w:tcBorders>
            <w:noWrap/>
            <w:vAlign w:val="bottom"/>
            <w:hideMark/>
          </w:tcPr>
          <w:p w14:paraId="1ACF4C06" w14:textId="77777777" w:rsidR="0090466B" w:rsidRPr="00F473CD" w:rsidRDefault="0090466B">
            <w:pPr>
              <w:jc w:val="right"/>
              <w:rPr>
                <w:rFonts w:ascii="Arial" w:eastAsia="Times" w:hAnsi="Arial"/>
                <w:sz w:val="22"/>
              </w:rPr>
            </w:pPr>
            <w:r w:rsidRPr="00F473CD">
              <w:rPr>
                <w:rFonts w:ascii="Arial" w:eastAsia="Times" w:hAnsi="Arial"/>
                <w:sz w:val="22"/>
              </w:rPr>
              <w:t>4899</w:t>
            </w:r>
          </w:p>
        </w:tc>
        <w:tc>
          <w:tcPr>
            <w:tcW w:w="1508" w:type="dxa"/>
            <w:tcBorders>
              <w:top w:val="nil"/>
              <w:left w:val="nil"/>
              <w:bottom w:val="single" w:sz="4" w:space="0" w:color="auto"/>
              <w:right w:val="single" w:sz="4" w:space="0" w:color="auto"/>
            </w:tcBorders>
            <w:noWrap/>
            <w:vAlign w:val="bottom"/>
            <w:hideMark/>
          </w:tcPr>
          <w:p w14:paraId="1DA43F06"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41128F8A" w14:textId="77777777" w:rsidR="0090466B" w:rsidRPr="00F473CD" w:rsidRDefault="0090466B">
            <w:pPr>
              <w:jc w:val="right"/>
              <w:rPr>
                <w:rFonts w:ascii="Arial" w:eastAsia="Times" w:hAnsi="Arial"/>
                <w:sz w:val="22"/>
              </w:rPr>
            </w:pPr>
            <w:r w:rsidRPr="00F473CD">
              <w:rPr>
                <w:rFonts w:ascii="Arial" w:eastAsia="Times" w:hAnsi="Arial"/>
                <w:sz w:val="22"/>
              </w:rPr>
              <w:t>6.0%</w:t>
            </w:r>
          </w:p>
        </w:tc>
        <w:tc>
          <w:tcPr>
            <w:tcW w:w="3402" w:type="dxa"/>
            <w:tcBorders>
              <w:top w:val="nil"/>
              <w:left w:val="nil"/>
              <w:bottom w:val="single" w:sz="4" w:space="0" w:color="auto"/>
              <w:right w:val="single" w:sz="4" w:space="0" w:color="auto"/>
            </w:tcBorders>
            <w:noWrap/>
            <w:vAlign w:val="bottom"/>
            <w:hideMark/>
          </w:tcPr>
          <w:p w14:paraId="00196A1E" w14:textId="77777777" w:rsidR="0090466B" w:rsidRPr="00F473CD" w:rsidRDefault="0090466B">
            <w:pPr>
              <w:jc w:val="right"/>
              <w:rPr>
                <w:rFonts w:ascii="Arial" w:eastAsia="Times" w:hAnsi="Arial"/>
                <w:sz w:val="22"/>
              </w:rPr>
            </w:pPr>
            <w:r w:rsidRPr="00F473CD">
              <w:rPr>
                <w:rFonts w:ascii="Arial" w:eastAsia="Times" w:hAnsi="Arial"/>
                <w:sz w:val="22"/>
              </w:rPr>
              <w:t>24.25</w:t>
            </w:r>
          </w:p>
        </w:tc>
      </w:tr>
      <w:tr w:rsidR="0090466B" w:rsidRPr="00492BE7" w14:paraId="540C3C4A"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6A83DDFA" w14:textId="77777777" w:rsidR="0090466B" w:rsidRPr="00F473CD" w:rsidRDefault="0090466B">
            <w:pPr>
              <w:jc w:val="right"/>
              <w:rPr>
                <w:rFonts w:ascii="Arial" w:eastAsia="Times" w:hAnsi="Arial"/>
                <w:sz w:val="22"/>
              </w:rPr>
            </w:pPr>
            <w:r w:rsidRPr="00F473CD">
              <w:rPr>
                <w:rFonts w:ascii="Arial" w:eastAsia="Times" w:hAnsi="Arial"/>
                <w:sz w:val="22"/>
              </w:rPr>
              <w:t>4900</w:t>
            </w:r>
          </w:p>
        </w:tc>
        <w:tc>
          <w:tcPr>
            <w:tcW w:w="1195" w:type="dxa"/>
            <w:tcBorders>
              <w:top w:val="nil"/>
              <w:left w:val="nil"/>
              <w:bottom w:val="single" w:sz="4" w:space="0" w:color="auto"/>
              <w:right w:val="single" w:sz="4" w:space="0" w:color="auto"/>
            </w:tcBorders>
            <w:noWrap/>
            <w:vAlign w:val="bottom"/>
            <w:hideMark/>
          </w:tcPr>
          <w:p w14:paraId="5FE7BA7A" w14:textId="77777777" w:rsidR="0090466B" w:rsidRPr="00F473CD" w:rsidRDefault="0090466B">
            <w:pPr>
              <w:jc w:val="right"/>
              <w:rPr>
                <w:rFonts w:ascii="Arial" w:eastAsia="Times" w:hAnsi="Arial"/>
                <w:sz w:val="22"/>
              </w:rPr>
            </w:pPr>
            <w:r w:rsidRPr="00F473CD">
              <w:rPr>
                <w:rFonts w:ascii="Arial" w:eastAsia="Times" w:hAnsi="Arial"/>
                <w:sz w:val="22"/>
              </w:rPr>
              <w:t>4999</w:t>
            </w:r>
          </w:p>
        </w:tc>
        <w:tc>
          <w:tcPr>
            <w:tcW w:w="1508" w:type="dxa"/>
            <w:tcBorders>
              <w:top w:val="nil"/>
              <w:left w:val="nil"/>
              <w:bottom w:val="single" w:sz="4" w:space="0" w:color="auto"/>
              <w:right w:val="single" w:sz="4" w:space="0" w:color="auto"/>
            </w:tcBorders>
            <w:noWrap/>
            <w:vAlign w:val="bottom"/>
            <w:hideMark/>
          </w:tcPr>
          <w:p w14:paraId="57E9C16C" w14:textId="77777777" w:rsidR="0090466B" w:rsidRPr="00F473CD" w:rsidRDefault="0090466B">
            <w:pPr>
              <w:jc w:val="right"/>
              <w:rPr>
                <w:rFonts w:ascii="Arial" w:eastAsia="Times" w:hAnsi="Arial"/>
                <w:sz w:val="22"/>
              </w:rPr>
            </w:pPr>
            <w:r w:rsidRPr="00F473CD">
              <w:rPr>
                <w:rFonts w:ascii="Arial" w:eastAsia="Times" w:hAnsi="Arial"/>
                <w:sz w:val="22"/>
              </w:rPr>
              <w:t>0%</w:t>
            </w:r>
          </w:p>
        </w:tc>
        <w:tc>
          <w:tcPr>
            <w:tcW w:w="2126" w:type="dxa"/>
            <w:tcBorders>
              <w:top w:val="nil"/>
              <w:left w:val="nil"/>
              <w:bottom w:val="single" w:sz="4" w:space="0" w:color="auto"/>
              <w:right w:val="single" w:sz="4" w:space="0" w:color="auto"/>
            </w:tcBorders>
            <w:noWrap/>
            <w:vAlign w:val="bottom"/>
            <w:hideMark/>
          </w:tcPr>
          <w:p w14:paraId="3DAE23AD" w14:textId="77777777" w:rsidR="0090466B" w:rsidRPr="00F473CD" w:rsidRDefault="0090466B">
            <w:pPr>
              <w:jc w:val="right"/>
              <w:rPr>
                <w:rFonts w:ascii="Arial" w:eastAsia="Times" w:hAnsi="Arial"/>
                <w:sz w:val="22"/>
              </w:rPr>
            </w:pPr>
            <w:r w:rsidRPr="00F473CD">
              <w:rPr>
                <w:rFonts w:ascii="Arial" w:eastAsia="Times" w:hAnsi="Arial"/>
                <w:sz w:val="22"/>
              </w:rPr>
              <w:t>5.5%</w:t>
            </w:r>
          </w:p>
        </w:tc>
        <w:tc>
          <w:tcPr>
            <w:tcW w:w="3402" w:type="dxa"/>
            <w:tcBorders>
              <w:top w:val="nil"/>
              <w:left w:val="nil"/>
              <w:bottom w:val="single" w:sz="4" w:space="0" w:color="auto"/>
              <w:right w:val="single" w:sz="4" w:space="0" w:color="auto"/>
            </w:tcBorders>
            <w:noWrap/>
            <w:vAlign w:val="bottom"/>
            <w:hideMark/>
          </w:tcPr>
          <w:p w14:paraId="5C9B7CB6" w14:textId="77777777" w:rsidR="0090466B" w:rsidRPr="00F473CD" w:rsidRDefault="0090466B">
            <w:pPr>
              <w:jc w:val="right"/>
              <w:rPr>
                <w:rFonts w:ascii="Arial" w:eastAsia="Times" w:hAnsi="Arial"/>
                <w:sz w:val="22"/>
              </w:rPr>
            </w:pPr>
            <w:r w:rsidRPr="00F473CD">
              <w:rPr>
                <w:rFonts w:ascii="Arial" w:eastAsia="Times" w:hAnsi="Arial"/>
                <w:sz w:val="22"/>
              </w:rPr>
              <w:t>22.69</w:t>
            </w:r>
          </w:p>
        </w:tc>
      </w:tr>
      <w:tr w:rsidR="0090466B" w:rsidRPr="00492BE7" w14:paraId="29FB6C0D" w14:textId="77777777">
        <w:trPr>
          <w:trHeight w:val="290"/>
          <w:jc w:val="center"/>
        </w:trPr>
        <w:tc>
          <w:tcPr>
            <w:tcW w:w="1120" w:type="dxa"/>
            <w:tcBorders>
              <w:top w:val="nil"/>
              <w:left w:val="single" w:sz="4" w:space="0" w:color="auto"/>
              <w:bottom w:val="single" w:sz="4" w:space="0" w:color="auto"/>
              <w:right w:val="single" w:sz="4" w:space="0" w:color="auto"/>
            </w:tcBorders>
            <w:noWrap/>
            <w:vAlign w:val="bottom"/>
            <w:hideMark/>
          </w:tcPr>
          <w:p w14:paraId="7471CB7B" w14:textId="77777777" w:rsidR="0090466B" w:rsidRPr="00F473CD" w:rsidRDefault="0090466B">
            <w:pPr>
              <w:jc w:val="right"/>
              <w:rPr>
                <w:rFonts w:ascii="Arial" w:eastAsia="Times" w:hAnsi="Arial"/>
                <w:sz w:val="22"/>
              </w:rPr>
            </w:pPr>
            <w:r w:rsidRPr="00F473CD">
              <w:rPr>
                <w:rFonts w:ascii="Arial" w:eastAsia="Times" w:hAnsi="Arial"/>
                <w:sz w:val="22"/>
              </w:rPr>
              <w:t>5000</w:t>
            </w:r>
          </w:p>
        </w:tc>
        <w:tc>
          <w:tcPr>
            <w:tcW w:w="1195" w:type="dxa"/>
            <w:tcBorders>
              <w:top w:val="nil"/>
              <w:left w:val="nil"/>
              <w:bottom w:val="single" w:sz="4" w:space="0" w:color="auto"/>
              <w:right w:val="single" w:sz="4" w:space="0" w:color="auto"/>
            </w:tcBorders>
            <w:noWrap/>
            <w:vAlign w:val="bottom"/>
            <w:hideMark/>
          </w:tcPr>
          <w:p w14:paraId="4C981D67" w14:textId="77777777" w:rsidR="0090466B" w:rsidRPr="00F473CD" w:rsidRDefault="0090466B">
            <w:pPr>
              <w:jc w:val="right"/>
              <w:rPr>
                <w:rFonts w:ascii="Arial" w:eastAsia="Times" w:hAnsi="Arial"/>
                <w:sz w:val="22"/>
              </w:rPr>
            </w:pPr>
            <w:r w:rsidRPr="00F473CD">
              <w:rPr>
                <w:rFonts w:ascii="Arial" w:eastAsia="Times" w:hAnsi="Arial"/>
                <w:sz w:val="22"/>
              </w:rPr>
              <w:t>99999999</w:t>
            </w:r>
          </w:p>
        </w:tc>
        <w:tc>
          <w:tcPr>
            <w:tcW w:w="1508" w:type="dxa"/>
            <w:tcBorders>
              <w:top w:val="nil"/>
              <w:left w:val="nil"/>
              <w:bottom w:val="single" w:sz="4" w:space="0" w:color="auto"/>
              <w:right w:val="single" w:sz="4" w:space="0" w:color="auto"/>
            </w:tcBorders>
            <w:noWrap/>
            <w:vAlign w:val="bottom"/>
            <w:hideMark/>
          </w:tcPr>
          <w:p w14:paraId="02ACCBAB" w14:textId="77777777" w:rsidR="0090466B" w:rsidRPr="00F473CD" w:rsidRDefault="0090466B">
            <w:pPr>
              <w:jc w:val="right"/>
              <w:rPr>
                <w:rFonts w:ascii="Arial" w:eastAsia="Times" w:hAnsi="Arial"/>
                <w:sz w:val="22"/>
              </w:rPr>
            </w:pPr>
            <w:r w:rsidRPr="00F473CD">
              <w:rPr>
                <w:rFonts w:ascii="Arial" w:eastAsia="Times" w:hAnsi="Arial"/>
                <w:sz w:val="22"/>
              </w:rPr>
              <w:t>1%</w:t>
            </w:r>
          </w:p>
        </w:tc>
        <w:tc>
          <w:tcPr>
            <w:tcW w:w="2126" w:type="dxa"/>
            <w:tcBorders>
              <w:top w:val="nil"/>
              <w:left w:val="nil"/>
              <w:bottom w:val="single" w:sz="4" w:space="0" w:color="auto"/>
              <w:right w:val="single" w:sz="4" w:space="0" w:color="auto"/>
            </w:tcBorders>
            <w:noWrap/>
            <w:vAlign w:val="bottom"/>
            <w:hideMark/>
          </w:tcPr>
          <w:p w14:paraId="3A0E0B08" w14:textId="77777777" w:rsidR="0090466B" w:rsidRPr="00F473CD" w:rsidRDefault="0090466B">
            <w:pPr>
              <w:jc w:val="right"/>
              <w:rPr>
                <w:rFonts w:ascii="Arial" w:eastAsia="Times" w:hAnsi="Arial"/>
                <w:sz w:val="22"/>
              </w:rPr>
            </w:pPr>
            <w:r w:rsidRPr="00F473CD">
              <w:rPr>
                <w:rFonts w:ascii="Arial" w:eastAsia="Times" w:hAnsi="Arial"/>
                <w:sz w:val="22"/>
              </w:rPr>
              <w:t>5.0%</w:t>
            </w:r>
          </w:p>
        </w:tc>
        <w:tc>
          <w:tcPr>
            <w:tcW w:w="3402" w:type="dxa"/>
            <w:tcBorders>
              <w:top w:val="nil"/>
              <w:left w:val="nil"/>
              <w:bottom w:val="single" w:sz="4" w:space="0" w:color="auto"/>
              <w:right w:val="single" w:sz="4" w:space="0" w:color="auto"/>
            </w:tcBorders>
            <w:noWrap/>
            <w:vAlign w:val="bottom"/>
            <w:hideMark/>
          </w:tcPr>
          <w:p w14:paraId="47C9F651" w14:textId="77777777" w:rsidR="0090466B" w:rsidRPr="00F473CD" w:rsidRDefault="0090466B">
            <w:pPr>
              <w:jc w:val="right"/>
              <w:rPr>
                <w:rFonts w:ascii="Arial" w:eastAsia="Times" w:hAnsi="Arial"/>
                <w:sz w:val="22"/>
              </w:rPr>
            </w:pPr>
            <w:r w:rsidRPr="00F473CD">
              <w:rPr>
                <w:rFonts w:ascii="Arial" w:eastAsia="Times" w:hAnsi="Arial"/>
                <w:sz w:val="22"/>
              </w:rPr>
              <w:t>21.04</w:t>
            </w:r>
          </w:p>
        </w:tc>
      </w:tr>
    </w:tbl>
    <w:p w14:paraId="2D6CF468" w14:textId="77777777" w:rsidR="0090466B" w:rsidRPr="00D90ED4" w:rsidRDefault="0090466B" w:rsidP="0090466B"/>
    <w:p w14:paraId="38F609C3" w14:textId="40D2B2E8" w:rsidR="00C66749" w:rsidRDefault="00C66749" w:rsidP="0090466B">
      <w:pPr>
        <w:pStyle w:val="DJCSbody"/>
        <w:ind w:left="0"/>
      </w:pPr>
      <w:r>
        <w:t xml:space="preserve">The </w:t>
      </w:r>
      <w:r w:rsidR="00465736">
        <w:t xml:space="preserve">interest rate that each renter cohort has access to increases with bond size, with the </w:t>
      </w:r>
      <w:r w:rsidR="00CB4168">
        <w:t>lowest bond cohort assumed to only have access towards the higher end of the range of interest rates within Table A1</w:t>
      </w:r>
      <w:r w:rsidR="0025691B">
        <w:t xml:space="preserve"> (~60%)</w:t>
      </w:r>
      <w:r w:rsidR="00CB4168">
        <w:t>. This is assumed to decrease quickly towards the 20%-30% range</w:t>
      </w:r>
      <w:r w:rsidR="00027030">
        <w:t xml:space="preserve">, which is aligned to a majority of </w:t>
      </w:r>
      <w:r w:rsidR="00FF6F04">
        <w:t>Australians</w:t>
      </w:r>
      <w:r w:rsidR="00027030">
        <w:t xml:space="preserve"> having access to a credit card</w:t>
      </w:r>
      <w:r w:rsidR="00FF6F04">
        <w:rPr>
          <w:rStyle w:val="FootnoteReference"/>
        </w:rPr>
        <w:footnoteReference w:id="69"/>
      </w:r>
      <w:r w:rsidR="00027030">
        <w:t xml:space="preserve">. For higher bond balances of $3,000 or more, access to personal loans at larger banks becomes possible, further reducing interest rates as per Table A1. </w:t>
      </w:r>
    </w:p>
    <w:p w14:paraId="47E910C6" w14:textId="21AE5B6C" w:rsidR="0090466B" w:rsidRDefault="0090466B" w:rsidP="0090466B">
      <w:pPr>
        <w:pStyle w:val="DJCSbody"/>
        <w:ind w:left="0"/>
      </w:pPr>
      <w:r>
        <w:t xml:space="preserve">For each cohort, an initial participation curve was determined based on the point at which the actual application fee exceeds the notional application fee implied by the short-term financing options (ie. when it becomes rational to opt for alternative credit over the PRBS). </w:t>
      </w:r>
    </w:p>
    <w:p w14:paraId="53355159" w14:textId="69695227" w:rsidR="0090466B" w:rsidRDefault="0090466B" w:rsidP="0090466B">
      <w:pPr>
        <w:pStyle w:val="DJCSbody"/>
        <w:ind w:left="0"/>
      </w:pPr>
      <w:r>
        <w:t xml:space="preserve">Additional adjustments were made to the participation curve to allow for the </w:t>
      </w:r>
      <w:r w:rsidR="005B609F">
        <w:t xml:space="preserve">2 </w:t>
      </w:r>
      <w:r>
        <w:t>following factors:</w:t>
      </w:r>
    </w:p>
    <w:p w14:paraId="3F7E9FDE" w14:textId="77777777" w:rsidR="0090466B" w:rsidRPr="007B663A" w:rsidRDefault="0090466B" w:rsidP="0090466B">
      <w:pPr>
        <w:pStyle w:val="DJCSlist-bulletlevel1"/>
        <w:numPr>
          <w:ilvl w:val="0"/>
          <w:numId w:val="51"/>
        </w:numPr>
        <w:rPr>
          <w:bCs/>
        </w:rPr>
      </w:pPr>
      <w:r w:rsidRPr="007B663A">
        <w:rPr>
          <w:bCs/>
        </w:rPr>
        <w:t xml:space="preserve">A proportion of renters may not make a comparison between the cost of the PRBS and short-term financing alternatives to optimise cost. Based on research on insurance policy renewals, approximately </w:t>
      </w:r>
      <w:r w:rsidRPr="007B663A">
        <w:rPr>
          <w:bCs/>
        </w:rPr>
        <w:lastRenderedPageBreak/>
        <w:t>60% of policyholders renewed their home insurance without searching for alternatives</w:t>
      </w:r>
      <w:r w:rsidRPr="00F473CD">
        <w:rPr>
          <w:rStyle w:val="FootnoteReference"/>
          <w:rFonts w:eastAsia="MS Gothic" w:cs="Arial"/>
          <w:sz w:val="16"/>
          <w:szCs w:val="16"/>
        </w:rPr>
        <w:footnoteReference w:id="70"/>
      </w:r>
      <w:r>
        <w:rPr>
          <w:bCs/>
        </w:rPr>
        <w:t xml:space="preserve">. </w:t>
      </w:r>
      <w:r w:rsidRPr="007B663A">
        <w:rPr>
          <w:bCs/>
        </w:rPr>
        <w:t>This was adopted as the proportion of renters expected to pay for the PRBS without searching for alternative short-term financing options.</w:t>
      </w:r>
    </w:p>
    <w:p w14:paraId="77C7EDFF" w14:textId="77777777" w:rsidR="0090466B" w:rsidRDefault="0090466B" w:rsidP="0090466B">
      <w:pPr>
        <w:pStyle w:val="DJCSlist-bulletlevel1"/>
        <w:numPr>
          <w:ilvl w:val="0"/>
          <w:numId w:val="51"/>
        </w:numPr>
      </w:pPr>
      <w:r>
        <w:t>Maximum participation rates is expected to be approximately 80% due to eligibility criteria which excludes the following cohorts of renters:</w:t>
      </w:r>
    </w:p>
    <w:p w14:paraId="4C02547C" w14:textId="77777777" w:rsidR="0090466B" w:rsidRDefault="0090466B" w:rsidP="0090466B">
      <w:pPr>
        <w:pStyle w:val="DJCSbody"/>
        <w:numPr>
          <w:ilvl w:val="1"/>
          <w:numId w:val="173"/>
        </w:numPr>
      </w:pPr>
      <w:r>
        <w:t>~10% of renters transitioning to home ownership.</w:t>
      </w:r>
      <w:r>
        <w:rPr>
          <w:rStyle w:val="FootnoteReference"/>
        </w:rPr>
        <w:footnoteReference w:id="71"/>
      </w:r>
      <w:r>
        <w:t xml:space="preserve"> </w:t>
      </w:r>
    </w:p>
    <w:p w14:paraId="106FF4D6" w14:textId="77777777" w:rsidR="0090466B" w:rsidRDefault="0090466B" w:rsidP="0090466B">
      <w:pPr>
        <w:pStyle w:val="DJCSbody"/>
        <w:numPr>
          <w:ilvl w:val="1"/>
          <w:numId w:val="173"/>
        </w:numPr>
      </w:pPr>
      <w:r>
        <w:t>~5% of renter bonds are funded by Homes Victoria and hence ineligible for the PRBS.</w:t>
      </w:r>
      <w:r>
        <w:rPr>
          <w:rStyle w:val="FootnoteReference"/>
        </w:rPr>
        <w:footnoteReference w:id="72"/>
      </w:r>
      <w:r>
        <w:t xml:space="preserve"> </w:t>
      </w:r>
    </w:p>
    <w:p w14:paraId="32107CC6" w14:textId="77777777" w:rsidR="0090466B" w:rsidRDefault="0090466B" w:rsidP="0090466B">
      <w:pPr>
        <w:pStyle w:val="DJCSbody"/>
        <w:numPr>
          <w:ilvl w:val="1"/>
          <w:numId w:val="173"/>
        </w:numPr>
      </w:pPr>
      <w:r>
        <w:t>~4% of renter bonds are related to share houses with 3 or more members, which typically have lower rates of moving together (which is an eligibility requirement of the PRBS).</w:t>
      </w:r>
      <w:r>
        <w:rPr>
          <w:rStyle w:val="FootnoteReference"/>
        </w:rPr>
        <w:footnoteReference w:id="73"/>
      </w:r>
      <w:r>
        <w:t xml:space="preserve">  </w:t>
      </w:r>
    </w:p>
    <w:p w14:paraId="3D8F9943" w14:textId="77777777" w:rsidR="0090466B" w:rsidRDefault="0090466B" w:rsidP="0090466B">
      <w:pPr>
        <w:pStyle w:val="DJCSbody"/>
        <w:numPr>
          <w:ilvl w:val="1"/>
          <w:numId w:val="173"/>
        </w:numPr>
      </w:pPr>
      <w:r>
        <w:t>~1-2% of renters utilise non-electronic methods of bond lodgements which is not a feature of the PRBS.</w:t>
      </w:r>
      <w:r>
        <w:rPr>
          <w:rStyle w:val="FootnoteReference"/>
        </w:rPr>
        <w:footnoteReference w:id="74"/>
      </w:r>
      <w:r>
        <w:t xml:space="preserve"> </w:t>
      </w:r>
    </w:p>
    <w:p w14:paraId="48F7774E" w14:textId="77777777" w:rsidR="0090466B" w:rsidRDefault="0090466B" w:rsidP="0090466B">
      <w:pPr>
        <w:pStyle w:val="DJCSbody"/>
        <w:ind w:left="0"/>
      </w:pPr>
      <w:r>
        <w:t>The initial participation curve was scaled to allow for 60% of renters not searching for alternatives at a $30 application fee (given this is roughly the average notional application fee implied by alternative credit options), with this proportion decreasing as the application fee increases (i.e. as more renters would become price-sensitive at higher application fees). It was assumed that this would decrease to 5% of renters who would still participate in the PRBS at an application fee of $75, to effectively allow for a small proportion of renters who may be price insensitive.</w:t>
      </w:r>
    </w:p>
    <w:p w14:paraId="58A8CE9D" w14:textId="77777777" w:rsidR="0090466B" w:rsidRDefault="0090466B" w:rsidP="0090466B">
      <w:pPr>
        <w:pStyle w:val="DJCSbody"/>
        <w:ind w:left="0"/>
      </w:pPr>
      <w:r>
        <w:t>A further adjustment was also made to cap the participation rate at 80% (with the remaining curve also scaled down by 20%) given it is expected that 20% of renters will be ineligible for the scheme.</w:t>
      </w:r>
    </w:p>
    <w:p w14:paraId="6CED6BD5" w14:textId="45CB07D5" w:rsidR="0090466B" w:rsidRPr="0090466B" w:rsidRDefault="0090466B" w:rsidP="008E7AE6">
      <w:pPr>
        <w:pStyle w:val="DJCSbody"/>
        <w:ind w:left="0"/>
      </w:pPr>
      <w:r w:rsidRPr="008B7F81">
        <w:t>As the application fee increases, the model assumes a corresponding decrease in participation rate, consistent with observed and expected renter behaviour</w:t>
      </w:r>
      <w:r w:rsidRPr="00D358D9">
        <w:t>.</w:t>
      </w:r>
      <w:r>
        <w:t xml:space="preserve"> However, while careful consideration has been made to inform the participation curve, it remains assumption-based, with a high degree of uncertainty and as such, a sensitivity analysis has been included in Subchapter</w:t>
      </w:r>
      <w:r w:rsidRPr="009C342E">
        <w:t xml:space="preserve"> 6</w:t>
      </w:r>
      <w:r>
        <w:t>.3.3.</w:t>
      </w:r>
    </w:p>
    <w:p w14:paraId="50813F83" w14:textId="7A5764DE" w:rsidR="00CC510C" w:rsidRPr="002652B2" w:rsidRDefault="00CC510C" w:rsidP="001F576E">
      <w:pPr>
        <w:pStyle w:val="Heading4"/>
        <w:ind w:left="0"/>
      </w:pPr>
      <w:r w:rsidRPr="002652B2">
        <w:t>Claim rate</w:t>
      </w:r>
    </w:p>
    <w:p w14:paraId="6C708123" w14:textId="2236416C" w:rsidR="00D75CCC" w:rsidRPr="002652B2" w:rsidRDefault="00D75CCC" w:rsidP="001F576E">
      <w:pPr>
        <w:pStyle w:val="DJCSbody"/>
        <w:ind w:left="0"/>
      </w:pPr>
      <w:r w:rsidRPr="002652B2">
        <w:t xml:space="preserve">For the purposes of this analysis, the claim rate is defined as the proportion of total refunded bond funds that are repaid to the rental provider, whether the refund is made to the renter or the rental provider. </w:t>
      </w:r>
      <w:r w:rsidR="00D769CA" w:rsidRPr="002652B2">
        <w:t>Based on</w:t>
      </w:r>
      <w:r w:rsidR="00D769CA">
        <w:t xml:space="preserve"> 2023-24</w:t>
      </w:r>
      <w:r w:rsidR="00D769CA" w:rsidRPr="002652B2">
        <w:t xml:space="preserve"> data from the Residential Tenancies Bond Authority (RTBA)</w:t>
      </w:r>
      <w:r w:rsidRPr="002652B2">
        <w:t xml:space="preserve">, the claim rate is approximately </w:t>
      </w:r>
      <w:r w:rsidRPr="002652B2">
        <w:rPr>
          <w:b/>
          <w:bCs/>
        </w:rPr>
        <w:t>18%</w:t>
      </w:r>
      <w:r w:rsidR="008D7427">
        <w:rPr>
          <w:b/>
          <w:bCs/>
        </w:rPr>
        <w:t xml:space="preserve"> </w:t>
      </w:r>
      <w:r w:rsidR="008D7427" w:rsidRPr="001F576E">
        <w:t>(</w:t>
      </w:r>
      <w:r w:rsidR="008D7427">
        <w:t xml:space="preserve">as determined by 10% of all bond repayments fully </w:t>
      </w:r>
      <w:r w:rsidR="00681E2F">
        <w:t>paid</w:t>
      </w:r>
      <w:r w:rsidR="008D7427">
        <w:t xml:space="preserve"> to the rental provider </w:t>
      </w:r>
      <w:r w:rsidR="00681E2F">
        <w:t>with the remaining 25% split between the renter</w:t>
      </w:r>
      <w:r w:rsidRPr="002652B2">
        <w:t xml:space="preserve"> and </w:t>
      </w:r>
      <w:r w:rsidR="00681E2F">
        <w:t>rental provider</w:t>
      </w:r>
      <w:r w:rsidR="008D7427" w:rsidRPr="001F576E">
        <w:t>)</w:t>
      </w:r>
      <w:r w:rsidR="000559A3">
        <w:rPr>
          <w:b/>
          <w:bCs/>
        </w:rPr>
        <w:t>.</w:t>
      </w:r>
      <w:r w:rsidRPr="002652B2">
        <w:t xml:space="preserve"> </w:t>
      </w:r>
      <w:r w:rsidR="000559A3">
        <w:t>T</w:t>
      </w:r>
      <w:r w:rsidRPr="002652B2">
        <w:t>his figure has been adopted for analysis.</w:t>
      </w:r>
    </w:p>
    <w:p w14:paraId="2FF8248A" w14:textId="49E2820B" w:rsidR="00D308A9" w:rsidRDefault="00D308A9" w:rsidP="001F576E">
      <w:pPr>
        <w:pStyle w:val="Heading4"/>
        <w:ind w:left="0"/>
      </w:pPr>
      <w:r>
        <w:t>Non-payment rate</w:t>
      </w:r>
    </w:p>
    <w:p w14:paraId="2CDB787F" w14:textId="65994A7C" w:rsidR="00B60177" w:rsidRPr="00B60177" w:rsidRDefault="001D5ECA" w:rsidP="001F576E">
      <w:pPr>
        <w:pStyle w:val="DJCSbody"/>
        <w:ind w:left="0"/>
      </w:pPr>
      <w:r>
        <w:t xml:space="preserve">The non-payment rate is defined as the </w:t>
      </w:r>
      <w:r w:rsidR="00B17EBE">
        <w:t xml:space="preserve">proportion of </w:t>
      </w:r>
      <w:r w:rsidR="001A5B9E">
        <w:t xml:space="preserve">debts </w:t>
      </w:r>
      <w:r w:rsidR="00316F43">
        <w:t xml:space="preserve">to </w:t>
      </w:r>
      <w:r w:rsidR="00953D7A">
        <w:t>Government</w:t>
      </w:r>
      <w:r w:rsidR="00316F43">
        <w:t xml:space="preserve"> </w:t>
      </w:r>
      <w:r w:rsidR="001A5B9E">
        <w:t xml:space="preserve">that </w:t>
      </w:r>
      <w:r w:rsidR="0063162E">
        <w:t>are not paid on time (</w:t>
      </w:r>
      <w:r w:rsidR="00B0647D">
        <w:t>i.e.</w:t>
      </w:r>
      <w:r w:rsidR="0063162E">
        <w:t xml:space="preserve"> overdue after the initial eight weeks after the debt is established).</w:t>
      </w:r>
      <w:r w:rsidR="00316F43">
        <w:t xml:space="preserve"> This reflects the non-payment rate reported by </w:t>
      </w:r>
      <w:r w:rsidR="00E825F7">
        <w:t xml:space="preserve">local </w:t>
      </w:r>
      <w:r w:rsidR="00316F43">
        <w:t xml:space="preserve">Australian </w:t>
      </w:r>
      <w:r w:rsidR="00276B30">
        <w:t>c</w:t>
      </w:r>
      <w:r w:rsidR="0089282C">
        <w:t>ounci</w:t>
      </w:r>
      <w:r w:rsidR="00276B30">
        <w:t>l</w:t>
      </w:r>
      <w:r w:rsidR="0089282C">
        <w:t>s</w:t>
      </w:r>
      <w:r w:rsidR="00316F43">
        <w:t>.</w:t>
      </w:r>
      <w:r w:rsidR="00316F43">
        <w:rPr>
          <w:rStyle w:val="FootnoteReference"/>
        </w:rPr>
        <w:footnoteReference w:id="75"/>
      </w:r>
    </w:p>
    <w:p w14:paraId="13FF2D17" w14:textId="77777777" w:rsidR="00D75CCC" w:rsidRPr="00207C0F" w:rsidRDefault="00D75CCC" w:rsidP="001F576E">
      <w:pPr>
        <w:pStyle w:val="Heading4"/>
        <w:ind w:left="0"/>
      </w:pPr>
      <w:r w:rsidRPr="00207C0F">
        <w:lastRenderedPageBreak/>
        <w:t>Debt write-off rate</w:t>
      </w:r>
    </w:p>
    <w:p w14:paraId="3F7189D9" w14:textId="77777777" w:rsidR="00D75CCC" w:rsidRPr="00207C0F" w:rsidRDefault="00D75CCC" w:rsidP="001F576E">
      <w:pPr>
        <w:pStyle w:val="DJCSbody"/>
        <w:ind w:left="0"/>
      </w:pPr>
      <w:r w:rsidRPr="00207C0F">
        <w:t>The debt write-off rate represents the proportion of overdue bond payments that are deemed unrecoverable. It is calculated as the complement of the debt recovery rate.</w:t>
      </w:r>
    </w:p>
    <w:p w14:paraId="01C2100B" w14:textId="195C4AF8" w:rsidR="00D75CCC" w:rsidRDefault="00D75CCC" w:rsidP="001F576E">
      <w:pPr>
        <w:pStyle w:val="DJCSbody"/>
        <w:ind w:left="0"/>
        <w:rPr>
          <w:b/>
          <w:bCs/>
        </w:rPr>
      </w:pPr>
      <w:r w:rsidRPr="00720B58">
        <w:t xml:space="preserve">The financial cashflow model adopted a debt recovery rate assumption of </w:t>
      </w:r>
      <w:r w:rsidRPr="00720B58">
        <w:rPr>
          <w:b/>
        </w:rPr>
        <w:t>6</w:t>
      </w:r>
      <w:r>
        <w:rPr>
          <w:b/>
        </w:rPr>
        <w:t>6</w:t>
      </w:r>
      <w:r w:rsidRPr="00720B58">
        <w:rPr>
          <w:b/>
        </w:rPr>
        <w:t>%</w:t>
      </w:r>
      <w:r w:rsidRPr="00720B58">
        <w:t xml:space="preserve">, which corresponds to </w:t>
      </w:r>
      <w:r>
        <w:t xml:space="preserve">an internal debt recovery duration </w:t>
      </w:r>
      <w:r w:rsidR="000413D7">
        <w:t xml:space="preserve">of </w:t>
      </w:r>
      <w:r w:rsidR="00E13261">
        <w:t>no less than</w:t>
      </w:r>
      <w:r w:rsidR="00F229EF">
        <w:t xml:space="preserve"> 7 days </w:t>
      </w:r>
      <w:r w:rsidR="000413D7">
        <w:t>between notices (~</w:t>
      </w:r>
      <w:r w:rsidRPr="001F576E">
        <w:rPr>
          <w:iCs/>
        </w:rPr>
        <w:t>4-weeks</w:t>
      </w:r>
      <w:r w:rsidR="000413D7">
        <w:rPr>
          <w:iCs/>
        </w:rPr>
        <w:t>)</w:t>
      </w:r>
      <w:r w:rsidRPr="00720B58">
        <w:rPr>
          <w:i/>
        </w:rPr>
        <w:t xml:space="preserve"> </w:t>
      </w:r>
      <w:r w:rsidRPr="0056402F">
        <w:rPr>
          <w:iCs/>
        </w:rPr>
        <w:t>and an external debt recovery duration of</w:t>
      </w:r>
      <w:r>
        <w:rPr>
          <w:i/>
        </w:rPr>
        <w:t xml:space="preserve"> </w:t>
      </w:r>
      <w:r w:rsidR="005F6B27" w:rsidRPr="001F576E">
        <w:rPr>
          <w:iCs/>
        </w:rPr>
        <w:t>12 months</w:t>
      </w:r>
      <w:r w:rsidRPr="00720B58">
        <w:t xml:space="preserve">. </w:t>
      </w:r>
      <w:r>
        <w:t xml:space="preserve">The debt write-off rate is, therefore, </w:t>
      </w:r>
      <w:r w:rsidRPr="00D54662">
        <w:rPr>
          <w:b/>
        </w:rPr>
        <w:t>34</w:t>
      </w:r>
      <w:r w:rsidRPr="00D54662">
        <w:rPr>
          <w:b/>
          <w:bCs/>
        </w:rPr>
        <w:t>%.</w:t>
      </w:r>
    </w:p>
    <w:p w14:paraId="5718F9CA" w14:textId="11C2C77B" w:rsidR="00D75CCC" w:rsidRPr="005960A1" w:rsidRDefault="00D75CCC" w:rsidP="001F576E">
      <w:pPr>
        <w:pStyle w:val="DJCSbody"/>
        <w:ind w:left="0"/>
      </w:pPr>
      <w:r w:rsidRPr="00720B58">
        <w:t xml:space="preserve">The rationale for selecting this assumption is outlined in detail in </w:t>
      </w:r>
      <w:r w:rsidR="00A24674">
        <w:t>Subchapter</w:t>
      </w:r>
      <w:r w:rsidR="009C5032" w:rsidRPr="00720B58">
        <w:t xml:space="preserve"> </w:t>
      </w:r>
      <w:r w:rsidR="00861F2B">
        <w:fldChar w:fldCharType="begin"/>
      </w:r>
      <w:r w:rsidR="00861F2B">
        <w:instrText xml:space="preserve"> REF _Ref219988019 \n \h </w:instrText>
      </w:r>
      <w:r w:rsidR="00861F2B">
        <w:fldChar w:fldCharType="separate"/>
      </w:r>
      <w:r w:rsidR="00A50199">
        <w:t>6.2.1</w:t>
      </w:r>
      <w:r w:rsidR="00861F2B">
        <w:fldChar w:fldCharType="end"/>
      </w:r>
      <w:r w:rsidRPr="00720B58">
        <w:t>.</w:t>
      </w:r>
    </w:p>
    <w:p w14:paraId="673893FD" w14:textId="125F7238" w:rsidR="009767D0" w:rsidRDefault="00D308A9" w:rsidP="001F576E">
      <w:pPr>
        <w:pStyle w:val="Heading4"/>
        <w:ind w:left="0"/>
      </w:pPr>
      <w:r>
        <w:t>Inflation</w:t>
      </w:r>
    </w:p>
    <w:p w14:paraId="53FE27A6" w14:textId="3C00C870" w:rsidR="00570443" w:rsidRDefault="009A7871" w:rsidP="001F576E">
      <w:pPr>
        <w:pStyle w:val="DJCSbody"/>
        <w:ind w:left="0"/>
      </w:pPr>
      <w:r>
        <w:t xml:space="preserve">Given analysis of the PRBS cashflows occurs over </w:t>
      </w:r>
      <w:r w:rsidR="008E77AF">
        <w:t>a long</w:t>
      </w:r>
      <w:r w:rsidR="00561111">
        <w:t xml:space="preserve">-term </w:t>
      </w:r>
      <w:r w:rsidR="008E77AF">
        <w:t>horizon</w:t>
      </w:r>
      <w:r w:rsidR="008F192C">
        <w:t xml:space="preserve"> (between </w:t>
      </w:r>
      <w:r w:rsidR="009431AC">
        <w:t>3</w:t>
      </w:r>
      <w:r w:rsidR="008F192C">
        <w:t xml:space="preserve"> to </w:t>
      </w:r>
      <w:r w:rsidR="009431AC">
        <w:t xml:space="preserve">10 </w:t>
      </w:r>
      <w:r w:rsidR="008F192C">
        <w:t>years)</w:t>
      </w:r>
      <w:r w:rsidR="008E77AF">
        <w:t>,</w:t>
      </w:r>
      <w:r>
        <w:t xml:space="preserve"> </w:t>
      </w:r>
      <w:r w:rsidR="00726C0F">
        <w:t xml:space="preserve">cashflows are expected to be inflated over time. </w:t>
      </w:r>
      <w:r w:rsidR="00570443">
        <w:t>There are three metric</w:t>
      </w:r>
      <w:r w:rsidR="00561111">
        <w:t>s</w:t>
      </w:r>
      <w:r w:rsidR="00570443">
        <w:t xml:space="preserve"> of inflation relevant to the analysis as detailed below:</w:t>
      </w:r>
    </w:p>
    <w:p w14:paraId="50E7F324" w14:textId="19F96EBD" w:rsidR="00B85303" w:rsidRPr="00B85303" w:rsidRDefault="0021727A" w:rsidP="001F576E">
      <w:pPr>
        <w:pStyle w:val="DJCSbody"/>
        <w:numPr>
          <w:ilvl w:val="0"/>
          <w:numId w:val="160"/>
        </w:numPr>
        <w:rPr>
          <w:b/>
          <w:bCs/>
        </w:rPr>
      </w:pPr>
      <w:r w:rsidRPr="00570443">
        <w:rPr>
          <w:b/>
          <w:bCs/>
        </w:rPr>
        <w:t xml:space="preserve">Consumer Price Index (CPI): </w:t>
      </w:r>
      <w:r w:rsidR="00B85303">
        <w:t xml:space="preserve">A future CPI inflation rate of </w:t>
      </w:r>
      <w:r w:rsidR="008756B6">
        <w:t xml:space="preserve">2.5% </w:t>
      </w:r>
      <w:r w:rsidR="00B85303">
        <w:t>was adopted, reflecting the long</w:t>
      </w:r>
      <w:r w:rsidR="00045C60">
        <w:t>-</w:t>
      </w:r>
      <w:r w:rsidR="00B85303">
        <w:t xml:space="preserve">term target range from the RBA of 2-3%. </w:t>
      </w:r>
      <w:r w:rsidR="009F13B2">
        <w:t xml:space="preserve">The exception was for the 2026-27 year where 3% was adopted to align with RBA forecasts. </w:t>
      </w:r>
      <w:r w:rsidR="00B85303">
        <w:t>This is a</w:t>
      </w:r>
      <w:r w:rsidR="00643987">
        <w:t xml:space="preserve">pplied to </w:t>
      </w:r>
      <w:r w:rsidR="00FF167B">
        <w:t xml:space="preserve">the </w:t>
      </w:r>
      <w:r w:rsidR="00423E5E">
        <w:t>application</w:t>
      </w:r>
      <w:r w:rsidR="00FF167B">
        <w:t xml:space="preserve"> fee</w:t>
      </w:r>
      <w:r w:rsidR="00E44DE1">
        <w:t xml:space="preserve">, </w:t>
      </w:r>
      <w:r w:rsidR="00500E31">
        <w:t xml:space="preserve">debt recovery fee and </w:t>
      </w:r>
      <w:r w:rsidR="00264370">
        <w:t>annual operating costs</w:t>
      </w:r>
      <w:r w:rsidR="00AE5A08">
        <w:t xml:space="preserve"> </w:t>
      </w:r>
      <w:r w:rsidR="00264370">
        <w:t>annually</w:t>
      </w:r>
      <w:r w:rsidR="00737C88">
        <w:t>. This is intended to function as a proxy for the increase to fee units over time.</w:t>
      </w:r>
    </w:p>
    <w:p w14:paraId="6E22876D" w14:textId="598E6667" w:rsidR="00570443" w:rsidRPr="00643987" w:rsidRDefault="00570443" w:rsidP="001F576E">
      <w:pPr>
        <w:pStyle w:val="DJCSbody"/>
        <w:numPr>
          <w:ilvl w:val="0"/>
          <w:numId w:val="160"/>
        </w:numPr>
        <w:rPr>
          <w:b/>
          <w:bCs/>
        </w:rPr>
      </w:pPr>
      <w:r w:rsidRPr="00643987">
        <w:rPr>
          <w:b/>
          <w:bCs/>
        </w:rPr>
        <w:t>R</w:t>
      </w:r>
      <w:r w:rsidR="00316F43" w:rsidRPr="00643987">
        <w:rPr>
          <w:b/>
          <w:bCs/>
        </w:rPr>
        <w:t xml:space="preserve">ental </w:t>
      </w:r>
      <w:r w:rsidRPr="00643987">
        <w:rPr>
          <w:b/>
          <w:bCs/>
        </w:rPr>
        <w:t>B</w:t>
      </w:r>
      <w:r w:rsidR="00316F43" w:rsidRPr="00643987">
        <w:rPr>
          <w:b/>
          <w:bCs/>
        </w:rPr>
        <w:t xml:space="preserve">ond </w:t>
      </w:r>
      <w:r w:rsidR="009D57BB">
        <w:rPr>
          <w:b/>
          <w:bCs/>
        </w:rPr>
        <w:t>Value</w:t>
      </w:r>
      <w:r w:rsidR="00316F43" w:rsidRPr="00643987">
        <w:rPr>
          <w:b/>
          <w:bCs/>
        </w:rPr>
        <w:t xml:space="preserve"> </w:t>
      </w:r>
      <w:r w:rsidRPr="00643987">
        <w:rPr>
          <w:b/>
          <w:bCs/>
        </w:rPr>
        <w:t>G</w:t>
      </w:r>
      <w:r w:rsidR="00316F43" w:rsidRPr="00643987">
        <w:rPr>
          <w:b/>
          <w:bCs/>
        </w:rPr>
        <w:t>rowth</w:t>
      </w:r>
      <w:r w:rsidRPr="00643987">
        <w:rPr>
          <w:b/>
          <w:bCs/>
        </w:rPr>
        <w:t>:</w:t>
      </w:r>
      <w:r w:rsidR="006570BD">
        <w:rPr>
          <w:b/>
          <w:bCs/>
        </w:rPr>
        <w:t xml:space="preserve"> </w:t>
      </w:r>
      <w:r w:rsidR="006570BD">
        <w:t xml:space="preserve">A future rental </w:t>
      </w:r>
      <w:r w:rsidR="009D57BB">
        <w:t xml:space="preserve">bond value </w:t>
      </w:r>
      <w:r w:rsidR="006570BD">
        <w:t>growth rate</w:t>
      </w:r>
      <w:r w:rsidR="002411B5">
        <w:t xml:space="preserve"> </w:t>
      </w:r>
      <w:r w:rsidR="006570BD">
        <w:t>of 4.0% p.a. was adopted, reflecting the six-year average historical rental growth rate of Victoria</w:t>
      </w:r>
      <w:r w:rsidR="00B20728">
        <w:t>.</w:t>
      </w:r>
      <w:r w:rsidR="006570BD">
        <w:rPr>
          <w:rStyle w:val="FootnoteReference"/>
        </w:rPr>
        <w:footnoteReference w:id="76"/>
      </w:r>
      <w:r w:rsidR="006570BD">
        <w:t xml:space="preserve"> This is applied to the </w:t>
      </w:r>
      <w:r w:rsidR="00F2641B">
        <w:t xml:space="preserve">average </w:t>
      </w:r>
      <w:r w:rsidR="006570BD">
        <w:t>value of bonds repaid each year, which subsequently impacts the number of bonds participating in the PRBS.</w:t>
      </w:r>
      <w:r w:rsidR="00612016">
        <w:t xml:space="preserve"> This is intended to represent a long-term average assumption, </w:t>
      </w:r>
      <w:r w:rsidR="008E7315">
        <w:t>which may deviate from shorter-term forecasts</w:t>
      </w:r>
      <w:r w:rsidR="002645FB">
        <w:t xml:space="preserve"> for 2026</w:t>
      </w:r>
      <w:r w:rsidR="008E7315">
        <w:t>.</w:t>
      </w:r>
    </w:p>
    <w:p w14:paraId="332B52A3" w14:textId="26C9A064" w:rsidR="00316F43" w:rsidRPr="00643987" w:rsidRDefault="00570443" w:rsidP="001F576E">
      <w:pPr>
        <w:pStyle w:val="DJCSbody"/>
        <w:numPr>
          <w:ilvl w:val="0"/>
          <w:numId w:val="160"/>
        </w:numPr>
        <w:rPr>
          <w:b/>
        </w:rPr>
      </w:pPr>
      <w:r w:rsidRPr="00643987">
        <w:rPr>
          <w:b/>
          <w:bCs/>
        </w:rPr>
        <w:t>G</w:t>
      </w:r>
      <w:r w:rsidR="00316F43" w:rsidRPr="00643987">
        <w:rPr>
          <w:b/>
          <w:bCs/>
        </w:rPr>
        <w:t>row</w:t>
      </w:r>
      <w:r w:rsidRPr="00643987">
        <w:rPr>
          <w:b/>
          <w:bCs/>
        </w:rPr>
        <w:t>t</w:t>
      </w:r>
      <w:r w:rsidR="00316F43" w:rsidRPr="00643987">
        <w:rPr>
          <w:b/>
          <w:bCs/>
        </w:rPr>
        <w:t>h</w:t>
      </w:r>
      <w:r w:rsidR="009F171C">
        <w:rPr>
          <w:b/>
          <w:bCs/>
        </w:rPr>
        <w:t xml:space="preserve"> in Number of Bonds Repaid</w:t>
      </w:r>
      <w:r w:rsidRPr="00643987">
        <w:rPr>
          <w:b/>
          <w:bCs/>
        </w:rPr>
        <w:t>:</w:t>
      </w:r>
      <w:r w:rsidR="00B85303">
        <w:rPr>
          <w:b/>
          <w:bCs/>
        </w:rPr>
        <w:t xml:space="preserve"> </w:t>
      </w:r>
      <w:r w:rsidR="00045C60">
        <w:t xml:space="preserve">A </w:t>
      </w:r>
      <w:r w:rsidR="008660C6">
        <w:t xml:space="preserve">1.7% </w:t>
      </w:r>
      <w:r w:rsidR="00045C60">
        <w:t xml:space="preserve">growth rate </w:t>
      </w:r>
      <w:r w:rsidR="009F171C">
        <w:t>in the number of repaid bonds each year</w:t>
      </w:r>
      <w:r w:rsidR="00045C60">
        <w:t xml:space="preserve"> was adopted, </w:t>
      </w:r>
      <w:r w:rsidR="00BE5D69">
        <w:t>closely aligning to</w:t>
      </w:r>
      <w:r w:rsidR="00045C60">
        <w:t xml:space="preserve"> the long-term (ten-year) average historical growth rate </w:t>
      </w:r>
      <w:r w:rsidR="001612DB">
        <w:t xml:space="preserve">of </w:t>
      </w:r>
      <w:r w:rsidR="008660C6">
        <w:t xml:space="preserve">bonds repaid in </w:t>
      </w:r>
      <w:r w:rsidR="001612DB">
        <w:t>Victoria</w:t>
      </w:r>
      <w:r w:rsidR="0015223A">
        <w:rPr>
          <w:rStyle w:val="FootnoteReference"/>
        </w:rPr>
        <w:footnoteReference w:id="77"/>
      </w:r>
      <w:r w:rsidR="00BE5D69">
        <w:t xml:space="preserve"> (~2%)</w:t>
      </w:r>
      <w:r w:rsidR="005529EF">
        <w:t>.</w:t>
      </w:r>
      <w:r w:rsidR="001612DB">
        <w:t xml:space="preserve">  This is applied to </w:t>
      </w:r>
      <w:r w:rsidR="001E0E53">
        <w:t>the number of bonds</w:t>
      </w:r>
      <w:r w:rsidR="00E50809">
        <w:t xml:space="preserve"> repaid </w:t>
      </w:r>
      <w:r w:rsidR="0015223A">
        <w:t>each</w:t>
      </w:r>
      <w:r w:rsidR="00E50809">
        <w:t xml:space="preserve"> year, which subsequently impacts the number of bonds participating in the PRBS</w:t>
      </w:r>
      <w:r w:rsidR="0015223A">
        <w:t>.</w:t>
      </w:r>
    </w:p>
    <w:p w14:paraId="7A80455A" w14:textId="77777777" w:rsidR="00FE2E16" w:rsidRDefault="00FE2E16" w:rsidP="001F576E">
      <w:pPr>
        <w:pStyle w:val="Heading4"/>
        <w:ind w:left="0"/>
      </w:pPr>
      <w:r>
        <w:t>Discounting</w:t>
      </w:r>
    </w:p>
    <w:p w14:paraId="25F19518" w14:textId="52286C03" w:rsidR="00FE2E16" w:rsidRDefault="00FE2E16" w:rsidP="001F576E">
      <w:pPr>
        <w:pStyle w:val="DJCSbody"/>
        <w:ind w:left="0"/>
      </w:pPr>
      <w:r>
        <w:t>A discount rate of 4% p.a. is applied to all future cashflows to calculate their present value. Based on guidance from the Department of Treasury and Finance, it was recommended that this discount rate be used for the provision of goods and services where the benefits are not easily quantifiable in monetary terms</w:t>
      </w:r>
      <w:r>
        <w:rPr>
          <w:rStyle w:val="FootnoteReference"/>
        </w:rPr>
        <w:footnoteReference w:id="78"/>
      </w:r>
      <w:r>
        <w:t>.</w:t>
      </w:r>
    </w:p>
    <w:p w14:paraId="39DEFAB5" w14:textId="1BC80805" w:rsidR="00D308A9" w:rsidRPr="00913887" w:rsidRDefault="00913887" w:rsidP="00913887">
      <w:pPr>
        <w:rPr>
          <w:rFonts w:ascii="Arial" w:eastAsia="Times" w:hAnsi="Arial"/>
          <w:sz w:val="22"/>
        </w:rPr>
      </w:pPr>
      <w:r>
        <w:br w:type="page"/>
      </w:r>
    </w:p>
    <w:p w14:paraId="5962F741" w14:textId="1C635F04" w:rsidR="001C00FC" w:rsidRPr="000F65FE" w:rsidRDefault="00706B8C" w:rsidP="009C09B2">
      <w:pPr>
        <w:pStyle w:val="Heading1"/>
      </w:pPr>
      <w:bookmarkStart w:id="119" w:name="_Toc221890925"/>
      <w:r w:rsidRPr="000F65FE">
        <w:lastRenderedPageBreak/>
        <w:t xml:space="preserve">Appendix B </w:t>
      </w:r>
      <w:r w:rsidR="00192B3B">
        <w:t>- Model schematic (cash inflows and outflows)</w:t>
      </w:r>
      <w:bookmarkEnd w:id="119"/>
    </w:p>
    <w:p w14:paraId="41AF4785" w14:textId="7DBB18A7" w:rsidR="00F524F0" w:rsidRPr="00F524F0" w:rsidRDefault="006918F6" w:rsidP="00546483">
      <w:pPr>
        <w:pStyle w:val="DJCSbody"/>
        <w:ind w:left="680"/>
      </w:pPr>
      <w:r>
        <w:t xml:space="preserve">This </w:t>
      </w:r>
      <w:r w:rsidR="00216375">
        <w:t xml:space="preserve">chapter </w:t>
      </w:r>
      <w:r>
        <w:t xml:space="preserve">provides further information on the cash inflows and outflows </w:t>
      </w:r>
      <w:r w:rsidR="00A407EC">
        <w:t>considered as part of the analysis of options, along with a model schematic to demonstrate the yearly cashflow calculation.</w:t>
      </w:r>
    </w:p>
    <w:p w14:paraId="49A9FD03" w14:textId="74CE8851" w:rsidR="00192B3B" w:rsidRPr="00F524F0" w:rsidRDefault="00192B3B" w:rsidP="00546483">
      <w:pPr>
        <w:pStyle w:val="DJCSbody"/>
        <w:ind w:left="680"/>
      </w:pPr>
      <w:r>
        <w:t>The following cashflows are modelled as part of the options assessment:</w:t>
      </w:r>
    </w:p>
    <w:p w14:paraId="5743D8FE" w14:textId="0DADBCED" w:rsidR="009C09B2" w:rsidRDefault="009C09B2" w:rsidP="007822A5">
      <w:pPr>
        <w:pStyle w:val="DJCSbody"/>
        <w:numPr>
          <w:ilvl w:val="0"/>
          <w:numId w:val="29"/>
        </w:numPr>
        <w:tabs>
          <w:tab w:val="num" w:pos="2388"/>
        </w:tabs>
      </w:pPr>
      <w:r>
        <w:rPr>
          <w:b/>
          <w:bCs/>
        </w:rPr>
        <w:t xml:space="preserve">(Inflow #1) </w:t>
      </w:r>
      <w:r>
        <w:t>Application f</w:t>
      </w:r>
      <w:r w:rsidRPr="00C23CF5">
        <w:t>ee revenue</w:t>
      </w:r>
      <w:r>
        <w:t xml:space="preserve">, which is considered a key consideration </w:t>
      </w:r>
      <w:r w:rsidR="000055B1">
        <w:t>given flow-on impact</w:t>
      </w:r>
      <w:r>
        <w:t xml:space="preserve"> to:</w:t>
      </w:r>
    </w:p>
    <w:p w14:paraId="60E85BD1" w14:textId="77777777" w:rsidR="009C09B2" w:rsidRDefault="009C09B2" w:rsidP="007822A5">
      <w:pPr>
        <w:pStyle w:val="DJCSbody"/>
        <w:numPr>
          <w:ilvl w:val="0"/>
          <w:numId w:val="29"/>
        </w:numPr>
        <w:tabs>
          <w:tab w:val="clear" w:pos="340"/>
          <w:tab w:val="num" w:pos="1020"/>
          <w:tab w:val="num" w:pos="2388"/>
        </w:tabs>
        <w:ind w:left="1020"/>
      </w:pPr>
      <w:r>
        <w:t>Participation rate into the PRBS,</w:t>
      </w:r>
    </w:p>
    <w:p w14:paraId="4D174F12" w14:textId="77777777" w:rsidR="009C09B2" w:rsidRDefault="009C09B2" w:rsidP="007822A5">
      <w:pPr>
        <w:pStyle w:val="DJCSbody"/>
        <w:numPr>
          <w:ilvl w:val="0"/>
          <w:numId w:val="29"/>
        </w:numPr>
        <w:tabs>
          <w:tab w:val="clear" w:pos="340"/>
          <w:tab w:val="num" w:pos="1020"/>
          <w:tab w:val="num" w:pos="2388"/>
        </w:tabs>
        <w:ind w:left="1020"/>
      </w:pPr>
      <w:r>
        <w:t>Subsequent impact on number and cost of bonds with claims,</w:t>
      </w:r>
    </w:p>
    <w:p w14:paraId="12413FD5" w14:textId="28BC721C" w:rsidR="009C09B2" w:rsidRDefault="009C09B2" w:rsidP="007822A5">
      <w:pPr>
        <w:pStyle w:val="DJCSbody"/>
        <w:numPr>
          <w:ilvl w:val="0"/>
          <w:numId w:val="29"/>
        </w:numPr>
        <w:tabs>
          <w:tab w:val="clear" w:pos="340"/>
          <w:tab w:val="num" w:pos="1020"/>
          <w:tab w:val="num" w:pos="2388"/>
        </w:tabs>
        <w:ind w:left="1020"/>
      </w:pPr>
      <w:r>
        <w:t>Number of dollars of debts established against renters, and;</w:t>
      </w:r>
    </w:p>
    <w:p w14:paraId="6C3A7D22" w14:textId="5D35861F" w:rsidR="009C09B2" w:rsidRDefault="009C09B2" w:rsidP="007822A5">
      <w:pPr>
        <w:pStyle w:val="DJCSbody"/>
        <w:numPr>
          <w:ilvl w:val="0"/>
          <w:numId w:val="29"/>
        </w:numPr>
        <w:tabs>
          <w:tab w:val="clear" w:pos="340"/>
          <w:tab w:val="num" w:pos="1020"/>
          <w:tab w:val="num" w:pos="2388"/>
        </w:tabs>
        <w:ind w:left="1020"/>
      </w:pPr>
      <w:r>
        <w:t xml:space="preserve">Volume and cost of debt write-offs due to renters not paying their debt to </w:t>
      </w:r>
      <w:r w:rsidR="00953D7A">
        <w:t>Government</w:t>
      </w:r>
      <w:r>
        <w:t>.</w:t>
      </w:r>
    </w:p>
    <w:p w14:paraId="1ADF6861" w14:textId="69672BAD" w:rsidR="009C09B2" w:rsidRPr="00C23CF5" w:rsidRDefault="009C09B2" w:rsidP="007822A5">
      <w:pPr>
        <w:pStyle w:val="DJCSbody"/>
        <w:numPr>
          <w:ilvl w:val="0"/>
          <w:numId w:val="29"/>
        </w:numPr>
        <w:tabs>
          <w:tab w:val="num" w:pos="2388"/>
        </w:tabs>
      </w:pPr>
      <w:r w:rsidRPr="00132A18">
        <w:rPr>
          <w:b/>
          <w:bCs/>
        </w:rPr>
        <w:t>(Inflow #2)</w:t>
      </w:r>
      <w:r>
        <w:t xml:space="preserve"> Internal debt recovery fee revenue, which refers to the additional fee charged to renters with overdue debt to recover the costs incurred by </w:t>
      </w:r>
      <w:r w:rsidR="000055B1">
        <w:t xml:space="preserve">Government </w:t>
      </w:r>
      <w:r>
        <w:t>in pursuing the debt and is dependent on:</w:t>
      </w:r>
    </w:p>
    <w:p w14:paraId="07B421CA" w14:textId="60725B8F" w:rsidR="009C09B2" w:rsidRPr="00C23CF5" w:rsidRDefault="009C09B2" w:rsidP="007822A5">
      <w:pPr>
        <w:pStyle w:val="DJCSbody"/>
        <w:numPr>
          <w:ilvl w:val="0"/>
          <w:numId w:val="29"/>
        </w:numPr>
        <w:tabs>
          <w:tab w:val="clear" w:pos="340"/>
          <w:tab w:val="num" w:pos="1020"/>
          <w:tab w:val="num" w:pos="2388"/>
        </w:tabs>
        <w:ind w:left="1020"/>
      </w:pPr>
      <w:r>
        <w:t>Volume and cost of debts that are paid on time (as this fee is only applied to renters that miss the eight week deadline);</w:t>
      </w:r>
    </w:p>
    <w:p w14:paraId="2480FFFA" w14:textId="36037293" w:rsidR="009C09B2" w:rsidRPr="00C23CF5" w:rsidRDefault="009C09B2" w:rsidP="007822A5">
      <w:pPr>
        <w:pStyle w:val="DJCSbody"/>
        <w:numPr>
          <w:ilvl w:val="0"/>
          <w:numId w:val="29"/>
        </w:numPr>
        <w:tabs>
          <w:tab w:val="clear" w:pos="340"/>
          <w:tab w:val="num" w:pos="1020"/>
          <w:tab w:val="num" w:pos="2388"/>
        </w:tabs>
        <w:ind w:left="1020"/>
      </w:pPr>
      <w:r>
        <w:t xml:space="preserve">Debt write-off rates, volumes and costs as </w:t>
      </w:r>
      <w:r w:rsidR="00953D7A">
        <w:t>Government</w:t>
      </w:r>
      <w:r>
        <w:t xml:space="preserve"> is only able to recover from renters that ultimately pay their debt.</w:t>
      </w:r>
    </w:p>
    <w:p w14:paraId="03E8D924" w14:textId="3D4F4C5E" w:rsidR="009C09B2" w:rsidRDefault="009C09B2" w:rsidP="007822A5">
      <w:pPr>
        <w:pStyle w:val="DJCSbody"/>
        <w:numPr>
          <w:ilvl w:val="0"/>
          <w:numId w:val="29"/>
        </w:numPr>
        <w:tabs>
          <w:tab w:val="num" w:pos="2388"/>
        </w:tabs>
      </w:pPr>
      <w:r w:rsidRPr="00132A18">
        <w:rPr>
          <w:b/>
          <w:bCs/>
        </w:rPr>
        <w:t>(Outflow #1)</w:t>
      </w:r>
      <w:r>
        <w:t xml:space="preserve"> Costs from debt write-offs due to renters not paying their debt to </w:t>
      </w:r>
      <w:r w:rsidR="000055B1">
        <w:t>Government</w:t>
      </w:r>
      <w:r>
        <w:t>. A portion of this may be recovered as part of the application fee.</w:t>
      </w:r>
    </w:p>
    <w:p w14:paraId="16DED9DA" w14:textId="26317942" w:rsidR="009C09B2" w:rsidRPr="00F62143" w:rsidRDefault="009C09B2" w:rsidP="007822A5">
      <w:pPr>
        <w:pStyle w:val="DJCSbody"/>
        <w:numPr>
          <w:ilvl w:val="0"/>
          <w:numId w:val="29"/>
        </w:numPr>
        <w:tabs>
          <w:tab w:val="num" w:pos="2388"/>
        </w:tabs>
        <w:rPr>
          <w:b/>
        </w:rPr>
      </w:pPr>
      <w:r w:rsidRPr="00F62143">
        <w:rPr>
          <w:b/>
          <w:bCs/>
        </w:rPr>
        <w:t>(Outflow #2)</w:t>
      </w:r>
      <w:r>
        <w:rPr>
          <w:b/>
          <w:bCs/>
        </w:rPr>
        <w:t xml:space="preserve"> </w:t>
      </w:r>
      <w:r>
        <w:t xml:space="preserve">Annual operating costs to </w:t>
      </w:r>
      <w:r w:rsidR="000055B1">
        <w:t xml:space="preserve">Government </w:t>
      </w:r>
      <w:r>
        <w:t>which are intended to be recovered from the application fee and internal debt recovery fee revenue.</w:t>
      </w:r>
    </w:p>
    <w:p w14:paraId="22BE9A4C" w14:textId="1914D6DB" w:rsidR="0072259D" w:rsidRDefault="0072259D" w:rsidP="0072259D">
      <w:pPr>
        <w:pStyle w:val="Caption"/>
        <w:ind w:left="720"/>
      </w:pPr>
      <w:r>
        <w:t xml:space="preserve">    Figure </w:t>
      </w:r>
      <w:r w:rsidR="005D0E0B">
        <w:t>B1:</w:t>
      </w:r>
      <w:r>
        <w:t xml:space="preserve"> Operating schematic for the PRBS</w:t>
      </w:r>
    </w:p>
    <w:p w14:paraId="18DA1E20" w14:textId="77777777" w:rsidR="009C09B2" w:rsidRDefault="009C09B2" w:rsidP="009C09B2">
      <w:r w:rsidRPr="0002470A">
        <w:rPr>
          <w:noProof/>
        </w:rPr>
        <w:drawing>
          <wp:anchor distT="0" distB="0" distL="114300" distR="114300" simplePos="0" relativeHeight="251658243" behindDoc="1" locked="0" layoutInCell="1" allowOverlap="1" wp14:anchorId="121E46B5" wp14:editId="29B36F29">
            <wp:simplePos x="0" y="0"/>
            <wp:positionH relativeFrom="column">
              <wp:posOffset>158115</wp:posOffset>
            </wp:positionH>
            <wp:positionV relativeFrom="paragraph">
              <wp:posOffset>8255</wp:posOffset>
            </wp:positionV>
            <wp:extent cx="6840220" cy="3159125"/>
            <wp:effectExtent l="0" t="0" r="0" b="3175"/>
            <wp:wrapTight wrapText="bothSides">
              <wp:wrapPolygon edited="0">
                <wp:start x="5595" y="0"/>
                <wp:lineTo x="1805" y="521"/>
                <wp:lineTo x="1203" y="912"/>
                <wp:lineTo x="1143" y="4168"/>
                <wp:lineTo x="1143" y="8336"/>
                <wp:lineTo x="0" y="9769"/>
                <wp:lineTo x="0" y="11202"/>
                <wp:lineTo x="1143" y="12504"/>
                <wp:lineTo x="1143" y="16672"/>
                <wp:lineTo x="0" y="18756"/>
                <wp:lineTo x="0" y="20840"/>
                <wp:lineTo x="180" y="21491"/>
                <wp:lineTo x="16964" y="21491"/>
                <wp:lineTo x="21536" y="21361"/>
                <wp:lineTo x="21536" y="18496"/>
                <wp:lineTo x="20092" y="17975"/>
                <wp:lineTo x="15881" y="16672"/>
                <wp:lineTo x="16001" y="4038"/>
                <wp:lineTo x="12994" y="2084"/>
                <wp:lineTo x="13114" y="912"/>
                <wp:lineTo x="12573" y="651"/>
                <wp:lineTo x="8662" y="0"/>
                <wp:lineTo x="5595" y="0"/>
              </wp:wrapPolygon>
            </wp:wrapTight>
            <wp:docPr id="204284823" name="Picture 1" descr="This diagram shows the net cashflow for the PRBS. The diagram shows how the key steps in the PRBS result in the net financial position for the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4823" name="Picture 1" descr="This diagram shows the net cashflow for the PRBS. The diagram shows how the key steps in the PRBS result in the net financial position for the sche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40220" cy="315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26A33" w14:textId="77777777" w:rsidR="009C09B2" w:rsidRDefault="009C09B2" w:rsidP="009C09B2"/>
    <w:p w14:paraId="7770DF52" w14:textId="77777777" w:rsidR="009C09B2" w:rsidRPr="0002470A" w:rsidRDefault="009C09B2" w:rsidP="009C09B2"/>
    <w:p w14:paraId="403440DB" w14:textId="77777777" w:rsidR="009C09B2" w:rsidRDefault="009C09B2" w:rsidP="009C09B2"/>
    <w:p w14:paraId="2FA8E9E6" w14:textId="77777777" w:rsidR="009C09B2" w:rsidRDefault="009C09B2" w:rsidP="009C09B2"/>
    <w:p w14:paraId="7E21FC4F" w14:textId="77777777" w:rsidR="009C09B2" w:rsidRDefault="009C09B2" w:rsidP="009C09B2"/>
    <w:p w14:paraId="78D96825" w14:textId="77777777" w:rsidR="009C09B2" w:rsidRDefault="009C09B2" w:rsidP="009C09B2"/>
    <w:p w14:paraId="477D409D" w14:textId="77777777" w:rsidR="009C09B2" w:rsidRDefault="009C09B2" w:rsidP="009C09B2"/>
    <w:p w14:paraId="2B24938A" w14:textId="77777777" w:rsidR="009C09B2" w:rsidRPr="0002470A" w:rsidRDefault="009C09B2" w:rsidP="009C09B2"/>
    <w:p w14:paraId="353CDA11" w14:textId="77777777" w:rsidR="009C09B2" w:rsidRDefault="009C09B2" w:rsidP="009C09B2"/>
    <w:p w14:paraId="7A869C35" w14:textId="77777777" w:rsidR="009C09B2" w:rsidRDefault="009C09B2" w:rsidP="009C09B2"/>
    <w:p w14:paraId="19239BE3" w14:textId="77777777" w:rsidR="009C09B2" w:rsidRDefault="009C09B2" w:rsidP="009C09B2"/>
    <w:p w14:paraId="0620060C" w14:textId="77777777" w:rsidR="009C09B2" w:rsidRDefault="009C09B2" w:rsidP="009C09B2"/>
    <w:p w14:paraId="15949EC7" w14:textId="77777777" w:rsidR="009C09B2" w:rsidRPr="0002470A" w:rsidRDefault="009C09B2" w:rsidP="009C09B2"/>
    <w:p w14:paraId="019BF66A" w14:textId="77777777" w:rsidR="009C09B2" w:rsidRDefault="009C09B2" w:rsidP="009C09B2">
      <w:pPr>
        <w:pStyle w:val="DJCSbody"/>
        <w:tabs>
          <w:tab w:val="num" w:pos="680"/>
          <w:tab w:val="num" w:pos="2388"/>
        </w:tabs>
        <w:ind w:left="1191"/>
        <w:jc w:val="right"/>
        <w:rPr>
          <w:b/>
          <w:bCs/>
        </w:rPr>
      </w:pPr>
    </w:p>
    <w:p w14:paraId="5748E3DF" w14:textId="77777777" w:rsidR="009C09B2" w:rsidRPr="00F62143" w:rsidRDefault="009C09B2" w:rsidP="009C09B2">
      <w:pPr>
        <w:pStyle w:val="DJCSbody"/>
        <w:tabs>
          <w:tab w:val="num" w:pos="680"/>
          <w:tab w:val="num" w:pos="2388"/>
        </w:tabs>
        <w:ind w:left="1191"/>
        <w:rPr>
          <w:b/>
          <w:bCs/>
        </w:rPr>
      </w:pPr>
    </w:p>
    <w:p w14:paraId="55F06119" w14:textId="4B21039E" w:rsidR="001C00FC" w:rsidRPr="00A407EC" w:rsidRDefault="009C09B2" w:rsidP="009E4D06">
      <w:pPr>
        <w:pStyle w:val="DJCSbody"/>
        <w:tabs>
          <w:tab w:val="num" w:pos="2388"/>
        </w:tabs>
        <w:ind w:left="680"/>
      </w:pPr>
      <w:r w:rsidRPr="00337F9A">
        <w:t xml:space="preserve">The impacts of different fee options are illustrated in this </w:t>
      </w:r>
      <w:r w:rsidR="00F92C49">
        <w:t>chapter</w:t>
      </w:r>
      <w:r w:rsidR="00216375" w:rsidRPr="00337F9A">
        <w:t xml:space="preserve"> </w:t>
      </w:r>
      <w:r w:rsidRPr="00337F9A">
        <w:t xml:space="preserve">by considering the relative advantages and disadvantages of </w:t>
      </w:r>
      <w:r>
        <w:t xml:space="preserve">varying </w:t>
      </w:r>
      <w:r w:rsidRPr="00C23CF5">
        <w:t>fee</w:t>
      </w:r>
      <w:r>
        <w:t xml:space="preserve"> levels</w:t>
      </w:r>
      <w:r w:rsidRPr="00337F9A">
        <w:t xml:space="preserve">. </w:t>
      </w:r>
      <w:r>
        <w:t xml:space="preserve">Assumptions observed in the diagram above and adopted for analysis are detailed in later </w:t>
      </w:r>
      <w:r w:rsidR="00F92C49">
        <w:t xml:space="preserve">chapters </w:t>
      </w:r>
      <w:r>
        <w:t>of this document (</w:t>
      </w:r>
      <w:r w:rsidR="00A24674">
        <w:t>Subchapter</w:t>
      </w:r>
      <w:r w:rsidR="009C5032">
        <w:t xml:space="preserve">s </w:t>
      </w:r>
      <w:r>
        <w:t>5.2.3 and 5.3.3).</w:t>
      </w:r>
    </w:p>
    <w:p w14:paraId="36717ACC" w14:textId="4C949D56" w:rsidR="00CF24DD" w:rsidRDefault="00420AE4" w:rsidP="009E4D06">
      <w:pPr>
        <w:pStyle w:val="Heading1"/>
      </w:pPr>
      <w:bookmarkStart w:id="120" w:name="_Toc221890926"/>
      <w:r w:rsidRPr="000F65FE">
        <w:lastRenderedPageBreak/>
        <w:t xml:space="preserve">Appendix C </w:t>
      </w:r>
      <w:r w:rsidR="00B83CF8">
        <w:t xml:space="preserve">– </w:t>
      </w:r>
      <w:r w:rsidR="00A01EF5">
        <w:t>The Government’s</w:t>
      </w:r>
      <w:r w:rsidR="00B83CF8">
        <w:t xml:space="preserve"> </w:t>
      </w:r>
      <w:r w:rsidR="00B83CF8">
        <w:rPr>
          <w:i/>
          <w:iCs/>
        </w:rPr>
        <w:t xml:space="preserve">Pricing for Value </w:t>
      </w:r>
      <w:r w:rsidR="00B83CF8">
        <w:t>Guide</w:t>
      </w:r>
      <w:bookmarkEnd w:id="120"/>
    </w:p>
    <w:p w14:paraId="4504CA53" w14:textId="7062723D" w:rsidR="00916FD0" w:rsidRPr="000F65FE" w:rsidRDefault="00916FD0" w:rsidP="001F576E">
      <w:pPr>
        <w:pStyle w:val="DJCSbody"/>
        <w:ind w:left="0"/>
      </w:pPr>
      <w:r w:rsidRPr="000F65FE">
        <w:t xml:space="preserve">In implementing a </w:t>
      </w:r>
      <w:r w:rsidR="009E4D06">
        <w:t>PRBS</w:t>
      </w:r>
      <w:r w:rsidRPr="000F65FE">
        <w:t xml:space="preserve"> in Victoria, a fee setting process must be adhered to. In line with the direction from the Treasurer and Department of Treasury and Finance, the Government’s </w:t>
      </w:r>
      <w:r w:rsidRPr="000F65FE">
        <w:rPr>
          <w:i/>
          <w:iCs/>
        </w:rPr>
        <w:t>Pricing for Value</w:t>
      </w:r>
      <w:r w:rsidRPr="000F65FE">
        <w:t xml:space="preserve"> principles must be considered when setting fees.</w:t>
      </w:r>
    </w:p>
    <w:p w14:paraId="63D2B714" w14:textId="31168405" w:rsidR="00916FD0" w:rsidRPr="000F65FE" w:rsidRDefault="00916FD0" w:rsidP="001F576E">
      <w:pPr>
        <w:pStyle w:val="DJCSbody"/>
        <w:ind w:left="0"/>
      </w:pPr>
      <w:r w:rsidRPr="000F65FE">
        <w:t xml:space="preserve">The </w:t>
      </w:r>
      <w:r w:rsidRPr="000F65FE">
        <w:rPr>
          <w:i/>
          <w:iCs/>
        </w:rPr>
        <w:t>Pricing for Value</w:t>
      </w:r>
      <w:r w:rsidRPr="000F65FE">
        <w:t xml:space="preserve"> guide sets out 12 pricing principles that extend beyond mere cost recovery, offering a rigorous framework for </w:t>
      </w:r>
      <w:r w:rsidR="00953D7A">
        <w:t>Government</w:t>
      </w:r>
      <w:r w:rsidRPr="000F65FE">
        <w:t xml:space="preserve"> entities to use when evaluating, creating, and reviewing user charges and regulatory fees. This guide aims to ensure that cost recovery practices in Victoria are transparent, efficient, effective, and comply with legislative requirements and </w:t>
      </w:r>
      <w:r w:rsidR="000055B1">
        <w:t>Government</w:t>
      </w:r>
      <w:r w:rsidR="000055B1" w:rsidRPr="000F65FE">
        <w:t xml:space="preserve"> </w:t>
      </w:r>
      <w:r w:rsidRPr="000F65FE">
        <w:t>policy.</w:t>
      </w:r>
    </w:p>
    <w:p w14:paraId="25C66DCF" w14:textId="77777777" w:rsidR="00916FD0" w:rsidRPr="000F65FE" w:rsidRDefault="00916FD0" w:rsidP="001F576E">
      <w:pPr>
        <w:pStyle w:val="DJCSbody"/>
        <w:ind w:left="0"/>
      </w:pPr>
      <w:r w:rsidRPr="000F65FE">
        <w:t>Within this framework, cost recovery is just one of a comprehensive set of principles. These principles cover various scenarios where it may be appropriate to set prices for individual regulatory activities at, above, or below their actual costs, such as setting prices above cost to signal higher risks to regulated parties or below cost to prevent barriers to entry or other unintended negative consequences (including barriers to entry).</w:t>
      </w:r>
    </w:p>
    <w:p w14:paraId="486F551F" w14:textId="1AA34F8F" w:rsidR="00916FD0" w:rsidRPr="000F65FE" w:rsidRDefault="00916FD0" w:rsidP="001F576E">
      <w:pPr>
        <w:pStyle w:val="DJCSbody"/>
        <w:ind w:left="0"/>
      </w:pPr>
      <w:r w:rsidRPr="000F65FE">
        <w:t xml:space="preserve">The </w:t>
      </w:r>
      <w:r w:rsidRPr="000F65FE">
        <w:rPr>
          <w:i/>
          <w:iCs/>
        </w:rPr>
        <w:t>Pricing for Value</w:t>
      </w:r>
      <w:r w:rsidRPr="000F65FE">
        <w:t xml:space="preserve"> Pricing Principles are intentionally flexible, allowing them to be applied across a variety of scenarios, including the State's provision of services and industry-managed co-regulatory schemes. For the purposes of this RIS, the table below offers a summary of the key pricing principles and their interpretation in the context of setting the fees for this </w:t>
      </w:r>
      <w:r w:rsidR="002935CD">
        <w:t>PRBS</w:t>
      </w:r>
      <w:r w:rsidRPr="000F65FE">
        <w:t xml:space="preserve">. These principles have guided </w:t>
      </w:r>
      <w:r w:rsidR="009E4D06">
        <w:t>the</w:t>
      </w:r>
      <w:r w:rsidRPr="000F65FE">
        <w:t xml:space="preserve"> fee setting process and will be incorporated into the analysis of options in this RIS.</w:t>
      </w:r>
    </w:p>
    <w:p w14:paraId="0331A03B" w14:textId="46470A00" w:rsidR="006C7253" w:rsidRPr="000F65FE" w:rsidRDefault="006C7253" w:rsidP="006C7253">
      <w:pPr>
        <w:pStyle w:val="Caption"/>
        <w:keepNext/>
        <w:jc w:val="both"/>
      </w:pPr>
      <w:r w:rsidRPr="000F65FE">
        <w:t xml:space="preserve">Table </w:t>
      </w:r>
      <w:r>
        <w:t>C1</w:t>
      </w:r>
      <w:r>
        <w:fldChar w:fldCharType="begin"/>
      </w:r>
      <w:r>
        <w:instrText xml:space="preserve"> SEQ Table \* ARABIC </w:instrText>
      </w:r>
      <w:r>
        <w:fldChar w:fldCharType="separate"/>
      </w:r>
      <w:r w:rsidR="00A50199">
        <w:rPr>
          <w:noProof/>
        </w:rPr>
        <w:t>20</w:t>
      </w:r>
      <w:r>
        <w:fldChar w:fldCharType="end"/>
      </w:r>
      <w:r w:rsidRPr="000F65FE">
        <w:t>: Victorian Government Pricing for Value Pricing Principles</w:t>
      </w:r>
    </w:p>
    <w:tbl>
      <w:tblPr>
        <w:tblStyle w:val="DJRReporttablestyleNavy"/>
        <w:tblW w:w="4933" w:type="pct"/>
        <w:tblInd w:w="137" w:type="dxa"/>
        <w:tblLayout w:type="fixed"/>
        <w:tblLook w:val="04A0" w:firstRow="1" w:lastRow="0" w:firstColumn="1" w:lastColumn="0" w:noHBand="0" w:noVBand="1"/>
      </w:tblPr>
      <w:tblGrid>
        <w:gridCol w:w="567"/>
        <w:gridCol w:w="3019"/>
        <w:gridCol w:w="6053"/>
        <w:gridCol w:w="701"/>
      </w:tblGrid>
      <w:tr w:rsidR="00916FD0" w:rsidRPr="000F65FE" w14:paraId="021C2AC9" w14:textId="77777777" w:rsidTr="001F576E">
        <w:trPr>
          <w:cnfStyle w:val="100000000000" w:firstRow="1" w:lastRow="0" w:firstColumn="0" w:lastColumn="0" w:oddVBand="0" w:evenVBand="0" w:oddHBand="0" w:evenHBand="0" w:firstRowFirstColumn="0" w:firstRowLastColumn="0" w:lastRowFirstColumn="0" w:lastRowLastColumn="0"/>
          <w:tblHeader/>
        </w:trPr>
        <w:tc>
          <w:tcPr>
            <w:tcW w:w="1734" w:type="pct"/>
            <w:gridSpan w:val="2"/>
            <w:tcBorders>
              <w:top w:val="single" w:sz="4" w:space="0" w:color="auto"/>
              <w:left w:val="single" w:sz="4" w:space="0" w:color="auto"/>
              <w:bottom w:val="single" w:sz="4" w:space="0" w:color="auto"/>
              <w:right w:val="single" w:sz="4" w:space="0" w:color="auto"/>
            </w:tcBorders>
            <w:shd w:val="clear" w:color="auto" w:fill="16145F" w:themeFill="text2"/>
          </w:tcPr>
          <w:p w14:paraId="06426DAE" w14:textId="77777777" w:rsidR="00916FD0" w:rsidRPr="000F65FE" w:rsidRDefault="00916FD0" w:rsidP="001F576E">
            <w:pPr>
              <w:pStyle w:val="DJCSbody"/>
              <w:ind w:left="0"/>
            </w:pPr>
            <w:r w:rsidRPr="000F65FE">
              <w:t>Principle</w:t>
            </w:r>
          </w:p>
        </w:tc>
        <w:tc>
          <w:tcPr>
            <w:tcW w:w="3266" w:type="pct"/>
            <w:gridSpan w:val="2"/>
            <w:tcBorders>
              <w:top w:val="single" w:sz="4" w:space="0" w:color="auto"/>
              <w:left w:val="single" w:sz="4" w:space="0" w:color="auto"/>
              <w:bottom w:val="single" w:sz="4" w:space="0" w:color="auto"/>
              <w:right w:val="single" w:sz="4" w:space="0" w:color="auto"/>
            </w:tcBorders>
            <w:shd w:val="clear" w:color="auto" w:fill="16145F" w:themeFill="text2"/>
          </w:tcPr>
          <w:p w14:paraId="3D766562" w14:textId="77777777" w:rsidR="00916FD0" w:rsidRPr="000F65FE" w:rsidRDefault="00916FD0" w:rsidP="001F576E">
            <w:pPr>
              <w:pStyle w:val="DJCSbody"/>
              <w:ind w:left="0"/>
            </w:pPr>
            <w:r w:rsidRPr="000F65FE">
              <w:t>Application to this RIS</w:t>
            </w:r>
          </w:p>
        </w:tc>
      </w:tr>
      <w:tr w:rsidR="00916FD0" w:rsidRPr="000F65FE" w14:paraId="192B689C" w14:textId="77777777" w:rsidTr="001F576E">
        <w:tc>
          <w:tcPr>
            <w:tcW w:w="274" w:type="pct"/>
            <w:tcBorders>
              <w:top w:val="single" w:sz="4" w:space="0" w:color="auto"/>
              <w:left w:val="single" w:sz="4" w:space="0" w:color="auto"/>
              <w:bottom w:val="single" w:sz="4" w:space="0" w:color="auto"/>
              <w:right w:val="single" w:sz="4" w:space="0" w:color="auto"/>
            </w:tcBorders>
          </w:tcPr>
          <w:p w14:paraId="0DA20DC1" w14:textId="77777777" w:rsidR="00916FD0" w:rsidRPr="000F65FE" w:rsidRDefault="00916FD0">
            <w:pPr>
              <w:pStyle w:val="Body"/>
              <w:jc w:val="center"/>
            </w:pPr>
            <w:r w:rsidRPr="000F65FE">
              <w:t>1</w:t>
            </w:r>
          </w:p>
        </w:tc>
        <w:tc>
          <w:tcPr>
            <w:tcW w:w="1460" w:type="pct"/>
            <w:tcBorders>
              <w:top w:val="single" w:sz="4" w:space="0" w:color="auto"/>
              <w:left w:val="single" w:sz="4" w:space="0" w:color="auto"/>
              <w:bottom w:val="single" w:sz="4" w:space="0" w:color="auto"/>
              <w:right w:val="single" w:sz="4" w:space="0" w:color="auto"/>
            </w:tcBorders>
          </w:tcPr>
          <w:p w14:paraId="1CF66974" w14:textId="77777777" w:rsidR="00916FD0" w:rsidRPr="000F65FE" w:rsidRDefault="00916FD0">
            <w:pPr>
              <w:pStyle w:val="Body"/>
              <w:jc w:val="left"/>
            </w:pPr>
            <w:r w:rsidRPr="000F65FE">
              <w:t>Agencies should aim to recover the full costs of service provision to promote efficient consumption</w:t>
            </w:r>
          </w:p>
        </w:tc>
        <w:tc>
          <w:tcPr>
            <w:tcW w:w="2927" w:type="pct"/>
            <w:tcBorders>
              <w:top w:val="single" w:sz="4" w:space="0" w:color="auto"/>
              <w:left w:val="single" w:sz="4" w:space="0" w:color="auto"/>
              <w:bottom w:val="single" w:sz="4" w:space="0" w:color="auto"/>
              <w:right w:val="single" w:sz="4" w:space="0" w:color="auto"/>
            </w:tcBorders>
          </w:tcPr>
          <w:p w14:paraId="3438446F" w14:textId="7539FCA7" w:rsidR="00916FD0" w:rsidRPr="000F65FE" w:rsidRDefault="00916FD0">
            <w:pPr>
              <w:pStyle w:val="Body"/>
              <w:jc w:val="left"/>
              <w:rPr>
                <w:i/>
                <w:iCs/>
              </w:rPr>
            </w:pPr>
            <w:r w:rsidRPr="000F65FE">
              <w:rPr>
                <w:i/>
                <w:iCs/>
              </w:rPr>
              <w:t xml:space="preserve">The fee pricing should reflect the costs of delivering the associated </w:t>
            </w:r>
            <w:r w:rsidR="009E4D06">
              <w:rPr>
                <w:i/>
                <w:iCs/>
              </w:rPr>
              <w:t>rental bond</w:t>
            </w:r>
            <w:r w:rsidRPr="000F65FE">
              <w:rPr>
                <w:i/>
                <w:iCs/>
              </w:rPr>
              <w:t xml:space="preserve"> services. Doing so ensures that the value of resources required to administer the </w:t>
            </w:r>
            <w:r w:rsidR="002935CD">
              <w:rPr>
                <w:i/>
                <w:iCs/>
              </w:rPr>
              <w:t>PRBS</w:t>
            </w:r>
            <w:r w:rsidR="002935CD" w:rsidRPr="000F65FE">
              <w:rPr>
                <w:i/>
                <w:iCs/>
              </w:rPr>
              <w:t xml:space="preserve"> </w:t>
            </w:r>
            <w:r w:rsidRPr="000F65FE">
              <w:rPr>
                <w:i/>
                <w:iCs/>
              </w:rPr>
              <w:t xml:space="preserve">are known. It also ensures that costs are only borne by those who engage in or interact with the </w:t>
            </w:r>
            <w:r w:rsidR="002935CD">
              <w:rPr>
                <w:i/>
                <w:iCs/>
              </w:rPr>
              <w:t>PRBS</w:t>
            </w:r>
            <w:r w:rsidRPr="000F65FE">
              <w:rPr>
                <w:i/>
                <w:iCs/>
              </w:rPr>
              <w:t>.</w:t>
            </w:r>
          </w:p>
        </w:tc>
        <w:tc>
          <w:tcPr>
            <w:tcW w:w="339" w:type="pct"/>
            <w:tcBorders>
              <w:top w:val="single" w:sz="4" w:space="0" w:color="auto"/>
              <w:left w:val="single" w:sz="4" w:space="0" w:color="auto"/>
              <w:bottom w:val="single" w:sz="4" w:space="0" w:color="auto"/>
              <w:right w:val="single" w:sz="4" w:space="0" w:color="auto"/>
            </w:tcBorders>
          </w:tcPr>
          <w:p w14:paraId="6DA62020" w14:textId="77777777" w:rsidR="00916FD0" w:rsidRPr="000F65FE" w:rsidRDefault="00916FD0">
            <w:pPr>
              <w:pStyle w:val="Body"/>
              <w:ind w:left="-28" w:firstLine="11"/>
              <w:jc w:val="center"/>
            </w:pPr>
            <w:r w:rsidRPr="000F65FE">
              <w:rPr>
                <w:rFonts w:ascii="Wingdings" w:eastAsia="Wingdings" w:hAnsi="Wingdings" w:cs="Wingdings"/>
              </w:rPr>
              <w:t>ü</w:t>
            </w:r>
          </w:p>
        </w:tc>
      </w:tr>
      <w:tr w:rsidR="00916FD0" w:rsidRPr="000F65FE" w14:paraId="02A93B4D" w14:textId="77777777" w:rsidTr="001F576E">
        <w:tc>
          <w:tcPr>
            <w:tcW w:w="274" w:type="pct"/>
            <w:tcBorders>
              <w:top w:val="single" w:sz="4" w:space="0" w:color="auto"/>
              <w:left w:val="single" w:sz="4" w:space="0" w:color="auto"/>
              <w:bottom w:val="single" w:sz="4" w:space="0" w:color="auto"/>
              <w:right w:val="single" w:sz="4" w:space="0" w:color="auto"/>
            </w:tcBorders>
          </w:tcPr>
          <w:p w14:paraId="3158DB40" w14:textId="77777777" w:rsidR="00916FD0" w:rsidRPr="000F65FE" w:rsidRDefault="00916FD0">
            <w:pPr>
              <w:pStyle w:val="Body"/>
              <w:jc w:val="center"/>
            </w:pPr>
            <w:r w:rsidRPr="000F65FE">
              <w:t>2</w:t>
            </w:r>
          </w:p>
        </w:tc>
        <w:tc>
          <w:tcPr>
            <w:tcW w:w="1460" w:type="pct"/>
            <w:tcBorders>
              <w:top w:val="single" w:sz="4" w:space="0" w:color="auto"/>
              <w:left w:val="single" w:sz="4" w:space="0" w:color="auto"/>
              <w:bottom w:val="single" w:sz="4" w:space="0" w:color="auto"/>
              <w:right w:val="single" w:sz="4" w:space="0" w:color="auto"/>
            </w:tcBorders>
          </w:tcPr>
          <w:p w14:paraId="38DFF107" w14:textId="4C9E8D1A" w:rsidR="00916FD0" w:rsidRPr="000F65FE" w:rsidRDefault="00916FD0">
            <w:pPr>
              <w:pStyle w:val="Body"/>
              <w:jc w:val="left"/>
            </w:pPr>
            <w:r w:rsidRPr="000F65FE">
              <w:t xml:space="preserve">The </w:t>
            </w:r>
            <w:r w:rsidR="000055B1" w:rsidRPr="000F65FE">
              <w:t>cost-of-service</w:t>
            </w:r>
            <w:r w:rsidRPr="000F65FE">
              <w:t xml:space="preserve"> provision should be borne by those who benefit from the service</w:t>
            </w:r>
          </w:p>
        </w:tc>
        <w:tc>
          <w:tcPr>
            <w:tcW w:w="2927" w:type="pct"/>
            <w:tcBorders>
              <w:top w:val="single" w:sz="4" w:space="0" w:color="auto"/>
              <w:left w:val="single" w:sz="4" w:space="0" w:color="auto"/>
              <w:bottom w:val="single" w:sz="4" w:space="0" w:color="auto"/>
              <w:right w:val="single" w:sz="4" w:space="0" w:color="auto"/>
            </w:tcBorders>
          </w:tcPr>
          <w:p w14:paraId="022E7E07" w14:textId="54FD671F" w:rsidR="00916FD0" w:rsidRPr="000F65FE" w:rsidRDefault="00916FD0">
            <w:pPr>
              <w:pStyle w:val="Body"/>
              <w:jc w:val="left"/>
              <w:rPr>
                <w:i/>
                <w:iCs/>
              </w:rPr>
            </w:pPr>
            <w:r w:rsidRPr="000F65FE">
              <w:rPr>
                <w:i/>
                <w:iCs/>
              </w:rPr>
              <w:t xml:space="preserve">Only those wishing to engage in </w:t>
            </w:r>
            <w:r w:rsidR="009E4D06">
              <w:rPr>
                <w:i/>
                <w:iCs/>
              </w:rPr>
              <w:t xml:space="preserve">the </w:t>
            </w:r>
            <w:r w:rsidR="002935CD">
              <w:rPr>
                <w:i/>
                <w:iCs/>
              </w:rPr>
              <w:t xml:space="preserve">PRBS </w:t>
            </w:r>
            <w:r w:rsidRPr="000F65FE">
              <w:rPr>
                <w:i/>
                <w:iCs/>
              </w:rPr>
              <w:t xml:space="preserve">should be required to pay the </w:t>
            </w:r>
            <w:r w:rsidR="00423E5E">
              <w:rPr>
                <w:i/>
                <w:iCs/>
              </w:rPr>
              <w:t>application</w:t>
            </w:r>
            <w:r w:rsidR="00101A4B">
              <w:rPr>
                <w:i/>
                <w:iCs/>
              </w:rPr>
              <w:t xml:space="preserve"> fee</w:t>
            </w:r>
            <w:r w:rsidRPr="000F65FE">
              <w:rPr>
                <w:i/>
                <w:iCs/>
              </w:rPr>
              <w:t>.</w:t>
            </w:r>
            <w:r w:rsidR="009E4D06">
              <w:rPr>
                <w:i/>
                <w:iCs/>
              </w:rPr>
              <w:t xml:space="preserve"> Similarly, only those </w:t>
            </w:r>
            <w:r w:rsidR="00101A4B">
              <w:rPr>
                <w:i/>
                <w:iCs/>
              </w:rPr>
              <w:t>with an overdue debt should be required to pay the debt recovery fee</w:t>
            </w:r>
            <w:r w:rsidRPr="000F65FE">
              <w:rPr>
                <w:i/>
                <w:iCs/>
              </w:rPr>
              <w:t>.</w:t>
            </w:r>
          </w:p>
        </w:tc>
        <w:tc>
          <w:tcPr>
            <w:tcW w:w="339" w:type="pct"/>
            <w:tcBorders>
              <w:top w:val="single" w:sz="4" w:space="0" w:color="auto"/>
              <w:left w:val="single" w:sz="4" w:space="0" w:color="auto"/>
              <w:bottom w:val="single" w:sz="4" w:space="0" w:color="auto"/>
              <w:right w:val="single" w:sz="4" w:space="0" w:color="auto"/>
            </w:tcBorders>
          </w:tcPr>
          <w:p w14:paraId="4CA575E9" w14:textId="77777777" w:rsidR="00916FD0" w:rsidRPr="000F65FE" w:rsidRDefault="00916FD0">
            <w:pPr>
              <w:pStyle w:val="Body"/>
              <w:ind w:left="-28" w:firstLine="11"/>
              <w:jc w:val="center"/>
            </w:pPr>
            <w:r w:rsidRPr="000F65FE">
              <w:rPr>
                <w:rFonts w:ascii="Wingdings" w:eastAsia="Wingdings" w:hAnsi="Wingdings" w:cs="Wingdings"/>
              </w:rPr>
              <w:t>ü</w:t>
            </w:r>
          </w:p>
        </w:tc>
      </w:tr>
      <w:tr w:rsidR="00916FD0" w:rsidRPr="000F65FE" w14:paraId="1460103E" w14:textId="77777777" w:rsidTr="001F576E">
        <w:tc>
          <w:tcPr>
            <w:tcW w:w="274" w:type="pct"/>
            <w:tcBorders>
              <w:top w:val="single" w:sz="4" w:space="0" w:color="auto"/>
              <w:left w:val="single" w:sz="4" w:space="0" w:color="auto"/>
              <w:bottom w:val="single" w:sz="4" w:space="0" w:color="auto"/>
              <w:right w:val="single" w:sz="4" w:space="0" w:color="auto"/>
            </w:tcBorders>
          </w:tcPr>
          <w:p w14:paraId="3154A050" w14:textId="77777777" w:rsidR="00916FD0" w:rsidRPr="000F65FE" w:rsidRDefault="00916FD0">
            <w:pPr>
              <w:pStyle w:val="Body"/>
              <w:jc w:val="center"/>
            </w:pPr>
            <w:r w:rsidRPr="000F65FE">
              <w:t>3</w:t>
            </w:r>
          </w:p>
        </w:tc>
        <w:tc>
          <w:tcPr>
            <w:tcW w:w="1460" w:type="pct"/>
            <w:tcBorders>
              <w:top w:val="single" w:sz="4" w:space="0" w:color="auto"/>
              <w:left w:val="single" w:sz="4" w:space="0" w:color="auto"/>
              <w:bottom w:val="single" w:sz="4" w:space="0" w:color="auto"/>
              <w:right w:val="single" w:sz="4" w:space="0" w:color="auto"/>
            </w:tcBorders>
          </w:tcPr>
          <w:p w14:paraId="1696DE68" w14:textId="77777777" w:rsidR="00916FD0" w:rsidRPr="000F65FE" w:rsidRDefault="00916FD0">
            <w:pPr>
              <w:pStyle w:val="Body"/>
              <w:jc w:val="left"/>
            </w:pPr>
            <w:r w:rsidRPr="000F65FE">
              <w:t>Services creating broad benefits for the community should be priced to support efficient consumption</w:t>
            </w:r>
          </w:p>
        </w:tc>
        <w:tc>
          <w:tcPr>
            <w:tcW w:w="2927" w:type="pct"/>
            <w:tcBorders>
              <w:top w:val="single" w:sz="4" w:space="0" w:color="auto"/>
              <w:left w:val="single" w:sz="4" w:space="0" w:color="auto"/>
              <w:bottom w:val="single" w:sz="4" w:space="0" w:color="auto"/>
              <w:right w:val="single" w:sz="4" w:space="0" w:color="auto"/>
            </w:tcBorders>
          </w:tcPr>
          <w:p w14:paraId="34DEEEE2" w14:textId="367F887E" w:rsidR="00916FD0" w:rsidRPr="005C61C0" w:rsidRDefault="00916FD0">
            <w:pPr>
              <w:pStyle w:val="Body"/>
              <w:jc w:val="left"/>
              <w:rPr>
                <w:i/>
              </w:rPr>
            </w:pPr>
            <w:r w:rsidRPr="00967BA5">
              <w:rPr>
                <w:i/>
              </w:rPr>
              <w:t xml:space="preserve">While there is a public benefit to participants in the </w:t>
            </w:r>
            <w:r w:rsidR="00967BA5" w:rsidRPr="00967BA5">
              <w:rPr>
                <w:i/>
                <w:iCs/>
              </w:rPr>
              <w:t>PRBS</w:t>
            </w:r>
            <w:r w:rsidRPr="00967BA5">
              <w:rPr>
                <w:i/>
              </w:rPr>
              <w:t xml:space="preserve">, this benefit would be outweighed if the </w:t>
            </w:r>
            <w:r w:rsidR="002935CD">
              <w:rPr>
                <w:i/>
              </w:rPr>
              <w:t>PRBS</w:t>
            </w:r>
            <w:r w:rsidR="002935CD" w:rsidRPr="00967BA5">
              <w:rPr>
                <w:i/>
              </w:rPr>
              <w:t xml:space="preserve"> </w:t>
            </w:r>
            <w:r w:rsidRPr="00967BA5">
              <w:rPr>
                <w:i/>
              </w:rPr>
              <w:t xml:space="preserve">wasn’t fully cost recovered. </w:t>
            </w:r>
            <w:r w:rsidR="005C61C0">
              <w:rPr>
                <w:i/>
                <w:iCs/>
              </w:rPr>
              <w:t xml:space="preserve">Options explored in this RIS </w:t>
            </w:r>
            <w:r w:rsidR="00BA4808">
              <w:rPr>
                <w:i/>
                <w:iCs/>
              </w:rPr>
              <w:t xml:space="preserve">ensure full cost recovery </w:t>
            </w:r>
            <w:r w:rsidR="0009144B">
              <w:rPr>
                <w:i/>
                <w:iCs/>
              </w:rPr>
              <w:t xml:space="preserve">and hence </w:t>
            </w:r>
            <w:r w:rsidR="00911306">
              <w:rPr>
                <w:i/>
                <w:iCs/>
              </w:rPr>
              <w:t xml:space="preserve">support </w:t>
            </w:r>
            <w:r w:rsidR="0009144B">
              <w:rPr>
                <w:i/>
                <w:iCs/>
              </w:rPr>
              <w:t>efficien</w:t>
            </w:r>
            <w:r w:rsidR="00ED7B5A">
              <w:rPr>
                <w:i/>
                <w:iCs/>
              </w:rPr>
              <w:t>t</w:t>
            </w:r>
            <w:r w:rsidR="0009144B">
              <w:rPr>
                <w:i/>
                <w:iCs/>
              </w:rPr>
              <w:t xml:space="preserve"> </w:t>
            </w:r>
            <w:r w:rsidR="00911306">
              <w:rPr>
                <w:i/>
                <w:iCs/>
              </w:rPr>
              <w:t>consumption</w:t>
            </w:r>
            <w:r w:rsidR="0009144B">
              <w:rPr>
                <w:i/>
                <w:iCs/>
              </w:rPr>
              <w:t xml:space="preserve"> of the </w:t>
            </w:r>
            <w:r w:rsidR="002935CD">
              <w:rPr>
                <w:i/>
                <w:iCs/>
              </w:rPr>
              <w:t>PRBS</w:t>
            </w:r>
            <w:r w:rsidR="0009144B">
              <w:rPr>
                <w:i/>
                <w:iCs/>
              </w:rPr>
              <w:t>.</w:t>
            </w:r>
          </w:p>
        </w:tc>
        <w:tc>
          <w:tcPr>
            <w:tcW w:w="339" w:type="pct"/>
            <w:tcBorders>
              <w:top w:val="single" w:sz="4" w:space="0" w:color="auto"/>
              <w:left w:val="single" w:sz="4" w:space="0" w:color="auto"/>
              <w:bottom w:val="single" w:sz="4" w:space="0" w:color="auto"/>
              <w:right w:val="single" w:sz="4" w:space="0" w:color="auto"/>
            </w:tcBorders>
          </w:tcPr>
          <w:p w14:paraId="677F294B" w14:textId="22B58BCA" w:rsidR="00916FD0" w:rsidRPr="000F65FE" w:rsidRDefault="005C61C0">
            <w:pPr>
              <w:pStyle w:val="Body"/>
              <w:ind w:left="-28" w:firstLine="11"/>
              <w:jc w:val="center"/>
            </w:pPr>
            <w:r w:rsidRPr="000F65FE">
              <w:rPr>
                <w:rFonts w:ascii="Wingdings" w:eastAsia="Wingdings" w:hAnsi="Wingdings" w:cs="Wingdings"/>
              </w:rPr>
              <w:t>ü</w:t>
            </w:r>
          </w:p>
        </w:tc>
      </w:tr>
      <w:tr w:rsidR="00916FD0" w:rsidRPr="000F65FE" w14:paraId="37C0CB35" w14:textId="77777777" w:rsidTr="001F576E">
        <w:tc>
          <w:tcPr>
            <w:tcW w:w="274" w:type="pct"/>
            <w:tcBorders>
              <w:top w:val="single" w:sz="4" w:space="0" w:color="auto"/>
              <w:left w:val="single" w:sz="4" w:space="0" w:color="auto"/>
              <w:bottom w:val="single" w:sz="4" w:space="0" w:color="auto"/>
              <w:right w:val="single" w:sz="4" w:space="0" w:color="auto"/>
            </w:tcBorders>
          </w:tcPr>
          <w:p w14:paraId="445BE6E0" w14:textId="77777777" w:rsidR="00916FD0" w:rsidRPr="000F65FE" w:rsidRDefault="00916FD0">
            <w:pPr>
              <w:pStyle w:val="Body"/>
              <w:jc w:val="center"/>
            </w:pPr>
            <w:r w:rsidRPr="000F65FE">
              <w:t>4</w:t>
            </w:r>
          </w:p>
        </w:tc>
        <w:tc>
          <w:tcPr>
            <w:tcW w:w="1460" w:type="pct"/>
            <w:tcBorders>
              <w:top w:val="single" w:sz="4" w:space="0" w:color="auto"/>
              <w:left w:val="single" w:sz="4" w:space="0" w:color="auto"/>
              <w:bottom w:val="single" w:sz="4" w:space="0" w:color="auto"/>
              <w:right w:val="single" w:sz="4" w:space="0" w:color="auto"/>
            </w:tcBorders>
          </w:tcPr>
          <w:p w14:paraId="14B4FCBD" w14:textId="77777777" w:rsidR="00916FD0" w:rsidRPr="000F65FE" w:rsidRDefault="00916FD0">
            <w:pPr>
              <w:pStyle w:val="Body"/>
              <w:jc w:val="left"/>
            </w:pPr>
            <w:r w:rsidRPr="000F65FE">
              <w:t>The cost of interagency services should be borne by the user agency</w:t>
            </w:r>
          </w:p>
        </w:tc>
        <w:tc>
          <w:tcPr>
            <w:tcW w:w="2927" w:type="pct"/>
            <w:tcBorders>
              <w:top w:val="single" w:sz="4" w:space="0" w:color="auto"/>
              <w:left w:val="single" w:sz="4" w:space="0" w:color="auto"/>
              <w:bottom w:val="single" w:sz="4" w:space="0" w:color="auto"/>
              <w:right w:val="single" w:sz="4" w:space="0" w:color="auto"/>
            </w:tcBorders>
          </w:tcPr>
          <w:p w14:paraId="7E509E92" w14:textId="122897C2" w:rsidR="00916FD0" w:rsidRPr="000F65FE" w:rsidRDefault="0006091C">
            <w:pPr>
              <w:pStyle w:val="Body"/>
              <w:jc w:val="left"/>
              <w:rPr>
                <w:i/>
                <w:iCs/>
              </w:rPr>
            </w:pPr>
            <w:r w:rsidRPr="000F65FE">
              <w:rPr>
                <w:i/>
                <w:iCs/>
              </w:rPr>
              <w:t xml:space="preserve">There is </w:t>
            </w:r>
            <w:r w:rsidRPr="000F65FE">
              <w:rPr>
                <w:b/>
                <w:i/>
                <w:iCs/>
                <w:u w:val="single"/>
              </w:rPr>
              <w:t>not</w:t>
            </w:r>
            <w:r w:rsidRPr="000F65FE">
              <w:rPr>
                <w:i/>
                <w:iCs/>
              </w:rPr>
              <w:t xml:space="preserve"> expected to be </w:t>
            </w:r>
            <w:r w:rsidR="007E2C3F">
              <w:rPr>
                <w:i/>
                <w:iCs/>
              </w:rPr>
              <w:t>any costs borne by other Government agencies, and</w:t>
            </w:r>
            <w:r w:rsidRPr="000F65FE">
              <w:rPr>
                <w:i/>
                <w:iCs/>
              </w:rPr>
              <w:t xml:space="preserve"> the </w:t>
            </w:r>
            <w:r>
              <w:rPr>
                <w:i/>
                <w:iCs/>
              </w:rPr>
              <w:t>users of this scheme are private renters</w:t>
            </w:r>
            <w:r w:rsidRPr="000F65FE">
              <w:rPr>
                <w:i/>
                <w:iCs/>
              </w:rPr>
              <w:t>.</w:t>
            </w:r>
            <w:r w:rsidR="007E2C3F">
              <w:rPr>
                <w:i/>
                <w:iCs/>
              </w:rPr>
              <w:t xml:space="preserve"> This principle does not apply. </w:t>
            </w:r>
          </w:p>
        </w:tc>
        <w:tc>
          <w:tcPr>
            <w:tcW w:w="339" w:type="pct"/>
            <w:tcBorders>
              <w:top w:val="single" w:sz="4" w:space="0" w:color="auto"/>
              <w:left w:val="single" w:sz="4" w:space="0" w:color="auto"/>
              <w:bottom w:val="single" w:sz="4" w:space="0" w:color="auto"/>
              <w:right w:val="single" w:sz="4" w:space="0" w:color="auto"/>
            </w:tcBorders>
          </w:tcPr>
          <w:p w14:paraId="75E044EA" w14:textId="77777777" w:rsidR="00916FD0" w:rsidRPr="000F65FE" w:rsidRDefault="00916FD0">
            <w:pPr>
              <w:pStyle w:val="Body"/>
              <w:ind w:left="-28" w:firstLine="11"/>
              <w:jc w:val="center"/>
            </w:pPr>
            <w:r w:rsidRPr="000F65FE">
              <w:rPr>
                <w:rFonts w:ascii="Wingdings" w:eastAsia="Wingdings" w:hAnsi="Wingdings" w:cs="Wingdings"/>
              </w:rPr>
              <w:t>û</w:t>
            </w:r>
          </w:p>
        </w:tc>
      </w:tr>
      <w:tr w:rsidR="00916FD0" w:rsidRPr="000F65FE" w14:paraId="4F7CC3A9" w14:textId="77777777" w:rsidTr="001F576E">
        <w:tc>
          <w:tcPr>
            <w:tcW w:w="274" w:type="pct"/>
            <w:tcBorders>
              <w:top w:val="single" w:sz="4" w:space="0" w:color="auto"/>
              <w:left w:val="single" w:sz="4" w:space="0" w:color="auto"/>
              <w:bottom w:val="single" w:sz="4" w:space="0" w:color="auto"/>
              <w:right w:val="single" w:sz="4" w:space="0" w:color="auto"/>
            </w:tcBorders>
          </w:tcPr>
          <w:p w14:paraId="7A407004" w14:textId="77777777" w:rsidR="00916FD0" w:rsidRPr="000F65FE" w:rsidRDefault="00916FD0">
            <w:pPr>
              <w:pStyle w:val="Body"/>
              <w:jc w:val="center"/>
            </w:pPr>
            <w:r w:rsidRPr="000F65FE">
              <w:t>5</w:t>
            </w:r>
          </w:p>
        </w:tc>
        <w:tc>
          <w:tcPr>
            <w:tcW w:w="1460" w:type="pct"/>
            <w:tcBorders>
              <w:top w:val="single" w:sz="4" w:space="0" w:color="auto"/>
              <w:left w:val="single" w:sz="4" w:space="0" w:color="auto"/>
              <w:bottom w:val="single" w:sz="4" w:space="0" w:color="auto"/>
              <w:right w:val="single" w:sz="4" w:space="0" w:color="auto"/>
            </w:tcBorders>
          </w:tcPr>
          <w:p w14:paraId="15163966" w14:textId="77777777" w:rsidR="00916FD0" w:rsidRPr="000F65FE" w:rsidRDefault="00916FD0">
            <w:pPr>
              <w:pStyle w:val="Body"/>
              <w:jc w:val="left"/>
            </w:pPr>
            <w:r w:rsidRPr="000F65FE">
              <w:t>The price of services should not limit access to those with a lower ability to pay</w:t>
            </w:r>
          </w:p>
        </w:tc>
        <w:tc>
          <w:tcPr>
            <w:tcW w:w="2927" w:type="pct"/>
            <w:tcBorders>
              <w:top w:val="single" w:sz="4" w:space="0" w:color="auto"/>
              <w:left w:val="single" w:sz="4" w:space="0" w:color="auto"/>
              <w:bottom w:val="single" w:sz="4" w:space="0" w:color="auto"/>
              <w:right w:val="single" w:sz="4" w:space="0" w:color="auto"/>
            </w:tcBorders>
          </w:tcPr>
          <w:p w14:paraId="10A4BFEB" w14:textId="6D6B0841" w:rsidR="00916FD0" w:rsidRPr="000F65FE" w:rsidRDefault="00005AC6">
            <w:pPr>
              <w:pStyle w:val="Body"/>
              <w:jc w:val="left"/>
              <w:rPr>
                <w:i/>
                <w:iCs/>
              </w:rPr>
            </w:pPr>
            <w:r>
              <w:rPr>
                <w:i/>
                <w:iCs/>
              </w:rPr>
              <w:t>Despite</w:t>
            </w:r>
            <w:r w:rsidR="00E615F1">
              <w:rPr>
                <w:i/>
                <w:iCs/>
              </w:rPr>
              <w:t xml:space="preserve"> the </w:t>
            </w:r>
            <w:r w:rsidR="002935CD">
              <w:rPr>
                <w:i/>
                <w:iCs/>
              </w:rPr>
              <w:t xml:space="preserve">PRBS </w:t>
            </w:r>
            <w:r w:rsidR="00E263DD">
              <w:rPr>
                <w:i/>
                <w:iCs/>
              </w:rPr>
              <w:t xml:space="preserve">being operated on an opt-in basis, pricing </w:t>
            </w:r>
            <w:r w:rsidR="00242086">
              <w:rPr>
                <w:i/>
                <w:iCs/>
              </w:rPr>
              <w:t>should</w:t>
            </w:r>
            <w:r w:rsidR="00E263DD">
              <w:rPr>
                <w:i/>
                <w:iCs/>
              </w:rPr>
              <w:t xml:space="preserve"> not </w:t>
            </w:r>
            <w:r w:rsidR="00242086">
              <w:rPr>
                <w:i/>
                <w:iCs/>
              </w:rPr>
              <w:t xml:space="preserve">be </w:t>
            </w:r>
            <w:r w:rsidR="00481823">
              <w:rPr>
                <w:i/>
                <w:iCs/>
              </w:rPr>
              <w:t>expected to</w:t>
            </w:r>
            <w:r w:rsidR="00E263DD">
              <w:rPr>
                <w:i/>
                <w:iCs/>
              </w:rPr>
              <w:t xml:space="preserve"> </w:t>
            </w:r>
            <w:r w:rsidR="00C05788">
              <w:rPr>
                <w:i/>
                <w:iCs/>
              </w:rPr>
              <w:t xml:space="preserve">be a barrier for entry </w:t>
            </w:r>
            <w:r w:rsidR="003306A7">
              <w:rPr>
                <w:i/>
                <w:iCs/>
              </w:rPr>
              <w:t>for</w:t>
            </w:r>
            <w:r w:rsidR="00C05788">
              <w:rPr>
                <w:i/>
                <w:iCs/>
              </w:rPr>
              <w:t xml:space="preserve"> </w:t>
            </w:r>
            <w:r w:rsidR="000055B1">
              <w:rPr>
                <w:i/>
                <w:iCs/>
              </w:rPr>
              <w:t>low-income</w:t>
            </w:r>
            <w:r w:rsidR="00C05788">
              <w:rPr>
                <w:i/>
                <w:iCs/>
              </w:rPr>
              <w:t xml:space="preserve"> households</w:t>
            </w:r>
            <w:r w:rsidR="00916FD0" w:rsidRPr="000F65FE">
              <w:rPr>
                <w:i/>
                <w:iCs/>
              </w:rPr>
              <w:t>.</w:t>
            </w:r>
            <w:r w:rsidR="000E2983">
              <w:rPr>
                <w:i/>
                <w:iCs/>
              </w:rPr>
              <w:t xml:space="preserve"> Considerations for this have been made in the broader MCA assessment in </w:t>
            </w:r>
            <w:r w:rsidR="00A24674">
              <w:rPr>
                <w:i/>
                <w:iCs/>
              </w:rPr>
              <w:t>Subchapter</w:t>
            </w:r>
            <w:r w:rsidR="009C5032">
              <w:rPr>
                <w:i/>
                <w:iCs/>
              </w:rPr>
              <w:t xml:space="preserve"> </w:t>
            </w:r>
            <w:r w:rsidR="000E2983">
              <w:rPr>
                <w:i/>
                <w:iCs/>
              </w:rPr>
              <w:t>5.3.3.</w:t>
            </w:r>
          </w:p>
        </w:tc>
        <w:tc>
          <w:tcPr>
            <w:tcW w:w="339" w:type="pct"/>
            <w:tcBorders>
              <w:top w:val="single" w:sz="4" w:space="0" w:color="auto"/>
              <w:left w:val="single" w:sz="4" w:space="0" w:color="auto"/>
              <w:bottom w:val="single" w:sz="4" w:space="0" w:color="auto"/>
              <w:right w:val="single" w:sz="4" w:space="0" w:color="auto"/>
            </w:tcBorders>
          </w:tcPr>
          <w:p w14:paraId="1B636740" w14:textId="77777777" w:rsidR="00916FD0" w:rsidRPr="000F65FE" w:rsidRDefault="00916FD0">
            <w:pPr>
              <w:pStyle w:val="Body"/>
              <w:ind w:left="-28" w:firstLine="11"/>
              <w:jc w:val="center"/>
            </w:pPr>
            <w:r w:rsidRPr="000F65FE">
              <w:rPr>
                <w:rFonts w:ascii="Wingdings" w:eastAsia="Wingdings" w:hAnsi="Wingdings" w:cs="Wingdings"/>
              </w:rPr>
              <w:t>ü</w:t>
            </w:r>
          </w:p>
        </w:tc>
      </w:tr>
      <w:tr w:rsidR="00916FD0" w:rsidRPr="000F65FE" w14:paraId="63B6A2FB" w14:textId="77777777" w:rsidTr="001F576E">
        <w:tc>
          <w:tcPr>
            <w:tcW w:w="274" w:type="pct"/>
            <w:tcBorders>
              <w:top w:val="single" w:sz="4" w:space="0" w:color="auto"/>
              <w:left w:val="single" w:sz="4" w:space="0" w:color="auto"/>
              <w:bottom w:val="single" w:sz="4" w:space="0" w:color="auto"/>
              <w:right w:val="single" w:sz="4" w:space="0" w:color="auto"/>
            </w:tcBorders>
          </w:tcPr>
          <w:p w14:paraId="006B1A31" w14:textId="77777777" w:rsidR="00916FD0" w:rsidRPr="000F65FE" w:rsidRDefault="00916FD0">
            <w:pPr>
              <w:pStyle w:val="Body"/>
              <w:jc w:val="center"/>
            </w:pPr>
            <w:r w:rsidRPr="000F65FE">
              <w:lastRenderedPageBreak/>
              <w:t>6</w:t>
            </w:r>
          </w:p>
        </w:tc>
        <w:tc>
          <w:tcPr>
            <w:tcW w:w="1460" w:type="pct"/>
            <w:tcBorders>
              <w:top w:val="single" w:sz="4" w:space="0" w:color="auto"/>
              <w:left w:val="single" w:sz="4" w:space="0" w:color="auto"/>
              <w:bottom w:val="single" w:sz="4" w:space="0" w:color="auto"/>
              <w:right w:val="single" w:sz="4" w:space="0" w:color="auto"/>
            </w:tcBorders>
          </w:tcPr>
          <w:p w14:paraId="27D87D94" w14:textId="77777777" w:rsidR="00916FD0" w:rsidRPr="000F65FE" w:rsidRDefault="00916FD0">
            <w:pPr>
              <w:pStyle w:val="Body"/>
              <w:jc w:val="left"/>
            </w:pPr>
            <w:r w:rsidRPr="000F65FE">
              <w:t>Users should pay for differentiated service based on the value created by that differentiation</w:t>
            </w:r>
          </w:p>
        </w:tc>
        <w:tc>
          <w:tcPr>
            <w:tcW w:w="2927" w:type="pct"/>
            <w:tcBorders>
              <w:top w:val="single" w:sz="4" w:space="0" w:color="auto"/>
              <w:left w:val="single" w:sz="4" w:space="0" w:color="auto"/>
              <w:bottom w:val="single" w:sz="4" w:space="0" w:color="auto"/>
              <w:right w:val="single" w:sz="4" w:space="0" w:color="auto"/>
            </w:tcBorders>
          </w:tcPr>
          <w:p w14:paraId="37565DF3" w14:textId="024A2A92" w:rsidR="00916FD0" w:rsidRPr="000F65FE" w:rsidRDefault="00916FD0">
            <w:pPr>
              <w:pStyle w:val="Body"/>
              <w:jc w:val="left"/>
              <w:rPr>
                <w:i/>
                <w:iCs/>
              </w:rPr>
            </w:pPr>
            <w:r w:rsidRPr="000F65FE">
              <w:rPr>
                <w:i/>
                <w:iCs/>
              </w:rPr>
              <w:t xml:space="preserve">There is </w:t>
            </w:r>
            <w:r w:rsidRPr="000F65FE">
              <w:rPr>
                <w:b/>
                <w:i/>
                <w:iCs/>
                <w:u w:val="single"/>
              </w:rPr>
              <w:t>not</w:t>
            </w:r>
            <w:r w:rsidRPr="000F65FE">
              <w:rPr>
                <w:i/>
                <w:iCs/>
              </w:rPr>
              <w:t xml:space="preserve"> expected to be different services for </w:t>
            </w:r>
            <w:r w:rsidR="00243324">
              <w:rPr>
                <w:i/>
                <w:iCs/>
              </w:rPr>
              <w:t>renters</w:t>
            </w:r>
            <w:r w:rsidRPr="000F65FE">
              <w:rPr>
                <w:i/>
                <w:iCs/>
              </w:rPr>
              <w:t xml:space="preserve"> who have a higher willingness to pay</w:t>
            </w:r>
            <w:r w:rsidR="00243324">
              <w:rPr>
                <w:i/>
                <w:iCs/>
              </w:rPr>
              <w:t>.</w:t>
            </w:r>
          </w:p>
        </w:tc>
        <w:tc>
          <w:tcPr>
            <w:tcW w:w="339" w:type="pct"/>
            <w:tcBorders>
              <w:top w:val="single" w:sz="4" w:space="0" w:color="auto"/>
              <w:left w:val="single" w:sz="4" w:space="0" w:color="auto"/>
              <w:bottom w:val="single" w:sz="4" w:space="0" w:color="auto"/>
              <w:right w:val="single" w:sz="4" w:space="0" w:color="auto"/>
            </w:tcBorders>
          </w:tcPr>
          <w:p w14:paraId="075F07B0" w14:textId="77777777" w:rsidR="00916FD0" w:rsidRPr="000F65FE" w:rsidRDefault="00916FD0">
            <w:pPr>
              <w:pStyle w:val="Body"/>
              <w:ind w:left="-28" w:firstLine="11"/>
              <w:jc w:val="center"/>
            </w:pPr>
            <w:r w:rsidRPr="000F65FE">
              <w:rPr>
                <w:rFonts w:ascii="Wingdings" w:eastAsia="Wingdings" w:hAnsi="Wingdings" w:cs="Wingdings"/>
              </w:rPr>
              <w:t>û</w:t>
            </w:r>
          </w:p>
        </w:tc>
      </w:tr>
      <w:tr w:rsidR="00916FD0" w:rsidRPr="000F65FE" w14:paraId="7CBC1A14" w14:textId="77777777" w:rsidTr="001F576E">
        <w:tc>
          <w:tcPr>
            <w:tcW w:w="274" w:type="pct"/>
            <w:tcBorders>
              <w:top w:val="single" w:sz="4" w:space="0" w:color="auto"/>
              <w:left w:val="single" w:sz="4" w:space="0" w:color="auto"/>
              <w:bottom w:val="single" w:sz="4" w:space="0" w:color="auto"/>
              <w:right w:val="single" w:sz="4" w:space="0" w:color="auto"/>
            </w:tcBorders>
          </w:tcPr>
          <w:p w14:paraId="7097724A" w14:textId="77777777" w:rsidR="00916FD0" w:rsidRPr="000F65FE" w:rsidRDefault="00916FD0">
            <w:pPr>
              <w:pStyle w:val="Body"/>
              <w:jc w:val="center"/>
            </w:pPr>
            <w:r w:rsidRPr="000F65FE">
              <w:t>7</w:t>
            </w:r>
          </w:p>
        </w:tc>
        <w:tc>
          <w:tcPr>
            <w:tcW w:w="1460" w:type="pct"/>
            <w:tcBorders>
              <w:top w:val="single" w:sz="4" w:space="0" w:color="auto"/>
              <w:left w:val="single" w:sz="4" w:space="0" w:color="auto"/>
              <w:bottom w:val="single" w:sz="4" w:space="0" w:color="auto"/>
              <w:right w:val="single" w:sz="4" w:space="0" w:color="auto"/>
            </w:tcBorders>
          </w:tcPr>
          <w:p w14:paraId="7D086B6D" w14:textId="77777777" w:rsidR="00916FD0" w:rsidRPr="000F65FE" w:rsidRDefault="00916FD0">
            <w:pPr>
              <w:pStyle w:val="Body"/>
              <w:jc w:val="left"/>
            </w:pPr>
            <w:r w:rsidRPr="000F65FE">
              <w:t>The public should share in the value generated by pricing based on user differentiation</w:t>
            </w:r>
          </w:p>
        </w:tc>
        <w:tc>
          <w:tcPr>
            <w:tcW w:w="2927" w:type="pct"/>
            <w:tcBorders>
              <w:top w:val="single" w:sz="4" w:space="0" w:color="auto"/>
              <w:left w:val="single" w:sz="4" w:space="0" w:color="auto"/>
              <w:bottom w:val="single" w:sz="4" w:space="0" w:color="auto"/>
              <w:right w:val="single" w:sz="4" w:space="0" w:color="auto"/>
            </w:tcBorders>
          </w:tcPr>
          <w:p w14:paraId="470E4030" w14:textId="3E289987" w:rsidR="00916FD0" w:rsidRPr="0011596A" w:rsidRDefault="00916FD0">
            <w:pPr>
              <w:pStyle w:val="Body"/>
              <w:jc w:val="left"/>
              <w:rPr>
                <w:i/>
                <w:highlight w:val="yellow"/>
              </w:rPr>
            </w:pPr>
            <w:r w:rsidRPr="000F65FE">
              <w:rPr>
                <w:i/>
                <w:iCs/>
              </w:rPr>
              <w:t xml:space="preserve">There </w:t>
            </w:r>
            <w:r w:rsidR="0041706F" w:rsidRPr="005643ED">
              <w:rPr>
                <w:i/>
                <w:iCs/>
              </w:rPr>
              <w:t>is no</w:t>
            </w:r>
            <w:r w:rsidRPr="000F65FE">
              <w:rPr>
                <w:i/>
                <w:iCs/>
              </w:rPr>
              <w:t xml:space="preserve"> differentiation of pricing based on factors such as </w:t>
            </w:r>
            <w:r w:rsidR="00E51818" w:rsidRPr="005643ED">
              <w:rPr>
                <w:i/>
                <w:iCs/>
              </w:rPr>
              <w:t>ability to pay or</w:t>
            </w:r>
            <w:r w:rsidRPr="005643ED">
              <w:rPr>
                <w:i/>
                <w:iCs/>
              </w:rPr>
              <w:t xml:space="preserve"> </w:t>
            </w:r>
            <w:r w:rsidRPr="000F65FE">
              <w:rPr>
                <w:i/>
                <w:iCs/>
              </w:rPr>
              <w:t>risk profile</w:t>
            </w:r>
            <w:r w:rsidR="00E51818" w:rsidRPr="005643ED">
              <w:rPr>
                <w:i/>
                <w:iCs/>
              </w:rPr>
              <w:t xml:space="preserve">. A flat </w:t>
            </w:r>
            <w:r w:rsidR="005643ED" w:rsidRPr="005643ED">
              <w:rPr>
                <w:i/>
                <w:iCs/>
              </w:rPr>
              <w:t xml:space="preserve">uniform </w:t>
            </w:r>
            <w:r w:rsidR="00423E5E">
              <w:rPr>
                <w:i/>
                <w:iCs/>
              </w:rPr>
              <w:t>application</w:t>
            </w:r>
            <w:r w:rsidR="00E51818" w:rsidRPr="005643ED">
              <w:rPr>
                <w:i/>
                <w:iCs/>
              </w:rPr>
              <w:t xml:space="preserve"> fee is </w:t>
            </w:r>
            <w:r w:rsidR="005643ED" w:rsidRPr="005643ED">
              <w:rPr>
                <w:i/>
                <w:iCs/>
              </w:rPr>
              <w:t xml:space="preserve">applied to all </w:t>
            </w:r>
            <w:r w:rsidR="00067836" w:rsidRPr="005643ED">
              <w:rPr>
                <w:i/>
                <w:iCs/>
              </w:rPr>
              <w:t>participants,</w:t>
            </w:r>
            <w:r w:rsidR="005643ED" w:rsidRPr="005643ED">
              <w:rPr>
                <w:i/>
                <w:iCs/>
              </w:rPr>
              <w:t xml:space="preserve"> and a flat uniform</w:t>
            </w:r>
            <w:r w:rsidRPr="000F65FE">
              <w:rPr>
                <w:i/>
                <w:iCs/>
              </w:rPr>
              <w:t xml:space="preserve"> </w:t>
            </w:r>
            <w:r w:rsidR="006278D8">
              <w:rPr>
                <w:i/>
                <w:iCs/>
              </w:rPr>
              <w:t>debt recovery</w:t>
            </w:r>
            <w:r w:rsidRPr="000F65FE">
              <w:rPr>
                <w:i/>
                <w:iCs/>
              </w:rPr>
              <w:t xml:space="preserve"> fee </w:t>
            </w:r>
            <w:r w:rsidR="005643ED" w:rsidRPr="005643ED">
              <w:rPr>
                <w:i/>
                <w:iCs/>
              </w:rPr>
              <w:t>is applied to all</w:t>
            </w:r>
            <w:r w:rsidR="006278D8">
              <w:rPr>
                <w:i/>
                <w:iCs/>
              </w:rPr>
              <w:t xml:space="preserve"> renters </w:t>
            </w:r>
            <w:r w:rsidR="005643ED" w:rsidRPr="005643ED">
              <w:rPr>
                <w:i/>
                <w:iCs/>
              </w:rPr>
              <w:t>with</w:t>
            </w:r>
            <w:r w:rsidR="006278D8">
              <w:rPr>
                <w:i/>
                <w:iCs/>
              </w:rPr>
              <w:t xml:space="preserve"> an overdue debt</w:t>
            </w:r>
            <w:r w:rsidRPr="000F65FE">
              <w:rPr>
                <w:i/>
                <w:iCs/>
              </w:rPr>
              <w:t>.</w:t>
            </w:r>
          </w:p>
        </w:tc>
        <w:tc>
          <w:tcPr>
            <w:tcW w:w="339" w:type="pct"/>
            <w:tcBorders>
              <w:top w:val="single" w:sz="4" w:space="0" w:color="auto"/>
              <w:left w:val="single" w:sz="4" w:space="0" w:color="auto"/>
              <w:bottom w:val="single" w:sz="4" w:space="0" w:color="auto"/>
              <w:right w:val="single" w:sz="4" w:space="0" w:color="auto"/>
            </w:tcBorders>
          </w:tcPr>
          <w:p w14:paraId="08C15A91" w14:textId="7A8ACDE3" w:rsidR="00916FD0" w:rsidRPr="0011596A" w:rsidRDefault="00C448AC">
            <w:pPr>
              <w:pStyle w:val="Body"/>
              <w:ind w:left="-28" w:firstLine="11"/>
              <w:jc w:val="center"/>
              <w:rPr>
                <w:highlight w:val="yellow"/>
              </w:rPr>
            </w:pPr>
            <w:r w:rsidRPr="000F65FE">
              <w:rPr>
                <w:rFonts w:ascii="Wingdings" w:eastAsia="Wingdings" w:hAnsi="Wingdings" w:cs="Wingdings"/>
              </w:rPr>
              <w:t>û</w:t>
            </w:r>
          </w:p>
        </w:tc>
      </w:tr>
      <w:tr w:rsidR="00916FD0" w:rsidRPr="000F65FE" w14:paraId="5B9581E4" w14:textId="77777777" w:rsidTr="001F576E">
        <w:tc>
          <w:tcPr>
            <w:tcW w:w="274" w:type="pct"/>
            <w:tcBorders>
              <w:top w:val="single" w:sz="4" w:space="0" w:color="auto"/>
              <w:left w:val="single" w:sz="4" w:space="0" w:color="auto"/>
              <w:bottom w:val="single" w:sz="4" w:space="0" w:color="auto"/>
              <w:right w:val="single" w:sz="4" w:space="0" w:color="auto"/>
            </w:tcBorders>
          </w:tcPr>
          <w:p w14:paraId="57417450" w14:textId="77777777" w:rsidR="00916FD0" w:rsidRPr="000F65FE" w:rsidRDefault="00916FD0">
            <w:pPr>
              <w:pStyle w:val="Body"/>
              <w:jc w:val="center"/>
            </w:pPr>
            <w:r w:rsidRPr="000F65FE">
              <w:t>8</w:t>
            </w:r>
          </w:p>
        </w:tc>
        <w:tc>
          <w:tcPr>
            <w:tcW w:w="1460" w:type="pct"/>
            <w:tcBorders>
              <w:top w:val="single" w:sz="4" w:space="0" w:color="auto"/>
              <w:left w:val="single" w:sz="4" w:space="0" w:color="auto"/>
              <w:bottom w:val="single" w:sz="4" w:space="0" w:color="auto"/>
              <w:right w:val="single" w:sz="4" w:space="0" w:color="auto"/>
            </w:tcBorders>
          </w:tcPr>
          <w:p w14:paraId="0518156E" w14:textId="77777777" w:rsidR="00916FD0" w:rsidRPr="000F65FE" w:rsidRDefault="00916FD0">
            <w:pPr>
              <w:pStyle w:val="Body"/>
              <w:jc w:val="left"/>
            </w:pPr>
            <w:r w:rsidRPr="000F65FE">
              <w:t>Pricing should support positive behaviours</w:t>
            </w:r>
          </w:p>
        </w:tc>
        <w:tc>
          <w:tcPr>
            <w:tcW w:w="2927" w:type="pct"/>
            <w:tcBorders>
              <w:top w:val="single" w:sz="4" w:space="0" w:color="auto"/>
              <w:left w:val="single" w:sz="4" w:space="0" w:color="auto"/>
              <w:bottom w:val="single" w:sz="4" w:space="0" w:color="auto"/>
              <w:right w:val="single" w:sz="4" w:space="0" w:color="auto"/>
            </w:tcBorders>
          </w:tcPr>
          <w:p w14:paraId="07FAD3D0" w14:textId="1729C952" w:rsidR="00916FD0" w:rsidRPr="000F65FE" w:rsidRDefault="000E2983">
            <w:pPr>
              <w:pStyle w:val="Body"/>
              <w:jc w:val="left"/>
              <w:rPr>
                <w:i/>
                <w:iCs/>
              </w:rPr>
            </w:pPr>
            <w:r>
              <w:rPr>
                <w:i/>
                <w:iCs/>
              </w:rPr>
              <w:t xml:space="preserve">The implementation of a debt recovery fee </w:t>
            </w:r>
            <w:r w:rsidR="00067836">
              <w:rPr>
                <w:i/>
                <w:iCs/>
              </w:rPr>
              <w:t>encourages</w:t>
            </w:r>
            <w:r>
              <w:rPr>
                <w:i/>
                <w:iCs/>
              </w:rPr>
              <w:t xml:space="preserve"> renters</w:t>
            </w:r>
            <w:r w:rsidR="00916FD0" w:rsidRPr="000F65FE">
              <w:rPr>
                <w:i/>
                <w:iCs/>
              </w:rPr>
              <w:t xml:space="preserve"> to </w:t>
            </w:r>
            <w:r>
              <w:rPr>
                <w:i/>
                <w:iCs/>
              </w:rPr>
              <w:t xml:space="preserve">repay their debt in a timely manner where possible, a positive practice that would improve the efficiency of the </w:t>
            </w:r>
            <w:r w:rsidR="002935CD">
              <w:rPr>
                <w:i/>
                <w:iCs/>
              </w:rPr>
              <w:t>PRBS</w:t>
            </w:r>
            <w:r w:rsidR="00916FD0" w:rsidRPr="000F65FE">
              <w:rPr>
                <w:i/>
                <w:iCs/>
              </w:rPr>
              <w:t>.</w:t>
            </w:r>
          </w:p>
        </w:tc>
        <w:tc>
          <w:tcPr>
            <w:tcW w:w="339" w:type="pct"/>
            <w:tcBorders>
              <w:top w:val="single" w:sz="4" w:space="0" w:color="auto"/>
              <w:left w:val="single" w:sz="4" w:space="0" w:color="auto"/>
              <w:bottom w:val="single" w:sz="4" w:space="0" w:color="auto"/>
              <w:right w:val="single" w:sz="4" w:space="0" w:color="auto"/>
            </w:tcBorders>
          </w:tcPr>
          <w:p w14:paraId="3C9C848A" w14:textId="77777777" w:rsidR="00916FD0" w:rsidRPr="000F65FE" w:rsidRDefault="00916FD0">
            <w:pPr>
              <w:pStyle w:val="Body"/>
              <w:ind w:left="-28" w:firstLine="11"/>
              <w:jc w:val="center"/>
            </w:pPr>
            <w:r w:rsidRPr="000F65FE">
              <w:rPr>
                <w:rFonts w:ascii="Wingdings" w:eastAsia="Wingdings" w:hAnsi="Wingdings" w:cs="Wingdings"/>
              </w:rPr>
              <w:t>ü</w:t>
            </w:r>
          </w:p>
        </w:tc>
      </w:tr>
      <w:tr w:rsidR="00916FD0" w:rsidRPr="000F65FE" w14:paraId="419A1C01" w14:textId="77777777" w:rsidTr="001F576E">
        <w:tc>
          <w:tcPr>
            <w:tcW w:w="274" w:type="pct"/>
            <w:tcBorders>
              <w:top w:val="single" w:sz="4" w:space="0" w:color="auto"/>
              <w:left w:val="single" w:sz="4" w:space="0" w:color="auto"/>
              <w:bottom w:val="single" w:sz="4" w:space="0" w:color="auto"/>
              <w:right w:val="single" w:sz="4" w:space="0" w:color="auto"/>
            </w:tcBorders>
          </w:tcPr>
          <w:p w14:paraId="11A4E6EA" w14:textId="77777777" w:rsidR="00916FD0" w:rsidRPr="000F65FE" w:rsidRDefault="00916FD0">
            <w:pPr>
              <w:pStyle w:val="Body"/>
              <w:jc w:val="center"/>
            </w:pPr>
            <w:r w:rsidRPr="000F65FE">
              <w:t>9</w:t>
            </w:r>
          </w:p>
        </w:tc>
        <w:tc>
          <w:tcPr>
            <w:tcW w:w="1460" w:type="pct"/>
            <w:tcBorders>
              <w:top w:val="single" w:sz="4" w:space="0" w:color="auto"/>
              <w:left w:val="single" w:sz="4" w:space="0" w:color="auto"/>
              <w:bottom w:val="single" w:sz="4" w:space="0" w:color="auto"/>
              <w:right w:val="single" w:sz="4" w:space="0" w:color="auto"/>
            </w:tcBorders>
          </w:tcPr>
          <w:p w14:paraId="7E3B65BD" w14:textId="77777777" w:rsidR="00916FD0" w:rsidRPr="000F65FE" w:rsidRDefault="00916FD0">
            <w:pPr>
              <w:pStyle w:val="Body"/>
              <w:jc w:val="left"/>
            </w:pPr>
            <w:r w:rsidRPr="000F65FE">
              <w:t>Pricing should ensure sustainable usage of public services and reflect the value of natural resources</w:t>
            </w:r>
          </w:p>
        </w:tc>
        <w:tc>
          <w:tcPr>
            <w:tcW w:w="2927" w:type="pct"/>
            <w:tcBorders>
              <w:top w:val="single" w:sz="4" w:space="0" w:color="auto"/>
              <w:left w:val="single" w:sz="4" w:space="0" w:color="auto"/>
              <w:bottom w:val="single" w:sz="4" w:space="0" w:color="auto"/>
              <w:right w:val="single" w:sz="4" w:space="0" w:color="auto"/>
            </w:tcBorders>
          </w:tcPr>
          <w:p w14:paraId="47BAEF7B" w14:textId="44FB3F51" w:rsidR="00916FD0" w:rsidRPr="003855D4" w:rsidRDefault="00916FD0">
            <w:pPr>
              <w:pStyle w:val="Body"/>
              <w:jc w:val="left"/>
              <w:rPr>
                <w:i/>
                <w:highlight w:val="yellow"/>
              </w:rPr>
            </w:pPr>
            <w:r w:rsidRPr="00001989">
              <w:rPr>
                <w:i/>
                <w:iCs/>
              </w:rPr>
              <w:t xml:space="preserve">The </w:t>
            </w:r>
            <w:r w:rsidR="002935CD">
              <w:rPr>
                <w:i/>
                <w:iCs/>
              </w:rPr>
              <w:t>PRBS</w:t>
            </w:r>
            <w:r w:rsidR="002935CD" w:rsidRPr="00001989">
              <w:rPr>
                <w:i/>
                <w:iCs/>
              </w:rPr>
              <w:t xml:space="preserve"> </w:t>
            </w:r>
            <w:r w:rsidR="000E0942" w:rsidRPr="00001989">
              <w:rPr>
                <w:i/>
                <w:iCs/>
              </w:rPr>
              <w:t>ensures sustainable usage of public services b</w:t>
            </w:r>
            <w:r w:rsidR="000107DE" w:rsidRPr="00001989">
              <w:rPr>
                <w:i/>
                <w:iCs/>
              </w:rPr>
              <w:t>y</w:t>
            </w:r>
            <w:r w:rsidR="000E0942" w:rsidRPr="00001989">
              <w:rPr>
                <w:i/>
                <w:iCs/>
              </w:rPr>
              <w:t xml:space="preserve"> </w:t>
            </w:r>
            <w:r w:rsidR="0042565A" w:rsidRPr="00001989">
              <w:rPr>
                <w:i/>
                <w:iCs/>
              </w:rPr>
              <w:t xml:space="preserve">operating </w:t>
            </w:r>
            <w:r w:rsidR="00450B0B">
              <w:rPr>
                <w:i/>
                <w:iCs/>
              </w:rPr>
              <w:t>on a basis of</w:t>
            </w:r>
            <w:r w:rsidR="0042565A" w:rsidRPr="00001989">
              <w:rPr>
                <w:i/>
                <w:iCs/>
              </w:rPr>
              <w:t xml:space="preserve"> full cost base recovery</w:t>
            </w:r>
            <w:r w:rsidR="00D26FFE" w:rsidRPr="00001989">
              <w:rPr>
                <w:i/>
                <w:iCs/>
              </w:rPr>
              <w:t xml:space="preserve">. </w:t>
            </w:r>
            <w:r w:rsidR="000E3CA1" w:rsidRPr="00001989">
              <w:rPr>
                <w:i/>
                <w:iCs/>
              </w:rPr>
              <w:t xml:space="preserve">This </w:t>
            </w:r>
            <w:r w:rsidR="00150E57" w:rsidRPr="00001989">
              <w:rPr>
                <w:i/>
                <w:iCs/>
              </w:rPr>
              <w:t xml:space="preserve">enables the </w:t>
            </w:r>
            <w:r w:rsidR="00067836">
              <w:rPr>
                <w:i/>
                <w:iCs/>
              </w:rPr>
              <w:t>Government</w:t>
            </w:r>
            <w:r w:rsidR="00067836" w:rsidRPr="00001989">
              <w:rPr>
                <w:i/>
                <w:iCs/>
              </w:rPr>
              <w:t xml:space="preserve"> </w:t>
            </w:r>
            <w:r w:rsidR="00560086" w:rsidRPr="00001989">
              <w:rPr>
                <w:i/>
                <w:iCs/>
              </w:rPr>
              <w:t xml:space="preserve">to recover all </w:t>
            </w:r>
            <w:r w:rsidR="00543FDD" w:rsidRPr="00001989">
              <w:rPr>
                <w:i/>
                <w:iCs/>
              </w:rPr>
              <w:t>recurring costs</w:t>
            </w:r>
            <w:r w:rsidR="00001989" w:rsidRPr="00001989">
              <w:rPr>
                <w:i/>
                <w:iCs/>
              </w:rPr>
              <w:t xml:space="preserve"> and resources</w:t>
            </w:r>
            <w:r w:rsidR="00543FDD" w:rsidRPr="00001989">
              <w:rPr>
                <w:i/>
                <w:iCs/>
              </w:rPr>
              <w:t xml:space="preserve"> required to administer the </w:t>
            </w:r>
            <w:r w:rsidR="002935CD">
              <w:rPr>
                <w:i/>
                <w:iCs/>
              </w:rPr>
              <w:t>PRBS</w:t>
            </w:r>
            <w:r w:rsidR="00543FDD" w:rsidRPr="00001989">
              <w:rPr>
                <w:i/>
                <w:iCs/>
              </w:rPr>
              <w:t xml:space="preserve">, including the operating costs and </w:t>
            </w:r>
            <w:r w:rsidR="00693DA6" w:rsidRPr="00001989">
              <w:rPr>
                <w:i/>
                <w:iCs/>
              </w:rPr>
              <w:t>debt write-offs</w:t>
            </w:r>
            <w:r w:rsidR="00E35C09" w:rsidRPr="00001989">
              <w:rPr>
                <w:i/>
                <w:iCs/>
              </w:rPr>
              <w:t>.</w:t>
            </w:r>
          </w:p>
        </w:tc>
        <w:tc>
          <w:tcPr>
            <w:tcW w:w="339" w:type="pct"/>
            <w:tcBorders>
              <w:top w:val="single" w:sz="4" w:space="0" w:color="auto"/>
              <w:left w:val="single" w:sz="4" w:space="0" w:color="auto"/>
              <w:bottom w:val="single" w:sz="4" w:space="0" w:color="auto"/>
              <w:right w:val="single" w:sz="4" w:space="0" w:color="auto"/>
            </w:tcBorders>
          </w:tcPr>
          <w:p w14:paraId="69822A35" w14:textId="2F78C7F2" w:rsidR="00916FD0" w:rsidRPr="003855D4" w:rsidRDefault="00C448AC">
            <w:pPr>
              <w:pStyle w:val="Body"/>
              <w:ind w:left="-28" w:firstLine="11"/>
              <w:jc w:val="center"/>
              <w:rPr>
                <w:highlight w:val="yellow"/>
              </w:rPr>
            </w:pPr>
            <w:r w:rsidRPr="000F65FE">
              <w:rPr>
                <w:rFonts w:ascii="Wingdings" w:eastAsia="Wingdings" w:hAnsi="Wingdings" w:cs="Wingdings"/>
              </w:rPr>
              <w:t>ü</w:t>
            </w:r>
          </w:p>
        </w:tc>
      </w:tr>
      <w:tr w:rsidR="00916FD0" w:rsidRPr="000F65FE" w14:paraId="0065B6C2" w14:textId="77777777" w:rsidTr="001F576E">
        <w:tc>
          <w:tcPr>
            <w:tcW w:w="274" w:type="pct"/>
            <w:tcBorders>
              <w:top w:val="single" w:sz="4" w:space="0" w:color="auto"/>
              <w:left w:val="single" w:sz="4" w:space="0" w:color="auto"/>
              <w:bottom w:val="single" w:sz="4" w:space="0" w:color="auto"/>
              <w:right w:val="single" w:sz="4" w:space="0" w:color="auto"/>
            </w:tcBorders>
          </w:tcPr>
          <w:p w14:paraId="503129A7" w14:textId="77777777" w:rsidR="00916FD0" w:rsidRPr="000F65FE" w:rsidRDefault="00916FD0">
            <w:pPr>
              <w:pStyle w:val="Body"/>
              <w:jc w:val="center"/>
            </w:pPr>
            <w:r w:rsidRPr="000F65FE">
              <w:t>10</w:t>
            </w:r>
          </w:p>
        </w:tc>
        <w:tc>
          <w:tcPr>
            <w:tcW w:w="1460" w:type="pct"/>
            <w:tcBorders>
              <w:top w:val="single" w:sz="4" w:space="0" w:color="auto"/>
              <w:left w:val="single" w:sz="4" w:space="0" w:color="auto"/>
              <w:bottom w:val="single" w:sz="4" w:space="0" w:color="auto"/>
              <w:right w:val="single" w:sz="4" w:space="0" w:color="auto"/>
            </w:tcBorders>
          </w:tcPr>
          <w:p w14:paraId="0917DCF7" w14:textId="77777777" w:rsidR="00916FD0" w:rsidRPr="000F65FE" w:rsidRDefault="00916FD0">
            <w:pPr>
              <w:pStyle w:val="Body"/>
              <w:jc w:val="left"/>
            </w:pPr>
            <w:r w:rsidRPr="000F65FE">
              <w:t>Where services are in competition with the private sector, pricing should be relative to market prices</w:t>
            </w:r>
          </w:p>
        </w:tc>
        <w:tc>
          <w:tcPr>
            <w:tcW w:w="2927" w:type="pct"/>
            <w:tcBorders>
              <w:top w:val="single" w:sz="4" w:space="0" w:color="auto"/>
              <w:left w:val="single" w:sz="4" w:space="0" w:color="auto"/>
              <w:bottom w:val="single" w:sz="4" w:space="0" w:color="auto"/>
              <w:right w:val="single" w:sz="4" w:space="0" w:color="auto"/>
            </w:tcBorders>
          </w:tcPr>
          <w:p w14:paraId="7384956B" w14:textId="4880B95A" w:rsidR="00916FD0" w:rsidRPr="000F65FE" w:rsidRDefault="00DB77B9">
            <w:pPr>
              <w:pStyle w:val="Body"/>
              <w:jc w:val="left"/>
              <w:rPr>
                <w:i/>
                <w:iCs/>
              </w:rPr>
            </w:pPr>
            <w:r>
              <w:rPr>
                <w:i/>
                <w:iCs/>
              </w:rPr>
              <w:t>T</w:t>
            </w:r>
            <w:r w:rsidR="00524756">
              <w:rPr>
                <w:i/>
                <w:iCs/>
              </w:rPr>
              <w:t xml:space="preserve">here are a range of </w:t>
            </w:r>
            <w:r w:rsidR="00D16D3B">
              <w:rPr>
                <w:i/>
                <w:iCs/>
              </w:rPr>
              <w:t>credit products or bond loan products available in the market,</w:t>
            </w:r>
            <w:r w:rsidR="0024603E">
              <w:rPr>
                <w:i/>
                <w:iCs/>
              </w:rPr>
              <w:t xml:space="preserve"> </w:t>
            </w:r>
            <w:r w:rsidR="004009D2">
              <w:rPr>
                <w:i/>
                <w:iCs/>
              </w:rPr>
              <w:t xml:space="preserve">which </w:t>
            </w:r>
            <w:r w:rsidR="009F6F4F">
              <w:rPr>
                <w:i/>
                <w:iCs/>
              </w:rPr>
              <w:t xml:space="preserve">allow renters to take out a loan to cover a double bond payment. </w:t>
            </w:r>
            <w:r w:rsidR="004B5FC0">
              <w:rPr>
                <w:i/>
                <w:iCs/>
              </w:rPr>
              <w:t xml:space="preserve">Although the </w:t>
            </w:r>
            <w:r w:rsidR="009F6F4F">
              <w:rPr>
                <w:i/>
                <w:iCs/>
              </w:rPr>
              <w:t xml:space="preserve">PRBS </w:t>
            </w:r>
            <w:r w:rsidR="004B5FC0">
              <w:rPr>
                <w:i/>
                <w:iCs/>
              </w:rPr>
              <w:t xml:space="preserve">will not operate on a commercial basis, it does </w:t>
            </w:r>
            <w:r w:rsidR="009F6F4F">
              <w:rPr>
                <w:i/>
                <w:iCs/>
              </w:rPr>
              <w:t>offer an alternative to these products.</w:t>
            </w:r>
            <w:r w:rsidR="004009D2">
              <w:rPr>
                <w:i/>
                <w:iCs/>
              </w:rPr>
              <w:t xml:space="preserve"> </w:t>
            </w:r>
            <w:r w:rsidR="00692B66" w:rsidRPr="000F65FE">
              <w:rPr>
                <w:i/>
                <w:iCs/>
              </w:rPr>
              <w:t xml:space="preserve"> </w:t>
            </w:r>
            <w:r w:rsidR="008A007A">
              <w:rPr>
                <w:i/>
                <w:iCs/>
              </w:rPr>
              <w:t xml:space="preserve"> </w:t>
            </w:r>
          </w:p>
        </w:tc>
        <w:tc>
          <w:tcPr>
            <w:tcW w:w="339" w:type="pct"/>
            <w:tcBorders>
              <w:top w:val="single" w:sz="4" w:space="0" w:color="auto"/>
              <w:left w:val="single" w:sz="4" w:space="0" w:color="auto"/>
              <w:bottom w:val="single" w:sz="4" w:space="0" w:color="auto"/>
              <w:right w:val="single" w:sz="4" w:space="0" w:color="auto"/>
            </w:tcBorders>
          </w:tcPr>
          <w:p w14:paraId="406511B9" w14:textId="0D5384CB" w:rsidR="00916FD0" w:rsidRPr="000F65FE" w:rsidRDefault="00407ABE">
            <w:pPr>
              <w:pStyle w:val="Body"/>
              <w:ind w:left="-28" w:firstLine="11"/>
              <w:jc w:val="center"/>
            </w:pPr>
            <w:r w:rsidRPr="000F65FE">
              <w:rPr>
                <w:rFonts w:ascii="Wingdings" w:eastAsia="Wingdings" w:hAnsi="Wingdings" w:cs="Wingdings"/>
              </w:rPr>
              <w:t>ü</w:t>
            </w:r>
          </w:p>
        </w:tc>
      </w:tr>
      <w:tr w:rsidR="00916FD0" w:rsidRPr="000F65FE" w14:paraId="2C0692B9" w14:textId="77777777" w:rsidTr="001F576E">
        <w:tc>
          <w:tcPr>
            <w:tcW w:w="274" w:type="pct"/>
            <w:tcBorders>
              <w:top w:val="single" w:sz="4" w:space="0" w:color="auto"/>
              <w:left w:val="single" w:sz="4" w:space="0" w:color="auto"/>
              <w:bottom w:val="single" w:sz="4" w:space="0" w:color="auto"/>
              <w:right w:val="single" w:sz="4" w:space="0" w:color="auto"/>
            </w:tcBorders>
          </w:tcPr>
          <w:p w14:paraId="5920EE11" w14:textId="77777777" w:rsidR="00916FD0" w:rsidRPr="000F65FE" w:rsidRDefault="00916FD0">
            <w:pPr>
              <w:pStyle w:val="Body"/>
              <w:jc w:val="center"/>
            </w:pPr>
            <w:r w:rsidRPr="000F65FE">
              <w:t>11</w:t>
            </w:r>
          </w:p>
        </w:tc>
        <w:tc>
          <w:tcPr>
            <w:tcW w:w="1460" w:type="pct"/>
            <w:tcBorders>
              <w:top w:val="single" w:sz="4" w:space="0" w:color="auto"/>
              <w:left w:val="single" w:sz="4" w:space="0" w:color="auto"/>
              <w:bottom w:val="single" w:sz="4" w:space="0" w:color="auto"/>
              <w:right w:val="single" w:sz="4" w:space="0" w:color="auto"/>
            </w:tcBorders>
          </w:tcPr>
          <w:p w14:paraId="5F59E7DA" w14:textId="77777777" w:rsidR="00916FD0" w:rsidRPr="000F65FE" w:rsidRDefault="00916FD0">
            <w:pPr>
              <w:pStyle w:val="Body"/>
              <w:jc w:val="left"/>
            </w:pPr>
            <w:r w:rsidRPr="000F65FE">
              <w:t>Pricing structures should be easy to understand and simple to administer</w:t>
            </w:r>
          </w:p>
        </w:tc>
        <w:tc>
          <w:tcPr>
            <w:tcW w:w="2927" w:type="pct"/>
            <w:tcBorders>
              <w:top w:val="single" w:sz="4" w:space="0" w:color="auto"/>
              <w:left w:val="single" w:sz="4" w:space="0" w:color="auto"/>
              <w:bottom w:val="single" w:sz="4" w:space="0" w:color="auto"/>
              <w:right w:val="single" w:sz="4" w:space="0" w:color="auto"/>
            </w:tcBorders>
          </w:tcPr>
          <w:p w14:paraId="17209115" w14:textId="2D7C0037" w:rsidR="00916FD0" w:rsidRPr="000F65FE" w:rsidRDefault="00916FD0">
            <w:pPr>
              <w:pStyle w:val="Body"/>
              <w:jc w:val="left"/>
              <w:rPr>
                <w:i/>
                <w:iCs/>
              </w:rPr>
            </w:pPr>
            <w:r w:rsidRPr="000F65FE">
              <w:rPr>
                <w:i/>
                <w:iCs/>
              </w:rPr>
              <w:t xml:space="preserve">The </w:t>
            </w:r>
            <w:r w:rsidR="00423E5E">
              <w:rPr>
                <w:i/>
                <w:iCs/>
              </w:rPr>
              <w:t>application</w:t>
            </w:r>
            <w:r w:rsidR="001F57B7">
              <w:rPr>
                <w:i/>
                <w:iCs/>
              </w:rPr>
              <w:t xml:space="preserve"> and debt recovery</w:t>
            </w:r>
            <w:r w:rsidRPr="000F65FE">
              <w:rPr>
                <w:i/>
                <w:iCs/>
              </w:rPr>
              <w:t xml:space="preserve"> fee structure should be straightforward for users to comprehend and easy for the regulator to manage. Whenever possible, the Regulator should adopt simple and clear schedules of fee types to reduce complexity and minimise the time required for </w:t>
            </w:r>
            <w:r w:rsidR="001F57B7">
              <w:rPr>
                <w:i/>
                <w:iCs/>
              </w:rPr>
              <w:t>administrative</w:t>
            </w:r>
            <w:r w:rsidRPr="000F65FE">
              <w:rPr>
                <w:i/>
                <w:iCs/>
              </w:rPr>
              <w:t xml:space="preserve"> processing.</w:t>
            </w:r>
          </w:p>
        </w:tc>
        <w:tc>
          <w:tcPr>
            <w:tcW w:w="339" w:type="pct"/>
            <w:tcBorders>
              <w:top w:val="single" w:sz="4" w:space="0" w:color="auto"/>
              <w:left w:val="single" w:sz="4" w:space="0" w:color="auto"/>
              <w:bottom w:val="single" w:sz="4" w:space="0" w:color="auto"/>
              <w:right w:val="single" w:sz="4" w:space="0" w:color="auto"/>
            </w:tcBorders>
          </w:tcPr>
          <w:p w14:paraId="576A81E8" w14:textId="77777777" w:rsidR="00916FD0" w:rsidRPr="000F65FE" w:rsidRDefault="00916FD0">
            <w:pPr>
              <w:pStyle w:val="Body"/>
              <w:ind w:left="-28" w:firstLine="11"/>
              <w:jc w:val="center"/>
            </w:pPr>
            <w:r w:rsidRPr="000F65FE">
              <w:rPr>
                <w:rFonts w:ascii="Wingdings" w:eastAsia="Wingdings" w:hAnsi="Wingdings" w:cs="Wingdings"/>
              </w:rPr>
              <w:t>ü</w:t>
            </w:r>
          </w:p>
        </w:tc>
      </w:tr>
      <w:tr w:rsidR="00916FD0" w:rsidRPr="000F65FE" w14:paraId="05AD083D" w14:textId="77777777" w:rsidTr="001F576E">
        <w:tc>
          <w:tcPr>
            <w:tcW w:w="274" w:type="pct"/>
            <w:tcBorders>
              <w:top w:val="single" w:sz="4" w:space="0" w:color="auto"/>
              <w:left w:val="single" w:sz="4" w:space="0" w:color="auto"/>
              <w:bottom w:val="single" w:sz="4" w:space="0" w:color="auto"/>
              <w:right w:val="single" w:sz="4" w:space="0" w:color="auto"/>
            </w:tcBorders>
          </w:tcPr>
          <w:p w14:paraId="13379D33" w14:textId="77777777" w:rsidR="00916FD0" w:rsidRPr="000F65FE" w:rsidRDefault="00916FD0">
            <w:pPr>
              <w:pStyle w:val="Body"/>
              <w:jc w:val="center"/>
            </w:pPr>
            <w:r w:rsidRPr="000F65FE">
              <w:t>12</w:t>
            </w:r>
          </w:p>
        </w:tc>
        <w:tc>
          <w:tcPr>
            <w:tcW w:w="1460" w:type="pct"/>
            <w:tcBorders>
              <w:top w:val="single" w:sz="4" w:space="0" w:color="auto"/>
              <w:left w:val="single" w:sz="4" w:space="0" w:color="auto"/>
              <w:bottom w:val="single" w:sz="4" w:space="0" w:color="auto"/>
              <w:right w:val="single" w:sz="4" w:space="0" w:color="auto"/>
            </w:tcBorders>
          </w:tcPr>
          <w:p w14:paraId="579666C5" w14:textId="77777777" w:rsidR="00916FD0" w:rsidRPr="000F65FE" w:rsidRDefault="00916FD0">
            <w:pPr>
              <w:pStyle w:val="Body"/>
              <w:jc w:val="left"/>
            </w:pPr>
            <w:r w:rsidRPr="000F65FE">
              <w:t>Pricing arrangements should be monitored annually and reviewed periodically</w:t>
            </w:r>
          </w:p>
        </w:tc>
        <w:tc>
          <w:tcPr>
            <w:tcW w:w="2927" w:type="pct"/>
            <w:tcBorders>
              <w:top w:val="single" w:sz="4" w:space="0" w:color="auto"/>
              <w:left w:val="single" w:sz="4" w:space="0" w:color="auto"/>
              <w:bottom w:val="single" w:sz="4" w:space="0" w:color="auto"/>
              <w:right w:val="single" w:sz="4" w:space="0" w:color="auto"/>
            </w:tcBorders>
          </w:tcPr>
          <w:p w14:paraId="3FF18B14" w14:textId="77777777" w:rsidR="00916FD0" w:rsidRPr="000F65FE" w:rsidRDefault="00916FD0">
            <w:pPr>
              <w:pStyle w:val="Body"/>
              <w:jc w:val="left"/>
              <w:rPr>
                <w:i/>
                <w:iCs/>
              </w:rPr>
            </w:pPr>
            <w:r w:rsidRPr="000F65FE">
              <w:rPr>
                <w:i/>
                <w:iCs/>
              </w:rPr>
              <w:t xml:space="preserve">The periodic review of fees is defined in the legislation and will </w:t>
            </w:r>
            <w:r w:rsidRPr="000F65FE">
              <w:rPr>
                <w:b/>
                <w:i/>
                <w:iCs/>
                <w:u w:val="single"/>
              </w:rPr>
              <w:t>not</w:t>
            </w:r>
            <w:r w:rsidRPr="000F65FE">
              <w:rPr>
                <w:i/>
                <w:iCs/>
              </w:rPr>
              <w:t xml:space="preserve"> be used to differentiate between the fee options.</w:t>
            </w:r>
          </w:p>
        </w:tc>
        <w:tc>
          <w:tcPr>
            <w:tcW w:w="339" w:type="pct"/>
            <w:tcBorders>
              <w:top w:val="single" w:sz="4" w:space="0" w:color="auto"/>
              <w:left w:val="single" w:sz="4" w:space="0" w:color="auto"/>
              <w:bottom w:val="single" w:sz="4" w:space="0" w:color="auto"/>
              <w:right w:val="single" w:sz="4" w:space="0" w:color="auto"/>
            </w:tcBorders>
          </w:tcPr>
          <w:p w14:paraId="30714D3E" w14:textId="77777777" w:rsidR="00916FD0" w:rsidRPr="000F65FE" w:rsidRDefault="00916FD0">
            <w:pPr>
              <w:pStyle w:val="Body"/>
              <w:ind w:left="-28" w:firstLine="11"/>
              <w:jc w:val="center"/>
            </w:pPr>
            <w:r w:rsidRPr="000F65FE">
              <w:rPr>
                <w:rFonts w:ascii="Wingdings" w:eastAsia="Wingdings" w:hAnsi="Wingdings" w:cs="Wingdings"/>
              </w:rPr>
              <w:t>û</w:t>
            </w:r>
          </w:p>
        </w:tc>
      </w:tr>
    </w:tbl>
    <w:p w14:paraId="1084A775" w14:textId="77777777" w:rsidR="00F6258F" w:rsidRDefault="00F6258F" w:rsidP="001F576E"/>
    <w:p w14:paraId="5C75F35A" w14:textId="7C28E525" w:rsidR="00F6258F" w:rsidRDefault="00F6258F" w:rsidP="00F6258F">
      <w:pPr>
        <w:pStyle w:val="Body"/>
      </w:pPr>
      <w:r>
        <w:t xml:space="preserve">The </w:t>
      </w:r>
      <w:r w:rsidR="00E25C59">
        <w:t xml:space="preserve">following table notes how the preferred option </w:t>
      </w:r>
      <w:r w:rsidR="00BF4066">
        <w:t xml:space="preserve">for the application fee and debt recovery fee </w:t>
      </w:r>
      <w:r w:rsidR="00E25C59">
        <w:t xml:space="preserve">supports the relevant principles identified above. </w:t>
      </w:r>
    </w:p>
    <w:p w14:paraId="07B7A701" w14:textId="59E638CA" w:rsidR="00C34444" w:rsidRPr="00F02C0C" w:rsidRDefault="00C34444" w:rsidP="00C34444">
      <w:pPr>
        <w:pStyle w:val="Caption"/>
        <w:keepNext/>
        <w:jc w:val="both"/>
      </w:pPr>
      <w:r w:rsidRPr="000F65FE">
        <w:lastRenderedPageBreak/>
        <w:t xml:space="preserve">Table </w:t>
      </w:r>
      <w:r>
        <w:t>C2</w:t>
      </w:r>
      <w:r>
        <w:fldChar w:fldCharType="begin"/>
      </w:r>
      <w:r>
        <w:instrText xml:space="preserve"> SEQ Table \* ARABIC </w:instrText>
      </w:r>
      <w:r>
        <w:fldChar w:fldCharType="separate"/>
      </w:r>
      <w:r w:rsidR="00A50199">
        <w:rPr>
          <w:noProof/>
        </w:rPr>
        <w:t>21</w:t>
      </w:r>
      <w:r>
        <w:fldChar w:fldCharType="end"/>
      </w:r>
      <w:r w:rsidRPr="000F65FE">
        <w:t xml:space="preserve">: </w:t>
      </w:r>
      <w:r>
        <w:t xml:space="preserve">Alignment of the preferred option with </w:t>
      </w:r>
      <w:r w:rsidRPr="000F65FE">
        <w:t>Victorian Government Pricing for Value Pricing Principles</w:t>
      </w:r>
      <w:r>
        <w:t xml:space="preserve"> </w:t>
      </w:r>
    </w:p>
    <w:tbl>
      <w:tblPr>
        <w:tblStyle w:val="DJRReporttablestyleNavy"/>
        <w:tblW w:w="4933" w:type="pct"/>
        <w:tblInd w:w="137" w:type="dxa"/>
        <w:tblLayout w:type="fixed"/>
        <w:tblLook w:val="04A0" w:firstRow="1" w:lastRow="0" w:firstColumn="1" w:lastColumn="0" w:noHBand="0" w:noVBand="1"/>
      </w:tblPr>
      <w:tblGrid>
        <w:gridCol w:w="566"/>
        <w:gridCol w:w="4821"/>
        <w:gridCol w:w="4252"/>
        <w:gridCol w:w="701"/>
      </w:tblGrid>
      <w:tr w:rsidR="00FE3D87" w:rsidRPr="000F65FE" w14:paraId="23063F40" w14:textId="77777777" w:rsidTr="00F6258F">
        <w:trPr>
          <w:cnfStyle w:val="100000000000" w:firstRow="1" w:lastRow="0" w:firstColumn="0" w:lastColumn="0" w:oddVBand="0" w:evenVBand="0" w:oddHBand="0" w:evenHBand="0" w:firstRowFirstColumn="0" w:firstRowLastColumn="0" w:lastRowFirstColumn="0" w:lastRowLastColumn="0"/>
          <w:tblHeader/>
        </w:trPr>
        <w:tc>
          <w:tcPr>
            <w:tcW w:w="2605" w:type="pct"/>
            <w:gridSpan w:val="2"/>
            <w:tcBorders>
              <w:top w:val="single" w:sz="4" w:space="0" w:color="auto"/>
              <w:left w:val="single" w:sz="4" w:space="0" w:color="auto"/>
              <w:bottom w:val="single" w:sz="4" w:space="0" w:color="auto"/>
              <w:right w:val="single" w:sz="4" w:space="0" w:color="auto"/>
            </w:tcBorders>
            <w:shd w:val="clear" w:color="auto" w:fill="16145F" w:themeFill="text2"/>
          </w:tcPr>
          <w:p w14:paraId="3405B2BD" w14:textId="4F8DEDEA" w:rsidR="00F6258F" w:rsidRPr="000F65FE" w:rsidRDefault="00F6258F" w:rsidP="001F576E">
            <w:pPr>
              <w:pStyle w:val="DJCSbody"/>
              <w:ind w:left="0"/>
            </w:pPr>
            <w:r>
              <w:t>Relevant p</w:t>
            </w:r>
            <w:r w:rsidRPr="000F65FE">
              <w:t>rinciple</w:t>
            </w:r>
          </w:p>
        </w:tc>
        <w:tc>
          <w:tcPr>
            <w:tcW w:w="2395" w:type="pct"/>
            <w:gridSpan w:val="2"/>
            <w:tcBorders>
              <w:top w:val="single" w:sz="4" w:space="0" w:color="auto"/>
              <w:left w:val="single" w:sz="4" w:space="0" w:color="auto"/>
              <w:bottom w:val="single" w:sz="4" w:space="0" w:color="auto"/>
              <w:right w:val="single" w:sz="4" w:space="0" w:color="auto"/>
            </w:tcBorders>
            <w:shd w:val="clear" w:color="auto" w:fill="16145F" w:themeFill="text2"/>
          </w:tcPr>
          <w:p w14:paraId="59A6DDD7" w14:textId="212DDBB7" w:rsidR="00F6258F" w:rsidRPr="000F65FE" w:rsidRDefault="00E25C59" w:rsidP="001F576E">
            <w:pPr>
              <w:pStyle w:val="DJCSbody"/>
              <w:ind w:left="0"/>
            </w:pPr>
            <w:r>
              <w:t xml:space="preserve">Alignment of </w:t>
            </w:r>
            <w:r w:rsidR="00F6258F">
              <w:t xml:space="preserve">Preferred Option </w:t>
            </w:r>
          </w:p>
        </w:tc>
      </w:tr>
      <w:tr w:rsidR="00E959CB" w:rsidRPr="000F65FE" w14:paraId="714CD9B1" w14:textId="77777777" w:rsidTr="00E25C59">
        <w:tc>
          <w:tcPr>
            <w:tcW w:w="274" w:type="pct"/>
            <w:tcBorders>
              <w:top w:val="single" w:sz="4" w:space="0" w:color="auto"/>
              <w:left w:val="single" w:sz="4" w:space="0" w:color="auto"/>
              <w:bottom w:val="single" w:sz="4" w:space="0" w:color="auto"/>
              <w:right w:val="single" w:sz="4" w:space="0" w:color="auto"/>
            </w:tcBorders>
          </w:tcPr>
          <w:p w14:paraId="26A400A9" w14:textId="77777777" w:rsidR="00F6258F" w:rsidRPr="000F65FE" w:rsidRDefault="00F6258F">
            <w:pPr>
              <w:pStyle w:val="Body"/>
              <w:jc w:val="center"/>
            </w:pPr>
            <w:r w:rsidRPr="000F65FE">
              <w:t>1</w:t>
            </w:r>
          </w:p>
        </w:tc>
        <w:tc>
          <w:tcPr>
            <w:tcW w:w="2331" w:type="pct"/>
            <w:tcBorders>
              <w:top w:val="single" w:sz="4" w:space="0" w:color="auto"/>
              <w:left w:val="single" w:sz="4" w:space="0" w:color="auto"/>
              <w:bottom w:val="single" w:sz="4" w:space="0" w:color="auto"/>
              <w:right w:val="single" w:sz="4" w:space="0" w:color="auto"/>
            </w:tcBorders>
          </w:tcPr>
          <w:p w14:paraId="7CBA200B" w14:textId="77777777" w:rsidR="00F6258F" w:rsidRPr="000F65FE" w:rsidRDefault="00F6258F">
            <w:pPr>
              <w:pStyle w:val="Body"/>
              <w:jc w:val="left"/>
            </w:pPr>
            <w:r w:rsidRPr="000F65FE">
              <w:t>Agencies should aim to recover the full costs of service provision to promote efficient consumption</w:t>
            </w:r>
          </w:p>
        </w:tc>
        <w:tc>
          <w:tcPr>
            <w:tcW w:w="2056" w:type="pct"/>
            <w:tcBorders>
              <w:top w:val="single" w:sz="4" w:space="0" w:color="auto"/>
              <w:left w:val="single" w:sz="4" w:space="0" w:color="auto"/>
              <w:bottom w:val="single" w:sz="4" w:space="0" w:color="auto"/>
              <w:right w:val="single" w:sz="4" w:space="0" w:color="auto"/>
            </w:tcBorders>
          </w:tcPr>
          <w:p w14:paraId="0B6C3F3C" w14:textId="0D166CF9" w:rsidR="00F6258F" w:rsidRPr="00376500" w:rsidRDefault="00FF76CD">
            <w:pPr>
              <w:pStyle w:val="Body"/>
              <w:jc w:val="left"/>
              <w:rPr>
                <w:i/>
              </w:rPr>
            </w:pPr>
            <w:r>
              <w:rPr>
                <w:i/>
                <w:iCs/>
              </w:rPr>
              <w:t>T</w:t>
            </w:r>
            <w:r w:rsidR="00E25C59" w:rsidRPr="001F576E">
              <w:rPr>
                <w:i/>
                <w:iCs/>
              </w:rPr>
              <w:t>he</w:t>
            </w:r>
            <w:r w:rsidR="00E25C59" w:rsidRPr="001F576E">
              <w:rPr>
                <w:i/>
              </w:rPr>
              <w:t xml:space="preserve"> preferred option supports full cost recovery</w:t>
            </w:r>
            <w:r w:rsidR="00376500">
              <w:rPr>
                <w:i/>
                <w:iCs/>
              </w:rPr>
              <w:t>.</w:t>
            </w:r>
            <w:r w:rsidR="00E25C59">
              <w:rPr>
                <w:i/>
              </w:rPr>
              <w:t xml:space="preserve"> </w:t>
            </w:r>
          </w:p>
        </w:tc>
        <w:tc>
          <w:tcPr>
            <w:tcW w:w="339" w:type="pct"/>
            <w:tcBorders>
              <w:top w:val="single" w:sz="4" w:space="0" w:color="auto"/>
              <w:left w:val="single" w:sz="4" w:space="0" w:color="auto"/>
              <w:bottom w:val="single" w:sz="4" w:space="0" w:color="auto"/>
              <w:right w:val="single" w:sz="4" w:space="0" w:color="auto"/>
            </w:tcBorders>
          </w:tcPr>
          <w:p w14:paraId="52C29060" w14:textId="77777777" w:rsidR="00F6258F" w:rsidRPr="000F65FE" w:rsidRDefault="00F6258F">
            <w:pPr>
              <w:pStyle w:val="Body"/>
              <w:ind w:left="-28" w:firstLine="11"/>
              <w:jc w:val="center"/>
            </w:pPr>
            <w:r w:rsidRPr="000F65FE">
              <w:rPr>
                <w:rFonts w:ascii="Wingdings" w:eastAsia="Wingdings" w:hAnsi="Wingdings" w:cs="Wingdings"/>
              </w:rPr>
              <w:t>ü</w:t>
            </w:r>
          </w:p>
        </w:tc>
      </w:tr>
      <w:tr w:rsidR="00E959CB" w:rsidRPr="000F65FE" w14:paraId="1D0515A3" w14:textId="77777777" w:rsidTr="00E25C59">
        <w:tc>
          <w:tcPr>
            <w:tcW w:w="274" w:type="pct"/>
            <w:tcBorders>
              <w:top w:val="single" w:sz="4" w:space="0" w:color="auto"/>
              <w:left w:val="single" w:sz="4" w:space="0" w:color="auto"/>
              <w:bottom w:val="single" w:sz="4" w:space="0" w:color="auto"/>
              <w:right w:val="single" w:sz="4" w:space="0" w:color="auto"/>
            </w:tcBorders>
          </w:tcPr>
          <w:p w14:paraId="0FFF2386" w14:textId="77777777" w:rsidR="00F6258F" w:rsidRPr="000F65FE" w:rsidRDefault="00F6258F">
            <w:pPr>
              <w:pStyle w:val="Body"/>
              <w:jc w:val="center"/>
            </w:pPr>
            <w:r w:rsidRPr="000F65FE">
              <w:t>2</w:t>
            </w:r>
          </w:p>
        </w:tc>
        <w:tc>
          <w:tcPr>
            <w:tcW w:w="2331" w:type="pct"/>
            <w:tcBorders>
              <w:top w:val="single" w:sz="4" w:space="0" w:color="auto"/>
              <w:left w:val="single" w:sz="4" w:space="0" w:color="auto"/>
              <w:bottom w:val="single" w:sz="4" w:space="0" w:color="auto"/>
              <w:right w:val="single" w:sz="4" w:space="0" w:color="auto"/>
            </w:tcBorders>
          </w:tcPr>
          <w:p w14:paraId="4A02866C" w14:textId="581A2414" w:rsidR="00F6258F" w:rsidRPr="000F65FE" w:rsidRDefault="00F6258F">
            <w:pPr>
              <w:pStyle w:val="Body"/>
              <w:jc w:val="left"/>
            </w:pPr>
            <w:r w:rsidRPr="000F65FE">
              <w:t xml:space="preserve">The </w:t>
            </w:r>
            <w:r w:rsidR="0037534E" w:rsidRPr="000F65FE">
              <w:t>cost-of-service</w:t>
            </w:r>
            <w:r w:rsidRPr="000F65FE">
              <w:t xml:space="preserve"> provision should be borne by those who benefit from the service</w:t>
            </w:r>
          </w:p>
        </w:tc>
        <w:tc>
          <w:tcPr>
            <w:tcW w:w="2056" w:type="pct"/>
            <w:tcBorders>
              <w:top w:val="single" w:sz="4" w:space="0" w:color="auto"/>
              <w:left w:val="single" w:sz="4" w:space="0" w:color="auto"/>
              <w:bottom w:val="single" w:sz="4" w:space="0" w:color="auto"/>
              <w:right w:val="single" w:sz="4" w:space="0" w:color="auto"/>
            </w:tcBorders>
          </w:tcPr>
          <w:p w14:paraId="5DEBC6A8" w14:textId="51DEB38C" w:rsidR="00F6258F" w:rsidRPr="00376500" w:rsidRDefault="00FF76CD">
            <w:pPr>
              <w:pStyle w:val="Body"/>
              <w:jc w:val="left"/>
              <w:rPr>
                <w:i/>
              </w:rPr>
            </w:pPr>
            <w:r>
              <w:rPr>
                <w:i/>
                <w:iCs/>
              </w:rPr>
              <w:t>T</w:t>
            </w:r>
            <w:r w:rsidR="00477908" w:rsidRPr="001F576E">
              <w:rPr>
                <w:i/>
                <w:iCs/>
              </w:rPr>
              <w:t>he</w:t>
            </w:r>
            <w:r w:rsidR="00477908" w:rsidRPr="001F576E">
              <w:rPr>
                <w:i/>
              </w:rPr>
              <w:t xml:space="preserve"> preferred option </w:t>
            </w:r>
            <w:r w:rsidR="000D7861" w:rsidRPr="001F576E">
              <w:rPr>
                <w:i/>
              </w:rPr>
              <w:t xml:space="preserve">ensures </w:t>
            </w:r>
            <w:r w:rsidR="00477908" w:rsidRPr="001F576E">
              <w:rPr>
                <w:i/>
              </w:rPr>
              <w:t>the costs of the PRBS are incurre</w:t>
            </w:r>
            <w:r w:rsidR="000D7861" w:rsidRPr="001F576E">
              <w:rPr>
                <w:i/>
              </w:rPr>
              <w:t>d by the users of the scheme</w:t>
            </w:r>
            <w:r w:rsidR="00376500">
              <w:rPr>
                <w:i/>
                <w:iCs/>
              </w:rPr>
              <w:t>.</w:t>
            </w:r>
            <w:r w:rsidR="000D7861">
              <w:rPr>
                <w:i/>
              </w:rPr>
              <w:t xml:space="preserve"> </w:t>
            </w:r>
          </w:p>
        </w:tc>
        <w:tc>
          <w:tcPr>
            <w:tcW w:w="339" w:type="pct"/>
            <w:tcBorders>
              <w:top w:val="single" w:sz="4" w:space="0" w:color="auto"/>
              <w:left w:val="single" w:sz="4" w:space="0" w:color="auto"/>
              <w:bottom w:val="single" w:sz="4" w:space="0" w:color="auto"/>
              <w:right w:val="single" w:sz="4" w:space="0" w:color="auto"/>
            </w:tcBorders>
          </w:tcPr>
          <w:p w14:paraId="39310AAD" w14:textId="77777777" w:rsidR="00F6258F" w:rsidRPr="000F65FE" w:rsidRDefault="00F6258F">
            <w:pPr>
              <w:pStyle w:val="Body"/>
              <w:ind w:left="-28" w:firstLine="11"/>
              <w:jc w:val="center"/>
            </w:pPr>
            <w:r w:rsidRPr="000F65FE">
              <w:rPr>
                <w:rFonts w:ascii="Wingdings" w:eastAsia="Wingdings" w:hAnsi="Wingdings" w:cs="Wingdings"/>
              </w:rPr>
              <w:t>ü</w:t>
            </w:r>
          </w:p>
        </w:tc>
      </w:tr>
      <w:tr w:rsidR="00E959CB" w:rsidRPr="000F65FE" w14:paraId="26507398" w14:textId="77777777" w:rsidTr="00E25C59">
        <w:tc>
          <w:tcPr>
            <w:tcW w:w="274" w:type="pct"/>
            <w:tcBorders>
              <w:top w:val="single" w:sz="4" w:space="0" w:color="auto"/>
              <w:left w:val="single" w:sz="4" w:space="0" w:color="auto"/>
              <w:bottom w:val="single" w:sz="4" w:space="0" w:color="auto"/>
              <w:right w:val="single" w:sz="4" w:space="0" w:color="auto"/>
            </w:tcBorders>
          </w:tcPr>
          <w:p w14:paraId="4978D125" w14:textId="77777777" w:rsidR="00F6258F" w:rsidRPr="000F65FE" w:rsidRDefault="00F6258F">
            <w:pPr>
              <w:pStyle w:val="Body"/>
              <w:jc w:val="center"/>
            </w:pPr>
            <w:r w:rsidRPr="000F65FE">
              <w:t>3</w:t>
            </w:r>
          </w:p>
        </w:tc>
        <w:tc>
          <w:tcPr>
            <w:tcW w:w="2331" w:type="pct"/>
            <w:tcBorders>
              <w:top w:val="single" w:sz="4" w:space="0" w:color="auto"/>
              <w:left w:val="single" w:sz="4" w:space="0" w:color="auto"/>
              <w:bottom w:val="single" w:sz="4" w:space="0" w:color="auto"/>
              <w:right w:val="single" w:sz="4" w:space="0" w:color="auto"/>
            </w:tcBorders>
          </w:tcPr>
          <w:p w14:paraId="3AFC66F6" w14:textId="77777777" w:rsidR="00F6258F" w:rsidRPr="000F65FE" w:rsidRDefault="00F6258F">
            <w:pPr>
              <w:pStyle w:val="Body"/>
              <w:jc w:val="left"/>
            </w:pPr>
            <w:r w:rsidRPr="000F65FE">
              <w:t>Services creating broad benefits for the community should be priced to support efficient consumption</w:t>
            </w:r>
          </w:p>
        </w:tc>
        <w:tc>
          <w:tcPr>
            <w:tcW w:w="2056" w:type="pct"/>
            <w:tcBorders>
              <w:top w:val="single" w:sz="4" w:space="0" w:color="auto"/>
              <w:left w:val="single" w:sz="4" w:space="0" w:color="auto"/>
              <w:bottom w:val="single" w:sz="4" w:space="0" w:color="auto"/>
              <w:right w:val="single" w:sz="4" w:space="0" w:color="auto"/>
            </w:tcBorders>
          </w:tcPr>
          <w:p w14:paraId="0006C223" w14:textId="7DE70647" w:rsidR="00F6258F" w:rsidRPr="00376500" w:rsidRDefault="00FF76CD">
            <w:pPr>
              <w:pStyle w:val="Body"/>
              <w:jc w:val="left"/>
              <w:rPr>
                <w:i/>
              </w:rPr>
            </w:pPr>
            <w:r>
              <w:rPr>
                <w:i/>
                <w:iCs/>
              </w:rPr>
              <w:t>T</w:t>
            </w:r>
            <w:r w:rsidR="000D7861" w:rsidRPr="001F576E">
              <w:rPr>
                <w:i/>
                <w:iCs/>
              </w:rPr>
              <w:t xml:space="preserve">he preferred option </w:t>
            </w:r>
            <w:r w:rsidR="00376500">
              <w:rPr>
                <w:i/>
                <w:iCs/>
              </w:rPr>
              <w:t xml:space="preserve">ensures full cost recovery and hence </w:t>
            </w:r>
            <w:r w:rsidR="00067836">
              <w:rPr>
                <w:i/>
                <w:iCs/>
              </w:rPr>
              <w:t>supports</w:t>
            </w:r>
            <w:r w:rsidR="00376500">
              <w:rPr>
                <w:i/>
                <w:iCs/>
              </w:rPr>
              <w:t xml:space="preserve"> efficient consumption of the PRBS. </w:t>
            </w:r>
          </w:p>
        </w:tc>
        <w:tc>
          <w:tcPr>
            <w:tcW w:w="339" w:type="pct"/>
            <w:tcBorders>
              <w:top w:val="single" w:sz="4" w:space="0" w:color="auto"/>
              <w:left w:val="single" w:sz="4" w:space="0" w:color="auto"/>
              <w:bottom w:val="single" w:sz="4" w:space="0" w:color="auto"/>
              <w:right w:val="single" w:sz="4" w:space="0" w:color="auto"/>
            </w:tcBorders>
          </w:tcPr>
          <w:p w14:paraId="1E52793B" w14:textId="77777777" w:rsidR="00F6258F" w:rsidRPr="000F65FE" w:rsidRDefault="00F6258F">
            <w:pPr>
              <w:pStyle w:val="Body"/>
              <w:ind w:left="-28" w:firstLine="11"/>
              <w:jc w:val="center"/>
            </w:pPr>
            <w:r w:rsidRPr="000F65FE">
              <w:rPr>
                <w:rFonts w:ascii="Wingdings" w:eastAsia="Wingdings" w:hAnsi="Wingdings" w:cs="Wingdings"/>
              </w:rPr>
              <w:t>ü</w:t>
            </w:r>
          </w:p>
        </w:tc>
      </w:tr>
      <w:tr w:rsidR="00E959CB" w:rsidRPr="000F65FE" w14:paraId="74D289D9" w14:textId="77777777" w:rsidTr="00E25C59">
        <w:tc>
          <w:tcPr>
            <w:tcW w:w="274" w:type="pct"/>
            <w:tcBorders>
              <w:top w:val="single" w:sz="4" w:space="0" w:color="auto"/>
              <w:left w:val="single" w:sz="4" w:space="0" w:color="auto"/>
              <w:bottom w:val="single" w:sz="4" w:space="0" w:color="auto"/>
              <w:right w:val="single" w:sz="4" w:space="0" w:color="auto"/>
            </w:tcBorders>
          </w:tcPr>
          <w:p w14:paraId="1FD6B2F6" w14:textId="77777777" w:rsidR="00F6258F" w:rsidRPr="000F65FE" w:rsidRDefault="00F6258F">
            <w:pPr>
              <w:pStyle w:val="Body"/>
              <w:jc w:val="center"/>
            </w:pPr>
            <w:r w:rsidRPr="000F65FE">
              <w:t>5</w:t>
            </w:r>
          </w:p>
        </w:tc>
        <w:tc>
          <w:tcPr>
            <w:tcW w:w="2331" w:type="pct"/>
            <w:tcBorders>
              <w:top w:val="single" w:sz="4" w:space="0" w:color="auto"/>
              <w:left w:val="single" w:sz="4" w:space="0" w:color="auto"/>
              <w:bottom w:val="single" w:sz="4" w:space="0" w:color="auto"/>
              <w:right w:val="single" w:sz="4" w:space="0" w:color="auto"/>
            </w:tcBorders>
          </w:tcPr>
          <w:p w14:paraId="0A9C4C4E" w14:textId="77777777" w:rsidR="00F6258F" w:rsidRPr="000F65FE" w:rsidRDefault="00F6258F">
            <w:pPr>
              <w:pStyle w:val="Body"/>
              <w:jc w:val="left"/>
            </w:pPr>
            <w:r w:rsidRPr="000F65FE">
              <w:t>The price of services should not limit access to those with a lower ability to pay</w:t>
            </w:r>
          </w:p>
        </w:tc>
        <w:tc>
          <w:tcPr>
            <w:tcW w:w="2056" w:type="pct"/>
            <w:tcBorders>
              <w:top w:val="single" w:sz="4" w:space="0" w:color="auto"/>
              <w:left w:val="single" w:sz="4" w:space="0" w:color="auto"/>
              <w:bottom w:val="single" w:sz="4" w:space="0" w:color="auto"/>
              <w:right w:val="single" w:sz="4" w:space="0" w:color="auto"/>
            </w:tcBorders>
          </w:tcPr>
          <w:p w14:paraId="29280402" w14:textId="22E8CB07" w:rsidR="00F6258F" w:rsidRPr="000F65FE" w:rsidRDefault="0055626E">
            <w:pPr>
              <w:pStyle w:val="Body"/>
              <w:jc w:val="left"/>
              <w:rPr>
                <w:i/>
                <w:iCs/>
              </w:rPr>
            </w:pPr>
            <w:r>
              <w:rPr>
                <w:i/>
                <w:iCs/>
              </w:rPr>
              <w:t xml:space="preserve">The </w:t>
            </w:r>
            <w:r w:rsidR="001D2613">
              <w:rPr>
                <w:i/>
                <w:iCs/>
              </w:rPr>
              <w:t xml:space="preserve">fee levels in </w:t>
            </w:r>
            <w:r>
              <w:rPr>
                <w:i/>
                <w:iCs/>
              </w:rPr>
              <w:t>preferred option</w:t>
            </w:r>
            <w:r w:rsidR="00BF4066">
              <w:rPr>
                <w:i/>
                <w:iCs/>
              </w:rPr>
              <w:t xml:space="preserve"> </w:t>
            </w:r>
            <w:r w:rsidR="001D2613">
              <w:rPr>
                <w:i/>
                <w:iCs/>
              </w:rPr>
              <w:t xml:space="preserve">are </w:t>
            </w:r>
            <w:r w:rsidR="00BF4066">
              <w:rPr>
                <w:i/>
                <w:iCs/>
              </w:rPr>
              <w:t xml:space="preserve">considered to </w:t>
            </w:r>
            <w:r w:rsidR="001D2613">
              <w:rPr>
                <w:i/>
                <w:iCs/>
              </w:rPr>
              <w:t xml:space="preserve">support access to the PRBS and not be too high such as to those with a lower ability to pay. </w:t>
            </w:r>
          </w:p>
        </w:tc>
        <w:tc>
          <w:tcPr>
            <w:tcW w:w="339" w:type="pct"/>
            <w:tcBorders>
              <w:top w:val="single" w:sz="4" w:space="0" w:color="auto"/>
              <w:left w:val="single" w:sz="4" w:space="0" w:color="auto"/>
              <w:bottom w:val="single" w:sz="4" w:space="0" w:color="auto"/>
              <w:right w:val="single" w:sz="4" w:space="0" w:color="auto"/>
            </w:tcBorders>
          </w:tcPr>
          <w:p w14:paraId="7F2E98FD" w14:textId="77777777" w:rsidR="00F6258F" w:rsidRPr="000F65FE" w:rsidRDefault="00F6258F">
            <w:pPr>
              <w:pStyle w:val="Body"/>
              <w:ind w:left="-28" w:firstLine="11"/>
              <w:jc w:val="center"/>
            </w:pPr>
            <w:r w:rsidRPr="000F65FE">
              <w:rPr>
                <w:rFonts w:ascii="Wingdings" w:eastAsia="Wingdings" w:hAnsi="Wingdings" w:cs="Wingdings"/>
              </w:rPr>
              <w:t>ü</w:t>
            </w:r>
          </w:p>
        </w:tc>
      </w:tr>
      <w:tr w:rsidR="00E959CB" w:rsidRPr="000F65FE" w14:paraId="6CA18E59" w14:textId="77777777" w:rsidTr="00E25C59">
        <w:tc>
          <w:tcPr>
            <w:tcW w:w="274" w:type="pct"/>
            <w:tcBorders>
              <w:top w:val="single" w:sz="4" w:space="0" w:color="auto"/>
              <w:left w:val="single" w:sz="4" w:space="0" w:color="auto"/>
              <w:bottom w:val="single" w:sz="4" w:space="0" w:color="auto"/>
              <w:right w:val="single" w:sz="4" w:space="0" w:color="auto"/>
            </w:tcBorders>
          </w:tcPr>
          <w:p w14:paraId="34F14618" w14:textId="77777777" w:rsidR="00F6258F" w:rsidRPr="000F65FE" w:rsidRDefault="00F6258F">
            <w:pPr>
              <w:pStyle w:val="Body"/>
              <w:jc w:val="center"/>
            </w:pPr>
            <w:r w:rsidRPr="000F65FE">
              <w:t>8</w:t>
            </w:r>
          </w:p>
        </w:tc>
        <w:tc>
          <w:tcPr>
            <w:tcW w:w="2331" w:type="pct"/>
            <w:tcBorders>
              <w:top w:val="single" w:sz="4" w:space="0" w:color="auto"/>
              <w:left w:val="single" w:sz="4" w:space="0" w:color="auto"/>
              <w:bottom w:val="single" w:sz="4" w:space="0" w:color="auto"/>
              <w:right w:val="single" w:sz="4" w:space="0" w:color="auto"/>
            </w:tcBorders>
          </w:tcPr>
          <w:p w14:paraId="271AD40C" w14:textId="77777777" w:rsidR="00F6258F" w:rsidRPr="000F65FE" w:rsidRDefault="00F6258F">
            <w:pPr>
              <w:pStyle w:val="Body"/>
              <w:jc w:val="left"/>
            </w:pPr>
            <w:r w:rsidRPr="000F65FE">
              <w:t>Pricing should support positive behaviours</w:t>
            </w:r>
          </w:p>
        </w:tc>
        <w:tc>
          <w:tcPr>
            <w:tcW w:w="2056" w:type="pct"/>
            <w:tcBorders>
              <w:top w:val="single" w:sz="4" w:space="0" w:color="auto"/>
              <w:left w:val="single" w:sz="4" w:space="0" w:color="auto"/>
              <w:bottom w:val="single" w:sz="4" w:space="0" w:color="auto"/>
              <w:right w:val="single" w:sz="4" w:space="0" w:color="auto"/>
            </w:tcBorders>
          </w:tcPr>
          <w:p w14:paraId="4B459538" w14:textId="02BBAB18" w:rsidR="00F6258F" w:rsidRPr="000F65FE" w:rsidRDefault="001D2613">
            <w:pPr>
              <w:pStyle w:val="Body"/>
              <w:jc w:val="left"/>
              <w:rPr>
                <w:i/>
                <w:iCs/>
              </w:rPr>
            </w:pPr>
            <w:r>
              <w:rPr>
                <w:i/>
                <w:iCs/>
              </w:rPr>
              <w:t>The implementation of a debt recovery fee for all overdue debts encourages renters</w:t>
            </w:r>
            <w:r w:rsidRPr="000F65FE">
              <w:rPr>
                <w:i/>
                <w:iCs/>
              </w:rPr>
              <w:t xml:space="preserve"> to </w:t>
            </w:r>
            <w:r>
              <w:rPr>
                <w:i/>
                <w:iCs/>
              </w:rPr>
              <w:t xml:space="preserve">repay their debt in a timely manner. </w:t>
            </w:r>
          </w:p>
        </w:tc>
        <w:tc>
          <w:tcPr>
            <w:tcW w:w="339" w:type="pct"/>
            <w:tcBorders>
              <w:top w:val="single" w:sz="4" w:space="0" w:color="auto"/>
              <w:left w:val="single" w:sz="4" w:space="0" w:color="auto"/>
              <w:bottom w:val="single" w:sz="4" w:space="0" w:color="auto"/>
              <w:right w:val="single" w:sz="4" w:space="0" w:color="auto"/>
            </w:tcBorders>
          </w:tcPr>
          <w:p w14:paraId="477A5C69" w14:textId="77777777" w:rsidR="00F6258F" w:rsidRPr="000F65FE" w:rsidRDefault="00F6258F">
            <w:pPr>
              <w:pStyle w:val="Body"/>
              <w:ind w:left="-28" w:firstLine="11"/>
              <w:jc w:val="center"/>
            </w:pPr>
            <w:r w:rsidRPr="000F65FE">
              <w:rPr>
                <w:rFonts w:ascii="Wingdings" w:eastAsia="Wingdings" w:hAnsi="Wingdings" w:cs="Wingdings"/>
              </w:rPr>
              <w:t>ü</w:t>
            </w:r>
          </w:p>
        </w:tc>
      </w:tr>
      <w:tr w:rsidR="00E959CB" w:rsidRPr="000F65FE" w14:paraId="2DAB299B" w14:textId="77777777" w:rsidTr="00E25C59">
        <w:tc>
          <w:tcPr>
            <w:tcW w:w="274" w:type="pct"/>
            <w:tcBorders>
              <w:top w:val="single" w:sz="4" w:space="0" w:color="auto"/>
              <w:left w:val="single" w:sz="4" w:space="0" w:color="auto"/>
              <w:bottom w:val="single" w:sz="4" w:space="0" w:color="auto"/>
              <w:right w:val="single" w:sz="4" w:space="0" w:color="auto"/>
            </w:tcBorders>
          </w:tcPr>
          <w:p w14:paraId="4C12ADD2" w14:textId="77777777" w:rsidR="00F6258F" w:rsidRPr="000F65FE" w:rsidRDefault="00F6258F">
            <w:pPr>
              <w:pStyle w:val="Body"/>
              <w:jc w:val="center"/>
            </w:pPr>
            <w:r w:rsidRPr="000F65FE">
              <w:t>9</w:t>
            </w:r>
          </w:p>
        </w:tc>
        <w:tc>
          <w:tcPr>
            <w:tcW w:w="2331" w:type="pct"/>
            <w:tcBorders>
              <w:top w:val="single" w:sz="4" w:space="0" w:color="auto"/>
              <w:left w:val="single" w:sz="4" w:space="0" w:color="auto"/>
              <w:bottom w:val="single" w:sz="4" w:space="0" w:color="auto"/>
              <w:right w:val="single" w:sz="4" w:space="0" w:color="auto"/>
            </w:tcBorders>
          </w:tcPr>
          <w:p w14:paraId="03A33805" w14:textId="77777777" w:rsidR="00F6258F" w:rsidRPr="000F65FE" w:rsidRDefault="00F6258F">
            <w:pPr>
              <w:pStyle w:val="Body"/>
              <w:jc w:val="left"/>
            </w:pPr>
            <w:r w:rsidRPr="000F65FE">
              <w:t>Pricing should ensure sustainable usage of public services and reflect the value of natural resources</w:t>
            </w:r>
          </w:p>
        </w:tc>
        <w:tc>
          <w:tcPr>
            <w:tcW w:w="2056" w:type="pct"/>
            <w:tcBorders>
              <w:top w:val="single" w:sz="4" w:space="0" w:color="auto"/>
              <w:left w:val="single" w:sz="4" w:space="0" w:color="auto"/>
              <w:bottom w:val="single" w:sz="4" w:space="0" w:color="auto"/>
              <w:right w:val="single" w:sz="4" w:space="0" w:color="auto"/>
            </w:tcBorders>
          </w:tcPr>
          <w:p w14:paraId="27A8CC6B" w14:textId="58356C00" w:rsidR="00F6258F" w:rsidRPr="003855D4" w:rsidRDefault="00FB1813">
            <w:pPr>
              <w:pStyle w:val="Body"/>
              <w:jc w:val="left"/>
              <w:rPr>
                <w:i/>
                <w:highlight w:val="yellow"/>
              </w:rPr>
            </w:pPr>
            <w:r w:rsidRPr="00001989">
              <w:rPr>
                <w:i/>
                <w:iCs/>
              </w:rPr>
              <w:t xml:space="preserve">The </w:t>
            </w:r>
            <w:r>
              <w:rPr>
                <w:i/>
                <w:iCs/>
              </w:rPr>
              <w:t>preferred option supports</w:t>
            </w:r>
            <w:r w:rsidRPr="00001989">
              <w:rPr>
                <w:i/>
                <w:iCs/>
              </w:rPr>
              <w:t xml:space="preserve"> sustainable usage of public services by operating </w:t>
            </w:r>
            <w:r>
              <w:rPr>
                <w:i/>
                <w:iCs/>
              </w:rPr>
              <w:t>on a basis of</w:t>
            </w:r>
            <w:r w:rsidRPr="00001989">
              <w:rPr>
                <w:i/>
                <w:iCs/>
              </w:rPr>
              <w:t xml:space="preserve"> full cost base recovery.</w:t>
            </w:r>
          </w:p>
        </w:tc>
        <w:tc>
          <w:tcPr>
            <w:tcW w:w="339" w:type="pct"/>
            <w:tcBorders>
              <w:top w:val="single" w:sz="4" w:space="0" w:color="auto"/>
              <w:left w:val="single" w:sz="4" w:space="0" w:color="auto"/>
              <w:bottom w:val="single" w:sz="4" w:space="0" w:color="auto"/>
              <w:right w:val="single" w:sz="4" w:space="0" w:color="auto"/>
            </w:tcBorders>
          </w:tcPr>
          <w:p w14:paraId="11B6EBFB" w14:textId="77777777" w:rsidR="00F6258F" w:rsidRPr="003855D4" w:rsidRDefault="00F6258F">
            <w:pPr>
              <w:pStyle w:val="Body"/>
              <w:ind w:left="-28" w:firstLine="11"/>
              <w:jc w:val="center"/>
              <w:rPr>
                <w:highlight w:val="yellow"/>
              </w:rPr>
            </w:pPr>
            <w:r w:rsidRPr="000F65FE">
              <w:rPr>
                <w:rFonts w:ascii="Wingdings" w:eastAsia="Wingdings" w:hAnsi="Wingdings" w:cs="Wingdings"/>
              </w:rPr>
              <w:t>ü</w:t>
            </w:r>
          </w:p>
        </w:tc>
      </w:tr>
      <w:tr w:rsidR="00E959CB" w:rsidRPr="000F65FE" w14:paraId="0B8BCFB2" w14:textId="77777777" w:rsidTr="00E25C59">
        <w:tc>
          <w:tcPr>
            <w:tcW w:w="274" w:type="pct"/>
            <w:tcBorders>
              <w:top w:val="single" w:sz="4" w:space="0" w:color="auto"/>
              <w:left w:val="single" w:sz="4" w:space="0" w:color="auto"/>
              <w:bottom w:val="single" w:sz="4" w:space="0" w:color="auto"/>
              <w:right w:val="single" w:sz="4" w:space="0" w:color="auto"/>
            </w:tcBorders>
          </w:tcPr>
          <w:p w14:paraId="5FB3344C" w14:textId="798ED6A1" w:rsidR="004B5FC0" w:rsidRPr="000F65FE" w:rsidRDefault="004B5FC0" w:rsidP="00905258">
            <w:pPr>
              <w:pStyle w:val="Body"/>
              <w:jc w:val="center"/>
            </w:pPr>
            <w:r>
              <w:t>10</w:t>
            </w:r>
          </w:p>
        </w:tc>
        <w:tc>
          <w:tcPr>
            <w:tcW w:w="2331" w:type="pct"/>
            <w:tcBorders>
              <w:top w:val="single" w:sz="4" w:space="0" w:color="auto"/>
              <w:left w:val="single" w:sz="4" w:space="0" w:color="auto"/>
              <w:bottom w:val="single" w:sz="4" w:space="0" w:color="auto"/>
              <w:right w:val="single" w:sz="4" w:space="0" w:color="auto"/>
            </w:tcBorders>
          </w:tcPr>
          <w:p w14:paraId="78EA2C16" w14:textId="3594BC14" w:rsidR="004B5FC0" w:rsidRPr="000F65FE" w:rsidRDefault="004B5FC0" w:rsidP="00905258">
            <w:pPr>
              <w:pStyle w:val="Body"/>
              <w:jc w:val="left"/>
            </w:pPr>
            <w:r w:rsidRPr="000F65FE">
              <w:t>Where services are in competition with the private sector, pricing should be relative to market prices</w:t>
            </w:r>
          </w:p>
        </w:tc>
        <w:tc>
          <w:tcPr>
            <w:tcW w:w="2056" w:type="pct"/>
            <w:tcBorders>
              <w:top w:val="single" w:sz="4" w:space="0" w:color="auto"/>
              <w:left w:val="single" w:sz="4" w:space="0" w:color="auto"/>
              <w:bottom w:val="single" w:sz="4" w:space="0" w:color="auto"/>
              <w:right w:val="single" w:sz="4" w:space="0" w:color="auto"/>
            </w:tcBorders>
          </w:tcPr>
          <w:p w14:paraId="4AAA3816" w14:textId="3A5CF900" w:rsidR="004B5FC0" w:rsidRDefault="004B5FC0" w:rsidP="00905258">
            <w:pPr>
              <w:pStyle w:val="Body"/>
              <w:jc w:val="left"/>
              <w:rPr>
                <w:i/>
                <w:iCs/>
              </w:rPr>
            </w:pPr>
            <w:r>
              <w:rPr>
                <w:i/>
                <w:iCs/>
              </w:rPr>
              <w:t>The preferred option may have some competition impacts</w:t>
            </w:r>
            <w:r w:rsidR="001A2156">
              <w:rPr>
                <w:i/>
                <w:iCs/>
              </w:rPr>
              <w:t xml:space="preserve">, which are </w:t>
            </w:r>
            <w:r w:rsidR="00271AFA">
              <w:rPr>
                <w:i/>
                <w:iCs/>
              </w:rPr>
              <w:t xml:space="preserve">discussed in </w:t>
            </w:r>
            <w:r w:rsidR="00A24674">
              <w:rPr>
                <w:i/>
                <w:iCs/>
              </w:rPr>
              <w:t>Subchapter</w:t>
            </w:r>
            <w:r w:rsidR="009C5032">
              <w:rPr>
                <w:i/>
                <w:iCs/>
              </w:rPr>
              <w:t xml:space="preserve"> </w:t>
            </w:r>
            <w:r w:rsidR="00271AFA">
              <w:rPr>
                <w:i/>
                <w:iCs/>
              </w:rPr>
              <w:t xml:space="preserve">6.5. </w:t>
            </w:r>
            <w:r>
              <w:rPr>
                <w:i/>
                <w:iCs/>
              </w:rPr>
              <w:t xml:space="preserve"> </w:t>
            </w:r>
          </w:p>
        </w:tc>
        <w:tc>
          <w:tcPr>
            <w:tcW w:w="339" w:type="pct"/>
            <w:tcBorders>
              <w:top w:val="single" w:sz="4" w:space="0" w:color="auto"/>
              <w:left w:val="single" w:sz="4" w:space="0" w:color="auto"/>
              <w:bottom w:val="single" w:sz="4" w:space="0" w:color="auto"/>
              <w:right w:val="single" w:sz="4" w:space="0" w:color="auto"/>
            </w:tcBorders>
          </w:tcPr>
          <w:p w14:paraId="7F3673A3" w14:textId="046890BE" w:rsidR="004B5FC0" w:rsidRPr="000F65FE" w:rsidRDefault="00575799" w:rsidP="00905258">
            <w:pPr>
              <w:pStyle w:val="Body"/>
              <w:ind w:left="-28" w:firstLine="11"/>
              <w:jc w:val="center"/>
              <w:rPr>
                <w:rFonts w:ascii="Wingdings" w:eastAsia="Wingdings" w:hAnsi="Wingdings" w:cs="Wingdings"/>
              </w:rPr>
            </w:pPr>
            <w:r w:rsidRPr="000F65FE">
              <w:rPr>
                <w:rFonts w:ascii="Wingdings" w:eastAsia="Wingdings" w:hAnsi="Wingdings" w:cs="Wingdings"/>
              </w:rPr>
              <w:t>ü</w:t>
            </w:r>
          </w:p>
        </w:tc>
      </w:tr>
      <w:tr w:rsidR="00E959CB" w:rsidRPr="000F65FE" w14:paraId="6EA751C6" w14:textId="77777777" w:rsidTr="00E25C59">
        <w:tc>
          <w:tcPr>
            <w:tcW w:w="274" w:type="pct"/>
            <w:tcBorders>
              <w:top w:val="single" w:sz="4" w:space="0" w:color="auto"/>
              <w:left w:val="single" w:sz="4" w:space="0" w:color="auto"/>
              <w:bottom w:val="single" w:sz="4" w:space="0" w:color="auto"/>
              <w:right w:val="single" w:sz="4" w:space="0" w:color="auto"/>
            </w:tcBorders>
          </w:tcPr>
          <w:p w14:paraId="3F957F1B" w14:textId="77777777" w:rsidR="00F6258F" w:rsidRPr="000F65FE" w:rsidRDefault="00F6258F">
            <w:pPr>
              <w:pStyle w:val="Body"/>
              <w:jc w:val="center"/>
            </w:pPr>
            <w:r w:rsidRPr="000F65FE">
              <w:t>11</w:t>
            </w:r>
          </w:p>
        </w:tc>
        <w:tc>
          <w:tcPr>
            <w:tcW w:w="2331" w:type="pct"/>
            <w:tcBorders>
              <w:top w:val="single" w:sz="4" w:space="0" w:color="auto"/>
              <w:left w:val="single" w:sz="4" w:space="0" w:color="auto"/>
              <w:bottom w:val="single" w:sz="4" w:space="0" w:color="auto"/>
              <w:right w:val="single" w:sz="4" w:space="0" w:color="auto"/>
            </w:tcBorders>
          </w:tcPr>
          <w:p w14:paraId="653A1276" w14:textId="77777777" w:rsidR="00F6258F" w:rsidRPr="000F65FE" w:rsidRDefault="00F6258F">
            <w:pPr>
              <w:pStyle w:val="Body"/>
              <w:jc w:val="left"/>
            </w:pPr>
            <w:r w:rsidRPr="000F65FE">
              <w:t>Pricing structures should be easy to understand and simple to administer</w:t>
            </w:r>
          </w:p>
        </w:tc>
        <w:tc>
          <w:tcPr>
            <w:tcW w:w="2056" w:type="pct"/>
            <w:tcBorders>
              <w:top w:val="single" w:sz="4" w:space="0" w:color="auto"/>
              <w:left w:val="single" w:sz="4" w:space="0" w:color="auto"/>
              <w:bottom w:val="single" w:sz="4" w:space="0" w:color="auto"/>
              <w:right w:val="single" w:sz="4" w:space="0" w:color="auto"/>
            </w:tcBorders>
          </w:tcPr>
          <w:p w14:paraId="7FE32908" w14:textId="1BC93E82" w:rsidR="00F6258F" w:rsidRPr="000F65FE" w:rsidRDefault="0096741E">
            <w:pPr>
              <w:pStyle w:val="Body"/>
              <w:jc w:val="left"/>
              <w:rPr>
                <w:i/>
                <w:iCs/>
              </w:rPr>
            </w:pPr>
            <w:r>
              <w:rPr>
                <w:i/>
                <w:iCs/>
              </w:rPr>
              <w:t xml:space="preserve">The flat fees in the preferred option are easy to understand and simple for </w:t>
            </w:r>
            <w:r w:rsidR="00067836">
              <w:rPr>
                <w:i/>
                <w:iCs/>
              </w:rPr>
              <w:t>Government</w:t>
            </w:r>
            <w:r>
              <w:rPr>
                <w:i/>
                <w:iCs/>
              </w:rPr>
              <w:t xml:space="preserve"> to administer. </w:t>
            </w:r>
          </w:p>
        </w:tc>
        <w:tc>
          <w:tcPr>
            <w:tcW w:w="339" w:type="pct"/>
            <w:tcBorders>
              <w:top w:val="single" w:sz="4" w:space="0" w:color="auto"/>
              <w:left w:val="single" w:sz="4" w:space="0" w:color="auto"/>
              <w:bottom w:val="single" w:sz="4" w:space="0" w:color="auto"/>
              <w:right w:val="single" w:sz="4" w:space="0" w:color="auto"/>
            </w:tcBorders>
          </w:tcPr>
          <w:p w14:paraId="48AA14E3" w14:textId="77777777" w:rsidR="00F6258F" w:rsidRPr="000F65FE" w:rsidRDefault="00F6258F">
            <w:pPr>
              <w:pStyle w:val="Body"/>
              <w:ind w:left="-28" w:firstLine="11"/>
              <w:jc w:val="center"/>
            </w:pPr>
            <w:r w:rsidRPr="000F65FE">
              <w:rPr>
                <w:rFonts w:ascii="Wingdings" w:eastAsia="Wingdings" w:hAnsi="Wingdings" w:cs="Wingdings"/>
              </w:rPr>
              <w:t>ü</w:t>
            </w:r>
          </w:p>
        </w:tc>
      </w:tr>
    </w:tbl>
    <w:p w14:paraId="7A3E5D8E" w14:textId="77777777" w:rsidR="00F6258F" w:rsidRPr="00F02C0C" w:rsidRDefault="00F6258F" w:rsidP="00F6258F">
      <w:pPr>
        <w:pStyle w:val="FootnoteText"/>
        <w:ind w:left="720"/>
        <w:rPr>
          <w:sz w:val="20"/>
          <w:szCs w:val="20"/>
        </w:rPr>
      </w:pPr>
    </w:p>
    <w:p w14:paraId="1F163F47" w14:textId="20E2F621" w:rsidR="00216CE8" w:rsidRPr="00F02C0C" w:rsidRDefault="00216CE8" w:rsidP="00BE5ED9">
      <w:pPr>
        <w:ind w:left="680"/>
      </w:pPr>
    </w:p>
    <w:sectPr w:rsidR="00216CE8" w:rsidRPr="00F02C0C" w:rsidSect="000B37DF">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code="9"/>
      <w:pgMar w:top="1701" w:right="849" w:bottom="1701" w:left="567"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ADFA" w14:textId="77777777" w:rsidR="00642AA0" w:rsidRDefault="00642AA0">
      <w:r>
        <w:separator/>
      </w:r>
    </w:p>
    <w:p w14:paraId="446632BA" w14:textId="77777777" w:rsidR="00642AA0" w:rsidRDefault="00642AA0"/>
  </w:endnote>
  <w:endnote w:type="continuationSeparator" w:id="0">
    <w:p w14:paraId="782C1455" w14:textId="77777777" w:rsidR="00642AA0" w:rsidRDefault="00642AA0">
      <w:r>
        <w:continuationSeparator/>
      </w:r>
    </w:p>
    <w:p w14:paraId="4E14FC6F" w14:textId="77777777" w:rsidR="00642AA0" w:rsidRDefault="00642AA0"/>
  </w:endnote>
  <w:endnote w:type="continuationNotice" w:id="1">
    <w:p w14:paraId="28BF2203" w14:textId="77777777" w:rsidR="00642AA0" w:rsidRDefault="0064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9999999">
    <w:altName w:val="Times New Roman"/>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6097" w14:textId="77777777" w:rsidR="00B75851" w:rsidRDefault="00B75851">
    <w:pPr>
      <w:pStyle w:val="Footer"/>
    </w:pPr>
    <w:r>
      <w:rPr>
        <w:noProof/>
      </w:rPr>
      <mc:AlternateContent>
        <mc:Choice Requires="wps">
          <w:drawing>
            <wp:anchor distT="0" distB="0" distL="0" distR="0" simplePos="0" relativeHeight="251658240" behindDoc="0" locked="0" layoutInCell="1" allowOverlap="1" wp14:anchorId="377AA255" wp14:editId="76B27882">
              <wp:simplePos x="635" y="635"/>
              <wp:positionH relativeFrom="page">
                <wp:align>left</wp:align>
              </wp:positionH>
              <wp:positionV relativeFrom="page">
                <wp:align>bottom</wp:align>
              </wp:positionV>
              <wp:extent cx="759460" cy="361315"/>
              <wp:effectExtent l="0" t="0" r="2540" b="0"/>
              <wp:wrapNone/>
              <wp:docPr id="55251189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9BDA26C"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AA255" id="_x0000_t202" coordsize="21600,21600" o:spt="202" path="m,l,21600r21600,l21600,xe">
              <v:stroke joinstyle="miter"/>
              <v:path gradientshapeok="t" o:connecttype="rect"/>
            </v:shapetype>
            <v:shape id="Text Box 2" o:spid="_x0000_s1027"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19BDA26C"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62FA" w14:textId="77777777" w:rsidR="00B75851" w:rsidRDefault="00B75851" w:rsidP="00E8487C">
    <w:pPr>
      <w:pStyle w:val="DJCSfooter"/>
      <w:tabs>
        <w:tab w:val="left" w:pos="567"/>
        <w:tab w:val="left" w:pos="1418"/>
        <w:tab w:val="left" w:pos="4395"/>
      </w:tabs>
    </w:pPr>
    <w:r>
      <w:rPr>
        <w:noProof/>
      </w:rPr>
      <mc:AlternateContent>
        <mc:Choice Requires="wps">
          <w:drawing>
            <wp:anchor distT="0" distB="0" distL="0" distR="0" simplePos="0" relativeHeight="251658241" behindDoc="0" locked="0" layoutInCell="1" allowOverlap="1" wp14:anchorId="37C60711" wp14:editId="4309EA1F">
              <wp:simplePos x="635" y="635"/>
              <wp:positionH relativeFrom="page">
                <wp:align>left</wp:align>
              </wp:positionH>
              <wp:positionV relativeFrom="page">
                <wp:align>bottom</wp:align>
              </wp:positionV>
              <wp:extent cx="759460" cy="361315"/>
              <wp:effectExtent l="0" t="0" r="2540" b="0"/>
              <wp:wrapNone/>
              <wp:docPr id="152396422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4BB8C40"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60711" id="_x0000_t202" coordsize="21600,21600" o:spt="202" path="m,l,21600r21600,l21600,xe">
              <v:stroke joinstyle="miter"/>
              <v:path gradientshapeok="t" o:connecttype="rect"/>
            </v:shapetype>
            <v:shape id="Text Box 3" o:spid="_x0000_s1028" type="#_x0000_t202" alt="OFFICIAL" style="position:absolute;margin-left:0;margin-top:0;width:59.8pt;height:28.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54BB8C40"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A294" w14:textId="77777777" w:rsidR="00B75851" w:rsidRDefault="00B75851">
    <w:pPr>
      <w:pStyle w:val="Footer"/>
    </w:pPr>
    <w:r>
      <w:rPr>
        <w:noProof/>
      </w:rPr>
      <mc:AlternateContent>
        <mc:Choice Requires="wps">
          <w:drawing>
            <wp:anchor distT="0" distB="0" distL="0" distR="0" simplePos="0" relativeHeight="251658242" behindDoc="0" locked="0" layoutInCell="1" allowOverlap="1" wp14:anchorId="10893E1A" wp14:editId="7C2028E2">
              <wp:simplePos x="541176" y="10111273"/>
              <wp:positionH relativeFrom="page">
                <wp:align>left</wp:align>
              </wp:positionH>
              <wp:positionV relativeFrom="page">
                <wp:align>bottom</wp:align>
              </wp:positionV>
              <wp:extent cx="759460" cy="361315"/>
              <wp:effectExtent l="0" t="0" r="2540" b="0"/>
              <wp:wrapNone/>
              <wp:docPr id="17520307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B1E200F"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893E1A" id="_x0000_t202" coordsize="21600,21600" o:spt="202" path="m,l,21600r21600,l21600,xe">
              <v:stroke joinstyle="miter"/>
              <v:path gradientshapeok="t" o:connecttype="rect"/>
            </v:shapetype>
            <v:shape id="_x0000_s1029" type="#_x0000_t202" alt="OFFICIAL" style="position:absolute;margin-left:0;margin-top:0;width:59.8pt;height:28.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3B1E200F"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1531" w14:textId="76D3AF0D" w:rsidR="00BA43D7" w:rsidRDefault="00A55D38">
    <w:pPr>
      <w:pStyle w:val="Footer"/>
    </w:pPr>
    <w:r>
      <w:rPr>
        <w:noProof/>
      </w:rPr>
      <mc:AlternateContent>
        <mc:Choice Requires="wps">
          <w:drawing>
            <wp:anchor distT="0" distB="0" distL="0" distR="0" simplePos="0" relativeHeight="251658244" behindDoc="0" locked="0" layoutInCell="1" allowOverlap="1" wp14:anchorId="7A20E8A8" wp14:editId="36E3EE93">
              <wp:simplePos x="635" y="635"/>
              <wp:positionH relativeFrom="page">
                <wp:align>left</wp:align>
              </wp:positionH>
              <wp:positionV relativeFrom="page">
                <wp:align>bottom</wp:align>
              </wp:positionV>
              <wp:extent cx="759460" cy="361315"/>
              <wp:effectExtent l="0" t="0" r="2540" b="0"/>
              <wp:wrapNone/>
              <wp:docPr id="212850827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1A08AA5" w14:textId="56F38A05"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20E8A8" id="_x0000_t202" coordsize="21600,21600" o:spt="202" path="m,l,21600r21600,l21600,xe">
              <v:stroke joinstyle="miter"/>
              <v:path gradientshapeok="t" o:connecttype="rect"/>
            </v:shapetype>
            <v:shape id="Text Box 8" o:spid="_x0000_s1030" type="#_x0000_t202" alt="OFFICIAL" style="position:absolute;margin-left:0;margin-top:0;width:59.8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PEg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Nh+n30J9xKUcDHx7y9cttn5kPrwwhwTjtCja&#10;8IyHVNBVFE4WJQ24H3/zx3zEHaOUdCiYihpUNCXqm0E+prPrPI8CSzc03Ghsk1Hc5rMYN3t9D6jF&#10;Ap+F5cmMyUGNpnSg31DTq9gNQ8xw7FnR7Wjeh0G++Ca4WK1SEmrJsvBoNpbH0hGzCOhr/8acPaEe&#10;kK4nGCXFynfgD7nxT29X+4AUJGYivgOaJ9hRh4nb05uJQv/1nrIuL3v5E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jSYLDxIC&#10;AAAhBAAADgAAAAAAAAAAAAAAAAAuAgAAZHJzL2Uyb0RvYy54bWxQSwECLQAUAAYACAAAACEAvSQy&#10;J9oAAAAEAQAADwAAAAAAAAAAAAAAAABsBAAAZHJzL2Rvd25yZXYueG1sUEsFBgAAAAAEAAQA8wAA&#10;AHMFAAAAAA==&#10;" filled="f" stroked="f">
              <v:textbox style="mso-fit-shape-to-text:t" inset="20pt,0,0,15pt">
                <w:txbxContent>
                  <w:p w14:paraId="11A08AA5" w14:textId="56F38A05"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45990"/>
      <w:docPartObj>
        <w:docPartGallery w:val="Page Numbers (Bottom of Page)"/>
        <w:docPartUnique/>
      </w:docPartObj>
    </w:sdtPr>
    <w:sdtEndPr>
      <w:rPr>
        <w:noProof/>
      </w:rPr>
    </w:sdtEndPr>
    <w:sdtContent>
      <w:p w14:paraId="107CE89C" w14:textId="3410D332" w:rsidR="00A82ED4" w:rsidRDefault="00A82ED4">
        <w:pPr>
          <w:pStyle w:val="Footer"/>
        </w:pPr>
        <w:r>
          <w:fldChar w:fldCharType="begin"/>
        </w:r>
        <w:r>
          <w:instrText xml:space="preserve"> PAGE   \* MERGEFORMAT </w:instrText>
        </w:r>
        <w:r>
          <w:fldChar w:fldCharType="separate"/>
        </w:r>
        <w:r>
          <w:rPr>
            <w:noProof/>
          </w:rPr>
          <w:t>2</w:t>
        </w:r>
        <w:r>
          <w:rPr>
            <w:noProof/>
          </w:rPr>
          <w:fldChar w:fldCharType="end"/>
        </w:r>
      </w:p>
    </w:sdtContent>
  </w:sdt>
  <w:p w14:paraId="0EA1D481" w14:textId="4D65772C" w:rsidR="00BA43D7" w:rsidRDefault="00BA43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865" w14:textId="77777777" w:rsidR="00BA43D7" w:rsidRDefault="00A55D38">
    <w:pPr>
      <w:pStyle w:val="Footer"/>
    </w:pPr>
    <w:r>
      <w:rPr>
        <w:noProof/>
      </w:rPr>
      <mc:AlternateContent>
        <mc:Choice Requires="wps">
          <w:drawing>
            <wp:anchor distT="0" distB="0" distL="0" distR="0" simplePos="0" relativeHeight="251658245" behindDoc="0" locked="0" layoutInCell="1" allowOverlap="1" wp14:anchorId="56B1DE8A" wp14:editId="3875CE76">
              <wp:simplePos x="635" y="635"/>
              <wp:positionH relativeFrom="page">
                <wp:align>left</wp:align>
              </wp:positionH>
              <wp:positionV relativeFrom="page">
                <wp:align>bottom</wp:align>
              </wp:positionV>
              <wp:extent cx="759460" cy="361315"/>
              <wp:effectExtent l="0" t="0" r="2540" b="0"/>
              <wp:wrapNone/>
              <wp:docPr id="108435356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26F5523" w14:textId="0421BED0"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1DE8A" id="_x0000_t202" coordsize="21600,21600" o:spt="202" path="m,l,21600r21600,l21600,xe">
              <v:stroke joinstyle="miter"/>
              <v:path gradientshapeok="t" o:connecttype="rect"/>
            </v:shapetype>
            <v:shape id="Text Box 7" o:spid="_x0000_s1031" type="#_x0000_t202" alt="OFFICIAL" style="position:absolute;margin-left:0;margin-top:0;width:59.8pt;height:28.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textbox style="mso-fit-shape-to-text:t" inset="20pt,0,0,15pt">
                <w:txbxContent>
                  <w:p w14:paraId="026F5523" w14:textId="0421BED0"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43FF" w14:textId="77777777" w:rsidR="00642AA0" w:rsidRDefault="00642AA0">
      <w:r>
        <w:separator/>
      </w:r>
    </w:p>
    <w:p w14:paraId="156F313B" w14:textId="77777777" w:rsidR="00642AA0" w:rsidRDefault="00642AA0"/>
  </w:footnote>
  <w:footnote w:type="continuationSeparator" w:id="0">
    <w:p w14:paraId="209464D3" w14:textId="77777777" w:rsidR="00642AA0" w:rsidRDefault="00642AA0">
      <w:r>
        <w:continuationSeparator/>
      </w:r>
    </w:p>
    <w:p w14:paraId="77ECBE2D" w14:textId="77777777" w:rsidR="00642AA0" w:rsidRDefault="00642AA0"/>
  </w:footnote>
  <w:footnote w:type="continuationNotice" w:id="1">
    <w:p w14:paraId="133320C4" w14:textId="77777777" w:rsidR="00642AA0" w:rsidRDefault="00642AA0"/>
  </w:footnote>
  <w:footnote w:id="2">
    <w:p w14:paraId="2CB41044" w14:textId="4F276FE1" w:rsidR="00A26C3F" w:rsidRDefault="00A26C3F" w:rsidP="00A26C3F">
      <w:pPr>
        <w:pStyle w:val="FootnoteText"/>
      </w:pPr>
      <w:r>
        <w:rPr>
          <w:rStyle w:val="FootnoteReference"/>
        </w:rPr>
        <w:footnoteRef/>
      </w:r>
      <w:r>
        <w:t xml:space="preserve"> </w:t>
      </w:r>
      <w:r w:rsidRPr="004A465B">
        <w:t xml:space="preserve">Homes Victoria, </w:t>
      </w:r>
      <w:r w:rsidRPr="004A465B">
        <w:rPr>
          <w:i/>
          <w:iCs/>
        </w:rPr>
        <w:t xml:space="preserve">Rental Report: </w:t>
      </w:r>
      <w:r>
        <w:rPr>
          <w:i/>
          <w:iCs/>
        </w:rPr>
        <w:t>June</w:t>
      </w:r>
      <w:r w:rsidRPr="004A465B">
        <w:rPr>
          <w:i/>
          <w:iCs/>
        </w:rPr>
        <w:t xml:space="preserve"> Quarter </w:t>
      </w:r>
      <w:r>
        <w:rPr>
          <w:i/>
          <w:iCs/>
        </w:rPr>
        <w:t>2025</w:t>
      </w:r>
      <w:r w:rsidRPr="004A465B">
        <w:t>,</w:t>
      </w:r>
      <w:r>
        <w:t xml:space="preserve"> </w:t>
      </w:r>
      <w:r w:rsidR="00764E59">
        <w:t>2025</w:t>
      </w:r>
      <w:r>
        <w:t>&lt;</w:t>
      </w:r>
      <w:hyperlink r:id="rId1" w:history="1">
        <w:r w:rsidRPr="00A04D9A">
          <w:rPr>
            <w:rStyle w:val="Hyperlink"/>
          </w:rPr>
          <w:t>https://www.dffh.vic.gov.au/publications/rental-report</w:t>
        </w:r>
      </w:hyperlink>
      <w:r>
        <w:t>&gt;</w:t>
      </w:r>
    </w:p>
  </w:footnote>
  <w:footnote w:id="3">
    <w:p w14:paraId="4DF45D4B" w14:textId="3AECFA7B" w:rsidR="008E58A1" w:rsidRDefault="008E58A1" w:rsidP="008E58A1">
      <w:pPr>
        <w:pStyle w:val="FootnoteText"/>
      </w:pPr>
      <w:r>
        <w:rPr>
          <w:rStyle w:val="FootnoteReference"/>
        </w:rPr>
        <w:footnoteRef/>
      </w:r>
      <w:r>
        <w:t xml:space="preserve"> Residential Tenancies Bond Authority, </w:t>
      </w:r>
      <w:r w:rsidRPr="005C081A">
        <w:rPr>
          <w:i/>
          <w:iCs/>
        </w:rPr>
        <w:t>2024-25</w:t>
      </w:r>
      <w:r>
        <w:t xml:space="preserve"> </w:t>
      </w:r>
      <w:r>
        <w:rPr>
          <w:i/>
          <w:iCs/>
        </w:rPr>
        <w:t xml:space="preserve">Annual Report, </w:t>
      </w:r>
      <w:r w:rsidRPr="005C081A">
        <w:t>2025</w:t>
      </w:r>
      <w:r>
        <w:rPr>
          <w:i/>
          <w:iCs/>
        </w:rPr>
        <w:t xml:space="preserve">, </w:t>
      </w:r>
      <w:r>
        <w:t>&lt;</w:t>
      </w:r>
      <w:hyperlink r:id="rId2" w:history="1">
        <w:r w:rsidR="005B08EE" w:rsidRPr="006D5FCA">
          <w:rPr>
            <w:rStyle w:val="Hyperlink"/>
          </w:rPr>
          <w:t>https://www.parliament.vic.gov.au/4addce/globalassets/tabled-paper-documents/tabled-paper-9879/rtba-annual-report-2024-25.pdf</w:t>
        </w:r>
      </w:hyperlink>
      <w:r w:rsidR="005B08EE">
        <w:t xml:space="preserve">&gt; </w:t>
      </w:r>
    </w:p>
  </w:footnote>
  <w:footnote w:id="4">
    <w:p w14:paraId="157DF6E3" w14:textId="77777777" w:rsidR="00107582" w:rsidRDefault="00107582" w:rsidP="00107582">
      <w:pPr>
        <w:pStyle w:val="FootnoteText"/>
      </w:pPr>
      <w:r>
        <w:rPr>
          <w:rStyle w:val="FootnoteReference"/>
        </w:rPr>
        <w:footnoteRef/>
      </w:r>
      <w:r>
        <w:t xml:space="preserve"> Parliamentary Budget Office, </w:t>
      </w:r>
      <w:r w:rsidRPr="00AB5592">
        <w:rPr>
          <w:i/>
          <w:iCs/>
        </w:rPr>
        <w:t>Housing, home ownership and renting in Victoria: Submission to the inquiry into the rental and housing affordability crisis in Victoria</w:t>
      </w:r>
      <w:r>
        <w:t>, 2023, &lt;</w:t>
      </w:r>
      <w:hyperlink r:id="rId3" w:history="1">
        <w:r w:rsidRPr="00A42E42">
          <w:rPr>
            <w:rStyle w:val="Hyperlink"/>
          </w:rPr>
          <w:t>https://static.pbo.vic.gov.au/files/PBO_Submission-to-inquiry-into-rental-and-housing-affordability-crisis-in-Victoria.pdf</w:t>
        </w:r>
      </w:hyperlink>
      <w:r>
        <w:t>&gt;</w:t>
      </w:r>
    </w:p>
  </w:footnote>
  <w:footnote w:id="5">
    <w:p w14:paraId="5C42FED8" w14:textId="72ACDC71" w:rsidR="00817256" w:rsidRDefault="00107582" w:rsidP="000311A2">
      <w:pPr>
        <w:pStyle w:val="FootnoteText"/>
      </w:pPr>
      <w:r>
        <w:rPr>
          <w:rStyle w:val="FootnoteReference"/>
        </w:rPr>
        <w:footnoteRef/>
      </w:r>
      <w:r w:rsidR="000311A2">
        <w:t xml:space="preserve"> </w:t>
      </w:r>
      <w:r w:rsidR="000C1B0A">
        <w:t>T</w:t>
      </w:r>
      <w:r w:rsidR="000C1B0A" w:rsidRPr="000C1B0A">
        <w:t>otal number of bonds held over the past 10 years</w:t>
      </w:r>
      <w:r w:rsidR="000C1B0A">
        <w:t xml:space="preserve"> has </w:t>
      </w:r>
      <w:r w:rsidR="000C1B0A" w:rsidRPr="000C1B0A">
        <w:t>ris</w:t>
      </w:r>
      <w:r w:rsidR="000C1B0A">
        <w:t xml:space="preserve">en </w:t>
      </w:r>
      <w:r w:rsidR="000C1B0A" w:rsidRPr="000C1B0A">
        <w:t xml:space="preserve">from </w:t>
      </w:r>
      <w:r w:rsidR="000C1B0A" w:rsidRPr="001F576E">
        <w:t>567,550 in June 2015</w:t>
      </w:r>
      <w:r w:rsidR="000C1B0A" w:rsidRPr="000C1B0A">
        <w:t xml:space="preserve"> to </w:t>
      </w:r>
      <w:r w:rsidR="000C1B0A" w:rsidRPr="001F576E">
        <w:t>736,352 in June 2025.</w:t>
      </w:r>
      <w:r w:rsidR="000311A2">
        <w:t xml:space="preserve"> </w:t>
      </w:r>
      <w:r w:rsidR="00D6345A">
        <w:t xml:space="preserve">See </w:t>
      </w:r>
      <w:r w:rsidR="002E73EE" w:rsidRPr="002E73EE">
        <w:t>Residential Tenancies Bond Authority</w:t>
      </w:r>
      <w:r w:rsidR="002E73EE">
        <w:t>,</w:t>
      </w:r>
      <w:r>
        <w:t xml:space="preserve"> </w:t>
      </w:r>
      <w:r w:rsidR="00817256" w:rsidRPr="001F576E">
        <w:rPr>
          <w:i/>
          <w:iCs/>
        </w:rPr>
        <w:t>Residential Tenancies Bond Authority Annual Report 2024–25</w:t>
      </w:r>
      <w:r>
        <w:t xml:space="preserve">, </w:t>
      </w:r>
      <w:r w:rsidR="000311A2">
        <w:t>202</w:t>
      </w:r>
      <w:r w:rsidR="00817256">
        <w:t>5</w:t>
      </w:r>
      <w:r w:rsidR="000311A2">
        <w:t xml:space="preserve">, </w:t>
      </w:r>
      <w:r w:rsidR="002E73EE">
        <w:t>&lt;</w:t>
      </w:r>
      <w:r w:rsidR="002E73EE" w:rsidRPr="001F576E">
        <w:rPr>
          <w:color w:val="0070C0"/>
        </w:rPr>
        <w:t>https://www.consumer.vic.gov.au/library/publications/about-us/rtba/rtba-annual-report-2014-15.pdf</w:t>
      </w:r>
      <w:r>
        <w:t>&gt;</w:t>
      </w:r>
    </w:p>
    <w:p w14:paraId="1C7528DD" w14:textId="2E60B32C" w:rsidR="00107582" w:rsidRDefault="00817256" w:rsidP="00107582">
      <w:pPr>
        <w:pStyle w:val="FootnoteText"/>
      </w:pPr>
      <w:r>
        <w:rPr>
          <w:rStyle w:val="FootnoteReference"/>
        </w:rPr>
        <w:footnoteRef/>
      </w:r>
      <w:r>
        <w:t xml:space="preserve"> </w:t>
      </w:r>
      <w:r w:rsidR="002E73EE" w:rsidRPr="002E73EE">
        <w:t>Residential Tenancies Bond Authority</w:t>
      </w:r>
      <w:r>
        <w:t xml:space="preserve">, </w:t>
      </w:r>
      <w:r w:rsidRPr="001F576E">
        <w:rPr>
          <w:i/>
          <w:iCs/>
        </w:rPr>
        <w:t>Residential Tenancies Bond Authority Annual Report 2014–15</w:t>
      </w:r>
      <w:r>
        <w:t>, 2015,</w:t>
      </w:r>
      <w:r w:rsidR="00274ED1">
        <w:t xml:space="preserve"> &lt;</w:t>
      </w:r>
      <w:r w:rsidR="00274ED1" w:rsidRPr="001F576E">
        <w:rPr>
          <w:color w:val="0070C0"/>
        </w:rPr>
        <w:t>https://www.consumer.vic.gov.au/library/publications/about-us/rtba/rtba-annual-report-202425.pdf</w:t>
      </w:r>
      <w:r>
        <w:t xml:space="preserve">&gt; </w:t>
      </w:r>
      <w:r w:rsidR="00BE18A7">
        <w:t xml:space="preserve"> </w:t>
      </w:r>
    </w:p>
  </w:footnote>
  <w:footnote w:id="6">
    <w:p w14:paraId="6C6B8E02" w14:textId="77777777" w:rsidR="00A26C3F" w:rsidRDefault="00A26C3F" w:rsidP="00A26C3F">
      <w:pPr>
        <w:pStyle w:val="FootnoteText"/>
      </w:pPr>
      <w:r>
        <w:rPr>
          <w:rStyle w:val="FootnoteReference"/>
        </w:rPr>
        <w:footnoteRef/>
      </w:r>
      <w:r>
        <w:t xml:space="preserve"> Grattan Institute, </w:t>
      </w:r>
      <w:r w:rsidRPr="003950CE">
        <w:rPr>
          <w:i/>
          <w:iCs/>
        </w:rPr>
        <w:t>Housing Affordability: Re-imagining the Australian Dream</w:t>
      </w:r>
      <w:r>
        <w:t>, 2018, &lt;</w:t>
      </w:r>
      <w:hyperlink r:id="rId4" w:history="1">
        <w:r w:rsidRPr="00A42E42">
          <w:rPr>
            <w:rStyle w:val="Hyperlink"/>
          </w:rPr>
          <w:t>https://grattan.edu.au/wp-content/uploads/2018/03/901-Housing-affordability.pdf</w:t>
        </w:r>
      </w:hyperlink>
      <w:r>
        <w:t>&gt;</w:t>
      </w:r>
    </w:p>
  </w:footnote>
  <w:footnote w:id="7">
    <w:p w14:paraId="7533D3A4" w14:textId="77777777" w:rsidR="00A26C3F" w:rsidRDefault="00A26C3F" w:rsidP="00A26C3F">
      <w:pPr>
        <w:pStyle w:val="FootnoteText"/>
      </w:pPr>
      <w:r>
        <w:rPr>
          <w:rStyle w:val="FootnoteReference"/>
        </w:rPr>
        <w:footnoteRef/>
      </w:r>
      <w:r>
        <w:t xml:space="preserve"> Grattan Institute, </w:t>
      </w:r>
      <w:r w:rsidRPr="00E02AF9">
        <w:rPr>
          <w:i/>
          <w:iCs/>
        </w:rPr>
        <w:t>Renting in retirement: Why Rent Assistance needs to rise</w:t>
      </w:r>
      <w:r>
        <w:t>, 2025, &lt;</w:t>
      </w:r>
      <w:r w:rsidRPr="00E02AF9">
        <w:t xml:space="preserve"> </w:t>
      </w:r>
      <w:hyperlink r:id="rId5" w:history="1">
        <w:r w:rsidRPr="00A42E42">
          <w:rPr>
            <w:rStyle w:val="Hyperlink"/>
          </w:rPr>
          <w:t>https://grattan.edu.au/report/renting-in-retirement-why-rent-assistance-needs-to-rise/</w:t>
        </w:r>
      </w:hyperlink>
      <w:r>
        <w:t>&gt;</w:t>
      </w:r>
    </w:p>
  </w:footnote>
  <w:footnote w:id="8">
    <w:p w14:paraId="604B3097" w14:textId="77777777" w:rsidR="00A26C3F" w:rsidRDefault="00A26C3F" w:rsidP="00A26C3F">
      <w:pPr>
        <w:pStyle w:val="FootnoteText"/>
      </w:pPr>
      <w:r>
        <w:rPr>
          <w:rStyle w:val="FootnoteReference"/>
        </w:rPr>
        <w:footnoteRef/>
      </w:r>
      <w:r>
        <w:t xml:space="preserve"> Ibid.</w:t>
      </w:r>
    </w:p>
  </w:footnote>
  <w:footnote w:id="9">
    <w:p w14:paraId="3F93EDFE" w14:textId="77777777" w:rsidR="00A26C3F" w:rsidRDefault="00A26C3F" w:rsidP="00A26C3F">
      <w:pPr>
        <w:pStyle w:val="FootnoteText"/>
      </w:pPr>
      <w:r>
        <w:rPr>
          <w:rStyle w:val="FootnoteReference"/>
        </w:rPr>
        <w:footnoteRef/>
      </w:r>
      <w:r>
        <w:t xml:space="preserve"> Australian Government Institute of Health and Welfare, </w:t>
      </w:r>
      <w:r w:rsidRPr="00C331B9">
        <w:rPr>
          <w:i/>
          <w:iCs/>
        </w:rPr>
        <w:t>Home ownership rate (%), by age group, 1971-2021: Victoria</w:t>
      </w:r>
      <w:r>
        <w:t>, 2022, &lt;</w:t>
      </w:r>
      <w:hyperlink r:id="rId6" w:history="1">
        <w:r w:rsidRPr="00A42E42">
          <w:rPr>
            <w:rStyle w:val="Hyperlink"/>
          </w:rPr>
          <w:t>https://www.housingdata.gov.au/visualisation/home-ownership/home-ownership-by-age-group</w:t>
        </w:r>
      </w:hyperlink>
      <w:r>
        <w:t>&gt;</w:t>
      </w:r>
    </w:p>
  </w:footnote>
  <w:footnote w:id="10">
    <w:p w14:paraId="291DFAA6" w14:textId="6C91C991" w:rsidR="00A26C3F" w:rsidRDefault="00A26C3F" w:rsidP="00A26C3F">
      <w:pPr>
        <w:pStyle w:val="FootnoteText"/>
      </w:pPr>
      <w:r>
        <w:rPr>
          <w:rStyle w:val="FootnoteReference"/>
        </w:rPr>
        <w:footnoteRef/>
      </w:r>
      <w:r>
        <w:t xml:space="preserve"> </w:t>
      </w:r>
      <w:r w:rsidR="00500A66">
        <w:t>Australian Bureau of Statistics,</w:t>
      </w:r>
      <w:r>
        <w:t xml:space="preserve"> </w:t>
      </w:r>
      <w:r w:rsidRPr="001F576E">
        <w:rPr>
          <w:i/>
        </w:rPr>
        <w:t>ABS Table Builder</w:t>
      </w:r>
      <w:r>
        <w:rPr>
          <w:i/>
        </w:rPr>
        <w:t xml:space="preserve">, </w:t>
      </w:r>
      <w:r w:rsidRPr="001F576E">
        <w:rPr>
          <w:i/>
        </w:rPr>
        <w:t>2021 Census</w:t>
      </w:r>
      <w:r w:rsidR="00500A66">
        <w:t>, 2021</w:t>
      </w:r>
      <w:r w:rsidRPr="0002274C">
        <w:t xml:space="preserve"> (counting persons, place of enumeration)</w:t>
      </w:r>
    </w:p>
  </w:footnote>
  <w:footnote w:id="11">
    <w:p w14:paraId="7E256FD1" w14:textId="74D0F1A8" w:rsidR="00A26C3F" w:rsidRDefault="00A26C3F" w:rsidP="00A26C3F">
      <w:pPr>
        <w:pStyle w:val="FootnoteText"/>
      </w:pPr>
      <w:r>
        <w:rPr>
          <w:rStyle w:val="FootnoteReference"/>
        </w:rPr>
        <w:footnoteRef/>
      </w:r>
      <w:r>
        <w:t xml:space="preserve"> </w:t>
      </w:r>
      <w:r w:rsidR="00500A66">
        <w:t>Reserve Bank of Australia</w:t>
      </w:r>
      <w:r w:rsidRPr="00C20F92">
        <w:t xml:space="preserve">, </w:t>
      </w:r>
      <w:r>
        <w:rPr>
          <w:i/>
          <w:iCs/>
        </w:rPr>
        <w:t>Renters</w:t>
      </w:r>
      <w:r w:rsidRPr="00C20F92">
        <w:rPr>
          <w:i/>
          <w:iCs/>
        </w:rPr>
        <w:t xml:space="preserve">, Rent Inflation and </w:t>
      </w:r>
      <w:r>
        <w:rPr>
          <w:i/>
          <w:iCs/>
        </w:rPr>
        <w:t>Renter</w:t>
      </w:r>
      <w:r w:rsidRPr="00C20F92">
        <w:rPr>
          <w:i/>
          <w:iCs/>
        </w:rPr>
        <w:t xml:space="preserve"> Stress,</w:t>
      </w:r>
      <w:r w:rsidRPr="00C20F92">
        <w:t xml:space="preserve"> </w:t>
      </w:r>
      <w:r w:rsidR="00500A66">
        <w:t>2023</w:t>
      </w:r>
      <w:r w:rsidRPr="00C20F92">
        <w:t>, &lt;</w:t>
      </w:r>
      <w:hyperlink r:id="rId7" w:history="1">
        <w:r w:rsidRPr="00295D26">
          <w:rPr>
            <w:rStyle w:val="Hyperlink"/>
          </w:rPr>
          <w:t>https://www.rba.gov.au/publications/bulletin/2023/mar/renters-rent-inflation-and-renter-stress.html</w:t>
        </w:r>
      </w:hyperlink>
      <w:r w:rsidRPr="00C20F92">
        <w:t xml:space="preserve">&gt; </w:t>
      </w:r>
    </w:p>
  </w:footnote>
  <w:footnote w:id="12">
    <w:p w14:paraId="39AE3E5F" w14:textId="0ED3A5C8" w:rsidR="0091528C" w:rsidRDefault="0091528C" w:rsidP="0091528C">
      <w:pPr>
        <w:pStyle w:val="FootnoteText"/>
      </w:pPr>
      <w:r>
        <w:rPr>
          <w:rStyle w:val="FootnoteReference"/>
        </w:rPr>
        <w:footnoteRef/>
      </w:r>
      <w:r w:rsidR="00A26C3F">
        <w:t xml:space="preserve"> </w:t>
      </w:r>
      <w:r w:rsidR="00234FBD">
        <w:t>Victorian Department of Families, Fairness and Housing,</w:t>
      </w:r>
      <w:r w:rsidR="00234FBD" w:rsidRPr="00403BC4">
        <w:t xml:space="preserve"> </w:t>
      </w:r>
      <w:r w:rsidR="00102646">
        <w:rPr>
          <w:i/>
          <w:iCs/>
        </w:rPr>
        <w:t xml:space="preserve">Home Victoria </w:t>
      </w:r>
      <w:r w:rsidR="00234FBD" w:rsidRPr="00403BC4">
        <w:rPr>
          <w:i/>
          <w:iCs/>
        </w:rPr>
        <w:t xml:space="preserve">Rental Report </w:t>
      </w:r>
      <w:r w:rsidR="00102646">
        <w:rPr>
          <w:i/>
          <w:iCs/>
        </w:rPr>
        <w:t>–</w:t>
      </w:r>
      <w:r w:rsidR="00234FBD" w:rsidRPr="00403BC4">
        <w:rPr>
          <w:i/>
          <w:iCs/>
        </w:rPr>
        <w:t xml:space="preserve"> </w:t>
      </w:r>
      <w:r w:rsidR="00234FBD">
        <w:rPr>
          <w:i/>
          <w:iCs/>
        </w:rPr>
        <w:t>June</w:t>
      </w:r>
      <w:r w:rsidR="00234FBD" w:rsidRPr="00403BC4">
        <w:rPr>
          <w:i/>
          <w:iCs/>
        </w:rPr>
        <w:t xml:space="preserve"> quarter 2025</w:t>
      </w:r>
      <w:r w:rsidR="00865A33">
        <w:rPr>
          <w:iCs/>
        </w:rPr>
        <w:t>, 2025, &lt;</w:t>
      </w:r>
      <w:hyperlink r:id="rId8" w:history="1">
        <w:r w:rsidR="00865A33" w:rsidRPr="00865A33">
          <w:rPr>
            <w:rStyle w:val="Hyperlink"/>
          </w:rPr>
          <w:t>https://www.dffh.vic.gov.au/publications/rental-report</w:t>
        </w:r>
      </w:hyperlink>
      <w:r w:rsidR="00234FBD">
        <w:t>&gt;</w:t>
      </w:r>
    </w:p>
  </w:footnote>
  <w:footnote w:id="13">
    <w:p w14:paraId="605D7638" w14:textId="4626F843" w:rsidR="0014766A" w:rsidRDefault="0014766A" w:rsidP="0014766A">
      <w:pPr>
        <w:pStyle w:val="FootnoteText"/>
      </w:pPr>
      <w:r>
        <w:rPr>
          <w:rStyle w:val="FootnoteReference"/>
        </w:rPr>
        <w:footnoteRef/>
      </w:r>
      <w:r>
        <w:t xml:space="preserve"> </w:t>
      </w:r>
      <w:r w:rsidR="00DC11B9">
        <w:t>Ibid.</w:t>
      </w:r>
    </w:p>
  </w:footnote>
  <w:footnote w:id="14">
    <w:p w14:paraId="023673C2" w14:textId="77777777" w:rsidR="00A26C3F" w:rsidRDefault="00A26C3F" w:rsidP="00A26C3F">
      <w:pPr>
        <w:pStyle w:val="FootnoteText"/>
      </w:pPr>
      <w:r>
        <w:rPr>
          <w:rStyle w:val="FootnoteReference"/>
        </w:rPr>
        <w:footnoteRef/>
      </w:r>
      <w:r>
        <w:t xml:space="preserve"> Australian Broadcasting Corporation, </w:t>
      </w:r>
      <w:r w:rsidRPr="00FC439F">
        <w:rPr>
          <w:i/>
          <w:iCs/>
        </w:rPr>
        <w:t>Year of investor sell-off benefits homebuyers but shrinks Victorian rental stock by 24,000</w:t>
      </w:r>
      <w:r>
        <w:t>, 2025, &lt;</w:t>
      </w:r>
      <w:hyperlink r:id="rId9" w:history="1">
        <w:r w:rsidRPr="00A42E42">
          <w:rPr>
            <w:rStyle w:val="Hyperlink"/>
          </w:rPr>
          <w:t>https://www.abc.net.au/news/2025-05-13/rental-bonds-victoria-investor-selloff/105283014</w:t>
        </w:r>
      </w:hyperlink>
      <w:r>
        <w:t xml:space="preserve">&gt; </w:t>
      </w:r>
    </w:p>
  </w:footnote>
  <w:footnote w:id="15">
    <w:p w14:paraId="37EE55D7" w14:textId="1FAA3C1D" w:rsidR="00A26C3F" w:rsidRDefault="00A26C3F" w:rsidP="00A26C3F">
      <w:pPr>
        <w:pStyle w:val="FootnoteText"/>
      </w:pPr>
      <w:r w:rsidRPr="00E90F0A">
        <w:rPr>
          <w:rStyle w:val="FootnoteReference"/>
        </w:rPr>
        <w:footnoteRef/>
      </w:r>
      <w:r w:rsidRPr="00E90F0A">
        <w:t xml:space="preserve"> Victorian Department of Families, Fairness and Housing, </w:t>
      </w:r>
      <w:r w:rsidRPr="00E90F0A">
        <w:rPr>
          <w:i/>
          <w:iCs/>
        </w:rPr>
        <w:t xml:space="preserve">Rental Report statistics - </w:t>
      </w:r>
      <w:r w:rsidR="00E90F0A" w:rsidRPr="001F576E">
        <w:rPr>
          <w:i/>
          <w:iCs/>
        </w:rPr>
        <w:t>June</w:t>
      </w:r>
      <w:r w:rsidRPr="00E90F0A">
        <w:rPr>
          <w:i/>
          <w:iCs/>
        </w:rPr>
        <w:t xml:space="preserve"> quarter 2025</w:t>
      </w:r>
      <w:r w:rsidR="00DC11B9">
        <w:t xml:space="preserve">, </w:t>
      </w:r>
      <w:r w:rsidR="00DC11B9">
        <w:rPr>
          <w:iCs/>
        </w:rPr>
        <w:t xml:space="preserve">2025, </w:t>
      </w:r>
      <w:r w:rsidRPr="00E90F0A">
        <w:t>&lt;</w:t>
      </w:r>
      <w:hyperlink r:id="rId10" w:history="1">
        <w:r w:rsidR="00E90F0A" w:rsidRPr="00E90F0A">
          <w:rPr>
            <w:rStyle w:val="Hyperlink"/>
          </w:rPr>
          <w:t>https://www.dffh.vic.gov.au/publications/rental-report</w:t>
        </w:r>
      </w:hyperlink>
      <w:r w:rsidR="00E90F0A" w:rsidRPr="00E90F0A">
        <w:t>&gt;</w:t>
      </w:r>
    </w:p>
  </w:footnote>
  <w:footnote w:id="16">
    <w:p w14:paraId="3B9232EA" w14:textId="16BBF31E" w:rsidR="00015EF9" w:rsidRDefault="00015EF9" w:rsidP="00015EF9">
      <w:pPr>
        <w:pStyle w:val="FootnoteText"/>
      </w:pPr>
      <w:r w:rsidRPr="002930D9">
        <w:rPr>
          <w:rStyle w:val="FootnoteReference"/>
        </w:rPr>
        <w:footnoteRef/>
      </w:r>
      <w:r w:rsidRPr="002930D9">
        <w:t xml:space="preserve"> </w:t>
      </w:r>
      <w:r w:rsidR="009C1AF9" w:rsidRPr="00AA027A">
        <w:t>Commissioner</w:t>
      </w:r>
      <w:r w:rsidR="009C1AF9">
        <w:t xml:space="preserve"> for Residential Tenancies</w:t>
      </w:r>
      <w:r w:rsidR="0047434B">
        <w:t xml:space="preserve"> and SGS Economics and Planning</w:t>
      </w:r>
      <w:r w:rsidRPr="00C20F92">
        <w:t xml:space="preserve">, </w:t>
      </w:r>
      <w:r w:rsidRPr="00AA027A">
        <w:rPr>
          <w:i/>
          <w:iCs/>
        </w:rPr>
        <w:t>Renting in Victoria: 2024 Snapshot Technical Report</w:t>
      </w:r>
      <w:r w:rsidRPr="00C20F92">
        <w:rPr>
          <w:i/>
          <w:iCs/>
        </w:rPr>
        <w:t>,</w:t>
      </w:r>
      <w:r w:rsidRPr="00C20F92">
        <w:t xml:space="preserve"> </w:t>
      </w:r>
      <w:r w:rsidR="0047434B">
        <w:t>2024</w:t>
      </w:r>
      <w:r w:rsidRPr="00C20F92">
        <w:t>, &lt;</w:t>
      </w:r>
      <w:hyperlink r:id="rId11" w:history="1">
        <w:r w:rsidRPr="00366448">
          <w:rPr>
            <w:rStyle w:val="Hyperlink"/>
          </w:rPr>
          <w:t>https://www.rentingcommissioner.vic.gov.au/t</w:t>
        </w:r>
        <w:bookmarkStart w:id="10" w:name="_Hlt219992920"/>
        <w:bookmarkStart w:id="11" w:name="_Hlt219992921"/>
        <w:bookmarkEnd w:id="10"/>
        <w:bookmarkEnd w:id="11"/>
        <w:r w:rsidRPr="00366448">
          <w:rPr>
            <w:rStyle w:val="Hyperlink"/>
          </w:rPr>
          <w:t>he-rental-sector/research/renting-in-victoria-2024-snapshot</w:t>
        </w:r>
      </w:hyperlink>
      <w:r w:rsidRPr="00C20F92">
        <w:t>&gt;</w:t>
      </w:r>
    </w:p>
  </w:footnote>
  <w:footnote w:id="17">
    <w:p w14:paraId="66777E84" w14:textId="436A7DF2" w:rsidR="00A26C3F" w:rsidRDefault="00A26C3F" w:rsidP="00A26C3F">
      <w:pPr>
        <w:pStyle w:val="FootnoteText"/>
      </w:pPr>
      <w:r>
        <w:rPr>
          <w:rStyle w:val="FootnoteReference"/>
        </w:rPr>
        <w:footnoteRef/>
      </w:r>
      <w:r>
        <w:t xml:space="preserve"> Consumer Affairs Victoria, </w:t>
      </w:r>
      <w:r w:rsidRPr="006C0568">
        <w:rPr>
          <w:i/>
          <w:iCs/>
        </w:rPr>
        <w:t>No price, no ad – putting a stop to rental bidding</w:t>
      </w:r>
      <w:r>
        <w:t xml:space="preserve">, </w:t>
      </w:r>
      <w:r w:rsidR="00DC11B9">
        <w:t xml:space="preserve">2025 </w:t>
      </w:r>
      <w:r>
        <w:t>&lt;</w:t>
      </w:r>
      <w:hyperlink r:id="rId12" w:history="1">
        <w:r w:rsidRPr="00D1683A">
          <w:rPr>
            <w:rStyle w:val="Hyperlink"/>
          </w:rPr>
          <w:t>https://www.consumer.vic.gov.au/latest-news/no-price-no-ad-putting-a-stop-to-rental-bidding</w:t>
        </w:r>
      </w:hyperlink>
      <w:r>
        <w:t xml:space="preserve">&gt; </w:t>
      </w:r>
    </w:p>
  </w:footnote>
  <w:footnote w:id="18">
    <w:p w14:paraId="7DB2122C" w14:textId="676E81A8" w:rsidR="000E3853" w:rsidRDefault="000E3853" w:rsidP="000E3853">
      <w:pPr>
        <w:pStyle w:val="FootnoteText"/>
      </w:pPr>
      <w:r>
        <w:rPr>
          <w:rStyle w:val="FootnoteReference"/>
        </w:rPr>
        <w:footnoteRef/>
      </w:r>
      <w:r>
        <w:t xml:space="preserve"> </w:t>
      </w:r>
      <w:r w:rsidRPr="004A465B">
        <w:t xml:space="preserve">Homes Victoria, </w:t>
      </w:r>
      <w:r w:rsidRPr="004A465B">
        <w:rPr>
          <w:i/>
          <w:iCs/>
        </w:rPr>
        <w:t xml:space="preserve">Rental Report: </w:t>
      </w:r>
      <w:r w:rsidR="005A17AA">
        <w:rPr>
          <w:i/>
          <w:iCs/>
        </w:rPr>
        <w:t>June</w:t>
      </w:r>
      <w:r w:rsidRPr="004A465B">
        <w:rPr>
          <w:i/>
          <w:iCs/>
        </w:rPr>
        <w:t xml:space="preserve"> Quarter </w:t>
      </w:r>
      <w:r>
        <w:rPr>
          <w:i/>
          <w:iCs/>
        </w:rPr>
        <w:t>2025</w:t>
      </w:r>
      <w:r w:rsidRPr="004A465B">
        <w:t>,</w:t>
      </w:r>
      <w:r>
        <w:t xml:space="preserve"> </w:t>
      </w:r>
      <w:r w:rsidR="0062061D">
        <w:t>2025</w:t>
      </w:r>
      <w:r w:rsidR="00FF6E89">
        <w:t>,</w:t>
      </w:r>
      <w:r w:rsidR="0062061D">
        <w:t xml:space="preserve"> </w:t>
      </w:r>
      <w:r>
        <w:t>&lt;</w:t>
      </w:r>
      <w:hyperlink r:id="rId13" w:history="1">
        <w:r w:rsidRPr="00A04D9A">
          <w:rPr>
            <w:rStyle w:val="Hyperlink"/>
          </w:rPr>
          <w:t>https://www.dffh.vic.gov.au/publications/rental-report</w:t>
        </w:r>
      </w:hyperlink>
      <w:r>
        <w:t>&gt;</w:t>
      </w:r>
    </w:p>
  </w:footnote>
  <w:footnote w:id="19">
    <w:p w14:paraId="33700F75" w14:textId="2FF19754" w:rsidR="00A26C3F" w:rsidRDefault="00A26C3F" w:rsidP="00A26C3F">
      <w:pPr>
        <w:pStyle w:val="FootnoteText"/>
      </w:pPr>
      <w:r>
        <w:rPr>
          <w:rStyle w:val="FootnoteReference"/>
        </w:rPr>
        <w:footnoteRef/>
      </w:r>
      <w:r>
        <w:t xml:space="preserve"> Department of Families, Fairness and Housing, </w:t>
      </w:r>
      <w:r w:rsidRPr="007B1A61">
        <w:rPr>
          <w:i/>
          <w:iCs/>
        </w:rPr>
        <w:t xml:space="preserve">Rental </w:t>
      </w:r>
      <w:r w:rsidR="006B0108" w:rsidRPr="007B1A61">
        <w:rPr>
          <w:i/>
          <w:iCs/>
        </w:rPr>
        <w:t>Report</w:t>
      </w:r>
      <w:r w:rsidR="006B0108">
        <w:t xml:space="preserve">, </w:t>
      </w:r>
      <w:r w:rsidR="005D4CC1">
        <w:t>2025</w:t>
      </w:r>
      <w:r w:rsidR="00FF6E89">
        <w:t>,</w:t>
      </w:r>
      <w:r w:rsidR="005D4CC1">
        <w:t xml:space="preserve"> </w:t>
      </w:r>
      <w:r w:rsidR="006B0108">
        <w:t>&lt;</w:t>
      </w:r>
      <w:hyperlink r:id="rId14" w:history="1">
        <w:r w:rsidRPr="00047AAD">
          <w:rPr>
            <w:rStyle w:val="Hyperlink"/>
          </w:rPr>
          <w:t>https://www.dffh.vic</w:t>
        </w:r>
        <w:bookmarkStart w:id="12" w:name="_Hlt219993172"/>
        <w:bookmarkStart w:id="13" w:name="_Hlt219993173"/>
        <w:bookmarkEnd w:id="12"/>
        <w:bookmarkEnd w:id="13"/>
        <w:r w:rsidRPr="00047AAD">
          <w:rPr>
            <w:rStyle w:val="Hyperlink"/>
          </w:rPr>
          <w:t>.gov.au/publications/rental-report</w:t>
        </w:r>
      </w:hyperlink>
      <w:r>
        <w:t xml:space="preserve"> &gt;</w:t>
      </w:r>
    </w:p>
  </w:footnote>
  <w:footnote w:id="20">
    <w:p w14:paraId="6D0DBD83" w14:textId="2963B6D8" w:rsidR="00A26C3F" w:rsidRDefault="00A26C3F" w:rsidP="00A26C3F">
      <w:pPr>
        <w:pStyle w:val="FootnoteText"/>
      </w:pPr>
      <w:r>
        <w:rPr>
          <w:rStyle w:val="FootnoteReference"/>
        </w:rPr>
        <w:footnoteRef/>
      </w:r>
      <w:r>
        <w:t xml:space="preserve"> Australian Bureau of Statistics, </w:t>
      </w:r>
      <w:r w:rsidR="00FB783E" w:rsidRPr="001F576E">
        <w:rPr>
          <w:i/>
        </w:rPr>
        <w:t>2021 Census All persons QuickStats</w:t>
      </w:r>
      <w:r>
        <w:t xml:space="preserve">, </w:t>
      </w:r>
      <w:r w:rsidR="005D4CC1">
        <w:t>2025</w:t>
      </w:r>
      <w:r w:rsidR="00FF6E89">
        <w:t>,</w:t>
      </w:r>
      <w:r w:rsidR="005D4CC1">
        <w:t xml:space="preserve"> </w:t>
      </w:r>
      <w:r>
        <w:t>&lt;</w:t>
      </w:r>
      <w:hyperlink r:id="rId15" w:anchor=":~:text=Table_title:%20Major%20Urban%20(Vic.)%20Table_content:%20header:%20%7C,weekly%20rent%20(b)%20%7C%202%2C098%2C025:%20$383%20%7C" w:history="1">
        <w:r w:rsidR="00FB783E" w:rsidRPr="00FB783E">
          <w:rPr>
            <w:rStyle w:val="Hyperlink"/>
          </w:rPr>
          <w:t>https://www.abs.gov.au/census/find-census-data/quickstats/2021/SOS20#:~:text=Table_title:%20Major%20Urban%20(Vic.)%20Table_content:%20header:%20%7C,weekly%20rent%20(b)%20%7C%202%2C098%2C025:%20$383%20%7C</w:t>
        </w:r>
      </w:hyperlink>
      <w:r w:rsidR="00FB783E" w:rsidDel="00FB783E">
        <w:t xml:space="preserve"> </w:t>
      </w:r>
      <w:r>
        <w:t>&gt;</w:t>
      </w:r>
    </w:p>
  </w:footnote>
  <w:footnote w:id="21">
    <w:p w14:paraId="64D9E107" w14:textId="77777777" w:rsidR="00FF6E89" w:rsidRDefault="00A26C3F" w:rsidP="00FF6E89">
      <w:pPr>
        <w:pStyle w:val="FootnoteText"/>
      </w:pPr>
      <w:r>
        <w:rPr>
          <w:rStyle w:val="FootnoteReference"/>
        </w:rPr>
        <w:footnoteRef/>
      </w:r>
      <w:r>
        <w:t xml:space="preserve"> </w:t>
      </w:r>
      <w:r w:rsidR="00FF6E89" w:rsidRPr="00AA027A">
        <w:t>Commissioner</w:t>
      </w:r>
      <w:r w:rsidR="00FF6E89">
        <w:t xml:space="preserve"> for Residential Tenancies and SGS Economics and Planning</w:t>
      </w:r>
      <w:r w:rsidR="00FF6E89" w:rsidRPr="00C20F92">
        <w:t xml:space="preserve">, </w:t>
      </w:r>
      <w:r w:rsidR="00FF6E89" w:rsidRPr="00AA027A">
        <w:rPr>
          <w:i/>
          <w:iCs/>
        </w:rPr>
        <w:t>Renting in Victoria: 2024 Snapshot Technical Report</w:t>
      </w:r>
      <w:r w:rsidR="00FF6E89" w:rsidRPr="00C20F92">
        <w:rPr>
          <w:i/>
          <w:iCs/>
        </w:rPr>
        <w:t>,</w:t>
      </w:r>
      <w:r w:rsidR="00FF6E89" w:rsidRPr="00C20F92">
        <w:t xml:space="preserve"> </w:t>
      </w:r>
      <w:r w:rsidR="00FF6E89">
        <w:t>2024</w:t>
      </w:r>
      <w:r w:rsidR="00FF6E89" w:rsidRPr="00C20F92">
        <w:t>, &lt;</w:t>
      </w:r>
      <w:hyperlink r:id="rId16" w:history="1">
        <w:r w:rsidR="00FF6E89" w:rsidRPr="00366448">
          <w:rPr>
            <w:rStyle w:val="Hyperlink"/>
          </w:rPr>
          <w:t>https://www.rentingcommissioner.vic.gov.au/the-rental-sector/research/renting-in-victoria-2024-snapshot</w:t>
        </w:r>
      </w:hyperlink>
      <w:r w:rsidR="00FF6E89" w:rsidRPr="00C20F92">
        <w:t>&gt;</w:t>
      </w:r>
    </w:p>
    <w:p w14:paraId="1A947059" w14:textId="54DD0C25" w:rsidR="00A26C3F" w:rsidRDefault="00A26C3F" w:rsidP="00A26C3F">
      <w:pPr>
        <w:pStyle w:val="FootnoteText"/>
      </w:pPr>
      <w:r>
        <w:t xml:space="preserve">Note: it is understood this estimate does not include Notices of Rent Increase issued outside the system, and that not every Notice of Rent Increase generated by the system is necessarily issued. </w:t>
      </w:r>
    </w:p>
  </w:footnote>
  <w:footnote w:id="22">
    <w:p w14:paraId="5B6876AA" w14:textId="624AB2CD" w:rsidR="0029195C" w:rsidRPr="00AE28BD" w:rsidRDefault="0029195C">
      <w:pPr>
        <w:pStyle w:val="FootnoteText"/>
      </w:pPr>
      <w:r>
        <w:rPr>
          <w:rStyle w:val="FootnoteReference"/>
        </w:rPr>
        <w:footnoteRef/>
      </w:r>
      <w:r>
        <w:t xml:space="preserve"> Residential Tenancy </w:t>
      </w:r>
      <w:r w:rsidR="001E6376">
        <w:t xml:space="preserve">Bond </w:t>
      </w:r>
      <w:r>
        <w:t xml:space="preserve">Authority, </w:t>
      </w:r>
      <w:r w:rsidR="004E4A15">
        <w:rPr>
          <w:i/>
          <w:iCs/>
        </w:rPr>
        <w:t xml:space="preserve">Annual Reports, </w:t>
      </w:r>
      <w:hyperlink r:id="rId17" w:history="1">
        <w:r w:rsidR="00AE28BD" w:rsidRPr="001F576E">
          <w:rPr>
            <w:rStyle w:val="Hyperlink"/>
            <w:color w:val="000000" w:themeColor="text1"/>
          </w:rPr>
          <w:t>&lt;</w:t>
        </w:r>
        <w:r w:rsidR="00AE28BD" w:rsidRPr="001F576E">
          <w:rPr>
            <w:rStyle w:val="Hyperlink"/>
          </w:rPr>
          <w:t>https://www.consumer.vic.gov.au/about-us/statutory-bodies-and-committees/residential-tenancies-bond-authority</w:t>
        </w:r>
        <w:r w:rsidR="00AE28BD" w:rsidRPr="001F576E">
          <w:rPr>
            <w:rStyle w:val="Hyperlink"/>
            <w:color w:val="000000" w:themeColor="text1"/>
          </w:rPr>
          <w:t>&gt;</w:t>
        </w:r>
      </w:hyperlink>
    </w:p>
  </w:footnote>
  <w:footnote w:id="23">
    <w:p w14:paraId="1F2CAAA6" w14:textId="5CCCE18C" w:rsidR="006074E3" w:rsidRDefault="006074E3">
      <w:pPr>
        <w:pStyle w:val="FootnoteText"/>
      </w:pPr>
      <w:r>
        <w:rPr>
          <w:rStyle w:val="FootnoteReference"/>
        </w:rPr>
        <w:footnoteRef/>
      </w:r>
      <w:r>
        <w:t xml:space="preserve"> </w:t>
      </w:r>
      <w:r w:rsidR="003D669C">
        <w:t>Ibid</w:t>
      </w:r>
    </w:p>
  </w:footnote>
  <w:footnote w:id="24">
    <w:p w14:paraId="7196FC04" w14:textId="6EC78DAE" w:rsidR="006074E3" w:rsidRDefault="006074E3">
      <w:pPr>
        <w:pStyle w:val="FootnoteText"/>
      </w:pPr>
      <w:r>
        <w:rPr>
          <w:rStyle w:val="FootnoteReference"/>
        </w:rPr>
        <w:footnoteRef/>
      </w:r>
      <w:r>
        <w:t xml:space="preserve"> </w:t>
      </w:r>
      <w:r w:rsidR="003D669C">
        <w:t>Ibid</w:t>
      </w:r>
    </w:p>
  </w:footnote>
  <w:footnote w:id="25">
    <w:p w14:paraId="5915D26B" w14:textId="78933D46" w:rsidR="006074E3" w:rsidRDefault="006074E3">
      <w:pPr>
        <w:pStyle w:val="FootnoteText"/>
      </w:pPr>
      <w:r>
        <w:rPr>
          <w:rStyle w:val="FootnoteReference"/>
        </w:rPr>
        <w:footnoteRef/>
      </w:r>
      <w:r>
        <w:t xml:space="preserve"> Residential Tenancy </w:t>
      </w:r>
      <w:r w:rsidR="00D64ECF">
        <w:t xml:space="preserve">Bond </w:t>
      </w:r>
      <w:r>
        <w:t xml:space="preserve">Authority, </w:t>
      </w:r>
      <w:r w:rsidR="004B39F1">
        <w:rPr>
          <w:i/>
          <w:iCs/>
        </w:rPr>
        <w:t>FY24 and FY25 data</w:t>
      </w:r>
    </w:p>
  </w:footnote>
  <w:footnote w:id="26">
    <w:p w14:paraId="15637DBD" w14:textId="06CD7171" w:rsidR="00A26C3F" w:rsidRDefault="00A26C3F" w:rsidP="00A26C3F">
      <w:pPr>
        <w:pStyle w:val="FootnoteText"/>
      </w:pPr>
      <w:r>
        <w:rPr>
          <w:rStyle w:val="FootnoteReference"/>
        </w:rPr>
        <w:footnoteRef/>
      </w:r>
      <w:r>
        <w:t xml:space="preserve"> </w:t>
      </w:r>
      <w:r w:rsidR="008929CB" w:rsidRPr="00AA027A">
        <w:t>Commissioner</w:t>
      </w:r>
      <w:r w:rsidR="008929CB">
        <w:t xml:space="preserve"> for Residential Tenancies and SGS Economics and Planning</w:t>
      </w:r>
      <w:r w:rsidR="008929CB" w:rsidRPr="00C20F92">
        <w:t xml:space="preserve">, </w:t>
      </w:r>
      <w:r w:rsidR="008929CB" w:rsidRPr="00AA027A">
        <w:rPr>
          <w:i/>
          <w:iCs/>
        </w:rPr>
        <w:t>Renting in Victoria: 2024 Snapshot Technical Report</w:t>
      </w:r>
      <w:r w:rsidR="008929CB" w:rsidRPr="00C20F92">
        <w:rPr>
          <w:i/>
          <w:iCs/>
        </w:rPr>
        <w:t>,</w:t>
      </w:r>
      <w:r w:rsidR="008929CB" w:rsidRPr="00C20F92">
        <w:t xml:space="preserve"> </w:t>
      </w:r>
      <w:r w:rsidR="008929CB">
        <w:t>2024</w:t>
      </w:r>
      <w:r w:rsidR="008929CB" w:rsidRPr="00C20F92">
        <w:t>, &lt;</w:t>
      </w:r>
      <w:hyperlink r:id="rId18" w:history="1">
        <w:r w:rsidR="008929CB" w:rsidRPr="00366448">
          <w:rPr>
            <w:rStyle w:val="Hyperlink"/>
          </w:rPr>
          <w:t>https://www.rentingcommissioner.vic.gov.au/the-rental-sector/research/renting-in-victoria-2024-snapshot</w:t>
        </w:r>
      </w:hyperlink>
      <w:r w:rsidR="008929CB" w:rsidRPr="00C20F92">
        <w:t>&gt;</w:t>
      </w:r>
    </w:p>
  </w:footnote>
  <w:footnote w:id="27">
    <w:p w14:paraId="24DB85D7" w14:textId="798F3C02" w:rsidR="00A26C3F" w:rsidRDefault="00A26C3F" w:rsidP="00A26C3F">
      <w:pPr>
        <w:pStyle w:val="FootnoteText"/>
      </w:pPr>
      <w:r>
        <w:rPr>
          <w:rStyle w:val="FootnoteReference"/>
        </w:rPr>
        <w:footnoteRef/>
      </w:r>
      <w:r>
        <w:t xml:space="preserve"> </w:t>
      </w:r>
      <w:r w:rsidR="008929CB">
        <w:t>Ibid.</w:t>
      </w:r>
      <w:r w:rsidRPr="00C20F92">
        <w:t xml:space="preserve"> </w:t>
      </w:r>
    </w:p>
  </w:footnote>
  <w:footnote w:id="28">
    <w:p w14:paraId="527BC2AD" w14:textId="2A4515F1" w:rsidR="00FD5807" w:rsidRDefault="00FD5807" w:rsidP="00FD5807">
      <w:pPr>
        <w:pStyle w:val="FootnoteText"/>
      </w:pPr>
      <w:r>
        <w:rPr>
          <w:rStyle w:val="FootnoteReference"/>
        </w:rPr>
        <w:footnoteRef/>
      </w:r>
      <w:r>
        <w:t xml:space="preserve"> Residential Tenancies Bond Authority, </w:t>
      </w:r>
      <w:r w:rsidRPr="005C081A">
        <w:rPr>
          <w:i/>
          <w:iCs/>
        </w:rPr>
        <w:t>2024-25</w:t>
      </w:r>
      <w:r>
        <w:t xml:space="preserve"> </w:t>
      </w:r>
      <w:r>
        <w:rPr>
          <w:i/>
          <w:iCs/>
        </w:rPr>
        <w:t xml:space="preserve">Annual Report, </w:t>
      </w:r>
      <w:r w:rsidRPr="005C081A">
        <w:t>2025</w:t>
      </w:r>
      <w:r>
        <w:rPr>
          <w:i/>
          <w:iCs/>
        </w:rPr>
        <w:t xml:space="preserve">, </w:t>
      </w:r>
      <w:r>
        <w:t>&lt;</w:t>
      </w:r>
      <w:hyperlink r:id="rId19" w:history="1">
        <w:r w:rsidR="00044E4D" w:rsidRPr="00044E4D">
          <w:rPr>
            <w:rStyle w:val="Hyperlink"/>
          </w:rPr>
          <w:t>https://www.parliament.vic.gov.au/4addce/globalassets/tabled-paper-documents/tabled-paper-9879/rtba-annual-report-2024-25.pdf</w:t>
        </w:r>
      </w:hyperlink>
      <w:r>
        <w:t>&gt;</w:t>
      </w:r>
    </w:p>
  </w:footnote>
  <w:footnote w:id="29">
    <w:p w14:paraId="03446FB8" w14:textId="77777777" w:rsidR="00F73A6A" w:rsidRDefault="00F73A6A" w:rsidP="00F73A6A">
      <w:pPr>
        <w:pStyle w:val="FootnoteText"/>
      </w:pPr>
      <w:r>
        <w:rPr>
          <w:rStyle w:val="FootnoteReference"/>
        </w:rPr>
        <w:footnoteRef/>
      </w:r>
      <w:r>
        <w:t xml:space="preserve"> Parliament of Victoria, </w:t>
      </w:r>
      <w:r>
        <w:rPr>
          <w:i/>
          <w:iCs/>
        </w:rPr>
        <w:t xml:space="preserve">Consumer Legislation Amendment Act, </w:t>
      </w:r>
      <w:r>
        <w:t xml:space="preserve">2025, </w:t>
      </w:r>
      <w:hyperlink r:id="rId20" w:history="1">
        <w:r>
          <w:rPr>
            <w:rStyle w:val="Hyperlink"/>
          </w:rPr>
          <w:t>&lt;https://www.parliament.vic.gov.au/parliamentary-activity/hansard/hansard-details/HANSARD-974425065-33168&gt;</w:t>
        </w:r>
      </w:hyperlink>
    </w:p>
  </w:footnote>
  <w:footnote w:id="30">
    <w:p w14:paraId="14AA5C34" w14:textId="5A35150E" w:rsidR="00A26C3F" w:rsidRPr="001F576E" w:rsidRDefault="00A26C3F" w:rsidP="00A26C3F">
      <w:pPr>
        <w:pStyle w:val="FootnoteText"/>
        <w:rPr>
          <w:i/>
        </w:rPr>
      </w:pPr>
      <w:r>
        <w:rPr>
          <w:rStyle w:val="FootnoteReference"/>
        </w:rPr>
        <w:footnoteRef/>
      </w:r>
      <w:r w:rsidR="000A2AB5">
        <w:t xml:space="preserve"> Australian Bureau of Statistics, </w:t>
      </w:r>
      <w:r w:rsidR="000A2AB5" w:rsidRPr="00FB1FF6">
        <w:rPr>
          <w:i/>
          <w:iCs/>
        </w:rPr>
        <w:t>ABS Table Builder</w:t>
      </w:r>
      <w:r w:rsidR="000A2AB5">
        <w:rPr>
          <w:i/>
          <w:iCs/>
        </w:rPr>
        <w:t xml:space="preserve">, </w:t>
      </w:r>
      <w:r w:rsidR="000A2AB5" w:rsidRPr="00FB1FF6">
        <w:rPr>
          <w:i/>
          <w:iCs/>
        </w:rPr>
        <w:t>2021 Census</w:t>
      </w:r>
      <w:r w:rsidR="000A2AB5">
        <w:t>, 2021</w:t>
      </w:r>
      <w:r w:rsidR="000A2AB5" w:rsidRPr="0002274C">
        <w:t xml:space="preserve"> </w:t>
      </w:r>
      <w:r w:rsidRPr="00F33661">
        <w:rPr>
          <w:i/>
          <w:iCs/>
        </w:rPr>
        <w:t>(selected dwelling characteristics)</w:t>
      </w:r>
      <w:r>
        <w:rPr>
          <w:i/>
          <w:iCs/>
        </w:rPr>
        <w:t>.</w:t>
      </w:r>
      <w:r>
        <w:rPr>
          <w:i/>
        </w:rPr>
        <w:t xml:space="preserve"> </w:t>
      </w:r>
      <w:r w:rsidRPr="00DB6BE0">
        <w:t>Cohorts presented account for 97.7% of households residing in rented dwellings in Victoria. Households not represented here include multi-family households, visitor only households and other unclassified households.</w:t>
      </w:r>
      <w:r>
        <w:t xml:space="preserve"> </w:t>
      </w:r>
      <w:r w:rsidRPr="00DB6BE0">
        <w:t>Rental stress is defined as households where rent payments are more than 30% of household income</w:t>
      </w:r>
      <w:r>
        <w:t xml:space="preserve">. </w:t>
      </w:r>
    </w:p>
  </w:footnote>
  <w:footnote w:id="31">
    <w:p w14:paraId="15E352FC" w14:textId="66450B7A" w:rsidR="007E2C39" w:rsidRDefault="007E2C39">
      <w:pPr>
        <w:pStyle w:val="FootnoteText"/>
      </w:pPr>
      <w:r>
        <w:rPr>
          <w:rStyle w:val="FootnoteReference"/>
        </w:rPr>
        <w:footnoteRef/>
      </w:r>
      <w:r>
        <w:t xml:space="preserve"> </w:t>
      </w:r>
      <w:r w:rsidR="00E8160D">
        <w:t xml:space="preserve">This information is summarised from </w:t>
      </w:r>
      <w:r w:rsidR="003C41BB">
        <w:t>publicly available information on Victoria’s current framework for bonds</w:t>
      </w:r>
      <w:r w:rsidR="00816792">
        <w:t xml:space="preserve">. See: Consumer Affairs Victoria, </w:t>
      </w:r>
      <w:r w:rsidR="00816792" w:rsidRPr="001F576E">
        <w:rPr>
          <w:i/>
          <w:iCs/>
        </w:rPr>
        <w:t>Bond</w:t>
      </w:r>
      <w:r w:rsidR="00816792">
        <w:t>, 2025, &lt;</w:t>
      </w:r>
      <w:hyperlink r:id="rId21" w:history="1">
        <w:r w:rsidR="008F25E7" w:rsidRPr="008F25E7">
          <w:rPr>
            <w:rStyle w:val="Hyperlink"/>
          </w:rPr>
          <w:t>https://www.consumer.vic.gov.au/housing/renting/rent-bond-bills-and-condition-reports/bond</w:t>
        </w:r>
      </w:hyperlink>
      <w:r w:rsidR="008F25E7">
        <w:t>&gt;</w:t>
      </w:r>
    </w:p>
  </w:footnote>
  <w:footnote w:id="32">
    <w:p w14:paraId="72F97497" w14:textId="5F6FC037" w:rsidR="009859EE" w:rsidRDefault="009859EE" w:rsidP="009859EE">
      <w:pPr>
        <w:pStyle w:val="FootnoteText"/>
      </w:pPr>
      <w:r>
        <w:rPr>
          <w:rStyle w:val="FootnoteReference"/>
        </w:rPr>
        <w:footnoteRef/>
      </w:r>
      <w:r>
        <w:t xml:space="preserve"> </w:t>
      </w:r>
      <w:r w:rsidR="001C45A6" w:rsidRPr="001C45A6">
        <w:t>Section 31(1) of the RT Act provides for the maximum amount of bond to be one month’s rent unless the weekly amount of rent exceeds the prescribed amount. Regulation 17 provides that the prescribed amount is $900</w:t>
      </w:r>
      <w:r w:rsidR="001C45A6">
        <w:t xml:space="preserve">. </w:t>
      </w:r>
      <w:r>
        <w:t xml:space="preserve">Consumer Affairs Victoria, </w:t>
      </w:r>
      <w:r w:rsidRPr="00B8313A">
        <w:rPr>
          <w:i/>
          <w:iCs/>
        </w:rPr>
        <w:t>Bond amounts and payments</w:t>
      </w:r>
      <w:r>
        <w:t>, 2025, &lt;</w:t>
      </w:r>
      <w:hyperlink r:id="rId22" w:history="1">
        <w:r w:rsidRPr="00B676C6">
          <w:rPr>
            <w:rStyle w:val="Hyperlink"/>
          </w:rPr>
          <w:t>https://www.consumer.vic.gov.au/housing/renting/rent-bond-bills-and-condition-reports/bond/bond-amounts-and-paying-a-bond</w:t>
        </w:r>
      </w:hyperlink>
      <w:r>
        <w:t>&gt;</w:t>
      </w:r>
    </w:p>
  </w:footnote>
  <w:footnote w:id="33">
    <w:p w14:paraId="10E557ED" w14:textId="01D6467A" w:rsidR="008437A5" w:rsidRDefault="008437A5" w:rsidP="008437A5">
      <w:pPr>
        <w:pStyle w:val="FootnoteText"/>
      </w:pPr>
      <w:r>
        <w:rPr>
          <w:rStyle w:val="FootnoteReference"/>
        </w:rPr>
        <w:footnoteRef/>
      </w:r>
      <w:r>
        <w:t xml:space="preserve"> Per Section 406 of the RT Act, see Parliament of Victoria, </w:t>
      </w:r>
      <w:r w:rsidRPr="00FB1FF6">
        <w:rPr>
          <w:i/>
          <w:iCs/>
        </w:rPr>
        <w:t>Residential Tenancies Act 1997</w:t>
      </w:r>
      <w:r>
        <w:t>, &lt;</w:t>
      </w:r>
      <w:hyperlink r:id="rId23" w:history="1">
        <w:r w:rsidRPr="00FB1FF6">
          <w:rPr>
            <w:rStyle w:val="Hyperlink"/>
          </w:rPr>
          <w:t>https://content.legislation.vic.gov.au/sites/default/files/2025-11/97-109aa111-authorised.pdf</w:t>
        </w:r>
      </w:hyperlink>
      <w:r>
        <w:t>&gt;</w:t>
      </w:r>
    </w:p>
  </w:footnote>
  <w:footnote w:id="34">
    <w:p w14:paraId="66AA49C9" w14:textId="6D4A716A" w:rsidR="00EC3EA0" w:rsidRDefault="00EC3EA0" w:rsidP="00EC3EA0">
      <w:pPr>
        <w:pStyle w:val="FootnoteText"/>
      </w:pPr>
      <w:r>
        <w:rPr>
          <w:rStyle w:val="FootnoteReference"/>
        </w:rPr>
        <w:footnoteRef/>
      </w:r>
      <w:r>
        <w:t xml:space="preserve"> Per Section 91B of the RT Act, see Parliament of Victoria, </w:t>
      </w:r>
      <w:r w:rsidRPr="00FB1FF6">
        <w:rPr>
          <w:i/>
          <w:iCs/>
        </w:rPr>
        <w:t>Residential Tenancies Act 1997</w:t>
      </w:r>
      <w:r>
        <w:t>, &lt;</w:t>
      </w:r>
      <w:hyperlink r:id="rId24" w:history="1">
        <w:r w:rsidRPr="00FB1FF6">
          <w:rPr>
            <w:rStyle w:val="Hyperlink"/>
          </w:rPr>
          <w:t>https://content.legislation.vic.gov.au/sites/default/files/2025-11/97-109aa111-authorised.pdf</w:t>
        </w:r>
      </w:hyperlink>
      <w:r>
        <w:t>&gt;</w:t>
      </w:r>
    </w:p>
  </w:footnote>
  <w:footnote w:id="35">
    <w:p w14:paraId="5F0707C2" w14:textId="54830561" w:rsidR="006E29D9" w:rsidRDefault="006E29D9" w:rsidP="007236CB">
      <w:pPr>
        <w:pStyle w:val="FootnoteText"/>
      </w:pPr>
      <w:r>
        <w:rPr>
          <w:rStyle w:val="FootnoteReference"/>
        </w:rPr>
        <w:footnoteRef/>
      </w:r>
      <w:r>
        <w:t xml:space="preserve"> </w:t>
      </w:r>
      <w:r w:rsidR="00DA633E">
        <w:t>Australian Housing and Urban Research Institute (AHURI)</w:t>
      </w:r>
      <w:r w:rsidR="007236CB">
        <w:t xml:space="preserve">, </w:t>
      </w:r>
      <w:r w:rsidR="007236CB" w:rsidRPr="007236CB">
        <w:t>Post pandemic landlord–renter relationships in Australia</w:t>
      </w:r>
      <w:r w:rsidR="007236CB">
        <w:t>, 2020.</w:t>
      </w:r>
      <w:r w:rsidR="00DA633E">
        <w:t xml:space="preserve"> </w:t>
      </w:r>
      <w:r w:rsidR="001D09AA">
        <w:t>&lt;</w:t>
      </w:r>
      <w:hyperlink r:id="rId25" w:history="1">
        <w:r w:rsidR="008F42B2" w:rsidRPr="008F42B2">
          <w:rPr>
            <w:rStyle w:val="Hyperlink"/>
          </w:rPr>
          <w:t>https://www.ahuri.edu.au/sites/default/files/migration/documents/AHURI-Final-Report-344-Post-pandemic-landlordrenter-relationships-in-Australia.pdf</w:t>
        </w:r>
      </w:hyperlink>
      <w:r w:rsidR="008F42B2">
        <w:t xml:space="preserve">&gt; </w:t>
      </w:r>
      <w:r w:rsidR="005E12D1">
        <w:br/>
      </w:r>
      <w:r w:rsidR="00AD11A7">
        <w:t>Real</w:t>
      </w:r>
      <w:r w:rsidR="00C53214">
        <w:t>e</w:t>
      </w:r>
      <w:r w:rsidR="00AD11A7">
        <w:t>state com</w:t>
      </w:r>
      <w:r w:rsidR="00C53214">
        <w:t>.au</w:t>
      </w:r>
      <w:r w:rsidR="005E12D1">
        <w:t>,</w:t>
      </w:r>
      <w:r w:rsidR="005E12D1" w:rsidRPr="005E12D1">
        <w:t xml:space="preserve"> The best time of year to nab a rental according to the property data</w:t>
      </w:r>
      <w:r w:rsidR="005E12D1">
        <w:t>, 2024. &lt;</w:t>
      </w:r>
      <w:hyperlink r:id="rId26" w:history="1">
        <w:r w:rsidR="00000EF6" w:rsidRPr="000636A2">
          <w:rPr>
            <w:rStyle w:val="Hyperlink"/>
          </w:rPr>
          <w:t>https://www.realestate.com.au/news/the-best-time-of-year-to-nab-a-rental-according-to-the-property-data/</w:t>
        </w:r>
      </w:hyperlink>
      <w:r w:rsidR="00E959CB">
        <w:t>&gt;</w:t>
      </w:r>
    </w:p>
  </w:footnote>
  <w:footnote w:id="36">
    <w:p w14:paraId="17700815" w14:textId="77777777" w:rsidR="00A26C3F" w:rsidRDefault="00A26C3F" w:rsidP="00A26C3F">
      <w:pPr>
        <w:pStyle w:val="FootnoteText"/>
      </w:pPr>
      <w:r>
        <w:rPr>
          <w:rStyle w:val="FootnoteReference"/>
        </w:rPr>
        <w:footnoteRef/>
      </w:r>
      <w:r>
        <w:t xml:space="preserve"> Consumer Affairs Victoria, </w:t>
      </w:r>
      <w:r w:rsidRPr="00A6632A">
        <w:rPr>
          <w:i/>
          <w:iCs/>
        </w:rPr>
        <w:t>Bond claims and refunds</w:t>
      </w:r>
      <w:r>
        <w:t>, &lt;</w:t>
      </w:r>
      <w:hyperlink r:id="rId27" w:history="1">
        <w:r w:rsidRPr="00C211F1">
          <w:rPr>
            <w:rStyle w:val="Hyperlink"/>
          </w:rPr>
          <w:t>https://www.consumer.vic.gov.au/housing/renting/rent-bond-bills-and-condition-reports/bond/bond-claims-and-refunds</w:t>
        </w:r>
      </w:hyperlink>
      <w:r>
        <w:t>&gt;</w:t>
      </w:r>
    </w:p>
  </w:footnote>
  <w:footnote w:id="37">
    <w:p w14:paraId="3FF2BD0F" w14:textId="20733561" w:rsidR="00A26C3F" w:rsidRPr="00DD70CE" w:rsidRDefault="00A26C3F" w:rsidP="00A26C3F">
      <w:pPr>
        <w:pStyle w:val="FootnoteText"/>
      </w:pPr>
      <w:r>
        <w:rPr>
          <w:rStyle w:val="FootnoteReference"/>
        </w:rPr>
        <w:footnoteRef/>
      </w:r>
      <w:r>
        <w:t xml:space="preserve"> Australian Housing and Urban Research Institute, </w:t>
      </w:r>
      <w:r>
        <w:rPr>
          <w:i/>
          <w:iCs/>
        </w:rPr>
        <w:t xml:space="preserve">Transition into home ownership: a quantitative assessment, </w:t>
      </w:r>
      <w:r w:rsidR="00AE7653">
        <w:t xml:space="preserve">2023, </w:t>
      </w:r>
      <w:r>
        <w:rPr>
          <w:i/>
          <w:iCs/>
        </w:rPr>
        <w:t>&lt;</w:t>
      </w:r>
      <w:hyperlink r:id="rId28" w:history="1">
        <w:r w:rsidRPr="00477512">
          <w:rPr>
            <w:rStyle w:val="Hyperlink"/>
            <w:i/>
            <w:iCs/>
          </w:rPr>
          <w:t>https://www.ahuri.edu.au/sites/default/files/</w:t>
        </w:r>
        <w:bookmarkStart w:id="19" w:name="_Hlt219994523"/>
        <w:bookmarkStart w:id="20" w:name="_Hlt219994524"/>
        <w:bookmarkEnd w:id="19"/>
        <w:bookmarkEnd w:id="20"/>
        <w:r w:rsidRPr="00477512">
          <w:rPr>
            <w:rStyle w:val="Hyperlink"/>
            <w:i/>
            <w:iCs/>
          </w:rPr>
          <w:t>documents/2023-07/AHURI-Final-Report-404-Transitions-into-home-ownership-a-quantitative-assessment.pdf</w:t>
        </w:r>
      </w:hyperlink>
      <w:r>
        <w:rPr>
          <w:i/>
          <w:iCs/>
        </w:rPr>
        <w:t>&gt;</w:t>
      </w:r>
    </w:p>
  </w:footnote>
  <w:footnote w:id="38">
    <w:p w14:paraId="5E4BC176" w14:textId="22DD3F43" w:rsidR="00A26C3F" w:rsidRPr="006C14A5" w:rsidRDefault="00A26C3F" w:rsidP="00A26C3F">
      <w:pPr>
        <w:pStyle w:val="FootnoteText"/>
      </w:pPr>
      <w:r>
        <w:rPr>
          <w:rStyle w:val="FootnoteReference"/>
        </w:rPr>
        <w:footnoteRef/>
      </w:r>
      <w:r>
        <w:t xml:space="preserve"> Residential Tenancies Bond Authority, </w:t>
      </w:r>
      <w:r>
        <w:rPr>
          <w:i/>
          <w:iCs/>
        </w:rPr>
        <w:t>RTBA data (FY2</w:t>
      </w:r>
      <w:r w:rsidR="0029195C">
        <w:rPr>
          <w:i/>
          <w:iCs/>
        </w:rPr>
        <w:t>5</w:t>
      </w:r>
      <w:r>
        <w:rPr>
          <w:i/>
          <w:iCs/>
        </w:rPr>
        <w:t xml:space="preserve"> data)</w:t>
      </w:r>
    </w:p>
  </w:footnote>
  <w:footnote w:id="39">
    <w:p w14:paraId="1BCB7400" w14:textId="084DEF6E" w:rsidR="00A26C3F" w:rsidRDefault="00A26C3F" w:rsidP="00A26C3F">
      <w:pPr>
        <w:pStyle w:val="FootnoteText"/>
      </w:pPr>
      <w:r>
        <w:rPr>
          <w:rStyle w:val="FootnoteReference"/>
        </w:rPr>
        <w:footnoteRef/>
      </w:r>
      <w:r>
        <w:t xml:space="preserve"> </w:t>
      </w:r>
      <w:r w:rsidRPr="00BD1CBB">
        <w:t xml:space="preserve">Based on </w:t>
      </w:r>
      <w:r w:rsidR="00935C51">
        <w:t>2</w:t>
      </w:r>
      <w:r>
        <w:t>-</w:t>
      </w:r>
      <w:r w:rsidRPr="00BD1CBB">
        <w:t xml:space="preserve">week bond </w:t>
      </w:r>
      <w:r>
        <w:t xml:space="preserve">re-payment </w:t>
      </w:r>
      <w:r w:rsidRPr="00BD1CBB">
        <w:t xml:space="preserve">duration </w:t>
      </w:r>
      <w:r>
        <w:t xml:space="preserve">from </w:t>
      </w:r>
      <w:hyperlink r:id="rId29" w:history="1">
        <w:r w:rsidR="007540B0" w:rsidRPr="007540B0">
          <w:rPr>
            <w:rStyle w:val="Hyperlink"/>
          </w:rPr>
          <w:t>Consumer Affairs Victoria</w:t>
        </w:r>
      </w:hyperlink>
      <w:r w:rsidR="007540B0">
        <w:t xml:space="preserve"> (this is </w:t>
      </w:r>
      <w:r>
        <w:t xml:space="preserve">the </w:t>
      </w:r>
      <w:r w:rsidR="007540B0">
        <w:t>maximum and some would apply earlier, but this may be offset by any disputes – as such, 2 weeks has been assumed), which</w:t>
      </w:r>
      <w:r>
        <w:t xml:space="preserve"> would be accruing</w:t>
      </w:r>
      <w:r w:rsidRPr="00BD1CBB">
        <w:t xml:space="preserve"> </w:t>
      </w:r>
      <w:r>
        <w:t xml:space="preserve">at </w:t>
      </w:r>
      <w:r w:rsidRPr="00BD1CBB">
        <w:t>~5% interest rate</w:t>
      </w:r>
      <w:r>
        <w:t xml:space="preserve"> (current </w:t>
      </w:r>
      <w:r w:rsidR="00DF0313">
        <w:t xml:space="preserve">interest rates for </w:t>
      </w:r>
      <w:hyperlink r:id="rId30" w:history="1">
        <w:r w:rsidR="00DF0313" w:rsidRPr="002A588F">
          <w:rPr>
            <w:rStyle w:val="Hyperlink"/>
          </w:rPr>
          <w:t>high interest savings accounts</w:t>
        </w:r>
      </w:hyperlink>
      <w:r>
        <w:t xml:space="preserve">) </w:t>
      </w:r>
      <w:r w:rsidR="003D0C85">
        <w:t>on the</w:t>
      </w:r>
      <w:r w:rsidR="008C17E3">
        <w:t xml:space="preserve"> value of</w:t>
      </w:r>
      <w:r w:rsidR="003D0C85">
        <w:t xml:space="preserve"> bonds </w:t>
      </w:r>
      <w:r w:rsidR="000520B8">
        <w:t>expected to participate in the PRBS</w:t>
      </w:r>
      <w:r w:rsidR="008C17E3">
        <w:t xml:space="preserve"> (379m)</w:t>
      </w:r>
      <w:r w:rsidR="003D0C85">
        <w:t xml:space="preserve"> – this represents the interest </w:t>
      </w:r>
      <w:r w:rsidR="00AC05B6">
        <w:t>the G</w:t>
      </w:r>
      <w:r w:rsidR="003D0C85">
        <w:t xml:space="preserve">overnment accrues on the holding of double bonds, which is also the interest foregone </w:t>
      </w:r>
      <w:r>
        <w:t xml:space="preserve">for renters in the absence of a dual bond </w:t>
      </w:r>
      <w:r w:rsidR="00503947">
        <w:t xml:space="preserve">requirement </w:t>
      </w:r>
      <w:r w:rsidR="00694DEE">
        <w:t>(</w:t>
      </w:r>
      <w:r w:rsidR="000520B8">
        <w:t xml:space="preserve">Double Bond Interest = </w:t>
      </w:r>
      <w:r w:rsidR="00503947">
        <w:t xml:space="preserve">5% * </w:t>
      </w:r>
      <w:r w:rsidR="00694DEE">
        <w:t>379</w:t>
      </w:r>
      <w:r w:rsidR="00893B20">
        <w:t xml:space="preserve">m * 2/52 = </w:t>
      </w:r>
      <w:r w:rsidR="000520B8">
        <w:t>$0.7m)</w:t>
      </w:r>
    </w:p>
  </w:footnote>
  <w:footnote w:id="40">
    <w:p w14:paraId="77F02E2D" w14:textId="34E986F6" w:rsidR="00A26C3F" w:rsidRDefault="00A26C3F" w:rsidP="00A26C3F">
      <w:pPr>
        <w:pStyle w:val="FootnoteText"/>
      </w:pPr>
      <w:r>
        <w:rPr>
          <w:rStyle w:val="FootnoteReference"/>
        </w:rPr>
        <w:footnoteRef/>
      </w:r>
      <w:r>
        <w:t xml:space="preserve"> Residential Tenancies Bond Authority, </w:t>
      </w:r>
      <w:r w:rsidRPr="00E71F58">
        <w:rPr>
          <w:i/>
          <w:iCs/>
        </w:rPr>
        <w:t>Annual Report 202</w:t>
      </w:r>
      <w:r w:rsidR="00FB7CEC">
        <w:rPr>
          <w:i/>
          <w:iCs/>
        </w:rPr>
        <w:t>4</w:t>
      </w:r>
      <w:r w:rsidRPr="00E71F58">
        <w:rPr>
          <w:i/>
          <w:iCs/>
        </w:rPr>
        <w:t>-2</w:t>
      </w:r>
      <w:r w:rsidR="00FB7CEC">
        <w:rPr>
          <w:i/>
          <w:iCs/>
        </w:rPr>
        <w:t>5</w:t>
      </w:r>
      <w:r>
        <w:t xml:space="preserve">, </w:t>
      </w:r>
      <w:r w:rsidR="00AE7653">
        <w:t>2025,</w:t>
      </w:r>
      <w:r>
        <w:t xml:space="preserve"> &lt;</w:t>
      </w:r>
      <w:hyperlink r:id="rId31" w:history="1">
        <w:r w:rsidR="00605FE6" w:rsidRPr="00605FE6">
          <w:rPr>
            <w:rStyle w:val="Hyperlink"/>
          </w:rPr>
          <w:t>https://www.parliament.vic.gov.au/4addce/globalassets/tabled-paper-documents/tabled-paper-9879/rtba-annual-report-2024-25.pdf</w:t>
        </w:r>
      </w:hyperlink>
      <w:r w:rsidR="000C50A5">
        <w:t xml:space="preserve">&gt;  </w:t>
      </w:r>
    </w:p>
  </w:footnote>
  <w:footnote w:id="41">
    <w:p w14:paraId="542864D0" w14:textId="77777777" w:rsidR="00A26C3F" w:rsidRDefault="00A26C3F" w:rsidP="00A26C3F">
      <w:pPr>
        <w:pStyle w:val="FootnoteText"/>
      </w:pPr>
      <w:r>
        <w:rPr>
          <w:rStyle w:val="FootnoteReference"/>
        </w:rPr>
        <w:footnoteRef/>
      </w:r>
      <w:r>
        <w:t xml:space="preserve"> Ibid.</w:t>
      </w:r>
    </w:p>
  </w:footnote>
  <w:footnote w:id="42">
    <w:p w14:paraId="2CB07221" w14:textId="7DEB522C" w:rsidR="00A26C3F" w:rsidRDefault="00A26C3F" w:rsidP="00A26C3F">
      <w:pPr>
        <w:pStyle w:val="FootnoteText"/>
      </w:pPr>
      <w:r>
        <w:rPr>
          <w:rStyle w:val="FootnoteReference"/>
        </w:rPr>
        <w:footnoteRef/>
      </w:r>
      <w:r>
        <w:t xml:space="preserve"> Premier of Victoria, </w:t>
      </w:r>
      <w:r>
        <w:rPr>
          <w:i/>
          <w:iCs/>
        </w:rPr>
        <w:t xml:space="preserve">Resolving Rental Disputes Fast Fair and For Free, </w:t>
      </w:r>
      <w:r>
        <w:t>2025</w:t>
      </w:r>
      <w:r w:rsidR="00AE7653">
        <w:rPr>
          <w:i/>
          <w:iCs/>
        </w:rPr>
        <w:t xml:space="preserve">, </w:t>
      </w:r>
      <w:r>
        <w:rPr>
          <w:i/>
          <w:iCs/>
        </w:rPr>
        <w:t>&lt;</w:t>
      </w:r>
      <w:hyperlink r:id="rId32" w:history="1">
        <w:r w:rsidRPr="006F65C2">
          <w:rPr>
            <w:rStyle w:val="Hyperlink"/>
          </w:rPr>
          <w:t>https://www.premier.vic.gov.a</w:t>
        </w:r>
        <w:bookmarkStart w:id="21" w:name="_Hlt216348430"/>
        <w:r w:rsidRPr="006F65C2">
          <w:rPr>
            <w:rStyle w:val="Hyperlink"/>
          </w:rPr>
          <w:t>u</w:t>
        </w:r>
        <w:bookmarkEnd w:id="21"/>
        <w:r w:rsidRPr="006F65C2">
          <w:rPr>
            <w:rStyle w:val="Hyperlink"/>
          </w:rPr>
          <w:t>/sites/default/files/2025-09/250913-Resolving-Rental-Disputes-Fast-Fair-And-For-Free.pdf</w:t>
        </w:r>
      </w:hyperlink>
      <w:r>
        <w:t>&gt;</w:t>
      </w:r>
    </w:p>
  </w:footnote>
  <w:footnote w:id="43">
    <w:p w14:paraId="08172B6A" w14:textId="1F0D1443" w:rsidR="00A26C3F" w:rsidRDefault="00A26C3F" w:rsidP="00A26C3F">
      <w:pPr>
        <w:pStyle w:val="FootnoteText"/>
      </w:pPr>
      <w:r>
        <w:rPr>
          <w:rStyle w:val="FootnoteReference"/>
        </w:rPr>
        <w:footnoteRef/>
      </w:r>
      <w:r>
        <w:t xml:space="preserve"> </w:t>
      </w:r>
      <w:r w:rsidR="004A0C60">
        <w:t>Victorian Civil &amp; Administrative Tribunal (VCAT)</w:t>
      </w:r>
      <w:r>
        <w:t>,</w:t>
      </w:r>
      <w:r w:rsidRPr="00A03FCA">
        <w:t xml:space="preserve"> </w:t>
      </w:r>
      <w:r w:rsidRPr="00A03FCA">
        <w:rPr>
          <w:i/>
          <w:iCs/>
        </w:rPr>
        <w:t>2024-25 Annual Report</w:t>
      </w:r>
      <w:r w:rsidR="004A0C60">
        <w:t>, 2025, &lt;</w:t>
      </w:r>
      <w:hyperlink r:id="rId33" w:history="1">
        <w:r w:rsidR="004A0C60" w:rsidRPr="004A0C60">
          <w:rPr>
            <w:rStyle w:val="Hyperlink"/>
          </w:rPr>
          <w:t>https://www.vcat.vic.gov.au/news/annual-report</w:t>
        </w:r>
      </w:hyperlink>
      <w:r w:rsidR="004A0C60">
        <w:t>&gt;</w:t>
      </w:r>
    </w:p>
  </w:footnote>
  <w:footnote w:id="44">
    <w:p w14:paraId="63A55C7C" w14:textId="77777777" w:rsidR="00CC4171" w:rsidRDefault="00CC4171" w:rsidP="00CC4171">
      <w:pPr>
        <w:pStyle w:val="FootnoteText"/>
      </w:pPr>
      <w:r>
        <w:rPr>
          <w:rStyle w:val="FootnoteReference"/>
        </w:rPr>
        <w:footnoteRef/>
      </w:r>
      <w:r>
        <w:t xml:space="preserve"> Rental agents or property managers start the bond claim process for approximately 93% of bond claims. In 2023-24, 19,441 claims were initiated by renters (approximately 7% of total bonds repaid that year). RTBA Annual Report, 2023-24. </w:t>
      </w:r>
    </w:p>
  </w:footnote>
  <w:footnote w:id="45">
    <w:p w14:paraId="7DDF33CD" w14:textId="382B30D6" w:rsidR="00BD0547" w:rsidRDefault="00BD0547">
      <w:pPr>
        <w:pStyle w:val="FootnoteText"/>
      </w:pPr>
      <w:r>
        <w:rPr>
          <w:rStyle w:val="FootnoteReference"/>
        </w:rPr>
        <w:footnoteRef/>
      </w:r>
      <w:r>
        <w:t xml:space="preserve"> </w:t>
      </w:r>
      <w:r w:rsidR="00EC65AF">
        <w:t xml:space="preserve">This problem is </w:t>
      </w:r>
      <w:r w:rsidR="003E323C">
        <w:t>discussed in the following report</w:t>
      </w:r>
      <w:r w:rsidR="00FF65CF">
        <w:t xml:space="preserve"> by Anika Legal. </w:t>
      </w:r>
      <w:r w:rsidR="00202913">
        <w:t xml:space="preserve">See: Anika Legal, </w:t>
      </w:r>
      <w:r w:rsidR="00202913">
        <w:rPr>
          <w:i/>
          <w:iCs/>
        </w:rPr>
        <w:t xml:space="preserve">Brorken Bonds, </w:t>
      </w:r>
      <w:r w:rsidR="00D74FF5">
        <w:t>2024. &lt;</w:t>
      </w:r>
      <w:hyperlink r:id="rId34" w:history="1">
        <w:r w:rsidR="00F85B9E" w:rsidRPr="00F85B9E">
          <w:rPr>
            <w:rStyle w:val="Hyperlink"/>
          </w:rPr>
          <w:t>https://www.anikalegal.com/blog/broken-bonds/</w:t>
        </w:r>
        <w:r w:rsidR="00EC65AF" w:rsidRPr="00EC65AF">
          <w:rPr>
            <w:rStyle w:val="Hyperlink"/>
          </w:rPr>
          <w:t>Broken Bonds | Anika Legal</w:t>
        </w:r>
      </w:hyperlink>
      <w:r w:rsidR="00D74FF5">
        <w:t>&gt;</w:t>
      </w:r>
    </w:p>
  </w:footnote>
  <w:footnote w:id="46">
    <w:p w14:paraId="26B2FF10" w14:textId="71B7AC43" w:rsidR="00601D31" w:rsidRPr="001F576E" w:rsidRDefault="00601D31" w:rsidP="00601D31">
      <w:pPr>
        <w:pStyle w:val="FootnoteText"/>
      </w:pPr>
      <w:r>
        <w:rPr>
          <w:rStyle w:val="FootnoteReference"/>
        </w:rPr>
        <w:footnoteRef/>
      </w:r>
      <w:r>
        <w:t xml:space="preserve"> Indebted, </w:t>
      </w:r>
      <w:r>
        <w:rPr>
          <w:i/>
          <w:iCs/>
        </w:rPr>
        <w:t>Navigating the Debt Collection Software Tipping Point</w:t>
      </w:r>
      <w:r w:rsidR="004B5630">
        <w:t>, n.d., &lt;</w:t>
      </w:r>
      <w:hyperlink r:id="rId35" w:history="1">
        <w:r w:rsidR="004B5630" w:rsidRPr="0096741E">
          <w:rPr>
            <w:rStyle w:val="Hyperlink"/>
          </w:rPr>
          <w:t>https://www.indebted.co/blog/guides/navigating-the-debt-collection-software-tipping-point/</w:t>
        </w:r>
      </w:hyperlink>
      <w:r w:rsidR="004B5630">
        <w:t>&gt;</w:t>
      </w:r>
    </w:p>
  </w:footnote>
  <w:footnote w:id="47">
    <w:p w14:paraId="1A58F947" w14:textId="77777777" w:rsidR="0054414E" w:rsidRDefault="0054414E" w:rsidP="0054414E">
      <w:pPr>
        <w:pStyle w:val="FootnoteText"/>
      </w:pPr>
      <w:r>
        <w:rPr>
          <w:rStyle w:val="FootnoteReference"/>
        </w:rPr>
        <w:footnoteRef/>
      </w:r>
      <w:r>
        <w:t xml:space="preserve"> Principle two: </w:t>
      </w:r>
      <w:r w:rsidRPr="005103FB">
        <w:t>The cost</w:t>
      </w:r>
      <w:r>
        <w:t xml:space="preserve"> </w:t>
      </w:r>
      <w:r w:rsidRPr="005103FB">
        <w:t>of</w:t>
      </w:r>
      <w:r>
        <w:t xml:space="preserve"> </w:t>
      </w:r>
      <w:r w:rsidRPr="005103FB">
        <w:t>service provision should be borne by those who benefit from the service</w:t>
      </w:r>
      <w:r>
        <w:t xml:space="preserve">. Principles are outlined in Section 3.1. </w:t>
      </w:r>
    </w:p>
  </w:footnote>
  <w:footnote w:id="48">
    <w:p w14:paraId="370F349F" w14:textId="77777777" w:rsidR="003245B1" w:rsidRPr="00587158" w:rsidRDefault="003245B1" w:rsidP="003245B1">
      <w:pPr>
        <w:pStyle w:val="FootnoteText"/>
      </w:pPr>
      <w:r>
        <w:rPr>
          <w:rStyle w:val="FootnoteReference"/>
        </w:rPr>
        <w:footnoteRef/>
      </w:r>
      <w:r>
        <w:t xml:space="preserve"> Commonwealth Bank of Australia, </w:t>
      </w:r>
      <w:r>
        <w:rPr>
          <w:i/>
          <w:iCs/>
        </w:rPr>
        <w:t xml:space="preserve">Personal loans &amp; car loans, </w:t>
      </w:r>
      <w:r w:rsidRPr="008C214D">
        <w:t>2025</w:t>
      </w:r>
      <w:r>
        <w:rPr>
          <w:i/>
          <w:iCs/>
        </w:rPr>
        <w:t xml:space="preserve">,  </w:t>
      </w:r>
      <w:hyperlink r:id="rId36" w:history="1">
        <w:r w:rsidRPr="00587158">
          <w:rPr>
            <w:rStyle w:val="Hyperlink"/>
            <w:i/>
            <w:iCs/>
          </w:rPr>
          <w:t>&lt;https://www.commbank.com.au/personal-loans.html&gt;</w:t>
        </w:r>
      </w:hyperlink>
    </w:p>
  </w:footnote>
  <w:footnote w:id="49">
    <w:p w14:paraId="5D629379" w14:textId="77777777" w:rsidR="003245B1" w:rsidRDefault="003245B1" w:rsidP="003245B1">
      <w:pPr>
        <w:pStyle w:val="FootnoteText"/>
      </w:pPr>
      <w:r>
        <w:rPr>
          <w:rStyle w:val="FootnoteReference"/>
        </w:rPr>
        <w:footnoteRef/>
      </w:r>
      <w:r>
        <w:t xml:space="preserve"> Latitude, </w:t>
      </w:r>
      <w:r>
        <w:rPr>
          <w:i/>
          <w:iCs/>
        </w:rPr>
        <w:t xml:space="preserve">Low Rate Mastercard, </w:t>
      </w:r>
      <w:r>
        <w:t xml:space="preserve">2025, </w:t>
      </w:r>
      <w:r>
        <w:rPr>
          <w:i/>
          <w:iCs/>
        </w:rPr>
        <w:t xml:space="preserve"> </w:t>
      </w:r>
      <w:hyperlink r:id="rId37" w:history="1">
        <w:r w:rsidRPr="007265F5">
          <w:rPr>
            <w:rStyle w:val="Hyperlink"/>
            <w:i/>
            <w:iCs/>
          </w:rPr>
          <w:t>&lt;https://www.latitudefinancial.com.au/credit-cards/low-rate/&gt;</w:t>
        </w:r>
      </w:hyperlink>
    </w:p>
  </w:footnote>
  <w:footnote w:id="50">
    <w:p w14:paraId="29C06F63" w14:textId="77777777" w:rsidR="003245B1" w:rsidRPr="00717FD8" w:rsidRDefault="003245B1" w:rsidP="003245B1">
      <w:pPr>
        <w:pStyle w:val="FootnoteText"/>
      </w:pPr>
      <w:r>
        <w:rPr>
          <w:rStyle w:val="FootnoteReference"/>
        </w:rPr>
        <w:footnoteRef/>
      </w:r>
      <w:r>
        <w:t xml:space="preserve"> City Finance, </w:t>
      </w:r>
      <w:r>
        <w:rPr>
          <w:i/>
          <w:iCs/>
        </w:rPr>
        <w:t xml:space="preserve">Our Loan Rates, </w:t>
      </w:r>
      <w:r>
        <w:t xml:space="preserve">2025, </w:t>
      </w:r>
      <w:r>
        <w:rPr>
          <w:i/>
          <w:iCs/>
        </w:rPr>
        <w:t xml:space="preserve"> </w:t>
      </w:r>
      <w:hyperlink r:id="rId38" w:history="1">
        <w:r w:rsidRPr="00717FD8">
          <w:rPr>
            <w:rStyle w:val="Hyperlink"/>
            <w:i/>
            <w:iCs/>
          </w:rPr>
          <w:t>&lt;https://cityfinance.com.au/our-costs/&gt;</w:t>
        </w:r>
      </w:hyperlink>
    </w:p>
  </w:footnote>
  <w:footnote w:id="51">
    <w:p w14:paraId="567DE80E" w14:textId="77777777" w:rsidR="003245B1" w:rsidRDefault="003245B1" w:rsidP="003245B1">
      <w:pPr>
        <w:pStyle w:val="FootnoteText"/>
      </w:pPr>
      <w:r>
        <w:rPr>
          <w:rStyle w:val="FootnoteReference"/>
        </w:rPr>
        <w:footnoteRef/>
      </w:r>
      <w:r>
        <w:t xml:space="preserve"> Fair Go Finance, </w:t>
      </w:r>
      <w:r>
        <w:rPr>
          <w:i/>
          <w:iCs/>
        </w:rPr>
        <w:t xml:space="preserve">VIC Rental Bond Loans, </w:t>
      </w:r>
      <w:r>
        <w:t xml:space="preserve">2025, </w:t>
      </w:r>
      <w:hyperlink r:id="rId39" w:history="1">
        <w:r w:rsidRPr="00540E83">
          <w:rPr>
            <w:rStyle w:val="Hyperlink"/>
          </w:rPr>
          <w:t>&lt;https://www.fairgofinance.com.au/rental-bond-loans-vic/&gt;</w:t>
        </w:r>
      </w:hyperlink>
    </w:p>
  </w:footnote>
  <w:footnote w:id="52">
    <w:p w14:paraId="1A050194" w14:textId="77777777" w:rsidR="0067450D" w:rsidRPr="006A1FC0" w:rsidRDefault="0067450D" w:rsidP="0067450D">
      <w:pPr>
        <w:pStyle w:val="FootnoteText"/>
      </w:pPr>
      <w:r>
        <w:rPr>
          <w:rStyle w:val="FootnoteReference"/>
        </w:rPr>
        <w:footnoteRef/>
      </w:r>
      <w:r>
        <w:t xml:space="preserve"> Essential Services Commission, </w:t>
      </w:r>
      <w:r>
        <w:rPr>
          <w:i/>
          <w:iCs/>
        </w:rPr>
        <w:t xml:space="preserve">Local Councils outcomes report 2025, </w:t>
      </w:r>
      <w:r>
        <w:t>2025, &lt;</w:t>
      </w:r>
      <w:hyperlink r:id="rId40" w:anchor=":~:text=The%20proportion%20of%20unpaid%20rates,and%20proactive%20practices%20in%20place." w:history="1">
        <w:r w:rsidRPr="00DC4AEF">
          <w:rPr>
            <w:rStyle w:val="Hyperlink"/>
          </w:rPr>
          <w:t>Local Council outcomes report 2025 | Essential Services Commission</w:t>
        </w:r>
      </w:hyperlink>
      <w:r>
        <w:t>&gt;</w:t>
      </w:r>
    </w:p>
  </w:footnote>
  <w:footnote w:id="53">
    <w:p w14:paraId="353E320A" w14:textId="6C9EB264" w:rsidR="00877305" w:rsidRDefault="00877305">
      <w:pPr>
        <w:pStyle w:val="FootnoteText"/>
      </w:pPr>
      <w:r>
        <w:rPr>
          <w:rStyle w:val="FootnoteReference"/>
        </w:rPr>
        <w:footnoteRef/>
      </w:r>
      <w:r>
        <w:t xml:space="preserve"> </w:t>
      </w:r>
      <w:r w:rsidR="00996F7F">
        <w:t xml:space="preserve">For assessment of the application fee options, the criteria of effectiveness and equity have been combined. This is because </w:t>
      </w:r>
      <w:r w:rsidR="00D572AE">
        <w:t>both</w:t>
      </w:r>
      <w:r w:rsidR="00996F7F">
        <w:t xml:space="preserve"> criteria are assessing how well </w:t>
      </w:r>
      <w:r w:rsidR="00F87817">
        <w:t>each</w:t>
      </w:r>
      <w:r w:rsidR="00996F7F">
        <w:t xml:space="preserve"> </w:t>
      </w:r>
      <w:r w:rsidR="009739F6">
        <w:t>application fee option</w:t>
      </w:r>
      <w:r w:rsidR="00F87817">
        <w:t xml:space="preserve"> minimises</w:t>
      </w:r>
      <w:r w:rsidR="00996F7F">
        <w:t xml:space="preserve"> barriers to </w:t>
      </w:r>
      <w:r w:rsidR="00F87817">
        <w:t>PRBS</w:t>
      </w:r>
      <w:r w:rsidR="00996F7F">
        <w:t xml:space="preserve"> participation for Victorian renters. </w:t>
      </w:r>
    </w:p>
  </w:footnote>
  <w:footnote w:id="54">
    <w:p w14:paraId="1F76E065" w14:textId="77777777" w:rsidR="00D82C04" w:rsidRDefault="00D82C04" w:rsidP="00D82C04">
      <w:pPr>
        <w:pStyle w:val="FootnoteText"/>
      </w:pPr>
      <w:r>
        <w:rPr>
          <w:rStyle w:val="FootnoteReference"/>
        </w:rPr>
        <w:footnoteRef/>
      </w:r>
      <w:r>
        <w:t xml:space="preserve"> Department of Treasury and Finance, </w:t>
      </w:r>
      <w:r>
        <w:rPr>
          <w:i/>
          <w:iCs/>
        </w:rPr>
        <w:t>Guidance on Discount Rates</w:t>
      </w:r>
    </w:p>
  </w:footnote>
  <w:footnote w:id="55">
    <w:p w14:paraId="459A8DF3" w14:textId="4A93D970" w:rsidR="00692B8D" w:rsidRDefault="00692B8D">
      <w:pPr>
        <w:pStyle w:val="FootnoteText"/>
      </w:pPr>
      <w:r>
        <w:rPr>
          <w:rStyle w:val="FootnoteReference"/>
        </w:rPr>
        <w:footnoteRef/>
      </w:r>
      <w:r>
        <w:t xml:space="preserve"> Details on modelling steps can be observed in Appendix B.</w:t>
      </w:r>
    </w:p>
  </w:footnote>
  <w:footnote w:id="56">
    <w:p w14:paraId="0B790713" w14:textId="30E6F8C6" w:rsidR="00A12ECF" w:rsidRDefault="00A12ECF">
      <w:pPr>
        <w:pStyle w:val="FootnoteText"/>
      </w:pPr>
      <w:r>
        <w:rPr>
          <w:rStyle w:val="FootnoteReference"/>
        </w:rPr>
        <w:footnoteRef/>
      </w:r>
      <w:r>
        <w:t xml:space="preserve"> Applying a participation rate of 6</w:t>
      </w:r>
      <w:r w:rsidR="003870C2">
        <w:t>3</w:t>
      </w:r>
      <w:r>
        <w:t>% to the total value of bonds repaid in Victoria</w:t>
      </w:r>
    </w:p>
  </w:footnote>
  <w:footnote w:id="57">
    <w:p w14:paraId="08A3303C" w14:textId="6BFD5330" w:rsidR="00824CAE" w:rsidRDefault="00824CAE">
      <w:pPr>
        <w:pStyle w:val="FootnoteText"/>
      </w:pPr>
      <w:r>
        <w:rPr>
          <w:rStyle w:val="FootnoteReference"/>
        </w:rPr>
        <w:footnoteRef/>
      </w:r>
      <w:r>
        <w:t xml:space="preserve"> Applying the claim rate of 18% to the total value of bonds transferred between renter and </w:t>
      </w:r>
      <w:r w:rsidR="00F31DC1">
        <w:t>the</w:t>
      </w:r>
      <w:r>
        <w:t xml:space="preserve"> Government</w:t>
      </w:r>
    </w:p>
  </w:footnote>
  <w:footnote w:id="58">
    <w:p w14:paraId="7DCACEA2" w14:textId="27E2850B" w:rsidR="00C721AB" w:rsidRDefault="00C721AB">
      <w:pPr>
        <w:pStyle w:val="FootnoteText"/>
      </w:pPr>
      <w:r>
        <w:rPr>
          <w:rStyle w:val="FootnoteReference"/>
        </w:rPr>
        <w:footnoteRef/>
      </w:r>
      <w:r>
        <w:t xml:space="preserve"> Initial estimate of the outstanding recovery debts from the 1</w:t>
      </w:r>
      <w:r w:rsidRPr="008E7AE6">
        <w:rPr>
          <w:vertAlign w:val="superscript"/>
        </w:rPr>
        <w:t>st</w:t>
      </w:r>
      <w:r>
        <w:t xml:space="preserve"> year of scheme operation. </w:t>
      </w:r>
      <w:r w:rsidR="00D46EF6">
        <w:t>Actual outcomes may deviate from estimates and this will be monitored</w:t>
      </w:r>
      <w:r w:rsidR="000B6ED8">
        <w:t xml:space="preserve"> post launch of the scheme</w:t>
      </w:r>
      <w:r w:rsidR="00D46EF6">
        <w:t>.</w:t>
      </w:r>
    </w:p>
  </w:footnote>
  <w:footnote w:id="59">
    <w:p w14:paraId="73450DD2" w14:textId="7297191B" w:rsidR="00CE25DC" w:rsidRPr="007708D2" w:rsidRDefault="00CE25DC">
      <w:pPr>
        <w:pStyle w:val="FootnoteText"/>
      </w:pPr>
      <w:r>
        <w:rPr>
          <w:rStyle w:val="FootnoteReference"/>
        </w:rPr>
        <w:footnoteRef/>
      </w:r>
      <w:r>
        <w:t xml:space="preserve"> </w:t>
      </w:r>
      <w:r w:rsidR="005C271C">
        <w:t>Fair Capital</w:t>
      </w:r>
      <w:r w:rsidR="00E47890">
        <w:t xml:space="preserve">, </w:t>
      </w:r>
      <w:r w:rsidR="007708D2">
        <w:rPr>
          <w:i/>
          <w:iCs/>
        </w:rPr>
        <w:t>Debt Collect</w:t>
      </w:r>
      <w:r w:rsidR="00A97E72">
        <w:rPr>
          <w:i/>
          <w:iCs/>
        </w:rPr>
        <w:t xml:space="preserve">ion: among the most stressfule jobs – Statistical analysis, </w:t>
      </w:r>
      <w:r w:rsidR="007708D2">
        <w:t>20</w:t>
      </w:r>
      <w:r w:rsidR="00A97E72">
        <w:t>23</w:t>
      </w:r>
      <w:r w:rsidR="007708D2">
        <w:t xml:space="preserve">, </w:t>
      </w:r>
      <w:hyperlink r:id="rId41" w:history="1">
        <w:r w:rsidR="00A97E72">
          <w:rPr>
            <w:rStyle w:val="Hyperlink"/>
          </w:rPr>
          <w:t>&lt;&lt;https://www.thefaircapital.com/post/reducing-stress-a-benefits-of-outsourcing-debt-collection&gt;&gt;</w:t>
        </w:r>
      </w:hyperlink>
    </w:p>
  </w:footnote>
  <w:footnote w:id="60">
    <w:p w14:paraId="62272BC3" w14:textId="233B2A48" w:rsidR="00C72083" w:rsidRDefault="00C72083">
      <w:pPr>
        <w:pStyle w:val="FootnoteText"/>
      </w:pPr>
      <w:r>
        <w:rPr>
          <w:rStyle w:val="FootnoteReference"/>
        </w:rPr>
        <w:footnoteRef/>
      </w:r>
      <w:r>
        <w:t xml:space="preserve"> </w:t>
      </w:r>
      <w:r w:rsidR="006A2241">
        <w:t>Tax Ombudsman</w:t>
      </w:r>
      <w:r w:rsidR="003E5DAE">
        <w:t xml:space="preserve">, </w:t>
      </w:r>
      <w:r w:rsidR="00B40AE3">
        <w:rPr>
          <w:i/>
          <w:iCs/>
        </w:rPr>
        <w:t>An Investigtation and Exploration of Undisputed Tax Debts in Australia</w:t>
      </w:r>
      <w:r w:rsidR="003E5DAE">
        <w:rPr>
          <w:i/>
          <w:iCs/>
        </w:rPr>
        <w:t xml:space="preserve">, </w:t>
      </w:r>
      <w:r w:rsidR="003E5DAE">
        <w:t>202</w:t>
      </w:r>
      <w:r w:rsidR="00B40AE3">
        <w:t>3</w:t>
      </w:r>
      <w:r w:rsidR="003E5DAE">
        <w:t>, &lt;&lt;</w:t>
      </w:r>
      <w:hyperlink r:id="rId42" w:history="1">
        <w:r w:rsidR="006A2241" w:rsidRPr="006A2241">
          <w:rPr>
            <w:rStyle w:val="Hyperlink"/>
          </w:rPr>
          <w:t>https://taxombudsman.gov.au/wp-content/uploads/2021/07/Final-Report-Investigation-and-Exploration-of-Undisputed-Tax-Debts-in-Australia_1.pdf</w:t>
        </w:r>
      </w:hyperlink>
      <w:r w:rsidR="003E5DAE" w:rsidRPr="005F534B">
        <w:rPr>
          <w:rFonts w:ascii="Cambria" w:eastAsia="Times New Roman" w:hAnsi="Cambria" w:cs="Times New Roman"/>
          <w:sz w:val="20"/>
          <w:szCs w:val="20"/>
        </w:rPr>
        <w:t xml:space="preserve"> </w:t>
      </w:r>
      <w:r w:rsidR="003E5DAE">
        <w:t>&gt;&gt;</w:t>
      </w:r>
      <w:r w:rsidR="006A2241">
        <w:t xml:space="preserve">, </w:t>
      </w:r>
      <w:r w:rsidR="006A2241" w:rsidRPr="00BE5ED9">
        <w:rPr>
          <w:i/>
          <w:iCs/>
        </w:rPr>
        <w:t>Table 40</w:t>
      </w:r>
    </w:p>
  </w:footnote>
  <w:footnote w:id="61">
    <w:p w14:paraId="331B2056" w14:textId="35C796A1" w:rsidR="00933F22" w:rsidRPr="00933F22" w:rsidRDefault="00933F22">
      <w:pPr>
        <w:pStyle w:val="FootnoteText"/>
      </w:pPr>
      <w:r>
        <w:rPr>
          <w:rStyle w:val="FootnoteReference"/>
        </w:rPr>
        <w:footnoteRef/>
      </w:r>
      <w:r>
        <w:t xml:space="preserve"> JG Wentwoth, </w:t>
      </w:r>
      <w:r>
        <w:rPr>
          <w:i/>
          <w:iCs/>
        </w:rPr>
        <w:t xml:space="preserve">How much do debt collectors pay for debt?, </w:t>
      </w:r>
      <w:r>
        <w:t>2024, &lt;&lt;</w:t>
      </w:r>
      <w:hyperlink r:id="rId43" w:history="1">
        <w:r w:rsidRPr="00933F22">
          <w:rPr>
            <w:rStyle w:val="Hyperlink"/>
          </w:rPr>
          <w:t>https://www.jgwentworth.com/resources/how-much-do-debt-collectors-pay-for-debt</w:t>
        </w:r>
      </w:hyperlink>
      <w:r>
        <w:t>&gt;&gt;</w:t>
      </w:r>
    </w:p>
  </w:footnote>
  <w:footnote w:id="62">
    <w:p w14:paraId="77C54673" w14:textId="681E169D" w:rsidR="00CB472E" w:rsidRDefault="00CB472E" w:rsidP="00CB472E">
      <w:pPr>
        <w:pStyle w:val="FootnoteText"/>
      </w:pPr>
      <w:r>
        <w:rPr>
          <w:rStyle w:val="FootnoteReference"/>
        </w:rPr>
        <w:footnoteRef/>
      </w:r>
      <w:r>
        <w:t xml:space="preserve">Department of Prime Minister and Cabinet, </w:t>
      </w:r>
      <w:r>
        <w:rPr>
          <w:i/>
          <w:iCs/>
        </w:rPr>
        <w:t xml:space="preserve">Small Business, </w:t>
      </w:r>
      <w:r w:rsidR="004F27FE">
        <w:t>2023,</w:t>
      </w:r>
      <w:r>
        <w:t xml:space="preserve"> </w:t>
      </w:r>
      <w:r w:rsidR="00B5437A">
        <w:t>&lt;</w:t>
      </w:r>
      <w:hyperlink r:id="rId44" w:history="1">
        <w:r w:rsidR="00B5437A" w:rsidRPr="006D5FCA">
          <w:rPr>
            <w:rStyle w:val="Hyperlink"/>
          </w:rPr>
          <w:t>https://oia.pmc.gov.au/sites/default/files/2023-12/small-business.pdf</w:t>
        </w:r>
      </w:hyperlink>
      <w:r>
        <w:t xml:space="preserve">&gt; </w:t>
      </w:r>
    </w:p>
  </w:footnote>
  <w:footnote w:id="63">
    <w:p w14:paraId="1AB8ED4A" w14:textId="77777777" w:rsidR="00126329" w:rsidRDefault="00126329" w:rsidP="00126329">
      <w:pPr>
        <w:pStyle w:val="FootnoteText"/>
      </w:pPr>
      <w:r>
        <w:rPr>
          <w:rStyle w:val="FootnoteReference"/>
        </w:rPr>
        <w:footnoteRef/>
      </w:r>
      <w:r>
        <w:t xml:space="preserve"> Jacaranda Finance, </w:t>
      </w:r>
      <w:r>
        <w:rPr>
          <w:i/>
          <w:iCs/>
        </w:rPr>
        <w:t>Australian Household Debt Statistics 2025,</w:t>
      </w:r>
      <w:r>
        <w:t xml:space="preserve"> 2025, </w:t>
      </w:r>
      <w:hyperlink r:id="rId45" w:history="1">
        <w:r w:rsidRPr="00742325">
          <w:rPr>
            <w:rStyle w:val="Hyperlink"/>
          </w:rPr>
          <w:t>&lt;https://www.jacarandafinance.com.au/general/average-australian-household-debt-statistics/&gt;</w:t>
        </w:r>
      </w:hyperlink>
    </w:p>
  </w:footnote>
  <w:footnote w:id="64">
    <w:p w14:paraId="4373F065" w14:textId="77777777" w:rsidR="00126329" w:rsidRDefault="00126329" w:rsidP="00126329">
      <w:pPr>
        <w:pStyle w:val="FootnoteText"/>
      </w:pPr>
      <w:r>
        <w:rPr>
          <w:rStyle w:val="FootnoteReference"/>
        </w:rPr>
        <w:footnoteRef/>
      </w:r>
      <w:r>
        <w:t xml:space="preserve"> Australian Bureau of Statistics, </w:t>
      </w:r>
      <w:r>
        <w:rPr>
          <w:i/>
          <w:iCs/>
        </w:rPr>
        <w:t xml:space="preserve">National, State and Territory Population, </w:t>
      </w:r>
      <w:r>
        <w:t xml:space="preserve">2025, </w:t>
      </w:r>
      <w:hyperlink r:id="rId46" w:anchor="states-and-territories" w:history="1">
        <w:r w:rsidRPr="00E76733">
          <w:rPr>
            <w:rStyle w:val="Hyperlink"/>
          </w:rPr>
          <w:t>&lt;https://www.abs.gov.au/statistics/people/population/national-state-and-territory-population/latest-release#states-and-territories&gt;</w:t>
        </w:r>
      </w:hyperlink>
    </w:p>
  </w:footnote>
  <w:footnote w:id="65">
    <w:p w14:paraId="5024B46E" w14:textId="77777777" w:rsidR="0090466B" w:rsidRPr="00587158" w:rsidRDefault="0090466B" w:rsidP="0090466B">
      <w:pPr>
        <w:pStyle w:val="FootnoteText"/>
      </w:pPr>
      <w:r>
        <w:rPr>
          <w:rStyle w:val="FootnoteReference"/>
        </w:rPr>
        <w:footnoteRef/>
      </w:r>
      <w:r>
        <w:t xml:space="preserve"> Commonwealth Bank of Australia, </w:t>
      </w:r>
      <w:r>
        <w:rPr>
          <w:i/>
          <w:iCs/>
        </w:rPr>
        <w:t xml:space="preserve">Personal loans &amp; car loans, </w:t>
      </w:r>
      <w:r w:rsidRPr="008C214D">
        <w:t>2025</w:t>
      </w:r>
      <w:r>
        <w:rPr>
          <w:i/>
          <w:iCs/>
        </w:rPr>
        <w:t xml:space="preserve">,  </w:t>
      </w:r>
      <w:hyperlink r:id="rId47" w:history="1">
        <w:r w:rsidRPr="00587158">
          <w:rPr>
            <w:rStyle w:val="Hyperlink"/>
            <w:i/>
            <w:iCs/>
          </w:rPr>
          <w:t>&lt;https://www.commbank.com.au/personal-loans.html&gt;</w:t>
        </w:r>
      </w:hyperlink>
    </w:p>
  </w:footnote>
  <w:footnote w:id="66">
    <w:p w14:paraId="2B2AB707" w14:textId="77777777" w:rsidR="0090466B" w:rsidRPr="007265F5" w:rsidRDefault="0090466B" w:rsidP="0090466B">
      <w:pPr>
        <w:pStyle w:val="FootnoteText"/>
      </w:pPr>
      <w:r>
        <w:rPr>
          <w:rStyle w:val="FootnoteReference"/>
        </w:rPr>
        <w:footnoteRef/>
      </w:r>
      <w:r>
        <w:t xml:space="preserve"> Latitude, </w:t>
      </w:r>
      <w:r>
        <w:rPr>
          <w:i/>
          <w:iCs/>
        </w:rPr>
        <w:t xml:space="preserve">Low Rate Mastercard, </w:t>
      </w:r>
      <w:r>
        <w:t xml:space="preserve">2025, </w:t>
      </w:r>
      <w:r>
        <w:rPr>
          <w:i/>
          <w:iCs/>
        </w:rPr>
        <w:t xml:space="preserve"> </w:t>
      </w:r>
      <w:hyperlink r:id="rId48" w:history="1">
        <w:r w:rsidRPr="007265F5">
          <w:rPr>
            <w:rStyle w:val="Hyperlink"/>
            <w:i/>
            <w:iCs/>
          </w:rPr>
          <w:t>&lt;https://www.latitudefinancial.com.au/credit-cards/low-rate/&gt;</w:t>
        </w:r>
      </w:hyperlink>
    </w:p>
  </w:footnote>
  <w:footnote w:id="67">
    <w:p w14:paraId="20BC63EF" w14:textId="77777777" w:rsidR="0090466B" w:rsidRPr="00717FD8" w:rsidRDefault="0090466B" w:rsidP="0090466B">
      <w:pPr>
        <w:pStyle w:val="FootnoteText"/>
      </w:pPr>
      <w:r>
        <w:rPr>
          <w:rStyle w:val="FootnoteReference"/>
        </w:rPr>
        <w:footnoteRef/>
      </w:r>
      <w:r>
        <w:t xml:space="preserve"> City Finance, </w:t>
      </w:r>
      <w:r>
        <w:rPr>
          <w:i/>
          <w:iCs/>
        </w:rPr>
        <w:t xml:space="preserve">Our Loan Rates, </w:t>
      </w:r>
      <w:r>
        <w:t xml:space="preserve">2025, </w:t>
      </w:r>
      <w:r>
        <w:rPr>
          <w:i/>
          <w:iCs/>
        </w:rPr>
        <w:t xml:space="preserve"> </w:t>
      </w:r>
      <w:hyperlink r:id="rId49" w:history="1">
        <w:r w:rsidRPr="00717FD8">
          <w:rPr>
            <w:rStyle w:val="Hyperlink"/>
            <w:i/>
            <w:iCs/>
          </w:rPr>
          <w:t>&lt;https://cityfinance.com.au/our-costs/&gt;</w:t>
        </w:r>
      </w:hyperlink>
    </w:p>
  </w:footnote>
  <w:footnote w:id="68">
    <w:p w14:paraId="765279E0" w14:textId="77777777" w:rsidR="0090466B" w:rsidRPr="00540E83" w:rsidRDefault="0090466B" w:rsidP="0090466B">
      <w:pPr>
        <w:pStyle w:val="FootnoteText"/>
      </w:pPr>
      <w:r>
        <w:rPr>
          <w:rStyle w:val="FootnoteReference"/>
        </w:rPr>
        <w:footnoteRef/>
      </w:r>
      <w:r>
        <w:t xml:space="preserve"> Fair Go Finance, </w:t>
      </w:r>
      <w:r>
        <w:rPr>
          <w:i/>
          <w:iCs/>
        </w:rPr>
        <w:t xml:space="preserve">VIC Rental Bond Loans, </w:t>
      </w:r>
      <w:r>
        <w:t xml:space="preserve">2025, </w:t>
      </w:r>
      <w:hyperlink r:id="rId50" w:history="1">
        <w:r w:rsidRPr="00540E83">
          <w:rPr>
            <w:rStyle w:val="Hyperlink"/>
          </w:rPr>
          <w:t>&lt;https://www.fairgofinance.com.au/rental-bond-loans-vic/&gt;</w:t>
        </w:r>
      </w:hyperlink>
    </w:p>
  </w:footnote>
  <w:footnote w:id="69">
    <w:p w14:paraId="0489E81C" w14:textId="59B957FE" w:rsidR="00FF6F04" w:rsidRPr="003E1242" w:rsidRDefault="00FF6F04">
      <w:pPr>
        <w:pStyle w:val="FootnoteText"/>
      </w:pPr>
      <w:r>
        <w:rPr>
          <w:rStyle w:val="FootnoteReference"/>
        </w:rPr>
        <w:footnoteRef/>
      </w:r>
      <w:r>
        <w:t xml:space="preserve"> Money</w:t>
      </w:r>
      <w:r w:rsidR="003E1242">
        <w:t xml:space="preserve">.com.au, </w:t>
      </w:r>
      <w:r w:rsidR="003E1242">
        <w:rPr>
          <w:i/>
          <w:iCs/>
        </w:rPr>
        <w:t xml:space="preserve">Credit Card Debt Statistics 2026, </w:t>
      </w:r>
      <w:r w:rsidR="003E1242">
        <w:t xml:space="preserve">2026, </w:t>
      </w:r>
      <w:hyperlink r:id="rId51" w:anchor=":~:text=How%20many%20credit%20cards%20do,free%20up%20their%20borrowing%20capacity." w:history="1">
        <w:r w:rsidR="003E1242" w:rsidRPr="003E1242">
          <w:rPr>
            <w:rStyle w:val="Hyperlink"/>
          </w:rPr>
          <w:t>&lt;https://www.money.com.au/credit-cards/research-insights/credit-card-statistics#:~:text=How%20many%20credit%20cards%20do,free%20up%20their%20borrowing%20capacity.&gt;</w:t>
        </w:r>
      </w:hyperlink>
    </w:p>
  </w:footnote>
  <w:footnote w:id="70">
    <w:p w14:paraId="551A6D1A" w14:textId="77777777" w:rsidR="0090466B" w:rsidRPr="009C0BD5" w:rsidRDefault="0090466B" w:rsidP="0090466B">
      <w:pPr>
        <w:pStyle w:val="FootnoteText"/>
      </w:pPr>
      <w:r>
        <w:rPr>
          <w:rStyle w:val="FootnoteReference"/>
        </w:rPr>
        <w:footnoteRef/>
      </w:r>
      <w:r>
        <w:t xml:space="preserve"> Roy Morgan, </w:t>
      </w:r>
      <w:r>
        <w:rPr>
          <w:i/>
          <w:iCs/>
        </w:rPr>
        <w:t xml:space="preserve">Australians are increasingly approaching other companies before renewing their household insurance, </w:t>
      </w:r>
      <w:r>
        <w:t xml:space="preserve">2023, </w:t>
      </w:r>
      <w:hyperlink r:id="rId52" w:history="1">
        <w:r w:rsidRPr="005D5C2E">
          <w:rPr>
            <w:rStyle w:val="Hyperlink"/>
          </w:rPr>
          <w:t>&lt;https://www.roymorgan.com/findings/9337-general-insurance-policy-switching-october-2023&gt;</w:t>
        </w:r>
      </w:hyperlink>
    </w:p>
  </w:footnote>
  <w:footnote w:id="71">
    <w:p w14:paraId="71D8597B" w14:textId="77777777" w:rsidR="0090466B" w:rsidRPr="00522449" w:rsidRDefault="0090466B" w:rsidP="0090466B">
      <w:pPr>
        <w:pStyle w:val="FootnoteText"/>
        <w:rPr>
          <w:i/>
          <w:iCs/>
          <w:color w:val="00B0F0"/>
        </w:rPr>
      </w:pPr>
      <w:r>
        <w:rPr>
          <w:rStyle w:val="FootnoteReference"/>
        </w:rPr>
        <w:footnoteRef/>
      </w:r>
      <w:r>
        <w:t xml:space="preserve"> The University of Melbourne, </w:t>
      </w:r>
      <w:r>
        <w:rPr>
          <w:i/>
          <w:iCs/>
        </w:rPr>
        <w:t xml:space="preserve">Is rent-for-life becoming the new norm for families, </w:t>
      </w:r>
      <w:r>
        <w:t>2018, &lt;&lt;</w:t>
      </w:r>
      <w:r w:rsidRPr="005F534B">
        <w:rPr>
          <w:rFonts w:ascii="Cambria" w:eastAsia="Times New Roman" w:hAnsi="Cambria" w:cs="Times New Roman"/>
          <w:sz w:val="20"/>
          <w:szCs w:val="20"/>
        </w:rPr>
        <w:t xml:space="preserve"> </w:t>
      </w:r>
      <w:hyperlink r:id="rId53" w:history="1">
        <w:r w:rsidRPr="00D32F14">
          <w:rPr>
            <w:rStyle w:val="Hyperlink"/>
          </w:rPr>
          <w:t>https://pursuit.unimelb.edu.au/articles/is-</w:t>
        </w:r>
        <w:r w:rsidRPr="005F534B">
          <w:rPr>
            <w:rStyle w:val="Hyperlink"/>
          </w:rPr>
          <w:t>Is rent-for-life</w:t>
        </w:r>
        <w:r w:rsidRPr="00D32F14">
          <w:rPr>
            <w:rStyle w:val="Hyperlink"/>
          </w:rPr>
          <w:t>-</w:t>
        </w:r>
        <w:r w:rsidRPr="005F534B">
          <w:rPr>
            <w:rStyle w:val="Hyperlink"/>
          </w:rPr>
          <w:t xml:space="preserve"> becoming</w:t>
        </w:r>
        <w:r w:rsidRPr="00D32F14">
          <w:rPr>
            <w:rStyle w:val="Hyperlink"/>
          </w:rPr>
          <w:t>-</w:t>
        </w:r>
        <w:r w:rsidRPr="005F534B">
          <w:rPr>
            <w:rStyle w:val="Hyperlink"/>
          </w:rPr>
          <w:t xml:space="preserve"> the</w:t>
        </w:r>
        <w:r w:rsidRPr="00D32F14">
          <w:rPr>
            <w:rStyle w:val="Hyperlink"/>
          </w:rPr>
          <w:t>-</w:t>
        </w:r>
        <w:r w:rsidRPr="005F534B">
          <w:rPr>
            <w:rStyle w:val="Hyperlink"/>
          </w:rPr>
          <w:t xml:space="preserve"> new</w:t>
        </w:r>
        <w:r w:rsidRPr="00D32F14">
          <w:rPr>
            <w:rStyle w:val="Hyperlink"/>
          </w:rPr>
          <w:t>-</w:t>
        </w:r>
        <w:r w:rsidRPr="005F534B">
          <w:rPr>
            <w:rStyle w:val="Hyperlink"/>
          </w:rPr>
          <w:t xml:space="preserve"> norm</w:t>
        </w:r>
        <w:r w:rsidRPr="00D32F14">
          <w:rPr>
            <w:rStyle w:val="Hyperlink"/>
          </w:rPr>
          <w:t>-</w:t>
        </w:r>
        <w:r w:rsidRPr="005F534B">
          <w:rPr>
            <w:rStyle w:val="Hyperlink"/>
          </w:rPr>
          <w:t xml:space="preserve"> for</w:t>
        </w:r>
        <w:r w:rsidRPr="00D32F14">
          <w:rPr>
            <w:rStyle w:val="Hyperlink"/>
          </w:rPr>
          <w:t>-</w:t>
        </w:r>
        <w:r w:rsidRPr="005F534B">
          <w:rPr>
            <w:rStyle w:val="Hyperlink"/>
          </w:rPr>
          <w:t xml:space="preserve"> families? | Pursuit by the University of Melbourne</w:t>
        </w:r>
      </w:hyperlink>
      <w:r>
        <w:t>&gt;&gt;</w:t>
      </w:r>
    </w:p>
  </w:footnote>
  <w:footnote w:id="72">
    <w:p w14:paraId="13EDB820" w14:textId="77777777" w:rsidR="0090466B" w:rsidRPr="00882D1A" w:rsidRDefault="0090466B" w:rsidP="0090466B">
      <w:pPr>
        <w:pStyle w:val="FootnoteText"/>
        <w:rPr>
          <w:i/>
          <w:iCs/>
        </w:rPr>
      </w:pPr>
      <w:r>
        <w:rPr>
          <w:rStyle w:val="FootnoteReference"/>
        </w:rPr>
        <w:footnoteRef/>
      </w:r>
      <w:r>
        <w:t xml:space="preserve"> Residential Tenancies Bond Authority, </w:t>
      </w:r>
      <w:r>
        <w:rPr>
          <w:i/>
          <w:iCs/>
        </w:rPr>
        <w:t>RTBA data briefing with follow-up 130824 (FY24 data)</w:t>
      </w:r>
    </w:p>
  </w:footnote>
  <w:footnote w:id="73">
    <w:p w14:paraId="21BD6198" w14:textId="77777777" w:rsidR="0090466B" w:rsidRDefault="0090466B" w:rsidP="0090466B">
      <w:pPr>
        <w:pStyle w:val="FootnoteText"/>
      </w:pPr>
      <w:r>
        <w:rPr>
          <w:rStyle w:val="FootnoteReference"/>
        </w:rPr>
        <w:footnoteRef/>
      </w:r>
      <w:r>
        <w:t xml:space="preserve"> Residential Tenancies Bond Authority, </w:t>
      </w:r>
      <w:r>
        <w:rPr>
          <w:i/>
          <w:iCs/>
        </w:rPr>
        <w:t>RTBA data briefing with follow-up 130824 (FY24 data)</w:t>
      </w:r>
    </w:p>
  </w:footnote>
  <w:footnote w:id="74">
    <w:p w14:paraId="7955C002" w14:textId="77777777" w:rsidR="0090466B" w:rsidRDefault="0090466B" w:rsidP="0090466B">
      <w:pPr>
        <w:pStyle w:val="FootnoteText"/>
      </w:pPr>
      <w:r>
        <w:rPr>
          <w:rStyle w:val="FootnoteReference"/>
        </w:rPr>
        <w:footnoteRef/>
      </w:r>
      <w:r>
        <w:t xml:space="preserve"> Residential Tenancies Bond Authority, </w:t>
      </w:r>
      <w:r w:rsidRPr="00E71F58">
        <w:rPr>
          <w:i/>
          <w:iCs/>
        </w:rPr>
        <w:t>Annual Report 2023-24</w:t>
      </w:r>
      <w:r>
        <w:t>, &lt;</w:t>
      </w:r>
      <w:hyperlink r:id="rId54" w:history="1">
        <w:r w:rsidRPr="00F97EB2">
          <w:rPr>
            <w:rStyle w:val="Hyperlink"/>
          </w:rPr>
          <w:t>https://www.consumer.vic.gov.au/library/publications/about-us/rtba/202324-residential-tenancies-bond-authority.pdf</w:t>
        </w:r>
      </w:hyperlink>
      <w:r>
        <w:t>&gt;</w:t>
      </w:r>
    </w:p>
  </w:footnote>
  <w:footnote w:id="75">
    <w:p w14:paraId="7CBD0C87" w14:textId="3EDFB064" w:rsidR="00316F43" w:rsidRPr="006A1FC0" w:rsidRDefault="00316F43" w:rsidP="00316F43">
      <w:pPr>
        <w:pStyle w:val="FootnoteText"/>
      </w:pPr>
      <w:r>
        <w:rPr>
          <w:rStyle w:val="FootnoteReference"/>
        </w:rPr>
        <w:footnoteRef/>
      </w:r>
      <w:r>
        <w:t xml:space="preserve"> </w:t>
      </w:r>
      <w:r w:rsidR="00912A37" w:rsidRPr="00912A37">
        <w:t xml:space="preserve"> </w:t>
      </w:r>
      <w:r w:rsidR="00912A37">
        <w:t xml:space="preserve">Essential Services Commission, </w:t>
      </w:r>
      <w:r w:rsidR="00912A37">
        <w:rPr>
          <w:i/>
          <w:iCs/>
        </w:rPr>
        <w:t xml:space="preserve">Local Councils outcomes report 2025, </w:t>
      </w:r>
      <w:r w:rsidR="00912A37">
        <w:t>2025, &lt;</w:t>
      </w:r>
      <w:hyperlink r:id="rId55" w:anchor=":~:text=The%20proportion%20of%20unpaid%20rates,and%20proactive%20practices%20in%20place." w:history="1">
        <w:r w:rsidR="00912A37" w:rsidRPr="00DC4AEF">
          <w:rPr>
            <w:rStyle w:val="Hyperlink"/>
          </w:rPr>
          <w:t>Local Council outcomes report 2025 | Essential Services Commission</w:t>
        </w:r>
      </w:hyperlink>
      <w:r w:rsidR="00912A37">
        <w:t>&gt;</w:t>
      </w:r>
    </w:p>
  </w:footnote>
  <w:footnote w:id="76">
    <w:p w14:paraId="6FE89117" w14:textId="77777777" w:rsidR="006570BD" w:rsidRPr="0015223A" w:rsidRDefault="006570BD" w:rsidP="006570BD">
      <w:pPr>
        <w:pStyle w:val="FootnoteText"/>
      </w:pPr>
      <w:r>
        <w:rPr>
          <w:rStyle w:val="FootnoteReference"/>
        </w:rPr>
        <w:footnoteRef/>
      </w:r>
      <w:r>
        <w:t xml:space="preserve"> Residential Tenancies Bond Authority, </w:t>
      </w:r>
      <w:r>
        <w:rPr>
          <w:i/>
          <w:iCs/>
        </w:rPr>
        <w:t>RTBA data briefing with follow-up 130824 (FY24 data)</w:t>
      </w:r>
    </w:p>
  </w:footnote>
  <w:footnote w:id="77">
    <w:p w14:paraId="499D73DD" w14:textId="14964C85" w:rsidR="0015223A" w:rsidRPr="0015223A" w:rsidRDefault="0015223A">
      <w:pPr>
        <w:pStyle w:val="FootnoteText"/>
      </w:pPr>
      <w:r>
        <w:rPr>
          <w:rStyle w:val="FootnoteReference"/>
        </w:rPr>
        <w:footnoteRef/>
      </w:r>
      <w:r w:rsidR="005529EF">
        <w:t xml:space="preserve"> </w:t>
      </w:r>
      <w:r w:rsidR="00BE5D69">
        <w:t>Residential Tenancies Bond Authority</w:t>
      </w:r>
      <w:r w:rsidR="00882089">
        <w:t xml:space="preserve">, </w:t>
      </w:r>
      <w:r w:rsidR="00882089">
        <w:rPr>
          <w:i/>
          <w:iCs/>
        </w:rPr>
        <w:t xml:space="preserve">Annual Reports, </w:t>
      </w:r>
      <w:r w:rsidR="000055B1" w:rsidRPr="001F576E">
        <w:t>updated</w:t>
      </w:r>
      <w:r w:rsidR="000055B1">
        <w:rPr>
          <w:i/>
          <w:iCs/>
        </w:rPr>
        <w:t xml:space="preserve"> </w:t>
      </w:r>
      <w:r w:rsidR="000055B1">
        <w:t xml:space="preserve">2025, </w:t>
      </w:r>
      <w:hyperlink r:id="rId56" w:history="1">
        <w:r w:rsidR="000055B1" w:rsidRPr="000055B1">
          <w:rPr>
            <w:rStyle w:val="Hyperlink"/>
            <w:i/>
            <w:iCs/>
          </w:rPr>
          <w:t>&lt;</w:t>
        </w:r>
        <w:r w:rsidR="000055B1" w:rsidRPr="001F576E">
          <w:rPr>
            <w:rStyle w:val="Hyperlink"/>
          </w:rPr>
          <w:t>https://www.consumer.vic.gov.au/about-us/statutory-bodies-and-committees/residential-tenancies-bond-authority&gt;</w:t>
        </w:r>
      </w:hyperlink>
    </w:p>
  </w:footnote>
  <w:footnote w:id="78">
    <w:p w14:paraId="14611572" w14:textId="5D1AE323" w:rsidR="00FE2E16" w:rsidRDefault="00FE2E16" w:rsidP="00FE2E16">
      <w:pPr>
        <w:pStyle w:val="FootnoteText"/>
      </w:pPr>
      <w:r>
        <w:rPr>
          <w:rStyle w:val="FootnoteReference"/>
        </w:rPr>
        <w:footnoteRef/>
      </w:r>
      <w:r>
        <w:t xml:space="preserve"> Department of Treasury and Finance, </w:t>
      </w:r>
      <w:r>
        <w:rPr>
          <w:i/>
          <w:iCs/>
        </w:rPr>
        <w:t>Guidance on Discount Rates</w:t>
      </w:r>
      <w:r w:rsidR="00402945">
        <w:rPr>
          <w:i/>
          <w:iCs/>
        </w:rPr>
        <w:t xml:space="preserve">, </w:t>
      </w:r>
      <w:r w:rsidR="00402945" w:rsidRPr="001F576E">
        <w:t>updated 2026, &lt;</w:t>
      </w:r>
      <w:hyperlink r:id="rId57" w:history="1">
        <w:r w:rsidR="00402945" w:rsidRPr="001F576E">
          <w:rPr>
            <w:rStyle w:val="Hyperlink"/>
          </w:rPr>
          <w:t>https://www.dtf.vic.gov.au/wage-inflation-and-discount-rates</w:t>
        </w:r>
      </w:hyperlink>
      <w:r w:rsidR="00402945" w:rsidRPr="001F576E">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8B66" w14:textId="77777777" w:rsidR="00B75851" w:rsidRDefault="00B75851">
    <w:r>
      <w:cr/>
    </w:r>
    <w:r>
      <w:cr/>
    </w:r>
    <w:r>
      <w:cr/>
    </w:r>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63BE" w14:textId="77777777" w:rsidR="00B75851" w:rsidRDefault="00B75851" w:rsidP="004B65F7">
    <w:pPr>
      <w:pStyle w:val="DJCSheader"/>
    </w:pPr>
    <w:r>
      <w:t>R Header</w:t>
    </w:r>
  </w:p>
  <w:p w14:paraId="08E151F5" w14:textId="77777777" w:rsidR="00B75851" w:rsidRDefault="00B758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9E11" w14:textId="77777777" w:rsidR="00BA43D7" w:rsidRDefault="00BA4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30AF" w14:textId="31AD62D5" w:rsidR="00BA43D7" w:rsidRDefault="00670BE6">
    <w:pPr>
      <w:pStyle w:val="Header"/>
    </w:pPr>
    <w:r>
      <w:rPr>
        <w:noProof/>
        <w:lang w:eastAsia="en-AU"/>
      </w:rPr>
      <w:drawing>
        <wp:anchor distT="0" distB="0" distL="114300" distR="114300" simplePos="0" relativeHeight="251658243" behindDoc="1" locked="0" layoutInCell="1" allowOverlap="1" wp14:anchorId="3540429B" wp14:editId="49869E61">
          <wp:simplePos x="0" y="0"/>
          <wp:positionH relativeFrom="page">
            <wp:align>right</wp:align>
          </wp:positionH>
          <wp:positionV relativeFrom="page">
            <wp:align>top</wp:align>
          </wp:positionV>
          <wp:extent cx="7549200" cy="997200"/>
          <wp:effectExtent l="0" t="0" r="0" b="0"/>
          <wp:wrapNone/>
          <wp:docPr id="1525119947" name="Picture 1525119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549200" cy="99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9183" w14:textId="77777777" w:rsidR="00BA43D7" w:rsidRDefault="00BA4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ose with solid fill" style="width:12pt;height: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" o:bullet="t">
        <v:imagedata r:id="rId1" o:title="" croptop="-4981f" cropbottom="-4194f" cropleft="-5188f" cropright="-7100f"/>
      </v:shape>
    </w:pict>
  </w:numPicBullet>
  <w:abstractNum w:abstractNumId="0" w15:restartNumberingAfterBreak="0">
    <w:nsid w:val="FFFFFF89"/>
    <w:multiLevelType w:val="singleLevel"/>
    <w:tmpl w:val="7764C7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F5373"/>
    <w:multiLevelType w:val="singleLevel"/>
    <w:tmpl w:val="8A72A90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02D6729B"/>
    <w:multiLevelType w:val="singleLevel"/>
    <w:tmpl w:val="AA10C0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3FD24F9"/>
    <w:multiLevelType w:val="singleLevel"/>
    <w:tmpl w:val="5E3C77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5345883"/>
    <w:multiLevelType w:val="singleLevel"/>
    <w:tmpl w:val="718682C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5A66E9F"/>
    <w:multiLevelType w:val="singleLevel"/>
    <w:tmpl w:val="6742A67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62E31A8"/>
    <w:multiLevelType w:val="singleLevel"/>
    <w:tmpl w:val="F550C6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635545D"/>
    <w:multiLevelType w:val="hybridMultilevel"/>
    <w:tmpl w:val="B1DE0920"/>
    <w:lvl w:ilvl="0" w:tplc="C4A200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760DE3"/>
    <w:multiLevelType w:val="hybridMultilevel"/>
    <w:tmpl w:val="2A52F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1D18FB"/>
    <w:multiLevelType w:val="singleLevel"/>
    <w:tmpl w:val="209A37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073F3B22"/>
    <w:multiLevelType w:val="singleLevel"/>
    <w:tmpl w:val="6BA63C9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079F7E7E"/>
    <w:multiLevelType w:val="singleLevel"/>
    <w:tmpl w:val="AD865E9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099F3EDC"/>
    <w:multiLevelType w:val="singleLevel"/>
    <w:tmpl w:val="4F90957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0A62075D"/>
    <w:multiLevelType w:val="singleLevel"/>
    <w:tmpl w:val="F7AC1B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0A7F55B8"/>
    <w:multiLevelType w:val="multilevel"/>
    <w:tmpl w:val="9B5CA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346B22"/>
    <w:multiLevelType w:val="singleLevel"/>
    <w:tmpl w:val="293C525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0C654134"/>
    <w:multiLevelType w:val="singleLevel"/>
    <w:tmpl w:val="68E0C7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574CAC"/>
    <w:multiLevelType w:val="singleLevel"/>
    <w:tmpl w:val="24925F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0F542FAC"/>
    <w:multiLevelType w:val="singleLevel"/>
    <w:tmpl w:val="6F9406A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0F597393"/>
    <w:multiLevelType w:val="hybridMultilevel"/>
    <w:tmpl w:val="90268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0A5E2D"/>
    <w:multiLevelType w:val="singleLevel"/>
    <w:tmpl w:val="A5145D4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11162DB3"/>
    <w:multiLevelType w:val="singleLevel"/>
    <w:tmpl w:val="7486B9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119D6D96"/>
    <w:multiLevelType w:val="multilevel"/>
    <w:tmpl w:val="17BA9294"/>
    <w:numStyleLink w:val="zzDJRbullets"/>
  </w:abstractNum>
  <w:abstractNum w:abstractNumId="25" w15:restartNumberingAfterBreak="0">
    <w:nsid w:val="1238285A"/>
    <w:multiLevelType w:val="hybridMultilevel"/>
    <w:tmpl w:val="CAE07D1A"/>
    <w:lvl w:ilvl="0" w:tplc="C13A72F0">
      <w:start w:val="1"/>
      <w:numFmt w:val="bullet"/>
      <w:pStyle w:val="Bullet1"/>
      <w:lvlText w:val="•"/>
      <w:lvlJc w:val="left"/>
      <w:pPr>
        <w:ind w:left="720" w:hanging="360"/>
      </w:pPr>
      <w:rPr>
        <w:rFonts w:ascii="Univers 45 Light" w:hAnsi="Univers 45 Light" w:cs="Arial Unicode MS" w:hint="default"/>
        <w:color w:val="auto"/>
        <w:sz w:val="18"/>
      </w:rPr>
    </w:lvl>
    <w:lvl w:ilvl="1" w:tplc="0C090003">
      <w:start w:val="1"/>
      <w:numFmt w:val="bullet"/>
      <w:lvlText w:val="o"/>
      <w:lvlJc w:val="left"/>
      <w:pPr>
        <w:ind w:left="1440" w:hanging="360"/>
      </w:pPr>
      <w:rPr>
        <w:rFonts w:ascii="@MS Mincho" w:hAnsi="@MS Mincho" w:cs="@MS Mincho" w:hint="default"/>
      </w:rPr>
    </w:lvl>
    <w:lvl w:ilvl="2" w:tplc="0C090005" w:tentative="1">
      <w:start w:val="1"/>
      <w:numFmt w:val="bullet"/>
      <w:lvlText w:val=""/>
      <w:lvlJc w:val="left"/>
      <w:pPr>
        <w:ind w:left="2160" w:hanging="360"/>
      </w:pPr>
      <w:rPr>
        <w:rFonts w:ascii="MS Gothic" w:hAnsi="MS Gothic" w:hint="default"/>
      </w:rPr>
    </w:lvl>
    <w:lvl w:ilvl="3" w:tplc="0C090001" w:tentative="1">
      <w:start w:val="1"/>
      <w:numFmt w:val="bullet"/>
      <w:lvlText w:val=""/>
      <w:lvlJc w:val="left"/>
      <w:pPr>
        <w:ind w:left="2880" w:hanging="360"/>
      </w:pPr>
      <w:rPr>
        <w:rFonts w:ascii="MS Mincho" w:hAnsi="MS Mincho" w:hint="default"/>
      </w:rPr>
    </w:lvl>
    <w:lvl w:ilvl="4" w:tplc="0C090003" w:tentative="1">
      <w:start w:val="1"/>
      <w:numFmt w:val="bullet"/>
      <w:lvlText w:val="o"/>
      <w:lvlJc w:val="left"/>
      <w:pPr>
        <w:ind w:left="3600" w:hanging="360"/>
      </w:pPr>
      <w:rPr>
        <w:rFonts w:ascii="@MS Mincho" w:hAnsi="@MS Mincho" w:cs="@MS Mincho" w:hint="default"/>
      </w:rPr>
    </w:lvl>
    <w:lvl w:ilvl="5" w:tplc="0C090005" w:tentative="1">
      <w:start w:val="1"/>
      <w:numFmt w:val="bullet"/>
      <w:lvlText w:val=""/>
      <w:lvlJc w:val="left"/>
      <w:pPr>
        <w:ind w:left="4320" w:hanging="360"/>
      </w:pPr>
      <w:rPr>
        <w:rFonts w:ascii="MS Gothic" w:hAnsi="MS Gothic" w:hint="default"/>
      </w:rPr>
    </w:lvl>
    <w:lvl w:ilvl="6" w:tplc="0C090001" w:tentative="1">
      <w:start w:val="1"/>
      <w:numFmt w:val="bullet"/>
      <w:lvlText w:val=""/>
      <w:lvlJc w:val="left"/>
      <w:pPr>
        <w:ind w:left="5040" w:hanging="360"/>
      </w:pPr>
      <w:rPr>
        <w:rFonts w:ascii="MS Mincho" w:hAnsi="MS Mincho" w:hint="default"/>
      </w:rPr>
    </w:lvl>
    <w:lvl w:ilvl="7" w:tplc="0C090003" w:tentative="1">
      <w:start w:val="1"/>
      <w:numFmt w:val="bullet"/>
      <w:lvlText w:val="o"/>
      <w:lvlJc w:val="left"/>
      <w:pPr>
        <w:ind w:left="5760" w:hanging="360"/>
      </w:pPr>
      <w:rPr>
        <w:rFonts w:ascii="@MS Mincho" w:hAnsi="@MS Mincho" w:cs="@MS Mincho" w:hint="default"/>
      </w:rPr>
    </w:lvl>
    <w:lvl w:ilvl="8" w:tplc="0C090005" w:tentative="1">
      <w:start w:val="1"/>
      <w:numFmt w:val="bullet"/>
      <w:lvlText w:val=""/>
      <w:lvlJc w:val="left"/>
      <w:pPr>
        <w:ind w:left="6480" w:hanging="360"/>
      </w:pPr>
      <w:rPr>
        <w:rFonts w:ascii="MS Gothic" w:hAnsi="MS Gothic" w:hint="default"/>
      </w:rPr>
    </w:lvl>
  </w:abstractNum>
  <w:abstractNum w:abstractNumId="26" w15:restartNumberingAfterBreak="0">
    <w:nsid w:val="12AF7F07"/>
    <w:multiLevelType w:val="singleLevel"/>
    <w:tmpl w:val="E542B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12F0415F"/>
    <w:multiLevelType w:val="singleLevel"/>
    <w:tmpl w:val="FBFCB1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13154CA4"/>
    <w:multiLevelType w:val="multilevel"/>
    <w:tmpl w:val="03BA3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3A4BCD"/>
    <w:multiLevelType w:val="singleLevel"/>
    <w:tmpl w:val="250C96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134900AE"/>
    <w:multiLevelType w:val="singleLevel"/>
    <w:tmpl w:val="1980C6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13AF4D72"/>
    <w:multiLevelType w:val="multilevel"/>
    <w:tmpl w:val="3CE0C1E0"/>
    <w:lvl w:ilvl="0">
      <w:start w:val="1"/>
      <w:numFmt w:val="decimal"/>
      <w:lvlText w:val="%1"/>
      <w:lvlJc w:val="left"/>
      <w:pPr>
        <w:tabs>
          <w:tab w:val="num" w:pos="680"/>
        </w:tabs>
        <w:ind w:left="680" w:hanging="340"/>
      </w:pPr>
      <w:rPr>
        <w:rFonts w:ascii="Arial" w:hAnsi="Arial" w:cs="Arial"/>
      </w:r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32" w15:restartNumberingAfterBreak="0">
    <w:nsid w:val="15510391"/>
    <w:multiLevelType w:val="hybridMultilevel"/>
    <w:tmpl w:val="19901EB2"/>
    <w:lvl w:ilvl="0" w:tplc="0F7A0B22">
      <w:start w:val="1"/>
      <w:numFmt w:val="bullet"/>
      <w:lvlText w:val=""/>
      <w:lvlJc w:val="left"/>
      <w:pPr>
        <w:ind w:left="1080" w:hanging="360"/>
      </w:pPr>
      <w:rPr>
        <w:rFonts w:ascii="Symbol" w:hAnsi="Symbol"/>
      </w:rPr>
    </w:lvl>
    <w:lvl w:ilvl="1" w:tplc="515A64CE">
      <w:start w:val="1"/>
      <w:numFmt w:val="bullet"/>
      <w:lvlText w:val=""/>
      <w:lvlJc w:val="left"/>
      <w:pPr>
        <w:ind w:left="1080" w:hanging="360"/>
      </w:pPr>
      <w:rPr>
        <w:rFonts w:ascii="Symbol" w:hAnsi="Symbol"/>
      </w:rPr>
    </w:lvl>
    <w:lvl w:ilvl="2" w:tplc="9244D7B6">
      <w:start w:val="1"/>
      <w:numFmt w:val="bullet"/>
      <w:lvlText w:val=""/>
      <w:lvlJc w:val="left"/>
      <w:pPr>
        <w:ind w:left="1080" w:hanging="360"/>
      </w:pPr>
      <w:rPr>
        <w:rFonts w:ascii="Symbol" w:hAnsi="Symbol"/>
      </w:rPr>
    </w:lvl>
    <w:lvl w:ilvl="3" w:tplc="F99C8F46">
      <w:start w:val="1"/>
      <w:numFmt w:val="bullet"/>
      <w:lvlText w:val=""/>
      <w:lvlJc w:val="left"/>
      <w:pPr>
        <w:ind w:left="1080" w:hanging="360"/>
      </w:pPr>
      <w:rPr>
        <w:rFonts w:ascii="Symbol" w:hAnsi="Symbol"/>
      </w:rPr>
    </w:lvl>
    <w:lvl w:ilvl="4" w:tplc="DDC2EB24">
      <w:start w:val="1"/>
      <w:numFmt w:val="bullet"/>
      <w:lvlText w:val=""/>
      <w:lvlJc w:val="left"/>
      <w:pPr>
        <w:ind w:left="1080" w:hanging="360"/>
      </w:pPr>
      <w:rPr>
        <w:rFonts w:ascii="Symbol" w:hAnsi="Symbol"/>
      </w:rPr>
    </w:lvl>
    <w:lvl w:ilvl="5" w:tplc="8348C4C6">
      <w:start w:val="1"/>
      <w:numFmt w:val="bullet"/>
      <w:lvlText w:val=""/>
      <w:lvlJc w:val="left"/>
      <w:pPr>
        <w:ind w:left="1080" w:hanging="360"/>
      </w:pPr>
      <w:rPr>
        <w:rFonts w:ascii="Symbol" w:hAnsi="Symbol"/>
      </w:rPr>
    </w:lvl>
    <w:lvl w:ilvl="6" w:tplc="6A384832">
      <w:start w:val="1"/>
      <w:numFmt w:val="bullet"/>
      <w:lvlText w:val=""/>
      <w:lvlJc w:val="left"/>
      <w:pPr>
        <w:ind w:left="1080" w:hanging="360"/>
      </w:pPr>
      <w:rPr>
        <w:rFonts w:ascii="Symbol" w:hAnsi="Symbol"/>
      </w:rPr>
    </w:lvl>
    <w:lvl w:ilvl="7" w:tplc="FD1A7B7A">
      <w:start w:val="1"/>
      <w:numFmt w:val="bullet"/>
      <w:lvlText w:val=""/>
      <w:lvlJc w:val="left"/>
      <w:pPr>
        <w:ind w:left="1080" w:hanging="360"/>
      </w:pPr>
      <w:rPr>
        <w:rFonts w:ascii="Symbol" w:hAnsi="Symbol"/>
      </w:rPr>
    </w:lvl>
    <w:lvl w:ilvl="8" w:tplc="9CF86E2A">
      <w:start w:val="1"/>
      <w:numFmt w:val="bullet"/>
      <w:lvlText w:val=""/>
      <w:lvlJc w:val="left"/>
      <w:pPr>
        <w:ind w:left="1080" w:hanging="360"/>
      </w:pPr>
      <w:rPr>
        <w:rFonts w:ascii="Symbol" w:hAnsi="Symbol"/>
      </w:rPr>
    </w:lvl>
  </w:abstractNum>
  <w:abstractNum w:abstractNumId="33" w15:restartNumberingAfterBreak="0">
    <w:nsid w:val="15C71A6C"/>
    <w:multiLevelType w:val="singleLevel"/>
    <w:tmpl w:val="A240121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16A57492"/>
    <w:multiLevelType w:val="singleLevel"/>
    <w:tmpl w:val="08C23A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16B9591B"/>
    <w:multiLevelType w:val="singleLevel"/>
    <w:tmpl w:val="03620C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17C1781B"/>
    <w:multiLevelType w:val="singleLevel"/>
    <w:tmpl w:val="B6E8718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193427BE"/>
    <w:multiLevelType w:val="singleLevel"/>
    <w:tmpl w:val="1DB062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19452832"/>
    <w:multiLevelType w:val="hybridMultilevel"/>
    <w:tmpl w:val="BA3293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98368CA"/>
    <w:multiLevelType w:val="hybridMultilevel"/>
    <w:tmpl w:val="65388C4C"/>
    <w:lvl w:ilvl="0" w:tplc="EA7633A2">
      <w:start w:val="1"/>
      <w:numFmt w:val="bullet"/>
      <w:lvlText w:val=""/>
      <w:lvlPicBulletId w:val="0"/>
      <w:lvlJc w:val="left"/>
      <w:pPr>
        <w:tabs>
          <w:tab w:val="num" w:pos="720"/>
        </w:tabs>
        <w:ind w:left="720" w:hanging="360"/>
      </w:pPr>
      <w:rPr>
        <w:rFonts w:ascii="Symbol" w:hAnsi="Symbol" w:hint="default"/>
        <w:sz w:val="30"/>
        <w:szCs w:val="30"/>
      </w:rPr>
    </w:lvl>
    <w:lvl w:ilvl="1" w:tplc="3C34E7EA" w:tentative="1">
      <w:start w:val="1"/>
      <w:numFmt w:val="bullet"/>
      <w:lvlText w:val=""/>
      <w:lvlJc w:val="left"/>
      <w:pPr>
        <w:tabs>
          <w:tab w:val="num" w:pos="1440"/>
        </w:tabs>
        <w:ind w:left="1440" w:hanging="360"/>
      </w:pPr>
      <w:rPr>
        <w:rFonts w:ascii="Symbol" w:hAnsi="Symbol" w:hint="default"/>
      </w:rPr>
    </w:lvl>
    <w:lvl w:ilvl="2" w:tplc="82D0C35C" w:tentative="1">
      <w:start w:val="1"/>
      <w:numFmt w:val="bullet"/>
      <w:lvlText w:val=""/>
      <w:lvlJc w:val="left"/>
      <w:pPr>
        <w:tabs>
          <w:tab w:val="num" w:pos="2160"/>
        </w:tabs>
        <w:ind w:left="2160" w:hanging="360"/>
      </w:pPr>
      <w:rPr>
        <w:rFonts w:ascii="Symbol" w:hAnsi="Symbol" w:hint="default"/>
      </w:rPr>
    </w:lvl>
    <w:lvl w:ilvl="3" w:tplc="3B50CD60" w:tentative="1">
      <w:start w:val="1"/>
      <w:numFmt w:val="bullet"/>
      <w:lvlText w:val=""/>
      <w:lvlJc w:val="left"/>
      <w:pPr>
        <w:tabs>
          <w:tab w:val="num" w:pos="2880"/>
        </w:tabs>
        <w:ind w:left="2880" w:hanging="360"/>
      </w:pPr>
      <w:rPr>
        <w:rFonts w:ascii="Symbol" w:hAnsi="Symbol" w:hint="default"/>
      </w:rPr>
    </w:lvl>
    <w:lvl w:ilvl="4" w:tplc="6E0C36B8" w:tentative="1">
      <w:start w:val="1"/>
      <w:numFmt w:val="bullet"/>
      <w:lvlText w:val=""/>
      <w:lvlJc w:val="left"/>
      <w:pPr>
        <w:tabs>
          <w:tab w:val="num" w:pos="3600"/>
        </w:tabs>
        <w:ind w:left="3600" w:hanging="360"/>
      </w:pPr>
      <w:rPr>
        <w:rFonts w:ascii="Symbol" w:hAnsi="Symbol" w:hint="default"/>
      </w:rPr>
    </w:lvl>
    <w:lvl w:ilvl="5" w:tplc="9F227C40" w:tentative="1">
      <w:start w:val="1"/>
      <w:numFmt w:val="bullet"/>
      <w:lvlText w:val=""/>
      <w:lvlJc w:val="left"/>
      <w:pPr>
        <w:tabs>
          <w:tab w:val="num" w:pos="4320"/>
        </w:tabs>
        <w:ind w:left="4320" w:hanging="360"/>
      </w:pPr>
      <w:rPr>
        <w:rFonts w:ascii="Symbol" w:hAnsi="Symbol" w:hint="default"/>
      </w:rPr>
    </w:lvl>
    <w:lvl w:ilvl="6" w:tplc="244E3966" w:tentative="1">
      <w:start w:val="1"/>
      <w:numFmt w:val="bullet"/>
      <w:lvlText w:val=""/>
      <w:lvlJc w:val="left"/>
      <w:pPr>
        <w:tabs>
          <w:tab w:val="num" w:pos="5040"/>
        </w:tabs>
        <w:ind w:left="5040" w:hanging="360"/>
      </w:pPr>
      <w:rPr>
        <w:rFonts w:ascii="Symbol" w:hAnsi="Symbol" w:hint="default"/>
      </w:rPr>
    </w:lvl>
    <w:lvl w:ilvl="7" w:tplc="7714D4F2" w:tentative="1">
      <w:start w:val="1"/>
      <w:numFmt w:val="bullet"/>
      <w:lvlText w:val=""/>
      <w:lvlJc w:val="left"/>
      <w:pPr>
        <w:tabs>
          <w:tab w:val="num" w:pos="5760"/>
        </w:tabs>
        <w:ind w:left="5760" w:hanging="360"/>
      </w:pPr>
      <w:rPr>
        <w:rFonts w:ascii="Symbol" w:hAnsi="Symbol" w:hint="default"/>
      </w:rPr>
    </w:lvl>
    <w:lvl w:ilvl="8" w:tplc="D25A49A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1B9C646B"/>
    <w:multiLevelType w:val="singleLevel"/>
    <w:tmpl w:val="7340C9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1C552BDD"/>
    <w:multiLevelType w:val="hybridMultilevel"/>
    <w:tmpl w:val="DA462F7E"/>
    <w:lvl w:ilvl="0" w:tplc="89EED27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E926E4E"/>
    <w:multiLevelType w:val="singleLevel"/>
    <w:tmpl w:val="CAEC673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3" w15:restartNumberingAfterBreak="0">
    <w:nsid w:val="1F5E03A3"/>
    <w:multiLevelType w:val="singleLevel"/>
    <w:tmpl w:val="D82E1F7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1FEA7E22"/>
    <w:multiLevelType w:val="hybridMultilevel"/>
    <w:tmpl w:val="95B49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00C1CBE"/>
    <w:multiLevelType w:val="multilevel"/>
    <w:tmpl w:val="5CC2EFE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6" w15:restartNumberingAfterBreak="0">
    <w:nsid w:val="21E63545"/>
    <w:multiLevelType w:val="singleLevel"/>
    <w:tmpl w:val="B33CAB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22A120D4"/>
    <w:multiLevelType w:val="hybridMultilevel"/>
    <w:tmpl w:val="9AD45C72"/>
    <w:lvl w:ilvl="0" w:tplc="FEDC0CB6">
      <w:start w:val="1"/>
      <w:numFmt w:val="decimal"/>
      <w:lvlText w:val="%1."/>
      <w:lvlJc w:val="left"/>
      <w:pPr>
        <w:ind w:left="1440" w:hanging="360"/>
      </w:pPr>
    </w:lvl>
    <w:lvl w:ilvl="1" w:tplc="D93A3C60">
      <w:start w:val="1"/>
      <w:numFmt w:val="decimal"/>
      <w:lvlText w:val="%2."/>
      <w:lvlJc w:val="left"/>
      <w:pPr>
        <w:ind w:left="1800" w:hanging="360"/>
      </w:pPr>
    </w:lvl>
    <w:lvl w:ilvl="2" w:tplc="A3C2D064">
      <w:start w:val="1"/>
      <w:numFmt w:val="decimal"/>
      <w:lvlText w:val="%3."/>
      <w:lvlJc w:val="left"/>
      <w:pPr>
        <w:ind w:left="1440" w:hanging="360"/>
      </w:pPr>
    </w:lvl>
    <w:lvl w:ilvl="3" w:tplc="052A5582">
      <w:start w:val="1"/>
      <w:numFmt w:val="decimal"/>
      <w:lvlText w:val="%4."/>
      <w:lvlJc w:val="left"/>
      <w:pPr>
        <w:ind w:left="1440" w:hanging="360"/>
      </w:pPr>
    </w:lvl>
    <w:lvl w:ilvl="4" w:tplc="D2C4291E">
      <w:start w:val="1"/>
      <w:numFmt w:val="decimal"/>
      <w:lvlText w:val="%5."/>
      <w:lvlJc w:val="left"/>
      <w:pPr>
        <w:ind w:left="1440" w:hanging="360"/>
      </w:pPr>
    </w:lvl>
    <w:lvl w:ilvl="5" w:tplc="C2E0A090">
      <w:start w:val="1"/>
      <w:numFmt w:val="decimal"/>
      <w:lvlText w:val="%6."/>
      <w:lvlJc w:val="left"/>
      <w:pPr>
        <w:ind w:left="1440" w:hanging="360"/>
      </w:pPr>
    </w:lvl>
    <w:lvl w:ilvl="6" w:tplc="58FC1ACE">
      <w:start w:val="1"/>
      <w:numFmt w:val="decimal"/>
      <w:lvlText w:val="%7."/>
      <w:lvlJc w:val="left"/>
      <w:pPr>
        <w:ind w:left="1440" w:hanging="360"/>
      </w:pPr>
    </w:lvl>
    <w:lvl w:ilvl="7" w:tplc="C454489C">
      <w:start w:val="1"/>
      <w:numFmt w:val="decimal"/>
      <w:lvlText w:val="%8."/>
      <w:lvlJc w:val="left"/>
      <w:pPr>
        <w:ind w:left="1440" w:hanging="360"/>
      </w:pPr>
    </w:lvl>
    <w:lvl w:ilvl="8" w:tplc="0B44A6A4">
      <w:start w:val="1"/>
      <w:numFmt w:val="decimal"/>
      <w:lvlText w:val="%9."/>
      <w:lvlJc w:val="left"/>
      <w:pPr>
        <w:ind w:left="1440" w:hanging="360"/>
      </w:pPr>
    </w:lvl>
  </w:abstractNum>
  <w:abstractNum w:abstractNumId="48" w15:restartNumberingAfterBreak="0">
    <w:nsid w:val="235525C9"/>
    <w:multiLevelType w:val="hybridMultilevel"/>
    <w:tmpl w:val="F4F629DE"/>
    <w:lvl w:ilvl="0" w:tplc="E5E2C506">
      <w:numFmt w:val="bullet"/>
      <w:lvlText w:val="-"/>
      <w:lvlJc w:val="left"/>
      <w:pPr>
        <w:ind w:left="720" w:hanging="360"/>
      </w:pPr>
      <w:rPr>
        <w:rFonts w:ascii="Cambria" w:eastAsia="Times New Roman" w:hAnsi="Cambria"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446472D"/>
    <w:multiLevelType w:val="multilevel"/>
    <w:tmpl w:val="52D66E5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4EF2B22"/>
    <w:multiLevelType w:val="singleLevel"/>
    <w:tmpl w:val="8410C6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1" w15:restartNumberingAfterBreak="0">
    <w:nsid w:val="24F50697"/>
    <w:multiLevelType w:val="hybridMultilevel"/>
    <w:tmpl w:val="F28EF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6566467"/>
    <w:multiLevelType w:val="singleLevel"/>
    <w:tmpl w:val="94F4E87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3" w15:restartNumberingAfterBreak="0">
    <w:nsid w:val="276F0CD4"/>
    <w:multiLevelType w:val="singleLevel"/>
    <w:tmpl w:val="62BAFB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4" w15:restartNumberingAfterBreak="0">
    <w:nsid w:val="27B57951"/>
    <w:multiLevelType w:val="singleLevel"/>
    <w:tmpl w:val="EBD4B5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29445918"/>
    <w:multiLevelType w:val="singleLevel"/>
    <w:tmpl w:val="6F7C4A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6"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A857022"/>
    <w:multiLevelType w:val="singleLevel"/>
    <w:tmpl w:val="A58437C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8" w15:restartNumberingAfterBreak="0">
    <w:nsid w:val="2B9F38EE"/>
    <w:multiLevelType w:val="singleLevel"/>
    <w:tmpl w:val="9086076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9" w15:restartNumberingAfterBreak="0">
    <w:nsid w:val="2BCD7FD5"/>
    <w:multiLevelType w:val="singleLevel"/>
    <w:tmpl w:val="F554237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0" w15:restartNumberingAfterBreak="0">
    <w:nsid w:val="2C520E86"/>
    <w:multiLevelType w:val="singleLevel"/>
    <w:tmpl w:val="14127C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1" w15:restartNumberingAfterBreak="0">
    <w:nsid w:val="2CAF7A15"/>
    <w:multiLevelType w:val="hybridMultilevel"/>
    <w:tmpl w:val="780AB856"/>
    <w:lvl w:ilvl="0" w:tplc="0D165324">
      <w:start w:val="1"/>
      <w:numFmt w:val="bullet"/>
      <w:lvlText w:val="•"/>
      <w:lvlJc w:val="left"/>
      <w:pPr>
        <w:ind w:left="720" w:hanging="36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DD16BBE"/>
    <w:multiLevelType w:val="hybridMultilevel"/>
    <w:tmpl w:val="37BECEEA"/>
    <w:lvl w:ilvl="0" w:tplc="7C44C04E">
      <w:start w:val="1"/>
      <w:numFmt w:val="bullet"/>
      <w:lvlText w:val=""/>
      <w:lvlJc w:val="left"/>
      <w:pPr>
        <w:ind w:left="1080" w:hanging="360"/>
      </w:pPr>
      <w:rPr>
        <w:rFonts w:ascii="Symbol" w:hAnsi="Symbol"/>
      </w:rPr>
    </w:lvl>
    <w:lvl w:ilvl="1" w:tplc="FC76FB5E">
      <w:start w:val="1"/>
      <w:numFmt w:val="bullet"/>
      <w:lvlText w:val=""/>
      <w:lvlJc w:val="left"/>
      <w:pPr>
        <w:ind w:left="1080" w:hanging="360"/>
      </w:pPr>
      <w:rPr>
        <w:rFonts w:ascii="Symbol" w:hAnsi="Symbol"/>
      </w:rPr>
    </w:lvl>
    <w:lvl w:ilvl="2" w:tplc="D68A0628">
      <w:start w:val="1"/>
      <w:numFmt w:val="bullet"/>
      <w:lvlText w:val=""/>
      <w:lvlJc w:val="left"/>
      <w:pPr>
        <w:ind w:left="1080" w:hanging="360"/>
      </w:pPr>
      <w:rPr>
        <w:rFonts w:ascii="Symbol" w:hAnsi="Symbol"/>
      </w:rPr>
    </w:lvl>
    <w:lvl w:ilvl="3" w:tplc="7E40F424">
      <w:start w:val="1"/>
      <w:numFmt w:val="bullet"/>
      <w:lvlText w:val=""/>
      <w:lvlJc w:val="left"/>
      <w:pPr>
        <w:ind w:left="1080" w:hanging="360"/>
      </w:pPr>
      <w:rPr>
        <w:rFonts w:ascii="Symbol" w:hAnsi="Symbol"/>
      </w:rPr>
    </w:lvl>
    <w:lvl w:ilvl="4" w:tplc="A24CBFD0">
      <w:start w:val="1"/>
      <w:numFmt w:val="bullet"/>
      <w:lvlText w:val=""/>
      <w:lvlJc w:val="left"/>
      <w:pPr>
        <w:ind w:left="1080" w:hanging="360"/>
      </w:pPr>
      <w:rPr>
        <w:rFonts w:ascii="Symbol" w:hAnsi="Symbol"/>
      </w:rPr>
    </w:lvl>
    <w:lvl w:ilvl="5" w:tplc="03DECCDE">
      <w:start w:val="1"/>
      <w:numFmt w:val="bullet"/>
      <w:lvlText w:val=""/>
      <w:lvlJc w:val="left"/>
      <w:pPr>
        <w:ind w:left="1080" w:hanging="360"/>
      </w:pPr>
      <w:rPr>
        <w:rFonts w:ascii="Symbol" w:hAnsi="Symbol"/>
      </w:rPr>
    </w:lvl>
    <w:lvl w:ilvl="6" w:tplc="EB942A48">
      <w:start w:val="1"/>
      <w:numFmt w:val="bullet"/>
      <w:lvlText w:val=""/>
      <w:lvlJc w:val="left"/>
      <w:pPr>
        <w:ind w:left="1080" w:hanging="360"/>
      </w:pPr>
      <w:rPr>
        <w:rFonts w:ascii="Symbol" w:hAnsi="Symbol"/>
      </w:rPr>
    </w:lvl>
    <w:lvl w:ilvl="7" w:tplc="60806F6A">
      <w:start w:val="1"/>
      <w:numFmt w:val="bullet"/>
      <w:lvlText w:val=""/>
      <w:lvlJc w:val="left"/>
      <w:pPr>
        <w:ind w:left="1080" w:hanging="360"/>
      </w:pPr>
      <w:rPr>
        <w:rFonts w:ascii="Symbol" w:hAnsi="Symbol"/>
      </w:rPr>
    </w:lvl>
    <w:lvl w:ilvl="8" w:tplc="AAA86782">
      <w:start w:val="1"/>
      <w:numFmt w:val="bullet"/>
      <w:lvlText w:val=""/>
      <w:lvlJc w:val="left"/>
      <w:pPr>
        <w:ind w:left="1080" w:hanging="360"/>
      </w:pPr>
      <w:rPr>
        <w:rFonts w:ascii="Symbol" w:hAnsi="Symbol"/>
      </w:rPr>
    </w:lvl>
  </w:abstractNum>
  <w:abstractNum w:abstractNumId="63"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2FD543A0"/>
    <w:multiLevelType w:val="singleLevel"/>
    <w:tmpl w:val="58DC76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5" w15:restartNumberingAfterBreak="0">
    <w:nsid w:val="312342F8"/>
    <w:multiLevelType w:val="singleLevel"/>
    <w:tmpl w:val="ED7669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6" w15:restartNumberingAfterBreak="0">
    <w:nsid w:val="31CC2103"/>
    <w:multiLevelType w:val="hybridMultilevel"/>
    <w:tmpl w:val="3F621A50"/>
    <w:lvl w:ilvl="0" w:tplc="D08C4858">
      <w:start w:val="1"/>
      <w:numFmt w:val="bullet"/>
      <w:lvlText w:val=""/>
      <w:lvlJc w:val="left"/>
      <w:pPr>
        <w:ind w:left="1080" w:hanging="360"/>
      </w:pPr>
      <w:rPr>
        <w:rFonts w:ascii="Symbol" w:hAnsi="Symbol"/>
      </w:rPr>
    </w:lvl>
    <w:lvl w:ilvl="1" w:tplc="E3A01D66">
      <w:start w:val="1"/>
      <w:numFmt w:val="bullet"/>
      <w:lvlText w:val=""/>
      <w:lvlJc w:val="left"/>
      <w:pPr>
        <w:ind w:left="1080" w:hanging="360"/>
      </w:pPr>
      <w:rPr>
        <w:rFonts w:ascii="Symbol" w:hAnsi="Symbol"/>
      </w:rPr>
    </w:lvl>
    <w:lvl w:ilvl="2" w:tplc="2174E2FE">
      <w:start w:val="1"/>
      <w:numFmt w:val="bullet"/>
      <w:lvlText w:val=""/>
      <w:lvlJc w:val="left"/>
      <w:pPr>
        <w:ind w:left="1080" w:hanging="360"/>
      </w:pPr>
      <w:rPr>
        <w:rFonts w:ascii="Symbol" w:hAnsi="Symbol"/>
      </w:rPr>
    </w:lvl>
    <w:lvl w:ilvl="3" w:tplc="DA6CDB5E">
      <w:start w:val="1"/>
      <w:numFmt w:val="bullet"/>
      <w:lvlText w:val=""/>
      <w:lvlJc w:val="left"/>
      <w:pPr>
        <w:ind w:left="1080" w:hanging="360"/>
      </w:pPr>
      <w:rPr>
        <w:rFonts w:ascii="Symbol" w:hAnsi="Symbol"/>
      </w:rPr>
    </w:lvl>
    <w:lvl w:ilvl="4" w:tplc="67EEAA04">
      <w:start w:val="1"/>
      <w:numFmt w:val="bullet"/>
      <w:lvlText w:val=""/>
      <w:lvlJc w:val="left"/>
      <w:pPr>
        <w:ind w:left="1080" w:hanging="360"/>
      </w:pPr>
      <w:rPr>
        <w:rFonts w:ascii="Symbol" w:hAnsi="Symbol"/>
      </w:rPr>
    </w:lvl>
    <w:lvl w:ilvl="5" w:tplc="CA603872">
      <w:start w:val="1"/>
      <w:numFmt w:val="bullet"/>
      <w:lvlText w:val=""/>
      <w:lvlJc w:val="left"/>
      <w:pPr>
        <w:ind w:left="1080" w:hanging="360"/>
      </w:pPr>
      <w:rPr>
        <w:rFonts w:ascii="Symbol" w:hAnsi="Symbol"/>
      </w:rPr>
    </w:lvl>
    <w:lvl w:ilvl="6" w:tplc="C55AA16C">
      <w:start w:val="1"/>
      <w:numFmt w:val="bullet"/>
      <w:lvlText w:val=""/>
      <w:lvlJc w:val="left"/>
      <w:pPr>
        <w:ind w:left="1080" w:hanging="360"/>
      </w:pPr>
      <w:rPr>
        <w:rFonts w:ascii="Symbol" w:hAnsi="Symbol"/>
      </w:rPr>
    </w:lvl>
    <w:lvl w:ilvl="7" w:tplc="49969298">
      <w:start w:val="1"/>
      <w:numFmt w:val="bullet"/>
      <w:lvlText w:val=""/>
      <w:lvlJc w:val="left"/>
      <w:pPr>
        <w:ind w:left="1080" w:hanging="360"/>
      </w:pPr>
      <w:rPr>
        <w:rFonts w:ascii="Symbol" w:hAnsi="Symbol"/>
      </w:rPr>
    </w:lvl>
    <w:lvl w:ilvl="8" w:tplc="388C9CB0">
      <w:start w:val="1"/>
      <w:numFmt w:val="bullet"/>
      <w:lvlText w:val=""/>
      <w:lvlJc w:val="left"/>
      <w:pPr>
        <w:ind w:left="1080" w:hanging="360"/>
      </w:pPr>
      <w:rPr>
        <w:rFonts w:ascii="Symbol" w:hAnsi="Symbol"/>
      </w:rPr>
    </w:lvl>
  </w:abstractNum>
  <w:abstractNum w:abstractNumId="67" w15:restartNumberingAfterBreak="0">
    <w:nsid w:val="31D157FF"/>
    <w:multiLevelType w:val="singleLevel"/>
    <w:tmpl w:val="4B2A14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8" w15:restartNumberingAfterBreak="0">
    <w:nsid w:val="327152C6"/>
    <w:multiLevelType w:val="singleLevel"/>
    <w:tmpl w:val="EB5226A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9" w15:restartNumberingAfterBreak="0">
    <w:nsid w:val="32A22030"/>
    <w:multiLevelType w:val="singleLevel"/>
    <w:tmpl w:val="D8248D9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0" w15:restartNumberingAfterBreak="0">
    <w:nsid w:val="33FC0B2D"/>
    <w:multiLevelType w:val="multilevel"/>
    <w:tmpl w:val="421E0442"/>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42B11F7"/>
    <w:multiLevelType w:val="hybridMultilevel"/>
    <w:tmpl w:val="A38C9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4A83CD0"/>
    <w:multiLevelType w:val="multilevel"/>
    <w:tmpl w:val="2B70C5C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363C4DED"/>
    <w:multiLevelType w:val="hybridMultilevel"/>
    <w:tmpl w:val="E266068E"/>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6E406C1"/>
    <w:multiLevelType w:val="singleLevel"/>
    <w:tmpl w:val="8B7454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5" w15:restartNumberingAfterBreak="0">
    <w:nsid w:val="397B6C03"/>
    <w:multiLevelType w:val="multilevel"/>
    <w:tmpl w:val="C79AF83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6" w15:restartNumberingAfterBreak="0">
    <w:nsid w:val="3A0C2D88"/>
    <w:multiLevelType w:val="singleLevel"/>
    <w:tmpl w:val="0B54E8F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7" w15:restartNumberingAfterBreak="0">
    <w:nsid w:val="3AEA746A"/>
    <w:multiLevelType w:val="singleLevel"/>
    <w:tmpl w:val="86B6701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8" w15:restartNumberingAfterBreak="0">
    <w:nsid w:val="3B0578AC"/>
    <w:multiLevelType w:val="hybridMultilevel"/>
    <w:tmpl w:val="384048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B19625B"/>
    <w:multiLevelType w:val="singleLevel"/>
    <w:tmpl w:val="4EE8AD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0" w15:restartNumberingAfterBreak="0">
    <w:nsid w:val="3B2831B9"/>
    <w:multiLevelType w:val="singleLevel"/>
    <w:tmpl w:val="66D0AE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1" w15:restartNumberingAfterBreak="0">
    <w:nsid w:val="3BDB0C9C"/>
    <w:multiLevelType w:val="hybridMultilevel"/>
    <w:tmpl w:val="DBD2A4BA"/>
    <w:lvl w:ilvl="0" w:tplc="8E2237E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C2F1979"/>
    <w:multiLevelType w:val="singleLevel"/>
    <w:tmpl w:val="CCA6934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3" w15:restartNumberingAfterBreak="0">
    <w:nsid w:val="3C8278E3"/>
    <w:multiLevelType w:val="multilevel"/>
    <w:tmpl w:val="29B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CDC7DB5"/>
    <w:multiLevelType w:val="singleLevel"/>
    <w:tmpl w:val="B7D01D1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5"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DF46BA7"/>
    <w:multiLevelType w:val="hybridMultilevel"/>
    <w:tmpl w:val="073CDCD2"/>
    <w:lvl w:ilvl="0" w:tplc="F6164770">
      <w:numFmt w:val="bullet"/>
      <w:lvlText w:val="-"/>
      <w:lvlJc w:val="left"/>
      <w:pPr>
        <w:ind w:left="1211" w:hanging="360"/>
      </w:pPr>
      <w:rPr>
        <w:rFonts w:ascii="Arial" w:eastAsia="Times"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7"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8" w15:restartNumberingAfterBreak="0">
    <w:nsid w:val="3EEF13D0"/>
    <w:multiLevelType w:val="singleLevel"/>
    <w:tmpl w:val="C34239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9" w15:restartNumberingAfterBreak="0">
    <w:nsid w:val="3F3D36FA"/>
    <w:multiLevelType w:val="singleLevel"/>
    <w:tmpl w:val="47481E0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0" w15:restartNumberingAfterBreak="0">
    <w:nsid w:val="40861BE7"/>
    <w:multiLevelType w:val="singleLevel"/>
    <w:tmpl w:val="3474A1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1" w15:restartNumberingAfterBreak="0">
    <w:nsid w:val="40DE34AC"/>
    <w:multiLevelType w:val="singleLevel"/>
    <w:tmpl w:val="97FC3B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2" w15:restartNumberingAfterBreak="0">
    <w:nsid w:val="416916E6"/>
    <w:multiLevelType w:val="singleLevel"/>
    <w:tmpl w:val="8994813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3" w15:restartNumberingAfterBreak="0">
    <w:nsid w:val="416F11C9"/>
    <w:multiLevelType w:val="hybridMultilevel"/>
    <w:tmpl w:val="3E941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1C31292"/>
    <w:multiLevelType w:val="singleLevel"/>
    <w:tmpl w:val="AA70FDE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5" w15:restartNumberingAfterBreak="0">
    <w:nsid w:val="427F373C"/>
    <w:multiLevelType w:val="singleLevel"/>
    <w:tmpl w:val="9AB4639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6" w15:restartNumberingAfterBreak="0">
    <w:nsid w:val="442036E3"/>
    <w:multiLevelType w:val="singleLevel"/>
    <w:tmpl w:val="6CB838B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7" w15:restartNumberingAfterBreak="0">
    <w:nsid w:val="44FA66D2"/>
    <w:multiLevelType w:val="singleLevel"/>
    <w:tmpl w:val="A0EC14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8" w15:restartNumberingAfterBreak="0">
    <w:nsid w:val="45CE28B7"/>
    <w:multiLevelType w:val="singleLevel"/>
    <w:tmpl w:val="7CCE88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9" w15:restartNumberingAfterBreak="0">
    <w:nsid w:val="47154604"/>
    <w:multiLevelType w:val="singleLevel"/>
    <w:tmpl w:val="341ED9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0" w15:restartNumberingAfterBreak="0">
    <w:nsid w:val="481F10AF"/>
    <w:multiLevelType w:val="hybridMultilevel"/>
    <w:tmpl w:val="9C4A28DE"/>
    <w:lvl w:ilvl="0" w:tplc="A79809E2">
      <w:start w:val="21"/>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8D85A7C"/>
    <w:multiLevelType w:val="hybridMultilevel"/>
    <w:tmpl w:val="42867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8F34EED"/>
    <w:multiLevelType w:val="hybridMultilevel"/>
    <w:tmpl w:val="FE3E3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D656EC0"/>
    <w:multiLevelType w:val="hybridMultilevel"/>
    <w:tmpl w:val="73A05140"/>
    <w:lvl w:ilvl="0" w:tplc="4EF0C36A">
      <w:numFmt w:val="bullet"/>
      <w:lvlText w:val="-"/>
      <w:lvlJc w:val="left"/>
      <w:pPr>
        <w:ind w:left="720" w:hanging="360"/>
      </w:pPr>
      <w:rPr>
        <w:rFonts w:ascii="Cambria" w:eastAsia="Times New Roman" w:hAnsi="Cambria"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D8E1840"/>
    <w:multiLevelType w:val="singleLevel"/>
    <w:tmpl w:val="6D0003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6" w15:restartNumberingAfterBreak="0">
    <w:nsid w:val="4DCB1FCA"/>
    <w:multiLevelType w:val="multilevel"/>
    <w:tmpl w:val="AD06323A"/>
    <w:lvl w:ilvl="0">
      <w:start w:val="1"/>
      <w:numFmt w:val="bullet"/>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DE8159E"/>
    <w:multiLevelType w:val="singleLevel"/>
    <w:tmpl w:val="E5D607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8" w15:restartNumberingAfterBreak="0">
    <w:nsid w:val="4E11276B"/>
    <w:multiLevelType w:val="singleLevel"/>
    <w:tmpl w:val="BA0E5E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9" w15:restartNumberingAfterBreak="0">
    <w:nsid w:val="4E5A1632"/>
    <w:multiLevelType w:val="singleLevel"/>
    <w:tmpl w:val="B1E666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0" w15:restartNumberingAfterBreak="0">
    <w:nsid w:val="4F373241"/>
    <w:multiLevelType w:val="hybridMultilevel"/>
    <w:tmpl w:val="05D07E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F5818D5"/>
    <w:multiLevelType w:val="hybridMultilevel"/>
    <w:tmpl w:val="976A4C7E"/>
    <w:lvl w:ilvl="0" w:tplc="D6CCEA34">
      <w:start w:val="1"/>
      <w:numFmt w:val="bullet"/>
      <w:lvlText w:val=""/>
      <w:lvlJc w:val="left"/>
      <w:pPr>
        <w:ind w:left="720" w:hanging="360"/>
      </w:pPr>
      <w:rPr>
        <w:rFonts w:ascii="Symbol" w:hAnsi="Symbol"/>
      </w:rPr>
    </w:lvl>
    <w:lvl w:ilvl="1" w:tplc="6F7EBA1E">
      <w:start w:val="1"/>
      <w:numFmt w:val="bullet"/>
      <w:lvlText w:val=""/>
      <w:lvlJc w:val="left"/>
      <w:pPr>
        <w:ind w:left="720" w:hanging="360"/>
      </w:pPr>
      <w:rPr>
        <w:rFonts w:ascii="Symbol" w:hAnsi="Symbol"/>
      </w:rPr>
    </w:lvl>
    <w:lvl w:ilvl="2" w:tplc="A3A21480">
      <w:start w:val="1"/>
      <w:numFmt w:val="bullet"/>
      <w:lvlText w:val=""/>
      <w:lvlJc w:val="left"/>
      <w:pPr>
        <w:ind w:left="720" w:hanging="360"/>
      </w:pPr>
      <w:rPr>
        <w:rFonts w:ascii="Symbol" w:hAnsi="Symbol"/>
      </w:rPr>
    </w:lvl>
    <w:lvl w:ilvl="3" w:tplc="CA50F562">
      <w:start w:val="1"/>
      <w:numFmt w:val="bullet"/>
      <w:lvlText w:val=""/>
      <w:lvlJc w:val="left"/>
      <w:pPr>
        <w:ind w:left="720" w:hanging="360"/>
      </w:pPr>
      <w:rPr>
        <w:rFonts w:ascii="Symbol" w:hAnsi="Symbol"/>
      </w:rPr>
    </w:lvl>
    <w:lvl w:ilvl="4" w:tplc="658E4D72">
      <w:start w:val="1"/>
      <w:numFmt w:val="bullet"/>
      <w:lvlText w:val=""/>
      <w:lvlJc w:val="left"/>
      <w:pPr>
        <w:ind w:left="720" w:hanging="360"/>
      </w:pPr>
      <w:rPr>
        <w:rFonts w:ascii="Symbol" w:hAnsi="Symbol"/>
      </w:rPr>
    </w:lvl>
    <w:lvl w:ilvl="5" w:tplc="6F84963E">
      <w:start w:val="1"/>
      <w:numFmt w:val="bullet"/>
      <w:lvlText w:val=""/>
      <w:lvlJc w:val="left"/>
      <w:pPr>
        <w:ind w:left="720" w:hanging="360"/>
      </w:pPr>
      <w:rPr>
        <w:rFonts w:ascii="Symbol" w:hAnsi="Symbol"/>
      </w:rPr>
    </w:lvl>
    <w:lvl w:ilvl="6" w:tplc="6298F354">
      <w:start w:val="1"/>
      <w:numFmt w:val="bullet"/>
      <w:lvlText w:val=""/>
      <w:lvlJc w:val="left"/>
      <w:pPr>
        <w:ind w:left="720" w:hanging="360"/>
      </w:pPr>
      <w:rPr>
        <w:rFonts w:ascii="Symbol" w:hAnsi="Symbol"/>
      </w:rPr>
    </w:lvl>
    <w:lvl w:ilvl="7" w:tplc="8CFAC90C">
      <w:start w:val="1"/>
      <w:numFmt w:val="bullet"/>
      <w:lvlText w:val=""/>
      <w:lvlJc w:val="left"/>
      <w:pPr>
        <w:ind w:left="720" w:hanging="360"/>
      </w:pPr>
      <w:rPr>
        <w:rFonts w:ascii="Symbol" w:hAnsi="Symbol"/>
      </w:rPr>
    </w:lvl>
    <w:lvl w:ilvl="8" w:tplc="625607A8">
      <w:start w:val="1"/>
      <w:numFmt w:val="bullet"/>
      <w:lvlText w:val=""/>
      <w:lvlJc w:val="left"/>
      <w:pPr>
        <w:ind w:left="720" w:hanging="360"/>
      </w:pPr>
      <w:rPr>
        <w:rFonts w:ascii="Symbol" w:hAnsi="Symbol"/>
      </w:rPr>
    </w:lvl>
  </w:abstractNum>
  <w:abstractNum w:abstractNumId="112" w15:restartNumberingAfterBreak="0">
    <w:nsid w:val="50A05861"/>
    <w:multiLevelType w:val="singleLevel"/>
    <w:tmpl w:val="2AD452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3" w15:restartNumberingAfterBreak="0">
    <w:nsid w:val="52F715D7"/>
    <w:multiLevelType w:val="hybridMultilevel"/>
    <w:tmpl w:val="A2A64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53523B87"/>
    <w:multiLevelType w:val="singleLevel"/>
    <w:tmpl w:val="8DB4A9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5" w15:restartNumberingAfterBreak="0">
    <w:nsid w:val="53BB0236"/>
    <w:multiLevelType w:val="singleLevel"/>
    <w:tmpl w:val="CAD600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6" w15:restartNumberingAfterBreak="0">
    <w:nsid w:val="541611C2"/>
    <w:multiLevelType w:val="multilevel"/>
    <w:tmpl w:val="E828FD4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7" w15:restartNumberingAfterBreak="0">
    <w:nsid w:val="547149CF"/>
    <w:multiLevelType w:val="singleLevel"/>
    <w:tmpl w:val="49E2C1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8" w15:restartNumberingAfterBreak="0">
    <w:nsid w:val="54BA1E5A"/>
    <w:multiLevelType w:val="multilevel"/>
    <w:tmpl w:val="21984544"/>
    <w:styleLink w:val="ZZBullets"/>
    <w:lvl w:ilvl="0">
      <w:start w:val="1"/>
      <w:numFmt w:val="bullet"/>
      <w:lvlText w:val="•"/>
      <w:lvlJc w:val="left"/>
      <w:pPr>
        <w:ind w:left="852" w:hanging="284"/>
      </w:pPr>
      <w:rPr>
        <w:rFonts w:ascii="Calibri" w:hAnsi="Calibri" w:hint="default"/>
      </w:rPr>
    </w:lvl>
    <w:lvl w:ilvl="1">
      <w:start w:val="1"/>
      <w:numFmt w:val="bullet"/>
      <w:lvlRestart w:val="0"/>
      <w:lvlText w:val="–"/>
      <w:lvlJc w:val="left"/>
      <w:pPr>
        <w:ind w:left="1135" w:hanging="283"/>
      </w:pPr>
      <w:rPr>
        <w:rFonts w:ascii="Calibri" w:hAnsi="Calibri" w:hint="default"/>
      </w:rPr>
    </w:lvl>
    <w:lvl w:ilvl="2">
      <w:start w:val="1"/>
      <w:numFmt w:val="none"/>
      <w:lvlRestart w:val="0"/>
      <w:lvlText w:val=""/>
      <w:lvlJc w:val="left"/>
      <w:pPr>
        <w:ind w:left="568" w:firstLine="0"/>
      </w:pPr>
      <w:rPr>
        <w:rFonts w:hint="default"/>
      </w:rPr>
    </w:lvl>
    <w:lvl w:ilvl="3">
      <w:start w:val="1"/>
      <w:numFmt w:val="none"/>
      <w:lvlRestart w:val="0"/>
      <w:lvlText w:val=""/>
      <w:lvlJc w:val="left"/>
      <w:pPr>
        <w:ind w:left="568" w:firstLine="0"/>
      </w:pPr>
      <w:rPr>
        <w:rFonts w:hint="default"/>
      </w:rPr>
    </w:lvl>
    <w:lvl w:ilvl="4">
      <w:start w:val="1"/>
      <w:numFmt w:val="none"/>
      <w:lvlRestart w:val="0"/>
      <w:lvlText w:val=""/>
      <w:lvlJc w:val="left"/>
      <w:pPr>
        <w:ind w:left="568" w:firstLine="0"/>
      </w:pPr>
      <w:rPr>
        <w:rFonts w:hint="default"/>
      </w:rPr>
    </w:lvl>
    <w:lvl w:ilvl="5">
      <w:start w:val="1"/>
      <w:numFmt w:val="none"/>
      <w:lvlRestart w:val="0"/>
      <w:lvlText w:val=""/>
      <w:lvlJc w:val="left"/>
      <w:pPr>
        <w:ind w:left="568" w:firstLine="0"/>
      </w:pPr>
      <w:rPr>
        <w:rFonts w:hint="default"/>
      </w:rPr>
    </w:lvl>
    <w:lvl w:ilvl="6">
      <w:start w:val="1"/>
      <w:numFmt w:val="none"/>
      <w:lvlRestart w:val="0"/>
      <w:lvlText w:val=""/>
      <w:lvlJc w:val="left"/>
      <w:pPr>
        <w:ind w:left="568" w:firstLine="0"/>
      </w:pPr>
      <w:rPr>
        <w:rFonts w:hint="default"/>
      </w:rPr>
    </w:lvl>
    <w:lvl w:ilvl="7">
      <w:start w:val="1"/>
      <w:numFmt w:val="none"/>
      <w:lvlRestart w:val="0"/>
      <w:lvlText w:val=""/>
      <w:lvlJc w:val="left"/>
      <w:pPr>
        <w:ind w:left="568" w:firstLine="0"/>
      </w:pPr>
      <w:rPr>
        <w:rFonts w:hint="default"/>
      </w:rPr>
    </w:lvl>
    <w:lvl w:ilvl="8">
      <w:start w:val="1"/>
      <w:numFmt w:val="none"/>
      <w:lvlRestart w:val="0"/>
      <w:lvlText w:val=""/>
      <w:lvlJc w:val="left"/>
      <w:pPr>
        <w:ind w:left="568" w:firstLine="0"/>
      </w:pPr>
      <w:rPr>
        <w:rFonts w:hint="default"/>
      </w:rPr>
    </w:lvl>
  </w:abstractNum>
  <w:abstractNum w:abstractNumId="119" w15:restartNumberingAfterBreak="0">
    <w:nsid w:val="57CF6D4E"/>
    <w:multiLevelType w:val="singleLevel"/>
    <w:tmpl w:val="BBFC59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0" w15:restartNumberingAfterBreak="0">
    <w:nsid w:val="59F4341C"/>
    <w:multiLevelType w:val="singleLevel"/>
    <w:tmpl w:val="C2F6FE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1" w15:restartNumberingAfterBreak="0">
    <w:nsid w:val="5BC321A8"/>
    <w:multiLevelType w:val="singleLevel"/>
    <w:tmpl w:val="97EA8D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2" w15:restartNumberingAfterBreak="0">
    <w:nsid w:val="5CEE538D"/>
    <w:multiLevelType w:val="multilevel"/>
    <w:tmpl w:val="40D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054A87"/>
    <w:multiLevelType w:val="singleLevel"/>
    <w:tmpl w:val="562EB0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4" w15:restartNumberingAfterBreak="0">
    <w:nsid w:val="5D9328EE"/>
    <w:multiLevelType w:val="singleLevel"/>
    <w:tmpl w:val="EDBAB7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5" w15:restartNumberingAfterBreak="0">
    <w:nsid w:val="5DFA11BA"/>
    <w:multiLevelType w:val="hybridMultilevel"/>
    <w:tmpl w:val="537E7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5E0B0406"/>
    <w:multiLevelType w:val="singleLevel"/>
    <w:tmpl w:val="B0A67CA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7" w15:restartNumberingAfterBreak="0">
    <w:nsid w:val="607A7D8A"/>
    <w:multiLevelType w:val="singleLevel"/>
    <w:tmpl w:val="C23036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8"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9" w15:restartNumberingAfterBreak="0">
    <w:nsid w:val="64776625"/>
    <w:multiLevelType w:val="singleLevel"/>
    <w:tmpl w:val="D782597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0" w15:restartNumberingAfterBreak="0">
    <w:nsid w:val="64A43E2D"/>
    <w:multiLevelType w:val="hybridMultilevel"/>
    <w:tmpl w:val="0458EB62"/>
    <w:lvl w:ilvl="0" w:tplc="A782D5E2">
      <w:start w:val="1"/>
      <w:numFmt w:val="bullet"/>
      <w:lvlText w:val=""/>
      <w:lvlJc w:val="left"/>
      <w:pPr>
        <w:ind w:left="1080" w:hanging="360"/>
      </w:pPr>
      <w:rPr>
        <w:rFonts w:ascii="Symbol" w:hAnsi="Symbol"/>
      </w:rPr>
    </w:lvl>
    <w:lvl w:ilvl="1" w:tplc="BC9A08C8">
      <w:start w:val="1"/>
      <w:numFmt w:val="bullet"/>
      <w:lvlText w:val=""/>
      <w:lvlJc w:val="left"/>
      <w:pPr>
        <w:ind w:left="1080" w:hanging="360"/>
      </w:pPr>
      <w:rPr>
        <w:rFonts w:ascii="Symbol" w:hAnsi="Symbol"/>
      </w:rPr>
    </w:lvl>
    <w:lvl w:ilvl="2" w:tplc="197E59AE">
      <w:start w:val="1"/>
      <w:numFmt w:val="bullet"/>
      <w:lvlText w:val=""/>
      <w:lvlJc w:val="left"/>
      <w:pPr>
        <w:ind w:left="1080" w:hanging="360"/>
      </w:pPr>
      <w:rPr>
        <w:rFonts w:ascii="Symbol" w:hAnsi="Symbol"/>
      </w:rPr>
    </w:lvl>
    <w:lvl w:ilvl="3" w:tplc="F51CF570">
      <w:start w:val="1"/>
      <w:numFmt w:val="bullet"/>
      <w:lvlText w:val=""/>
      <w:lvlJc w:val="left"/>
      <w:pPr>
        <w:ind w:left="1080" w:hanging="360"/>
      </w:pPr>
      <w:rPr>
        <w:rFonts w:ascii="Symbol" w:hAnsi="Symbol"/>
      </w:rPr>
    </w:lvl>
    <w:lvl w:ilvl="4" w:tplc="4E8E344A">
      <w:start w:val="1"/>
      <w:numFmt w:val="bullet"/>
      <w:lvlText w:val=""/>
      <w:lvlJc w:val="left"/>
      <w:pPr>
        <w:ind w:left="1080" w:hanging="360"/>
      </w:pPr>
      <w:rPr>
        <w:rFonts w:ascii="Symbol" w:hAnsi="Symbol"/>
      </w:rPr>
    </w:lvl>
    <w:lvl w:ilvl="5" w:tplc="7A44E1A2">
      <w:start w:val="1"/>
      <w:numFmt w:val="bullet"/>
      <w:lvlText w:val=""/>
      <w:lvlJc w:val="left"/>
      <w:pPr>
        <w:ind w:left="1080" w:hanging="360"/>
      </w:pPr>
      <w:rPr>
        <w:rFonts w:ascii="Symbol" w:hAnsi="Symbol"/>
      </w:rPr>
    </w:lvl>
    <w:lvl w:ilvl="6" w:tplc="85628C32">
      <w:start w:val="1"/>
      <w:numFmt w:val="bullet"/>
      <w:lvlText w:val=""/>
      <w:lvlJc w:val="left"/>
      <w:pPr>
        <w:ind w:left="1080" w:hanging="360"/>
      </w:pPr>
      <w:rPr>
        <w:rFonts w:ascii="Symbol" w:hAnsi="Symbol"/>
      </w:rPr>
    </w:lvl>
    <w:lvl w:ilvl="7" w:tplc="E31AED44">
      <w:start w:val="1"/>
      <w:numFmt w:val="bullet"/>
      <w:lvlText w:val=""/>
      <w:lvlJc w:val="left"/>
      <w:pPr>
        <w:ind w:left="1080" w:hanging="360"/>
      </w:pPr>
      <w:rPr>
        <w:rFonts w:ascii="Symbol" w:hAnsi="Symbol"/>
      </w:rPr>
    </w:lvl>
    <w:lvl w:ilvl="8" w:tplc="F078DA36">
      <w:start w:val="1"/>
      <w:numFmt w:val="bullet"/>
      <w:lvlText w:val=""/>
      <w:lvlJc w:val="left"/>
      <w:pPr>
        <w:ind w:left="1080" w:hanging="360"/>
      </w:pPr>
      <w:rPr>
        <w:rFonts w:ascii="Symbol" w:hAnsi="Symbol"/>
      </w:rPr>
    </w:lvl>
  </w:abstractNum>
  <w:abstractNum w:abstractNumId="131" w15:restartNumberingAfterBreak="0">
    <w:nsid w:val="64CF2D71"/>
    <w:multiLevelType w:val="singleLevel"/>
    <w:tmpl w:val="7C3A23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2" w15:restartNumberingAfterBreak="0">
    <w:nsid w:val="65194410"/>
    <w:multiLevelType w:val="singleLevel"/>
    <w:tmpl w:val="5928B7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3" w15:restartNumberingAfterBreak="0">
    <w:nsid w:val="65BA5E77"/>
    <w:multiLevelType w:val="singleLevel"/>
    <w:tmpl w:val="480C7E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4" w15:restartNumberingAfterBreak="0">
    <w:nsid w:val="67352FC8"/>
    <w:multiLevelType w:val="singleLevel"/>
    <w:tmpl w:val="24C640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5" w15:restartNumberingAfterBreak="0">
    <w:nsid w:val="68183228"/>
    <w:multiLevelType w:val="hybridMultilevel"/>
    <w:tmpl w:val="E2D82C96"/>
    <w:lvl w:ilvl="0" w:tplc="0D165324">
      <w:start w:val="1"/>
      <w:numFmt w:val="bullet"/>
      <w:lvlText w:val="•"/>
      <w:lvlJc w:val="left"/>
      <w:pPr>
        <w:ind w:left="720" w:hanging="360"/>
      </w:pPr>
      <w:rPr>
        <w:rFonts w:ascii="Arial" w:hAnsi="Arial" w:cs="Arial" w:hint="default"/>
        <w:color w:val="auto"/>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967557E"/>
    <w:multiLevelType w:val="hybridMultilevel"/>
    <w:tmpl w:val="51E65D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6B282A1B"/>
    <w:multiLevelType w:val="singleLevel"/>
    <w:tmpl w:val="514E9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8" w15:restartNumberingAfterBreak="0">
    <w:nsid w:val="6B584DE3"/>
    <w:multiLevelType w:val="hybridMultilevel"/>
    <w:tmpl w:val="619AEB3E"/>
    <w:lvl w:ilvl="0" w:tplc="0D165324">
      <w:start w:val="1"/>
      <w:numFmt w:val="bullet"/>
      <w:lvlText w:val="•"/>
      <w:lvlJc w:val="left"/>
      <w:pPr>
        <w:ind w:left="1571" w:hanging="360"/>
      </w:pPr>
      <w:rPr>
        <w:rFonts w:ascii="Arial" w:hAnsi="Arial" w:cs="Arial" w:hint="default"/>
        <w:color w:val="auto"/>
        <w:sz w:val="24"/>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9" w15:restartNumberingAfterBreak="0">
    <w:nsid w:val="6B6434ED"/>
    <w:multiLevelType w:val="singleLevel"/>
    <w:tmpl w:val="570CE7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0" w15:restartNumberingAfterBreak="0">
    <w:nsid w:val="6BB43622"/>
    <w:multiLevelType w:val="hybridMultilevel"/>
    <w:tmpl w:val="F84E8FF6"/>
    <w:lvl w:ilvl="0" w:tplc="56BE5238">
      <w:start w:val="1"/>
      <w:numFmt w:val="bullet"/>
      <w:lvlText w:val=""/>
      <w:lvlJc w:val="left"/>
      <w:pPr>
        <w:ind w:left="1080" w:hanging="360"/>
      </w:pPr>
      <w:rPr>
        <w:rFonts w:ascii="Symbol" w:hAnsi="Symbol"/>
      </w:rPr>
    </w:lvl>
    <w:lvl w:ilvl="1" w:tplc="C352B4CC">
      <w:start w:val="1"/>
      <w:numFmt w:val="bullet"/>
      <w:lvlText w:val=""/>
      <w:lvlJc w:val="left"/>
      <w:pPr>
        <w:ind w:left="1080" w:hanging="360"/>
      </w:pPr>
      <w:rPr>
        <w:rFonts w:ascii="Symbol" w:hAnsi="Symbol"/>
      </w:rPr>
    </w:lvl>
    <w:lvl w:ilvl="2" w:tplc="8D1E2EC2">
      <w:start w:val="1"/>
      <w:numFmt w:val="bullet"/>
      <w:lvlText w:val=""/>
      <w:lvlJc w:val="left"/>
      <w:pPr>
        <w:ind w:left="1080" w:hanging="360"/>
      </w:pPr>
      <w:rPr>
        <w:rFonts w:ascii="Symbol" w:hAnsi="Symbol"/>
      </w:rPr>
    </w:lvl>
    <w:lvl w:ilvl="3" w:tplc="44667796">
      <w:start w:val="1"/>
      <w:numFmt w:val="bullet"/>
      <w:lvlText w:val=""/>
      <w:lvlJc w:val="left"/>
      <w:pPr>
        <w:ind w:left="1080" w:hanging="360"/>
      </w:pPr>
      <w:rPr>
        <w:rFonts w:ascii="Symbol" w:hAnsi="Symbol"/>
      </w:rPr>
    </w:lvl>
    <w:lvl w:ilvl="4" w:tplc="19E025A4">
      <w:start w:val="1"/>
      <w:numFmt w:val="bullet"/>
      <w:lvlText w:val=""/>
      <w:lvlJc w:val="left"/>
      <w:pPr>
        <w:ind w:left="1080" w:hanging="360"/>
      </w:pPr>
      <w:rPr>
        <w:rFonts w:ascii="Symbol" w:hAnsi="Symbol"/>
      </w:rPr>
    </w:lvl>
    <w:lvl w:ilvl="5" w:tplc="6E22751A">
      <w:start w:val="1"/>
      <w:numFmt w:val="bullet"/>
      <w:lvlText w:val=""/>
      <w:lvlJc w:val="left"/>
      <w:pPr>
        <w:ind w:left="1080" w:hanging="360"/>
      </w:pPr>
      <w:rPr>
        <w:rFonts w:ascii="Symbol" w:hAnsi="Symbol"/>
      </w:rPr>
    </w:lvl>
    <w:lvl w:ilvl="6" w:tplc="05223B3E">
      <w:start w:val="1"/>
      <w:numFmt w:val="bullet"/>
      <w:lvlText w:val=""/>
      <w:lvlJc w:val="left"/>
      <w:pPr>
        <w:ind w:left="1080" w:hanging="360"/>
      </w:pPr>
      <w:rPr>
        <w:rFonts w:ascii="Symbol" w:hAnsi="Symbol"/>
      </w:rPr>
    </w:lvl>
    <w:lvl w:ilvl="7" w:tplc="431E5846">
      <w:start w:val="1"/>
      <w:numFmt w:val="bullet"/>
      <w:lvlText w:val=""/>
      <w:lvlJc w:val="left"/>
      <w:pPr>
        <w:ind w:left="1080" w:hanging="360"/>
      </w:pPr>
      <w:rPr>
        <w:rFonts w:ascii="Symbol" w:hAnsi="Symbol"/>
      </w:rPr>
    </w:lvl>
    <w:lvl w:ilvl="8" w:tplc="FA264FA6">
      <w:start w:val="1"/>
      <w:numFmt w:val="bullet"/>
      <w:lvlText w:val=""/>
      <w:lvlJc w:val="left"/>
      <w:pPr>
        <w:ind w:left="1080" w:hanging="360"/>
      </w:pPr>
      <w:rPr>
        <w:rFonts w:ascii="Symbol" w:hAnsi="Symbol"/>
      </w:rPr>
    </w:lvl>
  </w:abstractNum>
  <w:abstractNum w:abstractNumId="141" w15:restartNumberingAfterBreak="0">
    <w:nsid w:val="6C0705BD"/>
    <w:multiLevelType w:val="singleLevel"/>
    <w:tmpl w:val="C0B466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2" w15:restartNumberingAfterBreak="0">
    <w:nsid w:val="6C427E14"/>
    <w:multiLevelType w:val="hybridMultilevel"/>
    <w:tmpl w:val="C74A0D18"/>
    <w:lvl w:ilvl="0" w:tplc="C2DC10BC">
      <w:start w:val="1"/>
      <w:numFmt w:val="bullet"/>
      <w:lvlText w:val=""/>
      <w:lvlPicBulletId w:val="0"/>
      <w:lvlJc w:val="left"/>
      <w:pPr>
        <w:tabs>
          <w:tab w:val="num" w:pos="720"/>
        </w:tabs>
        <w:ind w:left="720" w:hanging="360"/>
      </w:pPr>
      <w:rPr>
        <w:rFonts w:ascii="Symbol" w:hAnsi="Symbol" w:hint="default"/>
        <w:sz w:val="30"/>
        <w:szCs w:val="30"/>
      </w:rPr>
    </w:lvl>
    <w:lvl w:ilvl="1" w:tplc="6E981488" w:tentative="1">
      <w:start w:val="1"/>
      <w:numFmt w:val="bullet"/>
      <w:lvlText w:val=""/>
      <w:lvlJc w:val="left"/>
      <w:pPr>
        <w:tabs>
          <w:tab w:val="num" w:pos="1440"/>
        </w:tabs>
        <w:ind w:left="1440" w:hanging="360"/>
      </w:pPr>
      <w:rPr>
        <w:rFonts w:ascii="Symbol" w:hAnsi="Symbol" w:hint="default"/>
      </w:rPr>
    </w:lvl>
    <w:lvl w:ilvl="2" w:tplc="21F07C8E" w:tentative="1">
      <w:start w:val="1"/>
      <w:numFmt w:val="bullet"/>
      <w:lvlText w:val=""/>
      <w:lvlJc w:val="left"/>
      <w:pPr>
        <w:tabs>
          <w:tab w:val="num" w:pos="2160"/>
        </w:tabs>
        <w:ind w:left="2160" w:hanging="360"/>
      </w:pPr>
      <w:rPr>
        <w:rFonts w:ascii="Symbol" w:hAnsi="Symbol" w:hint="default"/>
      </w:rPr>
    </w:lvl>
    <w:lvl w:ilvl="3" w:tplc="C63EE338" w:tentative="1">
      <w:start w:val="1"/>
      <w:numFmt w:val="bullet"/>
      <w:lvlText w:val=""/>
      <w:lvlJc w:val="left"/>
      <w:pPr>
        <w:tabs>
          <w:tab w:val="num" w:pos="2880"/>
        </w:tabs>
        <w:ind w:left="2880" w:hanging="360"/>
      </w:pPr>
      <w:rPr>
        <w:rFonts w:ascii="Symbol" w:hAnsi="Symbol" w:hint="default"/>
      </w:rPr>
    </w:lvl>
    <w:lvl w:ilvl="4" w:tplc="7EC84CEA" w:tentative="1">
      <w:start w:val="1"/>
      <w:numFmt w:val="bullet"/>
      <w:lvlText w:val=""/>
      <w:lvlJc w:val="left"/>
      <w:pPr>
        <w:tabs>
          <w:tab w:val="num" w:pos="3600"/>
        </w:tabs>
        <w:ind w:left="3600" w:hanging="360"/>
      </w:pPr>
      <w:rPr>
        <w:rFonts w:ascii="Symbol" w:hAnsi="Symbol" w:hint="default"/>
      </w:rPr>
    </w:lvl>
    <w:lvl w:ilvl="5" w:tplc="18D4EE6E" w:tentative="1">
      <w:start w:val="1"/>
      <w:numFmt w:val="bullet"/>
      <w:lvlText w:val=""/>
      <w:lvlJc w:val="left"/>
      <w:pPr>
        <w:tabs>
          <w:tab w:val="num" w:pos="4320"/>
        </w:tabs>
        <w:ind w:left="4320" w:hanging="360"/>
      </w:pPr>
      <w:rPr>
        <w:rFonts w:ascii="Symbol" w:hAnsi="Symbol" w:hint="default"/>
      </w:rPr>
    </w:lvl>
    <w:lvl w:ilvl="6" w:tplc="980A6782" w:tentative="1">
      <w:start w:val="1"/>
      <w:numFmt w:val="bullet"/>
      <w:lvlText w:val=""/>
      <w:lvlJc w:val="left"/>
      <w:pPr>
        <w:tabs>
          <w:tab w:val="num" w:pos="5040"/>
        </w:tabs>
        <w:ind w:left="5040" w:hanging="360"/>
      </w:pPr>
      <w:rPr>
        <w:rFonts w:ascii="Symbol" w:hAnsi="Symbol" w:hint="default"/>
      </w:rPr>
    </w:lvl>
    <w:lvl w:ilvl="7" w:tplc="6D76B390" w:tentative="1">
      <w:start w:val="1"/>
      <w:numFmt w:val="bullet"/>
      <w:lvlText w:val=""/>
      <w:lvlJc w:val="left"/>
      <w:pPr>
        <w:tabs>
          <w:tab w:val="num" w:pos="5760"/>
        </w:tabs>
        <w:ind w:left="5760" w:hanging="360"/>
      </w:pPr>
      <w:rPr>
        <w:rFonts w:ascii="Symbol" w:hAnsi="Symbol" w:hint="default"/>
      </w:rPr>
    </w:lvl>
    <w:lvl w:ilvl="8" w:tplc="49EC31B2" w:tentative="1">
      <w:start w:val="1"/>
      <w:numFmt w:val="bullet"/>
      <w:lvlText w:val=""/>
      <w:lvlJc w:val="left"/>
      <w:pPr>
        <w:tabs>
          <w:tab w:val="num" w:pos="6480"/>
        </w:tabs>
        <w:ind w:left="6480" w:hanging="360"/>
      </w:pPr>
      <w:rPr>
        <w:rFonts w:ascii="Symbol" w:hAnsi="Symbol" w:hint="default"/>
      </w:rPr>
    </w:lvl>
  </w:abstractNum>
  <w:abstractNum w:abstractNumId="143" w15:restartNumberingAfterBreak="0">
    <w:nsid w:val="6C804B66"/>
    <w:multiLevelType w:val="singleLevel"/>
    <w:tmpl w:val="285478C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4" w15:restartNumberingAfterBreak="0">
    <w:nsid w:val="6CB77C84"/>
    <w:multiLevelType w:val="singleLevel"/>
    <w:tmpl w:val="2CCE3E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5" w15:restartNumberingAfterBreak="0">
    <w:nsid w:val="6CD3359E"/>
    <w:multiLevelType w:val="multilevel"/>
    <w:tmpl w:val="445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EAF76AB"/>
    <w:multiLevelType w:val="singleLevel"/>
    <w:tmpl w:val="11AA27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7" w15:restartNumberingAfterBreak="0">
    <w:nsid w:val="71104B29"/>
    <w:multiLevelType w:val="singleLevel"/>
    <w:tmpl w:val="6A2C9B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8" w15:restartNumberingAfterBreak="0">
    <w:nsid w:val="7155078A"/>
    <w:multiLevelType w:val="multilevel"/>
    <w:tmpl w:val="1E88A70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9" w15:restartNumberingAfterBreak="0">
    <w:nsid w:val="71A104ED"/>
    <w:multiLevelType w:val="singleLevel"/>
    <w:tmpl w:val="059CAEA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0" w15:restartNumberingAfterBreak="0">
    <w:nsid w:val="71B31F03"/>
    <w:multiLevelType w:val="singleLevel"/>
    <w:tmpl w:val="AD46CE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1" w15:restartNumberingAfterBreak="0">
    <w:nsid w:val="71B32FD0"/>
    <w:multiLevelType w:val="singleLevel"/>
    <w:tmpl w:val="A364CC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2" w15:restartNumberingAfterBreak="0">
    <w:nsid w:val="72656ADA"/>
    <w:multiLevelType w:val="singleLevel"/>
    <w:tmpl w:val="D014493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3" w15:restartNumberingAfterBreak="0">
    <w:nsid w:val="72BE34FC"/>
    <w:multiLevelType w:val="multilevel"/>
    <w:tmpl w:val="7A0A619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4" w15:restartNumberingAfterBreak="0">
    <w:nsid w:val="733D2FEB"/>
    <w:multiLevelType w:val="singleLevel"/>
    <w:tmpl w:val="5C8AB7A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5" w15:restartNumberingAfterBreak="0">
    <w:nsid w:val="738E69D2"/>
    <w:multiLevelType w:val="singleLevel"/>
    <w:tmpl w:val="C8700C9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6" w15:restartNumberingAfterBreak="0">
    <w:nsid w:val="73D92C7D"/>
    <w:multiLevelType w:val="singleLevel"/>
    <w:tmpl w:val="7750D6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7" w15:restartNumberingAfterBreak="0">
    <w:nsid w:val="744711E0"/>
    <w:multiLevelType w:val="hybridMultilevel"/>
    <w:tmpl w:val="FAB0F2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760E46C6"/>
    <w:multiLevelType w:val="hybridMultilevel"/>
    <w:tmpl w:val="A018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7E022D6"/>
    <w:multiLevelType w:val="multilevel"/>
    <w:tmpl w:val="29B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8034AA6"/>
    <w:multiLevelType w:val="singleLevel"/>
    <w:tmpl w:val="779045E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1" w15:restartNumberingAfterBreak="0">
    <w:nsid w:val="784F4BDC"/>
    <w:multiLevelType w:val="singleLevel"/>
    <w:tmpl w:val="2A542B7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2" w15:restartNumberingAfterBreak="0">
    <w:nsid w:val="787B53A8"/>
    <w:multiLevelType w:val="multilevel"/>
    <w:tmpl w:val="17BA9294"/>
    <w:styleLink w:val="zzDJRbullets"/>
    <w:lvl w:ilvl="0">
      <w:start w:val="1"/>
      <w:numFmt w:val="bullet"/>
      <w:lvlText w:val="•"/>
      <w:lvlJc w:val="left"/>
      <w:pPr>
        <w:tabs>
          <w:tab w:val="num" w:pos="680"/>
        </w:tabs>
        <w:ind w:left="964" w:hanging="284"/>
      </w:pPr>
      <w:rPr>
        <w:rFonts w:ascii="Calibri" w:hAnsi="Calibri"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78A76430"/>
    <w:multiLevelType w:val="hybridMultilevel"/>
    <w:tmpl w:val="85A80E12"/>
    <w:lvl w:ilvl="0" w:tplc="0D165324">
      <w:start w:val="1"/>
      <w:numFmt w:val="bullet"/>
      <w:lvlText w:val="•"/>
      <w:lvlJc w:val="left"/>
      <w:pPr>
        <w:ind w:left="360" w:hanging="360"/>
      </w:pPr>
      <w:rPr>
        <w:rFonts w:ascii="Arial" w:hAnsi="Arial" w:cs="Aria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4" w15:restartNumberingAfterBreak="0">
    <w:nsid w:val="79335BD1"/>
    <w:multiLevelType w:val="multilevel"/>
    <w:tmpl w:val="45D46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AEF7DDC"/>
    <w:multiLevelType w:val="hybridMultilevel"/>
    <w:tmpl w:val="94422A44"/>
    <w:lvl w:ilvl="0" w:tplc="797E6C64">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BDB490B"/>
    <w:multiLevelType w:val="multilevel"/>
    <w:tmpl w:val="EBEE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4B1250"/>
    <w:multiLevelType w:val="multilevel"/>
    <w:tmpl w:val="93E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C5F14EC"/>
    <w:multiLevelType w:val="multilevel"/>
    <w:tmpl w:val="BC407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7C8600FB"/>
    <w:multiLevelType w:val="singleLevel"/>
    <w:tmpl w:val="276CA61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0" w15:restartNumberingAfterBreak="0">
    <w:nsid w:val="7D795233"/>
    <w:multiLevelType w:val="singleLevel"/>
    <w:tmpl w:val="3A2E7B9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1"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7DFA3A05"/>
    <w:multiLevelType w:val="singleLevel"/>
    <w:tmpl w:val="7AFEE63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3" w15:restartNumberingAfterBreak="0">
    <w:nsid w:val="7EA543C8"/>
    <w:multiLevelType w:val="singleLevel"/>
    <w:tmpl w:val="2104FF5C"/>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165050973">
    <w:abstractNumId w:val="118"/>
  </w:num>
  <w:num w:numId="2" w16cid:durableId="2025012343">
    <w:abstractNumId w:val="87"/>
  </w:num>
  <w:num w:numId="3" w16cid:durableId="2106730588">
    <w:abstractNumId w:val="15"/>
  </w:num>
  <w:num w:numId="4" w16cid:durableId="854073825">
    <w:abstractNumId w:val="63"/>
  </w:num>
  <w:num w:numId="5" w16cid:durableId="1241257602">
    <w:abstractNumId w:val="128"/>
  </w:num>
  <w:num w:numId="6" w16cid:durableId="569005765">
    <w:abstractNumId w:val="116"/>
  </w:num>
  <w:num w:numId="7" w16cid:durableId="971060433">
    <w:abstractNumId w:val="103"/>
  </w:num>
  <w:num w:numId="8" w16cid:durableId="1803308905">
    <w:abstractNumId w:val="85"/>
  </w:num>
  <w:num w:numId="9" w16cid:durableId="454642251">
    <w:abstractNumId w:val="171"/>
  </w:num>
  <w:num w:numId="10" w16cid:durableId="1052120435">
    <w:abstractNumId w:val="162"/>
  </w:num>
  <w:num w:numId="11" w16cid:durableId="1569923265">
    <w:abstractNumId w:val="18"/>
  </w:num>
  <w:num w:numId="12" w16cid:durableId="1525900106">
    <w:abstractNumId w:val="153"/>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757749119">
    <w:abstractNumId w:val="153"/>
  </w:num>
  <w:num w:numId="14" w16cid:durableId="779836605">
    <w:abstractNumId w:val="116"/>
  </w:num>
  <w:num w:numId="15" w16cid:durableId="1671786865">
    <w:abstractNumId w:val="49"/>
  </w:num>
  <w:num w:numId="16" w16cid:durableId="637104516">
    <w:abstractNumId w:val="56"/>
  </w:num>
  <w:num w:numId="17" w16cid:durableId="820317252">
    <w:abstractNumId w:val="25"/>
  </w:num>
  <w:num w:numId="18" w16cid:durableId="1597785401">
    <w:abstractNumId w:val="106"/>
  </w:num>
  <w:num w:numId="19" w16cid:durableId="987172538">
    <w:abstractNumId w:val="70"/>
  </w:num>
  <w:num w:numId="20" w16cid:durableId="9525181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4428674">
    <w:abstractNumId w:val="126"/>
  </w:num>
  <w:num w:numId="22" w16cid:durableId="969821569">
    <w:abstractNumId w:val="40"/>
  </w:num>
  <w:num w:numId="23" w16cid:durableId="42023346">
    <w:abstractNumId w:val="42"/>
  </w:num>
  <w:num w:numId="24" w16cid:durableId="672683318">
    <w:abstractNumId w:val="91"/>
  </w:num>
  <w:num w:numId="25" w16cid:durableId="1570112919">
    <w:abstractNumId w:val="34"/>
  </w:num>
  <w:num w:numId="26" w16cid:durableId="1129664248">
    <w:abstractNumId w:val="76"/>
  </w:num>
  <w:num w:numId="27" w16cid:durableId="40444727">
    <w:abstractNumId w:val="59"/>
  </w:num>
  <w:num w:numId="28" w16cid:durableId="2092121452">
    <w:abstractNumId w:val="46"/>
  </w:num>
  <w:num w:numId="29" w16cid:durableId="1062682566">
    <w:abstractNumId w:val="107"/>
  </w:num>
  <w:num w:numId="30" w16cid:durableId="1530948492">
    <w:abstractNumId w:val="53"/>
  </w:num>
  <w:num w:numId="31" w16cid:durableId="604386363">
    <w:abstractNumId w:val="168"/>
  </w:num>
  <w:num w:numId="32" w16cid:durableId="1810435871">
    <w:abstractNumId w:val="89"/>
  </w:num>
  <w:num w:numId="33" w16cid:durableId="1636908334">
    <w:abstractNumId w:val="109"/>
  </w:num>
  <w:num w:numId="34" w16cid:durableId="1286738933">
    <w:abstractNumId w:val="120"/>
  </w:num>
  <w:num w:numId="35" w16cid:durableId="1911765476">
    <w:abstractNumId w:val="64"/>
  </w:num>
  <w:num w:numId="36" w16cid:durableId="986469955">
    <w:abstractNumId w:val="3"/>
  </w:num>
  <w:num w:numId="37" w16cid:durableId="1695422365">
    <w:abstractNumId w:val="54"/>
  </w:num>
  <w:num w:numId="38" w16cid:durableId="1309824388">
    <w:abstractNumId w:val="135"/>
  </w:num>
  <w:num w:numId="39" w16cid:durableId="304625207">
    <w:abstractNumId w:val="58"/>
  </w:num>
  <w:num w:numId="40" w16cid:durableId="374043161">
    <w:abstractNumId w:val="102"/>
  </w:num>
  <w:num w:numId="41" w16cid:durableId="623855095">
    <w:abstractNumId w:val="21"/>
  </w:num>
  <w:num w:numId="42" w16cid:durableId="1388990523">
    <w:abstractNumId w:val="66"/>
  </w:num>
  <w:num w:numId="43" w16cid:durableId="867913583">
    <w:abstractNumId w:val="136"/>
  </w:num>
  <w:num w:numId="44" w16cid:durableId="1535077237">
    <w:abstractNumId w:val="81"/>
  </w:num>
  <w:num w:numId="45" w16cid:durableId="1715109710">
    <w:abstractNumId w:val="65"/>
  </w:num>
  <w:num w:numId="46" w16cid:durableId="1345597342">
    <w:abstractNumId w:val="5"/>
  </w:num>
  <w:num w:numId="47" w16cid:durableId="1100681612">
    <w:abstractNumId w:val="131"/>
  </w:num>
  <w:num w:numId="48" w16cid:durableId="389116030">
    <w:abstractNumId w:val="146"/>
  </w:num>
  <w:num w:numId="49" w16cid:durableId="1994262059">
    <w:abstractNumId w:val="97"/>
  </w:num>
  <w:num w:numId="50" w16cid:durableId="1360425727">
    <w:abstractNumId w:val="173"/>
  </w:num>
  <w:num w:numId="51" w16cid:durableId="704520136">
    <w:abstractNumId w:val="141"/>
  </w:num>
  <w:num w:numId="52" w16cid:durableId="1171795957">
    <w:abstractNumId w:val="17"/>
  </w:num>
  <w:num w:numId="53" w16cid:durableId="207962385">
    <w:abstractNumId w:val="48"/>
  </w:num>
  <w:num w:numId="54" w16cid:durableId="1190218508">
    <w:abstractNumId w:val="49"/>
  </w:num>
  <w:num w:numId="55" w16cid:durableId="902329486">
    <w:abstractNumId w:val="57"/>
  </w:num>
  <w:num w:numId="56" w16cid:durableId="1679379805">
    <w:abstractNumId w:val="28"/>
  </w:num>
  <w:num w:numId="57" w16cid:durableId="700667035">
    <w:abstractNumId w:val="23"/>
  </w:num>
  <w:num w:numId="58" w16cid:durableId="1381440883">
    <w:abstractNumId w:val="160"/>
  </w:num>
  <w:num w:numId="59" w16cid:durableId="787162100">
    <w:abstractNumId w:val="20"/>
  </w:num>
  <w:num w:numId="60" w16cid:durableId="1907449594">
    <w:abstractNumId w:val="166"/>
  </w:num>
  <w:num w:numId="61" w16cid:durableId="2042436479">
    <w:abstractNumId w:val="145"/>
  </w:num>
  <w:num w:numId="62" w16cid:durableId="1435714368">
    <w:abstractNumId w:val="125"/>
  </w:num>
  <w:num w:numId="63" w16cid:durableId="233324305">
    <w:abstractNumId w:val="52"/>
  </w:num>
  <w:num w:numId="64" w16cid:durableId="1853954875">
    <w:abstractNumId w:val="44"/>
  </w:num>
  <w:num w:numId="65" w16cid:durableId="1855028401">
    <w:abstractNumId w:val="150"/>
  </w:num>
  <w:num w:numId="66" w16cid:durableId="1144279903">
    <w:abstractNumId w:val="71"/>
  </w:num>
  <w:num w:numId="67" w16cid:durableId="533004923">
    <w:abstractNumId w:val="39"/>
  </w:num>
  <w:num w:numId="68" w16cid:durableId="2086295479">
    <w:abstractNumId w:val="142"/>
  </w:num>
  <w:num w:numId="69" w16cid:durableId="722290999">
    <w:abstractNumId w:val="89"/>
  </w:num>
  <w:num w:numId="70" w16cid:durableId="1579821616">
    <w:abstractNumId w:val="76"/>
  </w:num>
  <w:num w:numId="71" w16cid:durableId="1112750811">
    <w:abstractNumId w:val="135"/>
  </w:num>
  <w:num w:numId="72" w16cid:durableId="1992563262">
    <w:abstractNumId w:val="42"/>
  </w:num>
  <w:num w:numId="73" w16cid:durableId="1061633180">
    <w:abstractNumId w:val="157"/>
  </w:num>
  <w:num w:numId="74" w16cid:durableId="384646500">
    <w:abstractNumId w:val="73"/>
  </w:num>
  <w:num w:numId="75" w16cid:durableId="2134053110">
    <w:abstractNumId w:val="129"/>
  </w:num>
  <w:num w:numId="76" w16cid:durableId="1143696727">
    <w:abstractNumId w:val="110"/>
  </w:num>
  <w:num w:numId="77" w16cid:durableId="494414169">
    <w:abstractNumId w:val="144"/>
  </w:num>
  <w:num w:numId="78" w16cid:durableId="1586114015">
    <w:abstractNumId w:val="51"/>
  </w:num>
  <w:num w:numId="79" w16cid:durableId="1190874425">
    <w:abstractNumId w:val="112"/>
  </w:num>
  <w:num w:numId="80" w16cid:durableId="413207740">
    <w:abstractNumId w:val="55"/>
  </w:num>
  <w:num w:numId="81" w16cid:durableId="1718894333">
    <w:abstractNumId w:val="45"/>
  </w:num>
  <w:num w:numId="82" w16cid:durableId="1733196362">
    <w:abstractNumId w:val="41"/>
  </w:num>
  <w:num w:numId="83" w16cid:durableId="623076185">
    <w:abstractNumId w:val="104"/>
  </w:num>
  <w:num w:numId="84" w16cid:durableId="1819302864">
    <w:abstractNumId w:val="86"/>
  </w:num>
  <w:num w:numId="85" w16cid:durableId="490684361">
    <w:abstractNumId w:val="165"/>
  </w:num>
  <w:num w:numId="86" w16cid:durableId="369844540">
    <w:abstractNumId w:val="172"/>
  </w:num>
  <w:num w:numId="87" w16cid:durableId="540436782">
    <w:abstractNumId w:val="117"/>
  </w:num>
  <w:num w:numId="88" w16cid:durableId="2083986538">
    <w:abstractNumId w:val="130"/>
  </w:num>
  <w:num w:numId="89" w16cid:durableId="2038508136">
    <w:abstractNumId w:val="111"/>
  </w:num>
  <w:num w:numId="90" w16cid:durableId="11954594">
    <w:abstractNumId w:val="79"/>
  </w:num>
  <w:num w:numId="91" w16cid:durableId="1683705894">
    <w:abstractNumId w:val="169"/>
  </w:num>
  <w:num w:numId="92" w16cid:durableId="553004116">
    <w:abstractNumId w:val="121"/>
  </w:num>
  <w:num w:numId="93" w16cid:durableId="152294046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0083121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02010221">
    <w:abstractNumId w:val="47"/>
  </w:num>
  <w:num w:numId="96" w16cid:durableId="18160220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68031502">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0530102">
    <w:abstractNumId w:val="92"/>
  </w:num>
  <w:num w:numId="99" w16cid:durableId="1614045907">
    <w:abstractNumId w:val="30"/>
  </w:num>
  <w:num w:numId="100" w16cid:durableId="448357371">
    <w:abstractNumId w:val="138"/>
  </w:num>
  <w:num w:numId="101" w16cid:durableId="1960331060">
    <w:abstractNumId w:val="99"/>
  </w:num>
  <w:num w:numId="102" w16cid:durableId="120343917">
    <w:abstractNumId w:val="2"/>
  </w:num>
  <w:num w:numId="103" w16cid:durableId="197593221">
    <w:abstractNumId w:val="31"/>
  </w:num>
  <w:num w:numId="104" w16cid:durableId="141311080">
    <w:abstractNumId w:val="167"/>
  </w:num>
  <w:num w:numId="105" w16cid:durableId="493377334">
    <w:abstractNumId w:val="152"/>
  </w:num>
  <w:num w:numId="106" w16cid:durableId="788817171">
    <w:abstractNumId w:val="134"/>
  </w:num>
  <w:num w:numId="107" w16cid:durableId="843857609">
    <w:abstractNumId w:val="7"/>
  </w:num>
  <w:num w:numId="108" w16cid:durableId="119764481">
    <w:abstractNumId w:val="113"/>
  </w:num>
  <w:num w:numId="109" w16cid:durableId="1107315531">
    <w:abstractNumId w:val="122"/>
  </w:num>
  <w:num w:numId="110" w16cid:durableId="842550141">
    <w:abstractNumId w:val="88"/>
  </w:num>
  <w:num w:numId="111" w16cid:durableId="745885435">
    <w:abstractNumId w:val="68"/>
  </w:num>
  <w:num w:numId="112" w16cid:durableId="1682852014">
    <w:abstractNumId w:val="155"/>
  </w:num>
  <w:num w:numId="113" w16cid:durableId="252976553">
    <w:abstractNumId w:val="13"/>
  </w:num>
  <w:num w:numId="114" w16cid:durableId="1368334647">
    <w:abstractNumId w:val="170"/>
  </w:num>
  <w:num w:numId="115" w16cid:durableId="2017077542">
    <w:abstractNumId w:val="98"/>
  </w:num>
  <w:num w:numId="116" w16cid:durableId="448167464">
    <w:abstractNumId w:val="35"/>
  </w:num>
  <w:num w:numId="117" w16cid:durableId="359749095">
    <w:abstractNumId w:val="96"/>
  </w:num>
  <w:num w:numId="118" w16cid:durableId="199243411">
    <w:abstractNumId w:val="154"/>
  </w:num>
  <w:num w:numId="119" w16cid:durableId="382943188">
    <w:abstractNumId w:val="147"/>
  </w:num>
  <w:num w:numId="120" w16cid:durableId="1677920141">
    <w:abstractNumId w:val="139"/>
  </w:num>
  <w:num w:numId="121" w16cid:durableId="594169650">
    <w:abstractNumId w:val="12"/>
  </w:num>
  <w:num w:numId="122" w16cid:durableId="197856159">
    <w:abstractNumId w:val="8"/>
  </w:num>
  <w:num w:numId="123" w16cid:durableId="1916356518">
    <w:abstractNumId w:val="137"/>
  </w:num>
  <w:num w:numId="124" w16cid:durableId="1866214489">
    <w:abstractNumId w:val="36"/>
  </w:num>
  <w:num w:numId="125" w16cid:durableId="1466315647">
    <w:abstractNumId w:val="94"/>
  </w:num>
  <w:num w:numId="126" w16cid:durableId="1440100717">
    <w:abstractNumId w:val="127"/>
  </w:num>
  <w:num w:numId="127" w16cid:durableId="1819415703">
    <w:abstractNumId w:val="60"/>
  </w:num>
  <w:num w:numId="128" w16cid:durableId="1270814996">
    <w:abstractNumId w:val="90"/>
  </w:num>
  <w:num w:numId="129" w16cid:durableId="676157562">
    <w:abstractNumId w:val="78"/>
  </w:num>
  <w:num w:numId="130" w16cid:durableId="1057053929">
    <w:abstractNumId w:val="67"/>
  </w:num>
  <w:num w:numId="131" w16cid:durableId="714356501">
    <w:abstractNumId w:val="38"/>
  </w:num>
  <w:num w:numId="132" w16cid:durableId="1005785775">
    <w:abstractNumId w:val="163"/>
  </w:num>
  <w:num w:numId="133" w16cid:durableId="1671103211">
    <w:abstractNumId w:val="27"/>
  </w:num>
  <w:num w:numId="134" w16cid:durableId="1252474363">
    <w:abstractNumId w:val="29"/>
  </w:num>
  <w:num w:numId="135" w16cid:durableId="527376363">
    <w:abstractNumId w:val="50"/>
  </w:num>
  <w:num w:numId="136" w16cid:durableId="732392587">
    <w:abstractNumId w:val="119"/>
  </w:num>
  <w:num w:numId="137" w16cid:durableId="1607737795">
    <w:abstractNumId w:val="133"/>
  </w:num>
  <w:num w:numId="138" w16cid:durableId="1444230538">
    <w:abstractNumId w:val="77"/>
  </w:num>
  <w:num w:numId="139" w16cid:durableId="742337725">
    <w:abstractNumId w:val="9"/>
  </w:num>
  <w:num w:numId="140" w16cid:durableId="1720665969">
    <w:abstractNumId w:val="19"/>
  </w:num>
  <w:num w:numId="141" w16cid:durableId="208763034">
    <w:abstractNumId w:val="4"/>
  </w:num>
  <w:num w:numId="142" w16cid:durableId="1916670161">
    <w:abstractNumId w:val="132"/>
  </w:num>
  <w:num w:numId="143" w16cid:durableId="543715092">
    <w:abstractNumId w:val="26"/>
  </w:num>
  <w:num w:numId="144" w16cid:durableId="375860058">
    <w:abstractNumId w:val="124"/>
  </w:num>
  <w:num w:numId="145" w16cid:durableId="1616715452">
    <w:abstractNumId w:val="75"/>
  </w:num>
  <w:num w:numId="146" w16cid:durableId="150029529">
    <w:abstractNumId w:val="148"/>
  </w:num>
  <w:num w:numId="147" w16cid:durableId="680737897">
    <w:abstractNumId w:val="95"/>
  </w:num>
  <w:num w:numId="148" w16cid:durableId="1294024991">
    <w:abstractNumId w:val="16"/>
  </w:num>
  <w:num w:numId="149" w16cid:durableId="1696496986">
    <w:abstractNumId w:val="74"/>
  </w:num>
  <w:num w:numId="150" w16cid:durableId="1079643303">
    <w:abstractNumId w:val="6"/>
  </w:num>
  <w:num w:numId="151" w16cid:durableId="576089094">
    <w:abstractNumId w:val="151"/>
  </w:num>
  <w:num w:numId="152" w16cid:durableId="1740590378">
    <w:abstractNumId w:val="10"/>
  </w:num>
  <w:num w:numId="153" w16cid:durableId="866597859">
    <w:abstractNumId w:val="69"/>
  </w:num>
  <w:num w:numId="154" w16cid:durableId="1897620530">
    <w:abstractNumId w:val="37"/>
  </w:num>
  <w:num w:numId="155" w16cid:durableId="1551762877">
    <w:abstractNumId w:val="114"/>
  </w:num>
  <w:num w:numId="156" w16cid:durableId="1087994309">
    <w:abstractNumId w:val="84"/>
  </w:num>
  <w:num w:numId="157" w16cid:durableId="1812750947">
    <w:abstractNumId w:val="108"/>
  </w:num>
  <w:num w:numId="158" w16cid:durableId="91515389">
    <w:abstractNumId w:val="123"/>
  </w:num>
  <w:num w:numId="159" w16cid:durableId="2099477845">
    <w:abstractNumId w:val="149"/>
  </w:num>
  <w:num w:numId="160" w16cid:durableId="2041780428">
    <w:abstractNumId w:val="156"/>
  </w:num>
  <w:num w:numId="161" w16cid:durableId="1312293968">
    <w:abstractNumId w:val="22"/>
  </w:num>
  <w:num w:numId="162" w16cid:durableId="254676678">
    <w:abstractNumId w:val="158"/>
  </w:num>
  <w:num w:numId="163" w16cid:durableId="1225675406">
    <w:abstractNumId w:val="105"/>
  </w:num>
  <w:num w:numId="164" w16cid:durableId="604074615">
    <w:abstractNumId w:val="43"/>
  </w:num>
  <w:num w:numId="165" w16cid:durableId="332685219">
    <w:abstractNumId w:val="80"/>
  </w:num>
  <w:num w:numId="166" w16cid:durableId="199828625">
    <w:abstractNumId w:val="11"/>
  </w:num>
  <w:num w:numId="167" w16cid:durableId="1435205590">
    <w:abstractNumId w:val="33"/>
  </w:num>
  <w:num w:numId="168" w16cid:durableId="981038752">
    <w:abstractNumId w:val="0"/>
  </w:num>
  <w:num w:numId="169" w16cid:durableId="1224297665">
    <w:abstractNumId w:val="82"/>
  </w:num>
  <w:num w:numId="170" w16cid:durableId="2145274885">
    <w:abstractNumId w:val="93"/>
  </w:num>
  <w:num w:numId="171" w16cid:durableId="1739867023">
    <w:abstractNumId w:val="32"/>
  </w:num>
  <w:num w:numId="172" w16cid:durableId="300421921">
    <w:abstractNumId w:val="140"/>
  </w:num>
  <w:num w:numId="173" w16cid:durableId="540477515">
    <w:abstractNumId w:val="100"/>
  </w:num>
  <w:num w:numId="174" w16cid:durableId="1168862145">
    <w:abstractNumId w:val="159"/>
  </w:num>
  <w:num w:numId="175" w16cid:durableId="629356817">
    <w:abstractNumId w:val="14"/>
  </w:num>
  <w:num w:numId="176" w16cid:durableId="1405223525">
    <w:abstractNumId w:val="164"/>
  </w:num>
  <w:num w:numId="177" w16cid:durableId="2106536235">
    <w:abstractNumId w:val="143"/>
  </w:num>
  <w:num w:numId="178" w16cid:durableId="615715354">
    <w:abstractNumId w:val="62"/>
  </w:num>
  <w:num w:numId="179" w16cid:durableId="465123111">
    <w:abstractNumId w:val="101"/>
  </w:num>
  <w:num w:numId="180" w16cid:durableId="2009018470">
    <w:abstractNumId w:val="83"/>
  </w:num>
  <w:num w:numId="181" w16cid:durableId="367921857">
    <w:abstractNumId w:val="72"/>
  </w:num>
  <w:num w:numId="182" w16cid:durableId="104468892">
    <w:abstractNumId w:val="115"/>
  </w:num>
  <w:num w:numId="183" w16cid:durableId="626278927">
    <w:abstractNumId w:val="1"/>
  </w:num>
  <w:num w:numId="184" w16cid:durableId="984317166">
    <w:abstractNumId w:val="161"/>
  </w:num>
  <w:num w:numId="185" w16cid:durableId="283197721">
    <w:abstractNumId w:val="6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78"/>
    <w:rsid w:val="00000109"/>
    <w:rsid w:val="000001F8"/>
    <w:rsid w:val="00000205"/>
    <w:rsid w:val="0000023A"/>
    <w:rsid w:val="00000282"/>
    <w:rsid w:val="000002C8"/>
    <w:rsid w:val="000003A3"/>
    <w:rsid w:val="000003EE"/>
    <w:rsid w:val="0000042C"/>
    <w:rsid w:val="00000440"/>
    <w:rsid w:val="000004BF"/>
    <w:rsid w:val="000005BA"/>
    <w:rsid w:val="000005E5"/>
    <w:rsid w:val="000005F1"/>
    <w:rsid w:val="00000613"/>
    <w:rsid w:val="0000066A"/>
    <w:rsid w:val="00000698"/>
    <w:rsid w:val="0000070A"/>
    <w:rsid w:val="0000081B"/>
    <w:rsid w:val="00000840"/>
    <w:rsid w:val="00000880"/>
    <w:rsid w:val="0000089F"/>
    <w:rsid w:val="000008DC"/>
    <w:rsid w:val="000008F5"/>
    <w:rsid w:val="000009D7"/>
    <w:rsid w:val="00000A2E"/>
    <w:rsid w:val="00000A40"/>
    <w:rsid w:val="00000A53"/>
    <w:rsid w:val="00000A56"/>
    <w:rsid w:val="00000A73"/>
    <w:rsid w:val="00000B77"/>
    <w:rsid w:val="00000B87"/>
    <w:rsid w:val="00000BB4"/>
    <w:rsid w:val="00000CA9"/>
    <w:rsid w:val="00000CDA"/>
    <w:rsid w:val="00000CEC"/>
    <w:rsid w:val="00000DBA"/>
    <w:rsid w:val="00000DDB"/>
    <w:rsid w:val="00000DE7"/>
    <w:rsid w:val="00000E74"/>
    <w:rsid w:val="00000EF6"/>
    <w:rsid w:val="00000FC8"/>
    <w:rsid w:val="0000106B"/>
    <w:rsid w:val="00001072"/>
    <w:rsid w:val="00001091"/>
    <w:rsid w:val="000010EF"/>
    <w:rsid w:val="0000133C"/>
    <w:rsid w:val="000014B0"/>
    <w:rsid w:val="000016C9"/>
    <w:rsid w:val="000017B3"/>
    <w:rsid w:val="00001803"/>
    <w:rsid w:val="0000183B"/>
    <w:rsid w:val="00001965"/>
    <w:rsid w:val="00001989"/>
    <w:rsid w:val="00001A0B"/>
    <w:rsid w:val="00001A25"/>
    <w:rsid w:val="00001A6E"/>
    <w:rsid w:val="00001A9D"/>
    <w:rsid w:val="00001AA4"/>
    <w:rsid w:val="00001CAB"/>
    <w:rsid w:val="00001CB5"/>
    <w:rsid w:val="00001EA7"/>
    <w:rsid w:val="00001F3E"/>
    <w:rsid w:val="00001F46"/>
    <w:rsid w:val="000020CC"/>
    <w:rsid w:val="00002175"/>
    <w:rsid w:val="000022C8"/>
    <w:rsid w:val="000022ED"/>
    <w:rsid w:val="000023E0"/>
    <w:rsid w:val="00002492"/>
    <w:rsid w:val="000024CD"/>
    <w:rsid w:val="000025A5"/>
    <w:rsid w:val="000025AA"/>
    <w:rsid w:val="000025DA"/>
    <w:rsid w:val="0000264D"/>
    <w:rsid w:val="00002708"/>
    <w:rsid w:val="000027B3"/>
    <w:rsid w:val="000027B4"/>
    <w:rsid w:val="000027BB"/>
    <w:rsid w:val="000028A5"/>
    <w:rsid w:val="000028B7"/>
    <w:rsid w:val="000028EE"/>
    <w:rsid w:val="000028F0"/>
    <w:rsid w:val="00002990"/>
    <w:rsid w:val="00002999"/>
    <w:rsid w:val="00002A13"/>
    <w:rsid w:val="00002A47"/>
    <w:rsid w:val="00002B61"/>
    <w:rsid w:val="00002BA2"/>
    <w:rsid w:val="00002BA8"/>
    <w:rsid w:val="00002C1F"/>
    <w:rsid w:val="00002CD4"/>
    <w:rsid w:val="00002CD5"/>
    <w:rsid w:val="00002D6B"/>
    <w:rsid w:val="00002DC6"/>
    <w:rsid w:val="00002DE4"/>
    <w:rsid w:val="00002DF1"/>
    <w:rsid w:val="00002EEF"/>
    <w:rsid w:val="00002F47"/>
    <w:rsid w:val="00002FA7"/>
    <w:rsid w:val="00003008"/>
    <w:rsid w:val="0000305F"/>
    <w:rsid w:val="000030DB"/>
    <w:rsid w:val="0000312E"/>
    <w:rsid w:val="0000317F"/>
    <w:rsid w:val="000031C2"/>
    <w:rsid w:val="00003200"/>
    <w:rsid w:val="0000324F"/>
    <w:rsid w:val="00003255"/>
    <w:rsid w:val="000032DD"/>
    <w:rsid w:val="00003300"/>
    <w:rsid w:val="00003306"/>
    <w:rsid w:val="0000334C"/>
    <w:rsid w:val="000033AA"/>
    <w:rsid w:val="000033B3"/>
    <w:rsid w:val="000033C0"/>
    <w:rsid w:val="000033C4"/>
    <w:rsid w:val="0000340A"/>
    <w:rsid w:val="0000351F"/>
    <w:rsid w:val="00003562"/>
    <w:rsid w:val="00003A70"/>
    <w:rsid w:val="00003AA8"/>
    <w:rsid w:val="00003B0E"/>
    <w:rsid w:val="00003B3D"/>
    <w:rsid w:val="00003B55"/>
    <w:rsid w:val="00003B89"/>
    <w:rsid w:val="00003BB7"/>
    <w:rsid w:val="00003C45"/>
    <w:rsid w:val="00003C9B"/>
    <w:rsid w:val="00003CF0"/>
    <w:rsid w:val="00003DFD"/>
    <w:rsid w:val="00003F7C"/>
    <w:rsid w:val="00003F8F"/>
    <w:rsid w:val="00003FC1"/>
    <w:rsid w:val="00003FDF"/>
    <w:rsid w:val="00004029"/>
    <w:rsid w:val="00004060"/>
    <w:rsid w:val="000041B5"/>
    <w:rsid w:val="000041E0"/>
    <w:rsid w:val="0000426A"/>
    <w:rsid w:val="0000431C"/>
    <w:rsid w:val="00004515"/>
    <w:rsid w:val="0000451C"/>
    <w:rsid w:val="000045D8"/>
    <w:rsid w:val="0000460A"/>
    <w:rsid w:val="0000466F"/>
    <w:rsid w:val="000046B4"/>
    <w:rsid w:val="0000477F"/>
    <w:rsid w:val="00004889"/>
    <w:rsid w:val="000048AC"/>
    <w:rsid w:val="000048BE"/>
    <w:rsid w:val="000048F1"/>
    <w:rsid w:val="00004A19"/>
    <w:rsid w:val="00004A44"/>
    <w:rsid w:val="00004A84"/>
    <w:rsid w:val="00004AAE"/>
    <w:rsid w:val="00004AAF"/>
    <w:rsid w:val="00004AD2"/>
    <w:rsid w:val="00004AEE"/>
    <w:rsid w:val="00004B06"/>
    <w:rsid w:val="00004BAD"/>
    <w:rsid w:val="00004BC6"/>
    <w:rsid w:val="00004C13"/>
    <w:rsid w:val="00004D83"/>
    <w:rsid w:val="00004DBA"/>
    <w:rsid w:val="00004DCF"/>
    <w:rsid w:val="00004DDE"/>
    <w:rsid w:val="00004E13"/>
    <w:rsid w:val="00004E8A"/>
    <w:rsid w:val="00004EA5"/>
    <w:rsid w:val="00004FD3"/>
    <w:rsid w:val="00004FE2"/>
    <w:rsid w:val="0000510A"/>
    <w:rsid w:val="00005125"/>
    <w:rsid w:val="00005271"/>
    <w:rsid w:val="000052BA"/>
    <w:rsid w:val="000052E6"/>
    <w:rsid w:val="000052F8"/>
    <w:rsid w:val="000053A1"/>
    <w:rsid w:val="00005423"/>
    <w:rsid w:val="00005431"/>
    <w:rsid w:val="000055B1"/>
    <w:rsid w:val="000055E2"/>
    <w:rsid w:val="000056EF"/>
    <w:rsid w:val="00005717"/>
    <w:rsid w:val="00005774"/>
    <w:rsid w:val="000057AF"/>
    <w:rsid w:val="000057E7"/>
    <w:rsid w:val="00005857"/>
    <w:rsid w:val="000058C1"/>
    <w:rsid w:val="00005904"/>
    <w:rsid w:val="00005A0C"/>
    <w:rsid w:val="00005AA9"/>
    <w:rsid w:val="00005AC6"/>
    <w:rsid w:val="00005AE1"/>
    <w:rsid w:val="00005B51"/>
    <w:rsid w:val="00005BE8"/>
    <w:rsid w:val="00005CC2"/>
    <w:rsid w:val="00005E1C"/>
    <w:rsid w:val="00005E56"/>
    <w:rsid w:val="00005F34"/>
    <w:rsid w:val="00005F8B"/>
    <w:rsid w:val="00006002"/>
    <w:rsid w:val="0000601D"/>
    <w:rsid w:val="0000602E"/>
    <w:rsid w:val="00006056"/>
    <w:rsid w:val="00006072"/>
    <w:rsid w:val="0000607E"/>
    <w:rsid w:val="00006149"/>
    <w:rsid w:val="00006179"/>
    <w:rsid w:val="000061D2"/>
    <w:rsid w:val="0000633D"/>
    <w:rsid w:val="0000659B"/>
    <w:rsid w:val="000066A0"/>
    <w:rsid w:val="000066D2"/>
    <w:rsid w:val="00006749"/>
    <w:rsid w:val="00006754"/>
    <w:rsid w:val="000067C5"/>
    <w:rsid w:val="000067FF"/>
    <w:rsid w:val="00006801"/>
    <w:rsid w:val="00006826"/>
    <w:rsid w:val="0000691F"/>
    <w:rsid w:val="000069A6"/>
    <w:rsid w:val="00006A0A"/>
    <w:rsid w:val="00006B31"/>
    <w:rsid w:val="00006B47"/>
    <w:rsid w:val="00006B98"/>
    <w:rsid w:val="00006C92"/>
    <w:rsid w:val="00006C94"/>
    <w:rsid w:val="00006CA0"/>
    <w:rsid w:val="00006D3A"/>
    <w:rsid w:val="00006DCA"/>
    <w:rsid w:val="00006E25"/>
    <w:rsid w:val="00006E57"/>
    <w:rsid w:val="00006F1D"/>
    <w:rsid w:val="00006F24"/>
    <w:rsid w:val="00006FEB"/>
    <w:rsid w:val="00007036"/>
    <w:rsid w:val="0000706D"/>
    <w:rsid w:val="00007175"/>
    <w:rsid w:val="0000719F"/>
    <w:rsid w:val="00007226"/>
    <w:rsid w:val="0000723D"/>
    <w:rsid w:val="00007278"/>
    <w:rsid w:val="0000738B"/>
    <w:rsid w:val="00007485"/>
    <w:rsid w:val="000074A4"/>
    <w:rsid w:val="000074B1"/>
    <w:rsid w:val="00007630"/>
    <w:rsid w:val="000077A1"/>
    <w:rsid w:val="000077C0"/>
    <w:rsid w:val="00007832"/>
    <w:rsid w:val="0000783E"/>
    <w:rsid w:val="000078B4"/>
    <w:rsid w:val="000078F8"/>
    <w:rsid w:val="00007954"/>
    <w:rsid w:val="00007A5B"/>
    <w:rsid w:val="00007A5D"/>
    <w:rsid w:val="00007B0C"/>
    <w:rsid w:val="00007B27"/>
    <w:rsid w:val="00007B30"/>
    <w:rsid w:val="00007B74"/>
    <w:rsid w:val="00007BE2"/>
    <w:rsid w:val="00007C45"/>
    <w:rsid w:val="00007C78"/>
    <w:rsid w:val="00007D1E"/>
    <w:rsid w:val="00007D1F"/>
    <w:rsid w:val="00007D37"/>
    <w:rsid w:val="00007DEA"/>
    <w:rsid w:val="00007DF2"/>
    <w:rsid w:val="00007E39"/>
    <w:rsid w:val="00007FC2"/>
    <w:rsid w:val="00010119"/>
    <w:rsid w:val="0001015F"/>
    <w:rsid w:val="00010184"/>
    <w:rsid w:val="00010297"/>
    <w:rsid w:val="000102D5"/>
    <w:rsid w:val="00010408"/>
    <w:rsid w:val="00010461"/>
    <w:rsid w:val="0001053C"/>
    <w:rsid w:val="000105C8"/>
    <w:rsid w:val="00010717"/>
    <w:rsid w:val="0001072B"/>
    <w:rsid w:val="000107AC"/>
    <w:rsid w:val="000107DE"/>
    <w:rsid w:val="00010860"/>
    <w:rsid w:val="000108BB"/>
    <w:rsid w:val="000108E2"/>
    <w:rsid w:val="0001093D"/>
    <w:rsid w:val="0001097E"/>
    <w:rsid w:val="0001099E"/>
    <w:rsid w:val="000109FE"/>
    <w:rsid w:val="00010AB6"/>
    <w:rsid w:val="00010BF3"/>
    <w:rsid w:val="00010C0F"/>
    <w:rsid w:val="00010C29"/>
    <w:rsid w:val="00010D2C"/>
    <w:rsid w:val="00010D94"/>
    <w:rsid w:val="00010E82"/>
    <w:rsid w:val="00010F54"/>
    <w:rsid w:val="00010FFB"/>
    <w:rsid w:val="00011172"/>
    <w:rsid w:val="000111A8"/>
    <w:rsid w:val="0001133F"/>
    <w:rsid w:val="0001147C"/>
    <w:rsid w:val="0001151B"/>
    <w:rsid w:val="0001152F"/>
    <w:rsid w:val="0001153B"/>
    <w:rsid w:val="000115DC"/>
    <w:rsid w:val="000115FE"/>
    <w:rsid w:val="0001162C"/>
    <w:rsid w:val="0001163A"/>
    <w:rsid w:val="0001166B"/>
    <w:rsid w:val="00011712"/>
    <w:rsid w:val="00011754"/>
    <w:rsid w:val="00011766"/>
    <w:rsid w:val="00011802"/>
    <w:rsid w:val="00011814"/>
    <w:rsid w:val="0001184E"/>
    <w:rsid w:val="00011857"/>
    <w:rsid w:val="00011918"/>
    <w:rsid w:val="000119D2"/>
    <w:rsid w:val="00011A6A"/>
    <w:rsid w:val="00011A91"/>
    <w:rsid w:val="00011AE4"/>
    <w:rsid w:val="00011B65"/>
    <w:rsid w:val="00011BED"/>
    <w:rsid w:val="00011BFC"/>
    <w:rsid w:val="00011C98"/>
    <w:rsid w:val="00011D73"/>
    <w:rsid w:val="00011D84"/>
    <w:rsid w:val="00011E1C"/>
    <w:rsid w:val="00011EE9"/>
    <w:rsid w:val="0001204F"/>
    <w:rsid w:val="00012083"/>
    <w:rsid w:val="000120A4"/>
    <w:rsid w:val="00012101"/>
    <w:rsid w:val="00012232"/>
    <w:rsid w:val="0001232E"/>
    <w:rsid w:val="000123A3"/>
    <w:rsid w:val="00012444"/>
    <w:rsid w:val="0001247F"/>
    <w:rsid w:val="00012482"/>
    <w:rsid w:val="000124BD"/>
    <w:rsid w:val="0001271B"/>
    <w:rsid w:val="0001290A"/>
    <w:rsid w:val="00012943"/>
    <w:rsid w:val="00012A10"/>
    <w:rsid w:val="00012A2E"/>
    <w:rsid w:val="00012A7B"/>
    <w:rsid w:val="00012AD7"/>
    <w:rsid w:val="00012AF3"/>
    <w:rsid w:val="00012B53"/>
    <w:rsid w:val="00012BC7"/>
    <w:rsid w:val="00012BE5"/>
    <w:rsid w:val="00012C20"/>
    <w:rsid w:val="00012C50"/>
    <w:rsid w:val="00012C53"/>
    <w:rsid w:val="00012C76"/>
    <w:rsid w:val="00012D7D"/>
    <w:rsid w:val="00012DA8"/>
    <w:rsid w:val="00012E10"/>
    <w:rsid w:val="00012F0E"/>
    <w:rsid w:val="00012F6C"/>
    <w:rsid w:val="00012F7C"/>
    <w:rsid w:val="00013066"/>
    <w:rsid w:val="0001308C"/>
    <w:rsid w:val="000130F8"/>
    <w:rsid w:val="00013182"/>
    <w:rsid w:val="000131A2"/>
    <w:rsid w:val="000131B1"/>
    <w:rsid w:val="00013273"/>
    <w:rsid w:val="000132B7"/>
    <w:rsid w:val="00013431"/>
    <w:rsid w:val="0001345D"/>
    <w:rsid w:val="0001347B"/>
    <w:rsid w:val="00013480"/>
    <w:rsid w:val="0001366A"/>
    <w:rsid w:val="000136DC"/>
    <w:rsid w:val="00013773"/>
    <w:rsid w:val="0001377B"/>
    <w:rsid w:val="000137A1"/>
    <w:rsid w:val="000137B8"/>
    <w:rsid w:val="000137D8"/>
    <w:rsid w:val="000137E4"/>
    <w:rsid w:val="00013889"/>
    <w:rsid w:val="000139CE"/>
    <w:rsid w:val="000139D3"/>
    <w:rsid w:val="00013A00"/>
    <w:rsid w:val="00013A8B"/>
    <w:rsid w:val="00013B62"/>
    <w:rsid w:val="00013BFB"/>
    <w:rsid w:val="00013C1B"/>
    <w:rsid w:val="00013E76"/>
    <w:rsid w:val="00013EF4"/>
    <w:rsid w:val="00013F27"/>
    <w:rsid w:val="00013F2E"/>
    <w:rsid w:val="000140BF"/>
    <w:rsid w:val="000140DF"/>
    <w:rsid w:val="00014100"/>
    <w:rsid w:val="00014197"/>
    <w:rsid w:val="000141ED"/>
    <w:rsid w:val="000142A0"/>
    <w:rsid w:val="000143E5"/>
    <w:rsid w:val="000144E9"/>
    <w:rsid w:val="0001451C"/>
    <w:rsid w:val="00014542"/>
    <w:rsid w:val="0001457F"/>
    <w:rsid w:val="000145A8"/>
    <w:rsid w:val="000145E6"/>
    <w:rsid w:val="000146BA"/>
    <w:rsid w:val="00014723"/>
    <w:rsid w:val="00014756"/>
    <w:rsid w:val="000147A2"/>
    <w:rsid w:val="00014806"/>
    <w:rsid w:val="00014824"/>
    <w:rsid w:val="0001487D"/>
    <w:rsid w:val="00014A81"/>
    <w:rsid w:val="00014AAA"/>
    <w:rsid w:val="00014ABE"/>
    <w:rsid w:val="00014B16"/>
    <w:rsid w:val="00014B8D"/>
    <w:rsid w:val="00014C09"/>
    <w:rsid w:val="00014CB1"/>
    <w:rsid w:val="00014CF4"/>
    <w:rsid w:val="00014E1E"/>
    <w:rsid w:val="00014E2F"/>
    <w:rsid w:val="00014E59"/>
    <w:rsid w:val="00014E63"/>
    <w:rsid w:val="00014FC4"/>
    <w:rsid w:val="00014FDD"/>
    <w:rsid w:val="00014FEC"/>
    <w:rsid w:val="00015072"/>
    <w:rsid w:val="0001509A"/>
    <w:rsid w:val="000150C8"/>
    <w:rsid w:val="00015144"/>
    <w:rsid w:val="0001517E"/>
    <w:rsid w:val="0001518B"/>
    <w:rsid w:val="000151D4"/>
    <w:rsid w:val="00015203"/>
    <w:rsid w:val="00015265"/>
    <w:rsid w:val="0001530B"/>
    <w:rsid w:val="00015333"/>
    <w:rsid w:val="00015407"/>
    <w:rsid w:val="00015531"/>
    <w:rsid w:val="0001556A"/>
    <w:rsid w:val="000155D9"/>
    <w:rsid w:val="0001568A"/>
    <w:rsid w:val="000156E3"/>
    <w:rsid w:val="00015732"/>
    <w:rsid w:val="00015770"/>
    <w:rsid w:val="000158BC"/>
    <w:rsid w:val="000158EA"/>
    <w:rsid w:val="00015901"/>
    <w:rsid w:val="00015955"/>
    <w:rsid w:val="00015A01"/>
    <w:rsid w:val="00015A32"/>
    <w:rsid w:val="00015B0B"/>
    <w:rsid w:val="00015D8C"/>
    <w:rsid w:val="00015D8F"/>
    <w:rsid w:val="00015DA1"/>
    <w:rsid w:val="00015E00"/>
    <w:rsid w:val="00015E16"/>
    <w:rsid w:val="00015EB9"/>
    <w:rsid w:val="00015EE9"/>
    <w:rsid w:val="00015EF9"/>
    <w:rsid w:val="00015F03"/>
    <w:rsid w:val="00015FCD"/>
    <w:rsid w:val="00016104"/>
    <w:rsid w:val="000161CA"/>
    <w:rsid w:val="00016225"/>
    <w:rsid w:val="00016304"/>
    <w:rsid w:val="0001634D"/>
    <w:rsid w:val="000163D6"/>
    <w:rsid w:val="0001641A"/>
    <w:rsid w:val="00016506"/>
    <w:rsid w:val="0001662C"/>
    <w:rsid w:val="0001666A"/>
    <w:rsid w:val="00016674"/>
    <w:rsid w:val="000166F0"/>
    <w:rsid w:val="000166F2"/>
    <w:rsid w:val="000166FD"/>
    <w:rsid w:val="0001674C"/>
    <w:rsid w:val="00016756"/>
    <w:rsid w:val="00016798"/>
    <w:rsid w:val="000167B9"/>
    <w:rsid w:val="000167C5"/>
    <w:rsid w:val="00016843"/>
    <w:rsid w:val="0001691C"/>
    <w:rsid w:val="00016980"/>
    <w:rsid w:val="00016AB0"/>
    <w:rsid w:val="00016ADF"/>
    <w:rsid w:val="00016B0E"/>
    <w:rsid w:val="00016B56"/>
    <w:rsid w:val="00016BAD"/>
    <w:rsid w:val="00016BF8"/>
    <w:rsid w:val="00016C2E"/>
    <w:rsid w:val="00016C6E"/>
    <w:rsid w:val="00016D46"/>
    <w:rsid w:val="00016D9D"/>
    <w:rsid w:val="00016E5B"/>
    <w:rsid w:val="00016F10"/>
    <w:rsid w:val="00017046"/>
    <w:rsid w:val="00017048"/>
    <w:rsid w:val="000170B1"/>
    <w:rsid w:val="00017144"/>
    <w:rsid w:val="0001719F"/>
    <w:rsid w:val="00017223"/>
    <w:rsid w:val="00017254"/>
    <w:rsid w:val="00017383"/>
    <w:rsid w:val="000173C0"/>
    <w:rsid w:val="00017438"/>
    <w:rsid w:val="00017453"/>
    <w:rsid w:val="0001757D"/>
    <w:rsid w:val="00017680"/>
    <w:rsid w:val="0001771A"/>
    <w:rsid w:val="0001771D"/>
    <w:rsid w:val="00017753"/>
    <w:rsid w:val="00017880"/>
    <w:rsid w:val="00017912"/>
    <w:rsid w:val="00017AF8"/>
    <w:rsid w:val="00017B49"/>
    <w:rsid w:val="00017BCC"/>
    <w:rsid w:val="00017C41"/>
    <w:rsid w:val="00017C53"/>
    <w:rsid w:val="00017CB5"/>
    <w:rsid w:val="00017D98"/>
    <w:rsid w:val="00017DB8"/>
    <w:rsid w:val="00017EC1"/>
    <w:rsid w:val="00017F86"/>
    <w:rsid w:val="00017F89"/>
    <w:rsid w:val="00017FAD"/>
    <w:rsid w:val="00017FD8"/>
    <w:rsid w:val="00020027"/>
    <w:rsid w:val="00020030"/>
    <w:rsid w:val="000200F4"/>
    <w:rsid w:val="0002011F"/>
    <w:rsid w:val="000201AA"/>
    <w:rsid w:val="000201EB"/>
    <w:rsid w:val="0002026A"/>
    <w:rsid w:val="0002026B"/>
    <w:rsid w:val="000202B2"/>
    <w:rsid w:val="000202D1"/>
    <w:rsid w:val="00020316"/>
    <w:rsid w:val="00020420"/>
    <w:rsid w:val="00020448"/>
    <w:rsid w:val="0002044D"/>
    <w:rsid w:val="0002045F"/>
    <w:rsid w:val="00020502"/>
    <w:rsid w:val="000205B5"/>
    <w:rsid w:val="000205CB"/>
    <w:rsid w:val="00020703"/>
    <w:rsid w:val="0002078A"/>
    <w:rsid w:val="00020811"/>
    <w:rsid w:val="0002093A"/>
    <w:rsid w:val="0002097F"/>
    <w:rsid w:val="000209C7"/>
    <w:rsid w:val="000209FA"/>
    <w:rsid w:val="00020A53"/>
    <w:rsid w:val="00020A59"/>
    <w:rsid w:val="00020A8B"/>
    <w:rsid w:val="00020A94"/>
    <w:rsid w:val="00020AAB"/>
    <w:rsid w:val="00020BC5"/>
    <w:rsid w:val="00020CE1"/>
    <w:rsid w:val="00020DBE"/>
    <w:rsid w:val="00020E1D"/>
    <w:rsid w:val="00020E6D"/>
    <w:rsid w:val="00020E80"/>
    <w:rsid w:val="00020E82"/>
    <w:rsid w:val="00020F3D"/>
    <w:rsid w:val="00020F58"/>
    <w:rsid w:val="00020FD0"/>
    <w:rsid w:val="00020FF4"/>
    <w:rsid w:val="00021027"/>
    <w:rsid w:val="00021057"/>
    <w:rsid w:val="00021119"/>
    <w:rsid w:val="00021168"/>
    <w:rsid w:val="00021195"/>
    <w:rsid w:val="0002119D"/>
    <w:rsid w:val="000211A5"/>
    <w:rsid w:val="0002124B"/>
    <w:rsid w:val="0002124C"/>
    <w:rsid w:val="0002126B"/>
    <w:rsid w:val="00021293"/>
    <w:rsid w:val="000212C7"/>
    <w:rsid w:val="0002133D"/>
    <w:rsid w:val="00021434"/>
    <w:rsid w:val="0002145F"/>
    <w:rsid w:val="0002159A"/>
    <w:rsid w:val="0002159E"/>
    <w:rsid w:val="000215EE"/>
    <w:rsid w:val="0002166C"/>
    <w:rsid w:val="00021670"/>
    <w:rsid w:val="0002168B"/>
    <w:rsid w:val="000216BA"/>
    <w:rsid w:val="000216DE"/>
    <w:rsid w:val="00021734"/>
    <w:rsid w:val="0002178B"/>
    <w:rsid w:val="000217A9"/>
    <w:rsid w:val="0002194B"/>
    <w:rsid w:val="000219AF"/>
    <w:rsid w:val="00021A52"/>
    <w:rsid w:val="00021ABC"/>
    <w:rsid w:val="00021B18"/>
    <w:rsid w:val="00021BF2"/>
    <w:rsid w:val="00021C21"/>
    <w:rsid w:val="00021C2B"/>
    <w:rsid w:val="00021C2E"/>
    <w:rsid w:val="00021C8F"/>
    <w:rsid w:val="00021CD4"/>
    <w:rsid w:val="00021EA5"/>
    <w:rsid w:val="00021F6A"/>
    <w:rsid w:val="00021F71"/>
    <w:rsid w:val="00021FB0"/>
    <w:rsid w:val="00022021"/>
    <w:rsid w:val="0002206A"/>
    <w:rsid w:val="00022094"/>
    <w:rsid w:val="00022105"/>
    <w:rsid w:val="0002214F"/>
    <w:rsid w:val="000221E4"/>
    <w:rsid w:val="00022243"/>
    <w:rsid w:val="000223A4"/>
    <w:rsid w:val="000223FD"/>
    <w:rsid w:val="0002244F"/>
    <w:rsid w:val="00022466"/>
    <w:rsid w:val="000224C7"/>
    <w:rsid w:val="00022502"/>
    <w:rsid w:val="00022534"/>
    <w:rsid w:val="0002266F"/>
    <w:rsid w:val="000226C0"/>
    <w:rsid w:val="0002274C"/>
    <w:rsid w:val="00022851"/>
    <w:rsid w:val="0002285A"/>
    <w:rsid w:val="000228EA"/>
    <w:rsid w:val="00022939"/>
    <w:rsid w:val="00022A99"/>
    <w:rsid w:val="00022BD3"/>
    <w:rsid w:val="00022BFF"/>
    <w:rsid w:val="00022D02"/>
    <w:rsid w:val="00022D7B"/>
    <w:rsid w:val="00022E60"/>
    <w:rsid w:val="00022E94"/>
    <w:rsid w:val="00022F57"/>
    <w:rsid w:val="00022FDD"/>
    <w:rsid w:val="000230D2"/>
    <w:rsid w:val="00023139"/>
    <w:rsid w:val="000231F8"/>
    <w:rsid w:val="00023209"/>
    <w:rsid w:val="0002341B"/>
    <w:rsid w:val="00023471"/>
    <w:rsid w:val="000234B4"/>
    <w:rsid w:val="000234D6"/>
    <w:rsid w:val="000234F7"/>
    <w:rsid w:val="00023548"/>
    <w:rsid w:val="00023553"/>
    <w:rsid w:val="0002355E"/>
    <w:rsid w:val="0002356C"/>
    <w:rsid w:val="0002357B"/>
    <w:rsid w:val="000236DB"/>
    <w:rsid w:val="0002374F"/>
    <w:rsid w:val="00023766"/>
    <w:rsid w:val="0002376A"/>
    <w:rsid w:val="0002379B"/>
    <w:rsid w:val="000237CF"/>
    <w:rsid w:val="0002386B"/>
    <w:rsid w:val="0002386F"/>
    <w:rsid w:val="00023928"/>
    <w:rsid w:val="0002395B"/>
    <w:rsid w:val="00023995"/>
    <w:rsid w:val="000239B1"/>
    <w:rsid w:val="000239CA"/>
    <w:rsid w:val="000239F8"/>
    <w:rsid w:val="00023AEB"/>
    <w:rsid w:val="00023AEF"/>
    <w:rsid w:val="00023AFF"/>
    <w:rsid w:val="00023B1A"/>
    <w:rsid w:val="00023B93"/>
    <w:rsid w:val="00023C0E"/>
    <w:rsid w:val="00023C73"/>
    <w:rsid w:val="00023D01"/>
    <w:rsid w:val="00023E38"/>
    <w:rsid w:val="00023E9A"/>
    <w:rsid w:val="00023EBD"/>
    <w:rsid w:val="00023EE7"/>
    <w:rsid w:val="00023EF4"/>
    <w:rsid w:val="00023F65"/>
    <w:rsid w:val="00023F69"/>
    <w:rsid w:val="000240F1"/>
    <w:rsid w:val="0002410A"/>
    <w:rsid w:val="0002413B"/>
    <w:rsid w:val="00024282"/>
    <w:rsid w:val="000243F4"/>
    <w:rsid w:val="000244F3"/>
    <w:rsid w:val="0002457A"/>
    <w:rsid w:val="000245C6"/>
    <w:rsid w:val="0002470A"/>
    <w:rsid w:val="000247D3"/>
    <w:rsid w:val="00024815"/>
    <w:rsid w:val="00024827"/>
    <w:rsid w:val="00024843"/>
    <w:rsid w:val="000248B8"/>
    <w:rsid w:val="00024926"/>
    <w:rsid w:val="00024930"/>
    <w:rsid w:val="00024960"/>
    <w:rsid w:val="000249E1"/>
    <w:rsid w:val="00024A48"/>
    <w:rsid w:val="00024B22"/>
    <w:rsid w:val="00024B8A"/>
    <w:rsid w:val="00024C7D"/>
    <w:rsid w:val="00024C7F"/>
    <w:rsid w:val="00024CF7"/>
    <w:rsid w:val="00024D24"/>
    <w:rsid w:val="00024D6C"/>
    <w:rsid w:val="00024D8D"/>
    <w:rsid w:val="00024DA7"/>
    <w:rsid w:val="00024DAD"/>
    <w:rsid w:val="00024DB4"/>
    <w:rsid w:val="00024DE2"/>
    <w:rsid w:val="00024E5C"/>
    <w:rsid w:val="00024EB7"/>
    <w:rsid w:val="00024F95"/>
    <w:rsid w:val="00024FF8"/>
    <w:rsid w:val="0002506E"/>
    <w:rsid w:val="00025085"/>
    <w:rsid w:val="000250DB"/>
    <w:rsid w:val="00025100"/>
    <w:rsid w:val="00025135"/>
    <w:rsid w:val="00025216"/>
    <w:rsid w:val="00025249"/>
    <w:rsid w:val="00025255"/>
    <w:rsid w:val="0002527A"/>
    <w:rsid w:val="0002527B"/>
    <w:rsid w:val="00025294"/>
    <w:rsid w:val="000252A2"/>
    <w:rsid w:val="000252F5"/>
    <w:rsid w:val="00025387"/>
    <w:rsid w:val="000253A3"/>
    <w:rsid w:val="00025474"/>
    <w:rsid w:val="0002547E"/>
    <w:rsid w:val="00025492"/>
    <w:rsid w:val="0002550B"/>
    <w:rsid w:val="0002557E"/>
    <w:rsid w:val="00025580"/>
    <w:rsid w:val="000255A7"/>
    <w:rsid w:val="00025692"/>
    <w:rsid w:val="000256ED"/>
    <w:rsid w:val="00025817"/>
    <w:rsid w:val="00025A31"/>
    <w:rsid w:val="00025A77"/>
    <w:rsid w:val="00025AB9"/>
    <w:rsid w:val="00025BE7"/>
    <w:rsid w:val="00025C6F"/>
    <w:rsid w:val="00025D4C"/>
    <w:rsid w:val="00025E5C"/>
    <w:rsid w:val="00025E5E"/>
    <w:rsid w:val="00025E72"/>
    <w:rsid w:val="00025E7C"/>
    <w:rsid w:val="00025EBB"/>
    <w:rsid w:val="00025FA4"/>
    <w:rsid w:val="00025FEE"/>
    <w:rsid w:val="00025FFE"/>
    <w:rsid w:val="00026078"/>
    <w:rsid w:val="00026088"/>
    <w:rsid w:val="00026104"/>
    <w:rsid w:val="0002613D"/>
    <w:rsid w:val="00026181"/>
    <w:rsid w:val="00026195"/>
    <w:rsid w:val="0002629A"/>
    <w:rsid w:val="00026317"/>
    <w:rsid w:val="0002638E"/>
    <w:rsid w:val="00026390"/>
    <w:rsid w:val="000263B5"/>
    <w:rsid w:val="000264B0"/>
    <w:rsid w:val="000265EF"/>
    <w:rsid w:val="00026716"/>
    <w:rsid w:val="0002675F"/>
    <w:rsid w:val="00026806"/>
    <w:rsid w:val="00026833"/>
    <w:rsid w:val="0002686F"/>
    <w:rsid w:val="00026873"/>
    <w:rsid w:val="00026991"/>
    <w:rsid w:val="000269F8"/>
    <w:rsid w:val="00026A8F"/>
    <w:rsid w:val="00026B98"/>
    <w:rsid w:val="00026B99"/>
    <w:rsid w:val="00026C0D"/>
    <w:rsid w:val="00026C19"/>
    <w:rsid w:val="00026C3F"/>
    <w:rsid w:val="00026D78"/>
    <w:rsid w:val="00026F2A"/>
    <w:rsid w:val="00026F5A"/>
    <w:rsid w:val="00027030"/>
    <w:rsid w:val="00027072"/>
    <w:rsid w:val="0002707E"/>
    <w:rsid w:val="0002718F"/>
    <w:rsid w:val="000271EF"/>
    <w:rsid w:val="000272CE"/>
    <w:rsid w:val="0002732F"/>
    <w:rsid w:val="0002747B"/>
    <w:rsid w:val="0002753E"/>
    <w:rsid w:val="00027569"/>
    <w:rsid w:val="00027595"/>
    <w:rsid w:val="000275A4"/>
    <w:rsid w:val="00027604"/>
    <w:rsid w:val="000276B1"/>
    <w:rsid w:val="000276B9"/>
    <w:rsid w:val="000277F4"/>
    <w:rsid w:val="00027813"/>
    <w:rsid w:val="0002781C"/>
    <w:rsid w:val="0002789B"/>
    <w:rsid w:val="00027958"/>
    <w:rsid w:val="00027982"/>
    <w:rsid w:val="00027997"/>
    <w:rsid w:val="00027A1E"/>
    <w:rsid w:val="00027A31"/>
    <w:rsid w:val="00027A5A"/>
    <w:rsid w:val="00027A6D"/>
    <w:rsid w:val="00027AF4"/>
    <w:rsid w:val="00027B39"/>
    <w:rsid w:val="00027B7A"/>
    <w:rsid w:val="00027C07"/>
    <w:rsid w:val="00027C44"/>
    <w:rsid w:val="00027D1E"/>
    <w:rsid w:val="00027D31"/>
    <w:rsid w:val="00027F06"/>
    <w:rsid w:val="00027F14"/>
    <w:rsid w:val="000295BC"/>
    <w:rsid w:val="00030078"/>
    <w:rsid w:val="0003021F"/>
    <w:rsid w:val="00030437"/>
    <w:rsid w:val="0003047E"/>
    <w:rsid w:val="00030524"/>
    <w:rsid w:val="0003064B"/>
    <w:rsid w:val="000306AE"/>
    <w:rsid w:val="000306FE"/>
    <w:rsid w:val="000307C9"/>
    <w:rsid w:val="00030804"/>
    <w:rsid w:val="000308AD"/>
    <w:rsid w:val="00030969"/>
    <w:rsid w:val="0003096A"/>
    <w:rsid w:val="00030A40"/>
    <w:rsid w:val="00030B36"/>
    <w:rsid w:val="00030B51"/>
    <w:rsid w:val="00030B95"/>
    <w:rsid w:val="00030BB5"/>
    <w:rsid w:val="00030BB7"/>
    <w:rsid w:val="00030BF6"/>
    <w:rsid w:val="00030C12"/>
    <w:rsid w:val="00030C3E"/>
    <w:rsid w:val="00030C53"/>
    <w:rsid w:val="00030CFC"/>
    <w:rsid w:val="00030D04"/>
    <w:rsid w:val="00030D1A"/>
    <w:rsid w:val="00030DA3"/>
    <w:rsid w:val="00030DB0"/>
    <w:rsid w:val="00030EB7"/>
    <w:rsid w:val="00030EBE"/>
    <w:rsid w:val="00030FEA"/>
    <w:rsid w:val="00031030"/>
    <w:rsid w:val="00031094"/>
    <w:rsid w:val="000310CA"/>
    <w:rsid w:val="000310D5"/>
    <w:rsid w:val="0003113B"/>
    <w:rsid w:val="000311A2"/>
    <w:rsid w:val="00031243"/>
    <w:rsid w:val="00031263"/>
    <w:rsid w:val="0003126E"/>
    <w:rsid w:val="000312F1"/>
    <w:rsid w:val="0003136F"/>
    <w:rsid w:val="000313B4"/>
    <w:rsid w:val="000313C3"/>
    <w:rsid w:val="0003142A"/>
    <w:rsid w:val="000314C8"/>
    <w:rsid w:val="000314E6"/>
    <w:rsid w:val="0003153D"/>
    <w:rsid w:val="00031550"/>
    <w:rsid w:val="000315E9"/>
    <w:rsid w:val="00031638"/>
    <w:rsid w:val="000316A6"/>
    <w:rsid w:val="000316D7"/>
    <w:rsid w:val="000317AC"/>
    <w:rsid w:val="000317EF"/>
    <w:rsid w:val="000317F0"/>
    <w:rsid w:val="00031801"/>
    <w:rsid w:val="000318EF"/>
    <w:rsid w:val="00031909"/>
    <w:rsid w:val="00031953"/>
    <w:rsid w:val="00031968"/>
    <w:rsid w:val="00031983"/>
    <w:rsid w:val="000319EE"/>
    <w:rsid w:val="000319FB"/>
    <w:rsid w:val="00031A39"/>
    <w:rsid w:val="00031A6E"/>
    <w:rsid w:val="00031B04"/>
    <w:rsid w:val="00031B3C"/>
    <w:rsid w:val="00031B54"/>
    <w:rsid w:val="00031CFA"/>
    <w:rsid w:val="00031E8F"/>
    <w:rsid w:val="00031ECB"/>
    <w:rsid w:val="00031F57"/>
    <w:rsid w:val="00031FE5"/>
    <w:rsid w:val="00032059"/>
    <w:rsid w:val="00032079"/>
    <w:rsid w:val="000321F9"/>
    <w:rsid w:val="0003223C"/>
    <w:rsid w:val="0003226A"/>
    <w:rsid w:val="000322B7"/>
    <w:rsid w:val="00032367"/>
    <w:rsid w:val="0003240D"/>
    <w:rsid w:val="00032469"/>
    <w:rsid w:val="00032477"/>
    <w:rsid w:val="000324BD"/>
    <w:rsid w:val="000324F8"/>
    <w:rsid w:val="00032517"/>
    <w:rsid w:val="00032660"/>
    <w:rsid w:val="0003269C"/>
    <w:rsid w:val="000326A0"/>
    <w:rsid w:val="000326B2"/>
    <w:rsid w:val="00032823"/>
    <w:rsid w:val="00032826"/>
    <w:rsid w:val="0003284B"/>
    <w:rsid w:val="000328D4"/>
    <w:rsid w:val="00032955"/>
    <w:rsid w:val="00032AD2"/>
    <w:rsid w:val="00032B86"/>
    <w:rsid w:val="00032BBA"/>
    <w:rsid w:val="00032BCB"/>
    <w:rsid w:val="00032BD9"/>
    <w:rsid w:val="00032C67"/>
    <w:rsid w:val="00032CFC"/>
    <w:rsid w:val="00032D91"/>
    <w:rsid w:val="00032F1D"/>
    <w:rsid w:val="00032F2B"/>
    <w:rsid w:val="00032FC2"/>
    <w:rsid w:val="00033011"/>
    <w:rsid w:val="0003307D"/>
    <w:rsid w:val="000330A4"/>
    <w:rsid w:val="000330FF"/>
    <w:rsid w:val="00033204"/>
    <w:rsid w:val="00033345"/>
    <w:rsid w:val="00033375"/>
    <w:rsid w:val="000333D5"/>
    <w:rsid w:val="00033547"/>
    <w:rsid w:val="00033565"/>
    <w:rsid w:val="0003362B"/>
    <w:rsid w:val="000336FE"/>
    <w:rsid w:val="00033733"/>
    <w:rsid w:val="0003378F"/>
    <w:rsid w:val="000337A2"/>
    <w:rsid w:val="00033904"/>
    <w:rsid w:val="00033992"/>
    <w:rsid w:val="00033A43"/>
    <w:rsid w:val="00033B5F"/>
    <w:rsid w:val="00033BAF"/>
    <w:rsid w:val="00033BD8"/>
    <w:rsid w:val="00033C59"/>
    <w:rsid w:val="00033CCE"/>
    <w:rsid w:val="00033D18"/>
    <w:rsid w:val="00033DBE"/>
    <w:rsid w:val="00033E23"/>
    <w:rsid w:val="00033E2A"/>
    <w:rsid w:val="00033ED3"/>
    <w:rsid w:val="00033EFD"/>
    <w:rsid w:val="00033F77"/>
    <w:rsid w:val="00033FEE"/>
    <w:rsid w:val="00034032"/>
    <w:rsid w:val="000340EE"/>
    <w:rsid w:val="000341CF"/>
    <w:rsid w:val="00034213"/>
    <w:rsid w:val="0003423A"/>
    <w:rsid w:val="0003428C"/>
    <w:rsid w:val="0003429B"/>
    <w:rsid w:val="000342AF"/>
    <w:rsid w:val="00034317"/>
    <w:rsid w:val="000343BE"/>
    <w:rsid w:val="0003443D"/>
    <w:rsid w:val="0003446F"/>
    <w:rsid w:val="00034535"/>
    <w:rsid w:val="000345BD"/>
    <w:rsid w:val="0003464C"/>
    <w:rsid w:val="000346E3"/>
    <w:rsid w:val="00034751"/>
    <w:rsid w:val="0003476D"/>
    <w:rsid w:val="000347B6"/>
    <w:rsid w:val="0003486F"/>
    <w:rsid w:val="00034916"/>
    <w:rsid w:val="0003491C"/>
    <w:rsid w:val="00034970"/>
    <w:rsid w:val="0003499E"/>
    <w:rsid w:val="00034A16"/>
    <w:rsid w:val="00034A63"/>
    <w:rsid w:val="00034AD3"/>
    <w:rsid w:val="00034B61"/>
    <w:rsid w:val="00034C04"/>
    <w:rsid w:val="00034C58"/>
    <w:rsid w:val="00034C6E"/>
    <w:rsid w:val="00034DCB"/>
    <w:rsid w:val="00034EE4"/>
    <w:rsid w:val="00035098"/>
    <w:rsid w:val="0003522D"/>
    <w:rsid w:val="0003536C"/>
    <w:rsid w:val="00035448"/>
    <w:rsid w:val="0003544F"/>
    <w:rsid w:val="00035536"/>
    <w:rsid w:val="00035540"/>
    <w:rsid w:val="00035575"/>
    <w:rsid w:val="000355ED"/>
    <w:rsid w:val="00035680"/>
    <w:rsid w:val="00035685"/>
    <w:rsid w:val="00035759"/>
    <w:rsid w:val="0003577D"/>
    <w:rsid w:val="000357DB"/>
    <w:rsid w:val="00035829"/>
    <w:rsid w:val="00035859"/>
    <w:rsid w:val="00035879"/>
    <w:rsid w:val="0003587B"/>
    <w:rsid w:val="000359B7"/>
    <w:rsid w:val="00035A49"/>
    <w:rsid w:val="00035C2B"/>
    <w:rsid w:val="00035C5B"/>
    <w:rsid w:val="00035C95"/>
    <w:rsid w:val="00035D1C"/>
    <w:rsid w:val="00035DCC"/>
    <w:rsid w:val="00035DEB"/>
    <w:rsid w:val="00035E40"/>
    <w:rsid w:val="00035E4B"/>
    <w:rsid w:val="00035EA6"/>
    <w:rsid w:val="00035FA1"/>
    <w:rsid w:val="00035FE7"/>
    <w:rsid w:val="00036008"/>
    <w:rsid w:val="00036107"/>
    <w:rsid w:val="00036322"/>
    <w:rsid w:val="0003638E"/>
    <w:rsid w:val="00036433"/>
    <w:rsid w:val="00036552"/>
    <w:rsid w:val="00036643"/>
    <w:rsid w:val="00036692"/>
    <w:rsid w:val="000366A2"/>
    <w:rsid w:val="000366B2"/>
    <w:rsid w:val="00036716"/>
    <w:rsid w:val="00036733"/>
    <w:rsid w:val="000367BC"/>
    <w:rsid w:val="000367FF"/>
    <w:rsid w:val="00036815"/>
    <w:rsid w:val="000368BD"/>
    <w:rsid w:val="0003691C"/>
    <w:rsid w:val="000369A9"/>
    <w:rsid w:val="00036B30"/>
    <w:rsid w:val="00036B7C"/>
    <w:rsid w:val="00036BD2"/>
    <w:rsid w:val="00036C11"/>
    <w:rsid w:val="00036CBB"/>
    <w:rsid w:val="00036D2D"/>
    <w:rsid w:val="00036D51"/>
    <w:rsid w:val="00036DF4"/>
    <w:rsid w:val="00036E9E"/>
    <w:rsid w:val="00036F56"/>
    <w:rsid w:val="00036FF3"/>
    <w:rsid w:val="000370FB"/>
    <w:rsid w:val="00037160"/>
    <w:rsid w:val="00037167"/>
    <w:rsid w:val="0003718D"/>
    <w:rsid w:val="000371DD"/>
    <w:rsid w:val="00037226"/>
    <w:rsid w:val="00037244"/>
    <w:rsid w:val="000372A6"/>
    <w:rsid w:val="00037327"/>
    <w:rsid w:val="00037350"/>
    <w:rsid w:val="00037365"/>
    <w:rsid w:val="00037396"/>
    <w:rsid w:val="00037406"/>
    <w:rsid w:val="00037501"/>
    <w:rsid w:val="0003769E"/>
    <w:rsid w:val="000376FA"/>
    <w:rsid w:val="00037710"/>
    <w:rsid w:val="0003777C"/>
    <w:rsid w:val="00037822"/>
    <w:rsid w:val="0003785C"/>
    <w:rsid w:val="0003793C"/>
    <w:rsid w:val="00037950"/>
    <w:rsid w:val="000379A9"/>
    <w:rsid w:val="000379BC"/>
    <w:rsid w:val="00037A81"/>
    <w:rsid w:val="00037AE8"/>
    <w:rsid w:val="00037AEB"/>
    <w:rsid w:val="00037B02"/>
    <w:rsid w:val="00037B2A"/>
    <w:rsid w:val="00037CA7"/>
    <w:rsid w:val="00037D22"/>
    <w:rsid w:val="00037E0A"/>
    <w:rsid w:val="00037E77"/>
    <w:rsid w:val="00037F65"/>
    <w:rsid w:val="00037F87"/>
    <w:rsid w:val="00040060"/>
    <w:rsid w:val="00040151"/>
    <w:rsid w:val="000401F0"/>
    <w:rsid w:val="000401FD"/>
    <w:rsid w:val="0004049E"/>
    <w:rsid w:val="000404DD"/>
    <w:rsid w:val="0004053E"/>
    <w:rsid w:val="000406CA"/>
    <w:rsid w:val="00040841"/>
    <w:rsid w:val="000408EA"/>
    <w:rsid w:val="00040A60"/>
    <w:rsid w:val="00040B14"/>
    <w:rsid w:val="00040B73"/>
    <w:rsid w:val="00040BB2"/>
    <w:rsid w:val="00040CAE"/>
    <w:rsid w:val="00040D4A"/>
    <w:rsid w:val="00040D69"/>
    <w:rsid w:val="00040D70"/>
    <w:rsid w:val="00040DF3"/>
    <w:rsid w:val="00040E08"/>
    <w:rsid w:val="00040E24"/>
    <w:rsid w:val="00040E43"/>
    <w:rsid w:val="00040E9E"/>
    <w:rsid w:val="00040EB9"/>
    <w:rsid w:val="00040F42"/>
    <w:rsid w:val="00040F4A"/>
    <w:rsid w:val="00040FD5"/>
    <w:rsid w:val="0004102B"/>
    <w:rsid w:val="000410E3"/>
    <w:rsid w:val="000411BF"/>
    <w:rsid w:val="00041305"/>
    <w:rsid w:val="0004133B"/>
    <w:rsid w:val="0004139D"/>
    <w:rsid w:val="000413D7"/>
    <w:rsid w:val="000413E9"/>
    <w:rsid w:val="00041443"/>
    <w:rsid w:val="000414E7"/>
    <w:rsid w:val="00041510"/>
    <w:rsid w:val="0004154A"/>
    <w:rsid w:val="000415B0"/>
    <w:rsid w:val="000415BB"/>
    <w:rsid w:val="000415D0"/>
    <w:rsid w:val="00041669"/>
    <w:rsid w:val="000416BB"/>
    <w:rsid w:val="00041730"/>
    <w:rsid w:val="000417AB"/>
    <w:rsid w:val="000418B3"/>
    <w:rsid w:val="0004195B"/>
    <w:rsid w:val="00041964"/>
    <w:rsid w:val="00041A51"/>
    <w:rsid w:val="00041AE1"/>
    <w:rsid w:val="00041B4D"/>
    <w:rsid w:val="00041B92"/>
    <w:rsid w:val="00041BC3"/>
    <w:rsid w:val="00041BFA"/>
    <w:rsid w:val="00041E7E"/>
    <w:rsid w:val="00041F45"/>
    <w:rsid w:val="00041F80"/>
    <w:rsid w:val="00041F99"/>
    <w:rsid w:val="00041FC7"/>
    <w:rsid w:val="00042049"/>
    <w:rsid w:val="000420DA"/>
    <w:rsid w:val="0004216C"/>
    <w:rsid w:val="00042180"/>
    <w:rsid w:val="000421C8"/>
    <w:rsid w:val="000421D8"/>
    <w:rsid w:val="00042218"/>
    <w:rsid w:val="0004223E"/>
    <w:rsid w:val="000422AF"/>
    <w:rsid w:val="0004232E"/>
    <w:rsid w:val="00042371"/>
    <w:rsid w:val="00042434"/>
    <w:rsid w:val="000424EC"/>
    <w:rsid w:val="000424FC"/>
    <w:rsid w:val="00042541"/>
    <w:rsid w:val="0004254A"/>
    <w:rsid w:val="00042617"/>
    <w:rsid w:val="00042658"/>
    <w:rsid w:val="000426E0"/>
    <w:rsid w:val="0004272B"/>
    <w:rsid w:val="0004277A"/>
    <w:rsid w:val="000427C3"/>
    <w:rsid w:val="000427FF"/>
    <w:rsid w:val="00042816"/>
    <w:rsid w:val="000428B1"/>
    <w:rsid w:val="000428D7"/>
    <w:rsid w:val="00042915"/>
    <w:rsid w:val="000429B5"/>
    <w:rsid w:val="000429C0"/>
    <w:rsid w:val="00042ABB"/>
    <w:rsid w:val="00042BAC"/>
    <w:rsid w:val="00042C11"/>
    <w:rsid w:val="00042CC0"/>
    <w:rsid w:val="00042D24"/>
    <w:rsid w:val="00042D7C"/>
    <w:rsid w:val="00042DD6"/>
    <w:rsid w:val="00042E16"/>
    <w:rsid w:val="00042E20"/>
    <w:rsid w:val="00042E8F"/>
    <w:rsid w:val="00042F04"/>
    <w:rsid w:val="00042F95"/>
    <w:rsid w:val="00043016"/>
    <w:rsid w:val="000430E6"/>
    <w:rsid w:val="000430FE"/>
    <w:rsid w:val="00043192"/>
    <w:rsid w:val="0004323B"/>
    <w:rsid w:val="0004327E"/>
    <w:rsid w:val="0004329E"/>
    <w:rsid w:val="000432E6"/>
    <w:rsid w:val="0004331F"/>
    <w:rsid w:val="00043425"/>
    <w:rsid w:val="0004342E"/>
    <w:rsid w:val="000435A0"/>
    <w:rsid w:val="000435AF"/>
    <w:rsid w:val="00043662"/>
    <w:rsid w:val="00043710"/>
    <w:rsid w:val="00043718"/>
    <w:rsid w:val="0004378B"/>
    <w:rsid w:val="000437E1"/>
    <w:rsid w:val="0004382D"/>
    <w:rsid w:val="000438B9"/>
    <w:rsid w:val="000438C7"/>
    <w:rsid w:val="00043985"/>
    <w:rsid w:val="0004398F"/>
    <w:rsid w:val="000439F7"/>
    <w:rsid w:val="00043A40"/>
    <w:rsid w:val="00043A8E"/>
    <w:rsid w:val="00043A91"/>
    <w:rsid w:val="00043B6B"/>
    <w:rsid w:val="00043C76"/>
    <w:rsid w:val="00043C8F"/>
    <w:rsid w:val="00043CD2"/>
    <w:rsid w:val="00043D16"/>
    <w:rsid w:val="00043D58"/>
    <w:rsid w:val="00043E61"/>
    <w:rsid w:val="00043E63"/>
    <w:rsid w:val="00043EE4"/>
    <w:rsid w:val="00043F45"/>
    <w:rsid w:val="00043FA5"/>
    <w:rsid w:val="00044009"/>
    <w:rsid w:val="00044076"/>
    <w:rsid w:val="00044080"/>
    <w:rsid w:val="0004413B"/>
    <w:rsid w:val="0004413F"/>
    <w:rsid w:val="00044152"/>
    <w:rsid w:val="00044158"/>
    <w:rsid w:val="00044185"/>
    <w:rsid w:val="00044272"/>
    <w:rsid w:val="000442F5"/>
    <w:rsid w:val="000443E2"/>
    <w:rsid w:val="000443EE"/>
    <w:rsid w:val="00044443"/>
    <w:rsid w:val="00044449"/>
    <w:rsid w:val="000444A3"/>
    <w:rsid w:val="0004453E"/>
    <w:rsid w:val="00044565"/>
    <w:rsid w:val="000445AC"/>
    <w:rsid w:val="0004465F"/>
    <w:rsid w:val="00044799"/>
    <w:rsid w:val="0004481B"/>
    <w:rsid w:val="0004482D"/>
    <w:rsid w:val="0004482F"/>
    <w:rsid w:val="00044842"/>
    <w:rsid w:val="000448D8"/>
    <w:rsid w:val="000448E3"/>
    <w:rsid w:val="0004498F"/>
    <w:rsid w:val="000449E5"/>
    <w:rsid w:val="00044A0E"/>
    <w:rsid w:val="00044A14"/>
    <w:rsid w:val="00044A8D"/>
    <w:rsid w:val="00044AB6"/>
    <w:rsid w:val="00044BB1"/>
    <w:rsid w:val="00044E4D"/>
    <w:rsid w:val="00044E54"/>
    <w:rsid w:val="00044F28"/>
    <w:rsid w:val="000450A1"/>
    <w:rsid w:val="000450AA"/>
    <w:rsid w:val="000450F8"/>
    <w:rsid w:val="000451AC"/>
    <w:rsid w:val="00045226"/>
    <w:rsid w:val="00045260"/>
    <w:rsid w:val="000452CC"/>
    <w:rsid w:val="00045351"/>
    <w:rsid w:val="0004539C"/>
    <w:rsid w:val="0004554D"/>
    <w:rsid w:val="0004561B"/>
    <w:rsid w:val="0004570A"/>
    <w:rsid w:val="0004571B"/>
    <w:rsid w:val="00045769"/>
    <w:rsid w:val="00045961"/>
    <w:rsid w:val="00045994"/>
    <w:rsid w:val="000459CD"/>
    <w:rsid w:val="00045A1C"/>
    <w:rsid w:val="00045A28"/>
    <w:rsid w:val="00045C3E"/>
    <w:rsid w:val="00045C60"/>
    <w:rsid w:val="00045C6C"/>
    <w:rsid w:val="00045CA1"/>
    <w:rsid w:val="00045D25"/>
    <w:rsid w:val="00045DA8"/>
    <w:rsid w:val="00045DB8"/>
    <w:rsid w:val="00045DBF"/>
    <w:rsid w:val="00045DF6"/>
    <w:rsid w:val="00045F59"/>
    <w:rsid w:val="00045FCC"/>
    <w:rsid w:val="000460F1"/>
    <w:rsid w:val="000460FA"/>
    <w:rsid w:val="000461FC"/>
    <w:rsid w:val="0004624D"/>
    <w:rsid w:val="000462D6"/>
    <w:rsid w:val="000462EA"/>
    <w:rsid w:val="00046385"/>
    <w:rsid w:val="00046390"/>
    <w:rsid w:val="000463B2"/>
    <w:rsid w:val="000463C0"/>
    <w:rsid w:val="000464ED"/>
    <w:rsid w:val="00046502"/>
    <w:rsid w:val="00046515"/>
    <w:rsid w:val="00046709"/>
    <w:rsid w:val="00046712"/>
    <w:rsid w:val="00046801"/>
    <w:rsid w:val="00046818"/>
    <w:rsid w:val="00046893"/>
    <w:rsid w:val="0004694A"/>
    <w:rsid w:val="000469D4"/>
    <w:rsid w:val="00046A38"/>
    <w:rsid w:val="00046A9B"/>
    <w:rsid w:val="00046AAE"/>
    <w:rsid w:val="00046B2F"/>
    <w:rsid w:val="00046B8D"/>
    <w:rsid w:val="00046BD9"/>
    <w:rsid w:val="00046BE3"/>
    <w:rsid w:val="00046C1F"/>
    <w:rsid w:val="00046C41"/>
    <w:rsid w:val="00046C54"/>
    <w:rsid w:val="00046E01"/>
    <w:rsid w:val="00046E25"/>
    <w:rsid w:val="00046E42"/>
    <w:rsid w:val="00046E72"/>
    <w:rsid w:val="00046F31"/>
    <w:rsid w:val="00046F3C"/>
    <w:rsid w:val="00046F6F"/>
    <w:rsid w:val="00047061"/>
    <w:rsid w:val="00047258"/>
    <w:rsid w:val="00047276"/>
    <w:rsid w:val="00047299"/>
    <w:rsid w:val="000472B2"/>
    <w:rsid w:val="00047328"/>
    <w:rsid w:val="000473A7"/>
    <w:rsid w:val="000473D0"/>
    <w:rsid w:val="000473DC"/>
    <w:rsid w:val="000474B3"/>
    <w:rsid w:val="00047570"/>
    <w:rsid w:val="00047770"/>
    <w:rsid w:val="0004780C"/>
    <w:rsid w:val="00047821"/>
    <w:rsid w:val="00047876"/>
    <w:rsid w:val="0004789D"/>
    <w:rsid w:val="000478AA"/>
    <w:rsid w:val="000478BB"/>
    <w:rsid w:val="00047976"/>
    <w:rsid w:val="00047A5D"/>
    <w:rsid w:val="00047A8F"/>
    <w:rsid w:val="00047AAD"/>
    <w:rsid w:val="00047B0A"/>
    <w:rsid w:val="00047BA2"/>
    <w:rsid w:val="00047BFF"/>
    <w:rsid w:val="00047CD3"/>
    <w:rsid w:val="00047CE0"/>
    <w:rsid w:val="00047DA9"/>
    <w:rsid w:val="00047E0F"/>
    <w:rsid w:val="00047E23"/>
    <w:rsid w:val="00047E5D"/>
    <w:rsid w:val="00047F00"/>
    <w:rsid w:val="00047FD9"/>
    <w:rsid w:val="00047FF6"/>
    <w:rsid w:val="00050029"/>
    <w:rsid w:val="000500F3"/>
    <w:rsid w:val="0005014B"/>
    <w:rsid w:val="0005014E"/>
    <w:rsid w:val="0005024E"/>
    <w:rsid w:val="0005029C"/>
    <w:rsid w:val="000502E9"/>
    <w:rsid w:val="00050357"/>
    <w:rsid w:val="0005038B"/>
    <w:rsid w:val="00050405"/>
    <w:rsid w:val="00050406"/>
    <w:rsid w:val="00050408"/>
    <w:rsid w:val="00050470"/>
    <w:rsid w:val="0005053C"/>
    <w:rsid w:val="0005054E"/>
    <w:rsid w:val="00050568"/>
    <w:rsid w:val="00050594"/>
    <w:rsid w:val="0005067E"/>
    <w:rsid w:val="00050762"/>
    <w:rsid w:val="000507ED"/>
    <w:rsid w:val="00050866"/>
    <w:rsid w:val="000508A0"/>
    <w:rsid w:val="000508AC"/>
    <w:rsid w:val="0005091B"/>
    <w:rsid w:val="0005095A"/>
    <w:rsid w:val="00050996"/>
    <w:rsid w:val="000509E4"/>
    <w:rsid w:val="00050A57"/>
    <w:rsid w:val="00050B7E"/>
    <w:rsid w:val="00050C79"/>
    <w:rsid w:val="00050CDE"/>
    <w:rsid w:val="00050DB3"/>
    <w:rsid w:val="00050E27"/>
    <w:rsid w:val="00050E57"/>
    <w:rsid w:val="00050E72"/>
    <w:rsid w:val="00050FB9"/>
    <w:rsid w:val="00051000"/>
    <w:rsid w:val="000510B3"/>
    <w:rsid w:val="000510D8"/>
    <w:rsid w:val="00051205"/>
    <w:rsid w:val="0005124B"/>
    <w:rsid w:val="0005124F"/>
    <w:rsid w:val="00051279"/>
    <w:rsid w:val="000512F7"/>
    <w:rsid w:val="0005137B"/>
    <w:rsid w:val="0005140E"/>
    <w:rsid w:val="00051462"/>
    <w:rsid w:val="000514CF"/>
    <w:rsid w:val="000514E0"/>
    <w:rsid w:val="000514FD"/>
    <w:rsid w:val="0005163A"/>
    <w:rsid w:val="000517B9"/>
    <w:rsid w:val="0005183B"/>
    <w:rsid w:val="000518FC"/>
    <w:rsid w:val="000519DB"/>
    <w:rsid w:val="000519DF"/>
    <w:rsid w:val="00051ADB"/>
    <w:rsid w:val="00051D43"/>
    <w:rsid w:val="00051D55"/>
    <w:rsid w:val="00051D64"/>
    <w:rsid w:val="00051E97"/>
    <w:rsid w:val="00051FCB"/>
    <w:rsid w:val="00052072"/>
    <w:rsid w:val="000520B8"/>
    <w:rsid w:val="00052103"/>
    <w:rsid w:val="0005212F"/>
    <w:rsid w:val="00052173"/>
    <w:rsid w:val="0005218F"/>
    <w:rsid w:val="00052275"/>
    <w:rsid w:val="000522C9"/>
    <w:rsid w:val="00052330"/>
    <w:rsid w:val="00052385"/>
    <w:rsid w:val="000523CF"/>
    <w:rsid w:val="000523DC"/>
    <w:rsid w:val="000523E1"/>
    <w:rsid w:val="0005242F"/>
    <w:rsid w:val="000524EC"/>
    <w:rsid w:val="00052501"/>
    <w:rsid w:val="00052506"/>
    <w:rsid w:val="0005255A"/>
    <w:rsid w:val="00052567"/>
    <w:rsid w:val="0005257A"/>
    <w:rsid w:val="000525D6"/>
    <w:rsid w:val="000526A6"/>
    <w:rsid w:val="00052732"/>
    <w:rsid w:val="0005279B"/>
    <w:rsid w:val="000527F3"/>
    <w:rsid w:val="0005283F"/>
    <w:rsid w:val="0005285A"/>
    <w:rsid w:val="0005286F"/>
    <w:rsid w:val="00052879"/>
    <w:rsid w:val="000528F2"/>
    <w:rsid w:val="0005290F"/>
    <w:rsid w:val="0005298F"/>
    <w:rsid w:val="00052A06"/>
    <w:rsid w:val="00052A26"/>
    <w:rsid w:val="00052A3A"/>
    <w:rsid w:val="00052AB5"/>
    <w:rsid w:val="00052AD1"/>
    <w:rsid w:val="00052AEA"/>
    <w:rsid w:val="00052B78"/>
    <w:rsid w:val="00052B88"/>
    <w:rsid w:val="00052BA7"/>
    <w:rsid w:val="00052C18"/>
    <w:rsid w:val="00052C3C"/>
    <w:rsid w:val="00052D06"/>
    <w:rsid w:val="00052D51"/>
    <w:rsid w:val="00052DEA"/>
    <w:rsid w:val="00052E67"/>
    <w:rsid w:val="00052EED"/>
    <w:rsid w:val="00052EEE"/>
    <w:rsid w:val="00052F18"/>
    <w:rsid w:val="00052F77"/>
    <w:rsid w:val="00052F8E"/>
    <w:rsid w:val="00052FD3"/>
    <w:rsid w:val="000531AA"/>
    <w:rsid w:val="000531F4"/>
    <w:rsid w:val="00053240"/>
    <w:rsid w:val="0005325E"/>
    <w:rsid w:val="00053329"/>
    <w:rsid w:val="00053384"/>
    <w:rsid w:val="00053426"/>
    <w:rsid w:val="00053441"/>
    <w:rsid w:val="0005344F"/>
    <w:rsid w:val="0005358F"/>
    <w:rsid w:val="000536CB"/>
    <w:rsid w:val="0005374F"/>
    <w:rsid w:val="00053785"/>
    <w:rsid w:val="000537CF"/>
    <w:rsid w:val="000539A3"/>
    <w:rsid w:val="00053A12"/>
    <w:rsid w:val="00053A9B"/>
    <w:rsid w:val="00053B0C"/>
    <w:rsid w:val="00053B20"/>
    <w:rsid w:val="00053B56"/>
    <w:rsid w:val="00053B94"/>
    <w:rsid w:val="00053B97"/>
    <w:rsid w:val="00053C6D"/>
    <w:rsid w:val="00053CCA"/>
    <w:rsid w:val="00053DDF"/>
    <w:rsid w:val="00053E19"/>
    <w:rsid w:val="00053E53"/>
    <w:rsid w:val="00053EF1"/>
    <w:rsid w:val="0005400D"/>
    <w:rsid w:val="00054067"/>
    <w:rsid w:val="000540DC"/>
    <w:rsid w:val="000540EF"/>
    <w:rsid w:val="00054102"/>
    <w:rsid w:val="00054121"/>
    <w:rsid w:val="00054198"/>
    <w:rsid w:val="000543DA"/>
    <w:rsid w:val="000543E3"/>
    <w:rsid w:val="000543EC"/>
    <w:rsid w:val="000543FD"/>
    <w:rsid w:val="000544F3"/>
    <w:rsid w:val="000544F9"/>
    <w:rsid w:val="00054516"/>
    <w:rsid w:val="00054625"/>
    <w:rsid w:val="000546DE"/>
    <w:rsid w:val="00054724"/>
    <w:rsid w:val="00054785"/>
    <w:rsid w:val="000547C8"/>
    <w:rsid w:val="000547E3"/>
    <w:rsid w:val="00054819"/>
    <w:rsid w:val="00054890"/>
    <w:rsid w:val="000548A4"/>
    <w:rsid w:val="00054989"/>
    <w:rsid w:val="00054B65"/>
    <w:rsid w:val="00054C07"/>
    <w:rsid w:val="00054D0E"/>
    <w:rsid w:val="00054E94"/>
    <w:rsid w:val="00054ED5"/>
    <w:rsid w:val="00054EEB"/>
    <w:rsid w:val="00054F43"/>
    <w:rsid w:val="00054F45"/>
    <w:rsid w:val="00054F6D"/>
    <w:rsid w:val="00054F7B"/>
    <w:rsid w:val="00054F9B"/>
    <w:rsid w:val="00054FD6"/>
    <w:rsid w:val="00055022"/>
    <w:rsid w:val="0005506F"/>
    <w:rsid w:val="0005507D"/>
    <w:rsid w:val="00055091"/>
    <w:rsid w:val="000550A0"/>
    <w:rsid w:val="000550D2"/>
    <w:rsid w:val="00055149"/>
    <w:rsid w:val="000551AA"/>
    <w:rsid w:val="000551F4"/>
    <w:rsid w:val="0005521E"/>
    <w:rsid w:val="0005534A"/>
    <w:rsid w:val="00055557"/>
    <w:rsid w:val="00055591"/>
    <w:rsid w:val="000555FF"/>
    <w:rsid w:val="0005564B"/>
    <w:rsid w:val="00055672"/>
    <w:rsid w:val="000557D4"/>
    <w:rsid w:val="000557D7"/>
    <w:rsid w:val="0005587A"/>
    <w:rsid w:val="0005587D"/>
    <w:rsid w:val="00055925"/>
    <w:rsid w:val="000559A3"/>
    <w:rsid w:val="000559AD"/>
    <w:rsid w:val="00055A52"/>
    <w:rsid w:val="00055A5B"/>
    <w:rsid w:val="00055B85"/>
    <w:rsid w:val="00055C49"/>
    <w:rsid w:val="00055CFD"/>
    <w:rsid w:val="00055DA4"/>
    <w:rsid w:val="00055E69"/>
    <w:rsid w:val="00055EC2"/>
    <w:rsid w:val="00055EC7"/>
    <w:rsid w:val="00055FD3"/>
    <w:rsid w:val="0005613D"/>
    <w:rsid w:val="00056155"/>
    <w:rsid w:val="00056179"/>
    <w:rsid w:val="000561A9"/>
    <w:rsid w:val="00056284"/>
    <w:rsid w:val="000562CF"/>
    <w:rsid w:val="0005633C"/>
    <w:rsid w:val="000563CA"/>
    <w:rsid w:val="00056497"/>
    <w:rsid w:val="00056586"/>
    <w:rsid w:val="000565D8"/>
    <w:rsid w:val="00056629"/>
    <w:rsid w:val="0005666D"/>
    <w:rsid w:val="000566BD"/>
    <w:rsid w:val="00056711"/>
    <w:rsid w:val="00056888"/>
    <w:rsid w:val="00056892"/>
    <w:rsid w:val="000568C8"/>
    <w:rsid w:val="00056932"/>
    <w:rsid w:val="0005694E"/>
    <w:rsid w:val="000569C0"/>
    <w:rsid w:val="00056A34"/>
    <w:rsid w:val="00056AFF"/>
    <w:rsid w:val="00056BCC"/>
    <w:rsid w:val="00056C01"/>
    <w:rsid w:val="00056CF2"/>
    <w:rsid w:val="00056D39"/>
    <w:rsid w:val="00056D76"/>
    <w:rsid w:val="00056DF7"/>
    <w:rsid w:val="00056DFE"/>
    <w:rsid w:val="00056E16"/>
    <w:rsid w:val="00056F12"/>
    <w:rsid w:val="00056F9D"/>
    <w:rsid w:val="00056FE5"/>
    <w:rsid w:val="00057008"/>
    <w:rsid w:val="000570C7"/>
    <w:rsid w:val="0005719F"/>
    <w:rsid w:val="00057207"/>
    <w:rsid w:val="0005720D"/>
    <w:rsid w:val="00057279"/>
    <w:rsid w:val="0005727A"/>
    <w:rsid w:val="000572DE"/>
    <w:rsid w:val="00057335"/>
    <w:rsid w:val="0005745F"/>
    <w:rsid w:val="0005750E"/>
    <w:rsid w:val="0005753A"/>
    <w:rsid w:val="0005755F"/>
    <w:rsid w:val="00057574"/>
    <w:rsid w:val="000575A8"/>
    <w:rsid w:val="00057644"/>
    <w:rsid w:val="00057687"/>
    <w:rsid w:val="000576EE"/>
    <w:rsid w:val="00057701"/>
    <w:rsid w:val="0005772B"/>
    <w:rsid w:val="000578D2"/>
    <w:rsid w:val="00057A3D"/>
    <w:rsid w:val="00057AB9"/>
    <w:rsid w:val="00057AC1"/>
    <w:rsid w:val="00057B71"/>
    <w:rsid w:val="00057C2A"/>
    <w:rsid w:val="00057C89"/>
    <w:rsid w:val="00057CFA"/>
    <w:rsid w:val="00057D23"/>
    <w:rsid w:val="00057DC2"/>
    <w:rsid w:val="00057F41"/>
    <w:rsid w:val="00057F74"/>
    <w:rsid w:val="00060024"/>
    <w:rsid w:val="0006003D"/>
    <w:rsid w:val="00060090"/>
    <w:rsid w:val="000600A1"/>
    <w:rsid w:val="000600DB"/>
    <w:rsid w:val="00060135"/>
    <w:rsid w:val="0006026E"/>
    <w:rsid w:val="0006032F"/>
    <w:rsid w:val="00060341"/>
    <w:rsid w:val="00060438"/>
    <w:rsid w:val="000604BE"/>
    <w:rsid w:val="0006058F"/>
    <w:rsid w:val="000605BE"/>
    <w:rsid w:val="000605D5"/>
    <w:rsid w:val="00060859"/>
    <w:rsid w:val="00060863"/>
    <w:rsid w:val="000608A6"/>
    <w:rsid w:val="000608BF"/>
    <w:rsid w:val="0006091C"/>
    <w:rsid w:val="00060922"/>
    <w:rsid w:val="00060948"/>
    <w:rsid w:val="00060990"/>
    <w:rsid w:val="00060A7E"/>
    <w:rsid w:val="00060D4B"/>
    <w:rsid w:val="00060DD5"/>
    <w:rsid w:val="00060DD6"/>
    <w:rsid w:val="00060E93"/>
    <w:rsid w:val="00060EDA"/>
    <w:rsid w:val="00060F49"/>
    <w:rsid w:val="00060F9B"/>
    <w:rsid w:val="00060FC8"/>
    <w:rsid w:val="0006101D"/>
    <w:rsid w:val="000610FA"/>
    <w:rsid w:val="0006117C"/>
    <w:rsid w:val="000611EE"/>
    <w:rsid w:val="00061235"/>
    <w:rsid w:val="000612E3"/>
    <w:rsid w:val="0006138F"/>
    <w:rsid w:val="0006143E"/>
    <w:rsid w:val="00061447"/>
    <w:rsid w:val="00061595"/>
    <w:rsid w:val="000615CB"/>
    <w:rsid w:val="00061784"/>
    <w:rsid w:val="000617CB"/>
    <w:rsid w:val="00061889"/>
    <w:rsid w:val="000618E7"/>
    <w:rsid w:val="00061962"/>
    <w:rsid w:val="000619D2"/>
    <w:rsid w:val="00061ABA"/>
    <w:rsid w:val="00061B65"/>
    <w:rsid w:val="00061C4D"/>
    <w:rsid w:val="00061C65"/>
    <w:rsid w:val="00061CB1"/>
    <w:rsid w:val="00061CC0"/>
    <w:rsid w:val="00061D1C"/>
    <w:rsid w:val="00061DBE"/>
    <w:rsid w:val="00061E3C"/>
    <w:rsid w:val="00061ED9"/>
    <w:rsid w:val="000620A1"/>
    <w:rsid w:val="000620AB"/>
    <w:rsid w:val="000620DA"/>
    <w:rsid w:val="000620FE"/>
    <w:rsid w:val="0006216D"/>
    <w:rsid w:val="000621A8"/>
    <w:rsid w:val="000622F8"/>
    <w:rsid w:val="0006233F"/>
    <w:rsid w:val="000623A8"/>
    <w:rsid w:val="000623DE"/>
    <w:rsid w:val="000624A9"/>
    <w:rsid w:val="0006266F"/>
    <w:rsid w:val="00062699"/>
    <w:rsid w:val="00062775"/>
    <w:rsid w:val="000627A7"/>
    <w:rsid w:val="000627A9"/>
    <w:rsid w:val="000627D8"/>
    <w:rsid w:val="000627F1"/>
    <w:rsid w:val="00062801"/>
    <w:rsid w:val="00062826"/>
    <w:rsid w:val="0006284F"/>
    <w:rsid w:val="00062892"/>
    <w:rsid w:val="00062A74"/>
    <w:rsid w:val="00062AA9"/>
    <w:rsid w:val="00062AAF"/>
    <w:rsid w:val="00062AF9"/>
    <w:rsid w:val="00062AFA"/>
    <w:rsid w:val="00062B19"/>
    <w:rsid w:val="00062BBE"/>
    <w:rsid w:val="00062C6C"/>
    <w:rsid w:val="00062D63"/>
    <w:rsid w:val="00062E36"/>
    <w:rsid w:val="00062E76"/>
    <w:rsid w:val="00062FBE"/>
    <w:rsid w:val="00062FF0"/>
    <w:rsid w:val="00063064"/>
    <w:rsid w:val="0006310A"/>
    <w:rsid w:val="0006311F"/>
    <w:rsid w:val="000631D9"/>
    <w:rsid w:val="000631E8"/>
    <w:rsid w:val="0006324B"/>
    <w:rsid w:val="00063260"/>
    <w:rsid w:val="000633B8"/>
    <w:rsid w:val="000633C5"/>
    <w:rsid w:val="000633CE"/>
    <w:rsid w:val="00063460"/>
    <w:rsid w:val="000634AE"/>
    <w:rsid w:val="000634AF"/>
    <w:rsid w:val="000634B2"/>
    <w:rsid w:val="00063505"/>
    <w:rsid w:val="00063633"/>
    <w:rsid w:val="000636A2"/>
    <w:rsid w:val="00063760"/>
    <w:rsid w:val="000637B5"/>
    <w:rsid w:val="00063818"/>
    <w:rsid w:val="0006399F"/>
    <w:rsid w:val="000639D8"/>
    <w:rsid w:val="00063AB9"/>
    <w:rsid w:val="00063B66"/>
    <w:rsid w:val="00063BDB"/>
    <w:rsid w:val="00063CDC"/>
    <w:rsid w:val="00063CFC"/>
    <w:rsid w:val="00063D5E"/>
    <w:rsid w:val="00063D72"/>
    <w:rsid w:val="00063DFF"/>
    <w:rsid w:val="00063E07"/>
    <w:rsid w:val="00063E12"/>
    <w:rsid w:val="00063E17"/>
    <w:rsid w:val="00063E4A"/>
    <w:rsid w:val="00063F03"/>
    <w:rsid w:val="00063F83"/>
    <w:rsid w:val="00063FBC"/>
    <w:rsid w:val="00063FEA"/>
    <w:rsid w:val="0006407F"/>
    <w:rsid w:val="000640F0"/>
    <w:rsid w:val="00064121"/>
    <w:rsid w:val="00064133"/>
    <w:rsid w:val="00064145"/>
    <w:rsid w:val="0006417A"/>
    <w:rsid w:val="0006419A"/>
    <w:rsid w:val="0006425E"/>
    <w:rsid w:val="00064276"/>
    <w:rsid w:val="000642C6"/>
    <w:rsid w:val="0006436B"/>
    <w:rsid w:val="0006445A"/>
    <w:rsid w:val="000644BF"/>
    <w:rsid w:val="000644DE"/>
    <w:rsid w:val="00064588"/>
    <w:rsid w:val="00064670"/>
    <w:rsid w:val="00064698"/>
    <w:rsid w:val="00064716"/>
    <w:rsid w:val="00064724"/>
    <w:rsid w:val="000647D4"/>
    <w:rsid w:val="00064809"/>
    <w:rsid w:val="0006487F"/>
    <w:rsid w:val="00064936"/>
    <w:rsid w:val="00064B1A"/>
    <w:rsid w:val="00064C24"/>
    <w:rsid w:val="00064DA2"/>
    <w:rsid w:val="00064DD8"/>
    <w:rsid w:val="00064E3C"/>
    <w:rsid w:val="00064ECE"/>
    <w:rsid w:val="00065010"/>
    <w:rsid w:val="00065145"/>
    <w:rsid w:val="000651B9"/>
    <w:rsid w:val="000651F5"/>
    <w:rsid w:val="0006528C"/>
    <w:rsid w:val="000652C9"/>
    <w:rsid w:val="000653A9"/>
    <w:rsid w:val="000653B0"/>
    <w:rsid w:val="00065529"/>
    <w:rsid w:val="0006557E"/>
    <w:rsid w:val="00065587"/>
    <w:rsid w:val="000655A8"/>
    <w:rsid w:val="0006564D"/>
    <w:rsid w:val="000656F9"/>
    <w:rsid w:val="0006570A"/>
    <w:rsid w:val="0006571B"/>
    <w:rsid w:val="000657C9"/>
    <w:rsid w:val="000657F8"/>
    <w:rsid w:val="00065981"/>
    <w:rsid w:val="00065A07"/>
    <w:rsid w:val="00065A30"/>
    <w:rsid w:val="00065A63"/>
    <w:rsid w:val="00065AF7"/>
    <w:rsid w:val="00065C99"/>
    <w:rsid w:val="00065E21"/>
    <w:rsid w:val="00065E38"/>
    <w:rsid w:val="00065EC5"/>
    <w:rsid w:val="00065ED4"/>
    <w:rsid w:val="00065F12"/>
    <w:rsid w:val="00065F2A"/>
    <w:rsid w:val="00065F8E"/>
    <w:rsid w:val="00065FE6"/>
    <w:rsid w:val="0006601D"/>
    <w:rsid w:val="00066056"/>
    <w:rsid w:val="0006623D"/>
    <w:rsid w:val="00066251"/>
    <w:rsid w:val="0006629F"/>
    <w:rsid w:val="0006631C"/>
    <w:rsid w:val="000663F4"/>
    <w:rsid w:val="0006643D"/>
    <w:rsid w:val="0006648C"/>
    <w:rsid w:val="00066560"/>
    <w:rsid w:val="0006666A"/>
    <w:rsid w:val="00066681"/>
    <w:rsid w:val="00066773"/>
    <w:rsid w:val="00066823"/>
    <w:rsid w:val="0006688A"/>
    <w:rsid w:val="000668CA"/>
    <w:rsid w:val="000668E5"/>
    <w:rsid w:val="0006695D"/>
    <w:rsid w:val="00066971"/>
    <w:rsid w:val="000669B3"/>
    <w:rsid w:val="000669D8"/>
    <w:rsid w:val="000669E2"/>
    <w:rsid w:val="00066A5C"/>
    <w:rsid w:val="00066A83"/>
    <w:rsid w:val="00066AA3"/>
    <w:rsid w:val="00066AC0"/>
    <w:rsid w:val="00066B05"/>
    <w:rsid w:val="00066BC1"/>
    <w:rsid w:val="00066C51"/>
    <w:rsid w:val="00066E3B"/>
    <w:rsid w:val="00066E5A"/>
    <w:rsid w:val="00066EA6"/>
    <w:rsid w:val="00066F76"/>
    <w:rsid w:val="00066F92"/>
    <w:rsid w:val="000670EB"/>
    <w:rsid w:val="000671C9"/>
    <w:rsid w:val="00067209"/>
    <w:rsid w:val="000673CE"/>
    <w:rsid w:val="000673F4"/>
    <w:rsid w:val="000675F3"/>
    <w:rsid w:val="000676CC"/>
    <w:rsid w:val="000676D1"/>
    <w:rsid w:val="000676FD"/>
    <w:rsid w:val="00067781"/>
    <w:rsid w:val="00067836"/>
    <w:rsid w:val="000678F6"/>
    <w:rsid w:val="000678FF"/>
    <w:rsid w:val="0006793C"/>
    <w:rsid w:val="00067970"/>
    <w:rsid w:val="00067992"/>
    <w:rsid w:val="00067997"/>
    <w:rsid w:val="000679AB"/>
    <w:rsid w:val="000679B4"/>
    <w:rsid w:val="00067AAB"/>
    <w:rsid w:val="00067AC8"/>
    <w:rsid w:val="00067AFA"/>
    <w:rsid w:val="00067B12"/>
    <w:rsid w:val="00067B3A"/>
    <w:rsid w:val="00067C4F"/>
    <w:rsid w:val="00067C75"/>
    <w:rsid w:val="00067CA9"/>
    <w:rsid w:val="00067DDD"/>
    <w:rsid w:val="00067DE0"/>
    <w:rsid w:val="00067E28"/>
    <w:rsid w:val="00067E4E"/>
    <w:rsid w:val="00067EB1"/>
    <w:rsid w:val="00067F0E"/>
    <w:rsid w:val="00067F3C"/>
    <w:rsid w:val="00067FF6"/>
    <w:rsid w:val="00067FF9"/>
    <w:rsid w:val="00070036"/>
    <w:rsid w:val="000700CA"/>
    <w:rsid w:val="000701E8"/>
    <w:rsid w:val="000701F0"/>
    <w:rsid w:val="000701F2"/>
    <w:rsid w:val="00070259"/>
    <w:rsid w:val="00070276"/>
    <w:rsid w:val="000702BD"/>
    <w:rsid w:val="00070466"/>
    <w:rsid w:val="00070482"/>
    <w:rsid w:val="00070513"/>
    <w:rsid w:val="00070545"/>
    <w:rsid w:val="0007057D"/>
    <w:rsid w:val="000705CA"/>
    <w:rsid w:val="000705F0"/>
    <w:rsid w:val="00070622"/>
    <w:rsid w:val="00070682"/>
    <w:rsid w:val="0007068A"/>
    <w:rsid w:val="0007069D"/>
    <w:rsid w:val="0007070A"/>
    <w:rsid w:val="0007075E"/>
    <w:rsid w:val="00070764"/>
    <w:rsid w:val="0007078D"/>
    <w:rsid w:val="0007078E"/>
    <w:rsid w:val="000707EC"/>
    <w:rsid w:val="000708D2"/>
    <w:rsid w:val="000708F0"/>
    <w:rsid w:val="0007095A"/>
    <w:rsid w:val="00070962"/>
    <w:rsid w:val="000709FD"/>
    <w:rsid w:val="00070A34"/>
    <w:rsid w:val="00070A89"/>
    <w:rsid w:val="00070AC0"/>
    <w:rsid w:val="00070AF5"/>
    <w:rsid w:val="00070BB9"/>
    <w:rsid w:val="00070C63"/>
    <w:rsid w:val="00070D62"/>
    <w:rsid w:val="00070E0A"/>
    <w:rsid w:val="00070E2F"/>
    <w:rsid w:val="00070E55"/>
    <w:rsid w:val="00070F66"/>
    <w:rsid w:val="0007100F"/>
    <w:rsid w:val="00071042"/>
    <w:rsid w:val="0007113F"/>
    <w:rsid w:val="00071217"/>
    <w:rsid w:val="0007122E"/>
    <w:rsid w:val="00071299"/>
    <w:rsid w:val="000712ED"/>
    <w:rsid w:val="000713BA"/>
    <w:rsid w:val="00071489"/>
    <w:rsid w:val="000714BE"/>
    <w:rsid w:val="000714D7"/>
    <w:rsid w:val="00071688"/>
    <w:rsid w:val="000716AF"/>
    <w:rsid w:val="0007181E"/>
    <w:rsid w:val="00071852"/>
    <w:rsid w:val="00071892"/>
    <w:rsid w:val="000718F3"/>
    <w:rsid w:val="00071A46"/>
    <w:rsid w:val="00071AB8"/>
    <w:rsid w:val="00071BE4"/>
    <w:rsid w:val="00071C0B"/>
    <w:rsid w:val="00071C74"/>
    <w:rsid w:val="00071CF4"/>
    <w:rsid w:val="00071E75"/>
    <w:rsid w:val="00071EB3"/>
    <w:rsid w:val="00071EF2"/>
    <w:rsid w:val="00071F0F"/>
    <w:rsid w:val="00071FFD"/>
    <w:rsid w:val="00072081"/>
    <w:rsid w:val="000721B2"/>
    <w:rsid w:val="0007222B"/>
    <w:rsid w:val="00072266"/>
    <w:rsid w:val="0007232C"/>
    <w:rsid w:val="0007246F"/>
    <w:rsid w:val="0007259F"/>
    <w:rsid w:val="000725B5"/>
    <w:rsid w:val="000725DB"/>
    <w:rsid w:val="00072614"/>
    <w:rsid w:val="000726F7"/>
    <w:rsid w:val="00072765"/>
    <w:rsid w:val="00072855"/>
    <w:rsid w:val="00072975"/>
    <w:rsid w:val="00072988"/>
    <w:rsid w:val="00072AA9"/>
    <w:rsid w:val="00072AB6"/>
    <w:rsid w:val="00072B37"/>
    <w:rsid w:val="00072BD6"/>
    <w:rsid w:val="00072BD8"/>
    <w:rsid w:val="00072D83"/>
    <w:rsid w:val="00072ECA"/>
    <w:rsid w:val="00072F05"/>
    <w:rsid w:val="00072F16"/>
    <w:rsid w:val="00072F27"/>
    <w:rsid w:val="00073003"/>
    <w:rsid w:val="000731A2"/>
    <w:rsid w:val="00073234"/>
    <w:rsid w:val="000732AB"/>
    <w:rsid w:val="000732FD"/>
    <w:rsid w:val="0007333B"/>
    <w:rsid w:val="00073486"/>
    <w:rsid w:val="000734F8"/>
    <w:rsid w:val="000735D1"/>
    <w:rsid w:val="0007368B"/>
    <w:rsid w:val="0007369B"/>
    <w:rsid w:val="000736B8"/>
    <w:rsid w:val="00073742"/>
    <w:rsid w:val="00073754"/>
    <w:rsid w:val="000737AD"/>
    <w:rsid w:val="000737CA"/>
    <w:rsid w:val="00073820"/>
    <w:rsid w:val="0007392F"/>
    <w:rsid w:val="00073B0E"/>
    <w:rsid w:val="00073C0A"/>
    <w:rsid w:val="00073C41"/>
    <w:rsid w:val="00073D79"/>
    <w:rsid w:val="00073D7C"/>
    <w:rsid w:val="00073DCE"/>
    <w:rsid w:val="00073EF4"/>
    <w:rsid w:val="00073F2F"/>
    <w:rsid w:val="00073F3C"/>
    <w:rsid w:val="00074002"/>
    <w:rsid w:val="0007404C"/>
    <w:rsid w:val="000740B9"/>
    <w:rsid w:val="00074204"/>
    <w:rsid w:val="00074239"/>
    <w:rsid w:val="000742FE"/>
    <w:rsid w:val="0007435A"/>
    <w:rsid w:val="000743D1"/>
    <w:rsid w:val="00074478"/>
    <w:rsid w:val="000744C6"/>
    <w:rsid w:val="000745A8"/>
    <w:rsid w:val="000745D0"/>
    <w:rsid w:val="0007461D"/>
    <w:rsid w:val="0007463A"/>
    <w:rsid w:val="000746DF"/>
    <w:rsid w:val="00074728"/>
    <w:rsid w:val="000747CF"/>
    <w:rsid w:val="0007481B"/>
    <w:rsid w:val="00074861"/>
    <w:rsid w:val="000748AB"/>
    <w:rsid w:val="000748CE"/>
    <w:rsid w:val="000748EA"/>
    <w:rsid w:val="00074908"/>
    <w:rsid w:val="00074948"/>
    <w:rsid w:val="00074974"/>
    <w:rsid w:val="00074A30"/>
    <w:rsid w:val="00074A92"/>
    <w:rsid w:val="00074AD4"/>
    <w:rsid w:val="00074B0A"/>
    <w:rsid w:val="00074B8F"/>
    <w:rsid w:val="00074B9F"/>
    <w:rsid w:val="00074BF0"/>
    <w:rsid w:val="00074C7E"/>
    <w:rsid w:val="00074CC5"/>
    <w:rsid w:val="00074DAD"/>
    <w:rsid w:val="00074DE6"/>
    <w:rsid w:val="00074E3A"/>
    <w:rsid w:val="00074F56"/>
    <w:rsid w:val="00075011"/>
    <w:rsid w:val="00075039"/>
    <w:rsid w:val="0007518B"/>
    <w:rsid w:val="000751A7"/>
    <w:rsid w:val="000751C3"/>
    <w:rsid w:val="000751FF"/>
    <w:rsid w:val="00075271"/>
    <w:rsid w:val="00075280"/>
    <w:rsid w:val="000752E9"/>
    <w:rsid w:val="0007543A"/>
    <w:rsid w:val="0007545E"/>
    <w:rsid w:val="0007546C"/>
    <w:rsid w:val="000754C9"/>
    <w:rsid w:val="0007550C"/>
    <w:rsid w:val="000755F9"/>
    <w:rsid w:val="0007580C"/>
    <w:rsid w:val="00075862"/>
    <w:rsid w:val="000758B0"/>
    <w:rsid w:val="00075939"/>
    <w:rsid w:val="00075961"/>
    <w:rsid w:val="000759F3"/>
    <w:rsid w:val="00075A88"/>
    <w:rsid w:val="00075ABA"/>
    <w:rsid w:val="00075B44"/>
    <w:rsid w:val="00075BE3"/>
    <w:rsid w:val="00075C19"/>
    <w:rsid w:val="00075C69"/>
    <w:rsid w:val="00075D4E"/>
    <w:rsid w:val="00075EB6"/>
    <w:rsid w:val="00075EB8"/>
    <w:rsid w:val="00075EFA"/>
    <w:rsid w:val="000760D4"/>
    <w:rsid w:val="00076129"/>
    <w:rsid w:val="00076165"/>
    <w:rsid w:val="00076191"/>
    <w:rsid w:val="00076200"/>
    <w:rsid w:val="00076238"/>
    <w:rsid w:val="00076472"/>
    <w:rsid w:val="000765B5"/>
    <w:rsid w:val="000765C6"/>
    <w:rsid w:val="000765F5"/>
    <w:rsid w:val="00076649"/>
    <w:rsid w:val="00076667"/>
    <w:rsid w:val="000767D2"/>
    <w:rsid w:val="00076849"/>
    <w:rsid w:val="00076989"/>
    <w:rsid w:val="00076996"/>
    <w:rsid w:val="000769C8"/>
    <w:rsid w:val="00076A13"/>
    <w:rsid w:val="00076A8E"/>
    <w:rsid w:val="00076B1C"/>
    <w:rsid w:val="00076C16"/>
    <w:rsid w:val="00076CB4"/>
    <w:rsid w:val="00076D16"/>
    <w:rsid w:val="00076D27"/>
    <w:rsid w:val="00076E04"/>
    <w:rsid w:val="00076F2A"/>
    <w:rsid w:val="00076F2C"/>
    <w:rsid w:val="00076F41"/>
    <w:rsid w:val="00076FE9"/>
    <w:rsid w:val="00077064"/>
    <w:rsid w:val="000770AC"/>
    <w:rsid w:val="0007715B"/>
    <w:rsid w:val="00077198"/>
    <w:rsid w:val="00077199"/>
    <w:rsid w:val="000771D4"/>
    <w:rsid w:val="0007721C"/>
    <w:rsid w:val="00077444"/>
    <w:rsid w:val="00077486"/>
    <w:rsid w:val="0007750A"/>
    <w:rsid w:val="00077579"/>
    <w:rsid w:val="00077582"/>
    <w:rsid w:val="000775EB"/>
    <w:rsid w:val="00077723"/>
    <w:rsid w:val="000777E8"/>
    <w:rsid w:val="0007782A"/>
    <w:rsid w:val="000778C3"/>
    <w:rsid w:val="000779C0"/>
    <w:rsid w:val="000779DE"/>
    <w:rsid w:val="00077A0C"/>
    <w:rsid w:val="00077AE5"/>
    <w:rsid w:val="00077B44"/>
    <w:rsid w:val="00077D03"/>
    <w:rsid w:val="00077DD8"/>
    <w:rsid w:val="00077E36"/>
    <w:rsid w:val="00077E55"/>
    <w:rsid w:val="00077E8E"/>
    <w:rsid w:val="00077F50"/>
    <w:rsid w:val="00077F5A"/>
    <w:rsid w:val="00077F6A"/>
    <w:rsid w:val="00077F73"/>
    <w:rsid w:val="00077F9E"/>
    <w:rsid w:val="00080064"/>
    <w:rsid w:val="0008020E"/>
    <w:rsid w:val="00080375"/>
    <w:rsid w:val="000803D1"/>
    <w:rsid w:val="000804AD"/>
    <w:rsid w:val="000804DE"/>
    <w:rsid w:val="000804E5"/>
    <w:rsid w:val="00080510"/>
    <w:rsid w:val="00080572"/>
    <w:rsid w:val="000805A4"/>
    <w:rsid w:val="000806D5"/>
    <w:rsid w:val="00080715"/>
    <w:rsid w:val="00080828"/>
    <w:rsid w:val="00080835"/>
    <w:rsid w:val="00080958"/>
    <w:rsid w:val="00080CA8"/>
    <w:rsid w:val="00080CE6"/>
    <w:rsid w:val="00080D02"/>
    <w:rsid w:val="00080D47"/>
    <w:rsid w:val="00080D53"/>
    <w:rsid w:val="00080DF1"/>
    <w:rsid w:val="00080E15"/>
    <w:rsid w:val="00080E1B"/>
    <w:rsid w:val="00080E3E"/>
    <w:rsid w:val="00080E71"/>
    <w:rsid w:val="00080EFC"/>
    <w:rsid w:val="00080F2C"/>
    <w:rsid w:val="00080FDD"/>
    <w:rsid w:val="00080FE8"/>
    <w:rsid w:val="00081024"/>
    <w:rsid w:val="00081212"/>
    <w:rsid w:val="000812C3"/>
    <w:rsid w:val="000812F3"/>
    <w:rsid w:val="000813C2"/>
    <w:rsid w:val="000813C8"/>
    <w:rsid w:val="000814C4"/>
    <w:rsid w:val="00081652"/>
    <w:rsid w:val="000816C8"/>
    <w:rsid w:val="000816CD"/>
    <w:rsid w:val="000816E2"/>
    <w:rsid w:val="000816F5"/>
    <w:rsid w:val="00081757"/>
    <w:rsid w:val="0008177E"/>
    <w:rsid w:val="000817BC"/>
    <w:rsid w:val="000817CB"/>
    <w:rsid w:val="00081872"/>
    <w:rsid w:val="00081889"/>
    <w:rsid w:val="0008191E"/>
    <w:rsid w:val="00081933"/>
    <w:rsid w:val="0008198F"/>
    <w:rsid w:val="000819DA"/>
    <w:rsid w:val="00081A19"/>
    <w:rsid w:val="00081A60"/>
    <w:rsid w:val="00081B13"/>
    <w:rsid w:val="00081BA2"/>
    <w:rsid w:val="00081BC1"/>
    <w:rsid w:val="00081C33"/>
    <w:rsid w:val="00081C7F"/>
    <w:rsid w:val="00081CA0"/>
    <w:rsid w:val="00081CC0"/>
    <w:rsid w:val="00081CEA"/>
    <w:rsid w:val="00081CED"/>
    <w:rsid w:val="00081DBF"/>
    <w:rsid w:val="00081E16"/>
    <w:rsid w:val="00081FA4"/>
    <w:rsid w:val="00082094"/>
    <w:rsid w:val="000821F8"/>
    <w:rsid w:val="00082200"/>
    <w:rsid w:val="00082222"/>
    <w:rsid w:val="00082233"/>
    <w:rsid w:val="00082304"/>
    <w:rsid w:val="0008239B"/>
    <w:rsid w:val="0008245D"/>
    <w:rsid w:val="0008256B"/>
    <w:rsid w:val="00082590"/>
    <w:rsid w:val="000825DB"/>
    <w:rsid w:val="00082630"/>
    <w:rsid w:val="00082703"/>
    <w:rsid w:val="000827F6"/>
    <w:rsid w:val="00082821"/>
    <w:rsid w:val="000828EA"/>
    <w:rsid w:val="00082915"/>
    <w:rsid w:val="0008293D"/>
    <w:rsid w:val="00082A81"/>
    <w:rsid w:val="00082A88"/>
    <w:rsid w:val="00082C06"/>
    <w:rsid w:val="00082C54"/>
    <w:rsid w:val="00082C93"/>
    <w:rsid w:val="00082CF4"/>
    <w:rsid w:val="00082D94"/>
    <w:rsid w:val="00082E72"/>
    <w:rsid w:val="00082E95"/>
    <w:rsid w:val="00082F2B"/>
    <w:rsid w:val="00082F44"/>
    <w:rsid w:val="00082FCE"/>
    <w:rsid w:val="0008302C"/>
    <w:rsid w:val="00083144"/>
    <w:rsid w:val="00083157"/>
    <w:rsid w:val="00083170"/>
    <w:rsid w:val="000831FA"/>
    <w:rsid w:val="00083236"/>
    <w:rsid w:val="0008326A"/>
    <w:rsid w:val="0008326F"/>
    <w:rsid w:val="00083326"/>
    <w:rsid w:val="0008338F"/>
    <w:rsid w:val="000833B0"/>
    <w:rsid w:val="000833D0"/>
    <w:rsid w:val="0008346B"/>
    <w:rsid w:val="000834C7"/>
    <w:rsid w:val="000834E2"/>
    <w:rsid w:val="000834FF"/>
    <w:rsid w:val="0008352F"/>
    <w:rsid w:val="0008367D"/>
    <w:rsid w:val="00083684"/>
    <w:rsid w:val="000836CA"/>
    <w:rsid w:val="0008379D"/>
    <w:rsid w:val="0008380A"/>
    <w:rsid w:val="00083860"/>
    <w:rsid w:val="000838B9"/>
    <w:rsid w:val="000838CB"/>
    <w:rsid w:val="000838E1"/>
    <w:rsid w:val="00083972"/>
    <w:rsid w:val="000839CB"/>
    <w:rsid w:val="000839D4"/>
    <w:rsid w:val="00083A89"/>
    <w:rsid w:val="00083C3F"/>
    <w:rsid w:val="00083CA4"/>
    <w:rsid w:val="00083CDD"/>
    <w:rsid w:val="00083DF0"/>
    <w:rsid w:val="00083DF3"/>
    <w:rsid w:val="00083E08"/>
    <w:rsid w:val="00083E30"/>
    <w:rsid w:val="00083F4F"/>
    <w:rsid w:val="0008407A"/>
    <w:rsid w:val="0008408E"/>
    <w:rsid w:val="00084163"/>
    <w:rsid w:val="000841F3"/>
    <w:rsid w:val="0008426C"/>
    <w:rsid w:val="0008428D"/>
    <w:rsid w:val="0008431D"/>
    <w:rsid w:val="000843DC"/>
    <w:rsid w:val="0008455C"/>
    <w:rsid w:val="00084598"/>
    <w:rsid w:val="000845B0"/>
    <w:rsid w:val="00084604"/>
    <w:rsid w:val="00084672"/>
    <w:rsid w:val="0008470A"/>
    <w:rsid w:val="00084740"/>
    <w:rsid w:val="000847FE"/>
    <w:rsid w:val="000848C3"/>
    <w:rsid w:val="00084902"/>
    <w:rsid w:val="0008497A"/>
    <w:rsid w:val="000849C0"/>
    <w:rsid w:val="000849E4"/>
    <w:rsid w:val="00084B51"/>
    <w:rsid w:val="00084D1F"/>
    <w:rsid w:val="00084E7E"/>
    <w:rsid w:val="00084FD8"/>
    <w:rsid w:val="00084FFB"/>
    <w:rsid w:val="000850E0"/>
    <w:rsid w:val="00085183"/>
    <w:rsid w:val="0008518A"/>
    <w:rsid w:val="00085223"/>
    <w:rsid w:val="00085259"/>
    <w:rsid w:val="000852DA"/>
    <w:rsid w:val="00085340"/>
    <w:rsid w:val="00085375"/>
    <w:rsid w:val="000853C8"/>
    <w:rsid w:val="000853CB"/>
    <w:rsid w:val="0008543B"/>
    <w:rsid w:val="000854D8"/>
    <w:rsid w:val="000855FD"/>
    <w:rsid w:val="00085606"/>
    <w:rsid w:val="0008561B"/>
    <w:rsid w:val="000856EA"/>
    <w:rsid w:val="0008571D"/>
    <w:rsid w:val="00085739"/>
    <w:rsid w:val="0008584D"/>
    <w:rsid w:val="00085A35"/>
    <w:rsid w:val="00085A4A"/>
    <w:rsid w:val="00085A87"/>
    <w:rsid w:val="00085AAB"/>
    <w:rsid w:val="00085AB4"/>
    <w:rsid w:val="00085AC9"/>
    <w:rsid w:val="00085BA4"/>
    <w:rsid w:val="00085CA8"/>
    <w:rsid w:val="00085CDF"/>
    <w:rsid w:val="00085D43"/>
    <w:rsid w:val="00085DB7"/>
    <w:rsid w:val="00085DC1"/>
    <w:rsid w:val="00085DF9"/>
    <w:rsid w:val="00085DFC"/>
    <w:rsid w:val="00085E94"/>
    <w:rsid w:val="00085E9E"/>
    <w:rsid w:val="00085F5F"/>
    <w:rsid w:val="00085F79"/>
    <w:rsid w:val="00086042"/>
    <w:rsid w:val="0008605E"/>
    <w:rsid w:val="0008608C"/>
    <w:rsid w:val="000860A2"/>
    <w:rsid w:val="00086200"/>
    <w:rsid w:val="0008626B"/>
    <w:rsid w:val="00086361"/>
    <w:rsid w:val="00086440"/>
    <w:rsid w:val="00086469"/>
    <w:rsid w:val="00086490"/>
    <w:rsid w:val="0008659D"/>
    <w:rsid w:val="00086609"/>
    <w:rsid w:val="00086660"/>
    <w:rsid w:val="000867D2"/>
    <w:rsid w:val="000867F2"/>
    <w:rsid w:val="00086814"/>
    <w:rsid w:val="000868F1"/>
    <w:rsid w:val="00086924"/>
    <w:rsid w:val="00086960"/>
    <w:rsid w:val="000869C1"/>
    <w:rsid w:val="00086A3A"/>
    <w:rsid w:val="00086AA6"/>
    <w:rsid w:val="00086AC8"/>
    <w:rsid w:val="00086B00"/>
    <w:rsid w:val="00086B32"/>
    <w:rsid w:val="00086BC7"/>
    <w:rsid w:val="00086C76"/>
    <w:rsid w:val="00086DCA"/>
    <w:rsid w:val="00086DD1"/>
    <w:rsid w:val="00086ECC"/>
    <w:rsid w:val="00086EE7"/>
    <w:rsid w:val="00086F1A"/>
    <w:rsid w:val="00086FD3"/>
    <w:rsid w:val="000870FB"/>
    <w:rsid w:val="00087121"/>
    <w:rsid w:val="0008726A"/>
    <w:rsid w:val="0008727D"/>
    <w:rsid w:val="00087289"/>
    <w:rsid w:val="000872BF"/>
    <w:rsid w:val="00087311"/>
    <w:rsid w:val="00087319"/>
    <w:rsid w:val="0008739A"/>
    <w:rsid w:val="000873EF"/>
    <w:rsid w:val="00087534"/>
    <w:rsid w:val="00087542"/>
    <w:rsid w:val="00087579"/>
    <w:rsid w:val="00087609"/>
    <w:rsid w:val="00087634"/>
    <w:rsid w:val="0008763C"/>
    <w:rsid w:val="00087758"/>
    <w:rsid w:val="000877A6"/>
    <w:rsid w:val="0008783D"/>
    <w:rsid w:val="000878C6"/>
    <w:rsid w:val="0008795B"/>
    <w:rsid w:val="0008798B"/>
    <w:rsid w:val="00087A6C"/>
    <w:rsid w:val="00087AEF"/>
    <w:rsid w:val="00087B50"/>
    <w:rsid w:val="00087B66"/>
    <w:rsid w:val="00087B6E"/>
    <w:rsid w:val="00087CF2"/>
    <w:rsid w:val="00087D23"/>
    <w:rsid w:val="00087D73"/>
    <w:rsid w:val="00087DCA"/>
    <w:rsid w:val="00087DD9"/>
    <w:rsid w:val="00087DE2"/>
    <w:rsid w:val="00087E51"/>
    <w:rsid w:val="00087E8C"/>
    <w:rsid w:val="00090197"/>
    <w:rsid w:val="0009021F"/>
    <w:rsid w:val="00090294"/>
    <w:rsid w:val="000902B3"/>
    <w:rsid w:val="000902F6"/>
    <w:rsid w:val="0009042A"/>
    <w:rsid w:val="00090468"/>
    <w:rsid w:val="0009049C"/>
    <w:rsid w:val="00090534"/>
    <w:rsid w:val="000905D5"/>
    <w:rsid w:val="00090691"/>
    <w:rsid w:val="000906F4"/>
    <w:rsid w:val="00090792"/>
    <w:rsid w:val="0009079B"/>
    <w:rsid w:val="000907AB"/>
    <w:rsid w:val="0009090A"/>
    <w:rsid w:val="000909FE"/>
    <w:rsid w:val="00090A00"/>
    <w:rsid w:val="00090B1F"/>
    <w:rsid w:val="00090CCE"/>
    <w:rsid w:val="00090CD4"/>
    <w:rsid w:val="00090D19"/>
    <w:rsid w:val="00090D23"/>
    <w:rsid w:val="00090DF1"/>
    <w:rsid w:val="00090E03"/>
    <w:rsid w:val="00090E44"/>
    <w:rsid w:val="00090E48"/>
    <w:rsid w:val="00090F3E"/>
    <w:rsid w:val="00090F91"/>
    <w:rsid w:val="00090FA5"/>
    <w:rsid w:val="00091051"/>
    <w:rsid w:val="00091054"/>
    <w:rsid w:val="0009114E"/>
    <w:rsid w:val="00091190"/>
    <w:rsid w:val="00091300"/>
    <w:rsid w:val="0009132E"/>
    <w:rsid w:val="00091335"/>
    <w:rsid w:val="000913C2"/>
    <w:rsid w:val="0009142C"/>
    <w:rsid w:val="0009142E"/>
    <w:rsid w:val="0009144B"/>
    <w:rsid w:val="000914BE"/>
    <w:rsid w:val="000914F7"/>
    <w:rsid w:val="000915A6"/>
    <w:rsid w:val="000915F5"/>
    <w:rsid w:val="00091611"/>
    <w:rsid w:val="000916E5"/>
    <w:rsid w:val="00091780"/>
    <w:rsid w:val="000917A8"/>
    <w:rsid w:val="000917FB"/>
    <w:rsid w:val="00091833"/>
    <w:rsid w:val="00091C11"/>
    <w:rsid w:val="00091CC8"/>
    <w:rsid w:val="00091DAB"/>
    <w:rsid w:val="00091DBE"/>
    <w:rsid w:val="00091E10"/>
    <w:rsid w:val="00091E4C"/>
    <w:rsid w:val="00091E6D"/>
    <w:rsid w:val="00091EBD"/>
    <w:rsid w:val="00091ED6"/>
    <w:rsid w:val="00091EEA"/>
    <w:rsid w:val="00091EF5"/>
    <w:rsid w:val="00091F17"/>
    <w:rsid w:val="00091F7E"/>
    <w:rsid w:val="00092089"/>
    <w:rsid w:val="000920F4"/>
    <w:rsid w:val="00092133"/>
    <w:rsid w:val="00092138"/>
    <w:rsid w:val="000921A8"/>
    <w:rsid w:val="000921BB"/>
    <w:rsid w:val="00092242"/>
    <w:rsid w:val="0009229A"/>
    <w:rsid w:val="000922E7"/>
    <w:rsid w:val="000923BD"/>
    <w:rsid w:val="000924A7"/>
    <w:rsid w:val="000924AB"/>
    <w:rsid w:val="000924DA"/>
    <w:rsid w:val="00092690"/>
    <w:rsid w:val="0009269F"/>
    <w:rsid w:val="0009271E"/>
    <w:rsid w:val="00092736"/>
    <w:rsid w:val="0009276D"/>
    <w:rsid w:val="000927A6"/>
    <w:rsid w:val="0009291F"/>
    <w:rsid w:val="00092B05"/>
    <w:rsid w:val="00092B21"/>
    <w:rsid w:val="00092BBE"/>
    <w:rsid w:val="00092C05"/>
    <w:rsid w:val="00092CB2"/>
    <w:rsid w:val="00092D87"/>
    <w:rsid w:val="00092DB9"/>
    <w:rsid w:val="00092EBD"/>
    <w:rsid w:val="00092EC2"/>
    <w:rsid w:val="00092EE9"/>
    <w:rsid w:val="00092F5E"/>
    <w:rsid w:val="00092FD3"/>
    <w:rsid w:val="00092FFC"/>
    <w:rsid w:val="000930C0"/>
    <w:rsid w:val="0009321C"/>
    <w:rsid w:val="00093222"/>
    <w:rsid w:val="00093279"/>
    <w:rsid w:val="00093286"/>
    <w:rsid w:val="000932FE"/>
    <w:rsid w:val="00093379"/>
    <w:rsid w:val="0009340B"/>
    <w:rsid w:val="00093425"/>
    <w:rsid w:val="00093439"/>
    <w:rsid w:val="000934F3"/>
    <w:rsid w:val="000934FF"/>
    <w:rsid w:val="000937FD"/>
    <w:rsid w:val="000938DD"/>
    <w:rsid w:val="000938EE"/>
    <w:rsid w:val="0009394F"/>
    <w:rsid w:val="000939E7"/>
    <w:rsid w:val="00093A8F"/>
    <w:rsid w:val="00093C3E"/>
    <w:rsid w:val="00093D16"/>
    <w:rsid w:val="00093D17"/>
    <w:rsid w:val="00093D1F"/>
    <w:rsid w:val="00093D64"/>
    <w:rsid w:val="00093D7A"/>
    <w:rsid w:val="00093DC0"/>
    <w:rsid w:val="00093E46"/>
    <w:rsid w:val="00093EE0"/>
    <w:rsid w:val="00093EE8"/>
    <w:rsid w:val="00093F31"/>
    <w:rsid w:val="00093F5F"/>
    <w:rsid w:val="00093FBB"/>
    <w:rsid w:val="00093FD2"/>
    <w:rsid w:val="00094085"/>
    <w:rsid w:val="00094088"/>
    <w:rsid w:val="0009408C"/>
    <w:rsid w:val="000940B9"/>
    <w:rsid w:val="00094232"/>
    <w:rsid w:val="00094477"/>
    <w:rsid w:val="000944A1"/>
    <w:rsid w:val="000944B9"/>
    <w:rsid w:val="00094527"/>
    <w:rsid w:val="000946B5"/>
    <w:rsid w:val="000946F2"/>
    <w:rsid w:val="00094889"/>
    <w:rsid w:val="000948EC"/>
    <w:rsid w:val="00094905"/>
    <w:rsid w:val="00094946"/>
    <w:rsid w:val="0009497A"/>
    <w:rsid w:val="00094983"/>
    <w:rsid w:val="0009499C"/>
    <w:rsid w:val="00094A15"/>
    <w:rsid w:val="00094AB1"/>
    <w:rsid w:val="00094B92"/>
    <w:rsid w:val="00094C7F"/>
    <w:rsid w:val="00094CB5"/>
    <w:rsid w:val="00094CEE"/>
    <w:rsid w:val="00094D14"/>
    <w:rsid w:val="00094D87"/>
    <w:rsid w:val="00094D9D"/>
    <w:rsid w:val="00094E1B"/>
    <w:rsid w:val="00094E28"/>
    <w:rsid w:val="00094E79"/>
    <w:rsid w:val="00094F69"/>
    <w:rsid w:val="000950DF"/>
    <w:rsid w:val="0009511F"/>
    <w:rsid w:val="0009513F"/>
    <w:rsid w:val="00095176"/>
    <w:rsid w:val="000951AF"/>
    <w:rsid w:val="000951D9"/>
    <w:rsid w:val="000951E5"/>
    <w:rsid w:val="000953B3"/>
    <w:rsid w:val="0009542C"/>
    <w:rsid w:val="00095480"/>
    <w:rsid w:val="000955A7"/>
    <w:rsid w:val="00095628"/>
    <w:rsid w:val="0009574E"/>
    <w:rsid w:val="00095788"/>
    <w:rsid w:val="000957E4"/>
    <w:rsid w:val="00095865"/>
    <w:rsid w:val="000958AD"/>
    <w:rsid w:val="000958BB"/>
    <w:rsid w:val="000958E3"/>
    <w:rsid w:val="00095914"/>
    <w:rsid w:val="00095985"/>
    <w:rsid w:val="000959D3"/>
    <w:rsid w:val="000959D4"/>
    <w:rsid w:val="00095A04"/>
    <w:rsid w:val="00095A66"/>
    <w:rsid w:val="00095B08"/>
    <w:rsid w:val="00095B75"/>
    <w:rsid w:val="00095C03"/>
    <w:rsid w:val="00095C8D"/>
    <w:rsid w:val="00095CE5"/>
    <w:rsid w:val="00095D1F"/>
    <w:rsid w:val="00095D93"/>
    <w:rsid w:val="00095DBA"/>
    <w:rsid w:val="00095E93"/>
    <w:rsid w:val="00095F61"/>
    <w:rsid w:val="00095F62"/>
    <w:rsid w:val="00095FD6"/>
    <w:rsid w:val="00096039"/>
    <w:rsid w:val="0009604D"/>
    <w:rsid w:val="000960DA"/>
    <w:rsid w:val="00096149"/>
    <w:rsid w:val="000963E6"/>
    <w:rsid w:val="0009646E"/>
    <w:rsid w:val="00096575"/>
    <w:rsid w:val="0009657C"/>
    <w:rsid w:val="0009659A"/>
    <w:rsid w:val="00096662"/>
    <w:rsid w:val="000966B1"/>
    <w:rsid w:val="000966F3"/>
    <w:rsid w:val="000966F7"/>
    <w:rsid w:val="00096794"/>
    <w:rsid w:val="000967EE"/>
    <w:rsid w:val="0009687B"/>
    <w:rsid w:val="00096899"/>
    <w:rsid w:val="00096926"/>
    <w:rsid w:val="00096931"/>
    <w:rsid w:val="0009697E"/>
    <w:rsid w:val="00096A28"/>
    <w:rsid w:val="00096B09"/>
    <w:rsid w:val="00096B8E"/>
    <w:rsid w:val="00096C92"/>
    <w:rsid w:val="00096F66"/>
    <w:rsid w:val="00096F89"/>
    <w:rsid w:val="00096F9E"/>
    <w:rsid w:val="00096FD0"/>
    <w:rsid w:val="00096FF9"/>
    <w:rsid w:val="00097173"/>
    <w:rsid w:val="000971AC"/>
    <w:rsid w:val="000971F4"/>
    <w:rsid w:val="0009729E"/>
    <w:rsid w:val="0009735E"/>
    <w:rsid w:val="00097438"/>
    <w:rsid w:val="0009746D"/>
    <w:rsid w:val="00097527"/>
    <w:rsid w:val="0009756D"/>
    <w:rsid w:val="000975C8"/>
    <w:rsid w:val="00097612"/>
    <w:rsid w:val="00097692"/>
    <w:rsid w:val="000976F9"/>
    <w:rsid w:val="0009776B"/>
    <w:rsid w:val="00097775"/>
    <w:rsid w:val="0009777B"/>
    <w:rsid w:val="0009781D"/>
    <w:rsid w:val="00097979"/>
    <w:rsid w:val="00097A72"/>
    <w:rsid w:val="00097B47"/>
    <w:rsid w:val="00097B5C"/>
    <w:rsid w:val="00097B8A"/>
    <w:rsid w:val="00097BBB"/>
    <w:rsid w:val="00097BC9"/>
    <w:rsid w:val="00097CF3"/>
    <w:rsid w:val="00097CF9"/>
    <w:rsid w:val="00097DF3"/>
    <w:rsid w:val="00097E4C"/>
    <w:rsid w:val="00097F77"/>
    <w:rsid w:val="00097FBB"/>
    <w:rsid w:val="000A002C"/>
    <w:rsid w:val="000A00A1"/>
    <w:rsid w:val="000A0136"/>
    <w:rsid w:val="000A013C"/>
    <w:rsid w:val="000A0165"/>
    <w:rsid w:val="000A0225"/>
    <w:rsid w:val="000A02E5"/>
    <w:rsid w:val="000A0302"/>
    <w:rsid w:val="000A03F4"/>
    <w:rsid w:val="000A0412"/>
    <w:rsid w:val="000A046D"/>
    <w:rsid w:val="000A04FB"/>
    <w:rsid w:val="000A051D"/>
    <w:rsid w:val="000A05CD"/>
    <w:rsid w:val="000A05D9"/>
    <w:rsid w:val="000A0646"/>
    <w:rsid w:val="000A077A"/>
    <w:rsid w:val="000A0807"/>
    <w:rsid w:val="000A0842"/>
    <w:rsid w:val="000A087B"/>
    <w:rsid w:val="000A08C6"/>
    <w:rsid w:val="000A08D7"/>
    <w:rsid w:val="000A0923"/>
    <w:rsid w:val="000A0928"/>
    <w:rsid w:val="000A097E"/>
    <w:rsid w:val="000A099E"/>
    <w:rsid w:val="000A0A42"/>
    <w:rsid w:val="000A0B36"/>
    <w:rsid w:val="000A0B80"/>
    <w:rsid w:val="000A0C66"/>
    <w:rsid w:val="000A0D54"/>
    <w:rsid w:val="000A0D5E"/>
    <w:rsid w:val="000A0D93"/>
    <w:rsid w:val="000A0DAE"/>
    <w:rsid w:val="000A0E2A"/>
    <w:rsid w:val="000A0E65"/>
    <w:rsid w:val="000A0EB5"/>
    <w:rsid w:val="000A0ECF"/>
    <w:rsid w:val="000A0EE2"/>
    <w:rsid w:val="000A0F34"/>
    <w:rsid w:val="000A0F51"/>
    <w:rsid w:val="000A0F65"/>
    <w:rsid w:val="000A0FA0"/>
    <w:rsid w:val="000A1000"/>
    <w:rsid w:val="000A101A"/>
    <w:rsid w:val="000A103F"/>
    <w:rsid w:val="000A107C"/>
    <w:rsid w:val="000A10F8"/>
    <w:rsid w:val="000A11C6"/>
    <w:rsid w:val="000A11EE"/>
    <w:rsid w:val="000A11FC"/>
    <w:rsid w:val="000A1255"/>
    <w:rsid w:val="000A1295"/>
    <w:rsid w:val="000A12D5"/>
    <w:rsid w:val="000A13BA"/>
    <w:rsid w:val="000A144B"/>
    <w:rsid w:val="000A15A7"/>
    <w:rsid w:val="000A15CB"/>
    <w:rsid w:val="000A1711"/>
    <w:rsid w:val="000A1716"/>
    <w:rsid w:val="000A17AD"/>
    <w:rsid w:val="000A17DD"/>
    <w:rsid w:val="000A191F"/>
    <w:rsid w:val="000A1A48"/>
    <w:rsid w:val="000A1A4D"/>
    <w:rsid w:val="000A1A93"/>
    <w:rsid w:val="000A1B7D"/>
    <w:rsid w:val="000A1B91"/>
    <w:rsid w:val="000A1C10"/>
    <w:rsid w:val="000A1C50"/>
    <w:rsid w:val="000A1CAD"/>
    <w:rsid w:val="000A1D3D"/>
    <w:rsid w:val="000A1DBA"/>
    <w:rsid w:val="000A1DCA"/>
    <w:rsid w:val="000A1DF6"/>
    <w:rsid w:val="000A1E00"/>
    <w:rsid w:val="000A1E94"/>
    <w:rsid w:val="000A1EC8"/>
    <w:rsid w:val="000A1F88"/>
    <w:rsid w:val="000A204B"/>
    <w:rsid w:val="000A209D"/>
    <w:rsid w:val="000A20DC"/>
    <w:rsid w:val="000A2182"/>
    <w:rsid w:val="000A21B7"/>
    <w:rsid w:val="000A2253"/>
    <w:rsid w:val="000A2272"/>
    <w:rsid w:val="000A231D"/>
    <w:rsid w:val="000A239F"/>
    <w:rsid w:val="000A2504"/>
    <w:rsid w:val="000A26C6"/>
    <w:rsid w:val="000A2724"/>
    <w:rsid w:val="000A277A"/>
    <w:rsid w:val="000A27C5"/>
    <w:rsid w:val="000A27E9"/>
    <w:rsid w:val="000A2858"/>
    <w:rsid w:val="000A2A46"/>
    <w:rsid w:val="000A2A99"/>
    <w:rsid w:val="000A2AB5"/>
    <w:rsid w:val="000A2ADE"/>
    <w:rsid w:val="000A2BA4"/>
    <w:rsid w:val="000A2BAE"/>
    <w:rsid w:val="000A2BE6"/>
    <w:rsid w:val="000A2C40"/>
    <w:rsid w:val="000A2C5A"/>
    <w:rsid w:val="000A2CDE"/>
    <w:rsid w:val="000A2D16"/>
    <w:rsid w:val="000A2DEF"/>
    <w:rsid w:val="000A2DFC"/>
    <w:rsid w:val="000A2E35"/>
    <w:rsid w:val="000A2EA2"/>
    <w:rsid w:val="000A2F1B"/>
    <w:rsid w:val="000A2FEE"/>
    <w:rsid w:val="000A2FF8"/>
    <w:rsid w:val="000A3009"/>
    <w:rsid w:val="000A30F4"/>
    <w:rsid w:val="000A3122"/>
    <w:rsid w:val="000A3158"/>
    <w:rsid w:val="000A316A"/>
    <w:rsid w:val="000A3220"/>
    <w:rsid w:val="000A3228"/>
    <w:rsid w:val="000A32CB"/>
    <w:rsid w:val="000A32D8"/>
    <w:rsid w:val="000A32EA"/>
    <w:rsid w:val="000A32F6"/>
    <w:rsid w:val="000A3335"/>
    <w:rsid w:val="000A3360"/>
    <w:rsid w:val="000A33C6"/>
    <w:rsid w:val="000A34FC"/>
    <w:rsid w:val="000A3536"/>
    <w:rsid w:val="000A360E"/>
    <w:rsid w:val="000A368C"/>
    <w:rsid w:val="000A36B8"/>
    <w:rsid w:val="000A36C3"/>
    <w:rsid w:val="000A3712"/>
    <w:rsid w:val="000A3720"/>
    <w:rsid w:val="000A376C"/>
    <w:rsid w:val="000A3790"/>
    <w:rsid w:val="000A37B7"/>
    <w:rsid w:val="000A3815"/>
    <w:rsid w:val="000A3873"/>
    <w:rsid w:val="000A39B7"/>
    <w:rsid w:val="000A39E7"/>
    <w:rsid w:val="000A3A04"/>
    <w:rsid w:val="000A3A4F"/>
    <w:rsid w:val="000A3B1D"/>
    <w:rsid w:val="000A3B20"/>
    <w:rsid w:val="000A3B8F"/>
    <w:rsid w:val="000A3C1A"/>
    <w:rsid w:val="000A3D03"/>
    <w:rsid w:val="000A3D70"/>
    <w:rsid w:val="000A3EB4"/>
    <w:rsid w:val="000A3EE1"/>
    <w:rsid w:val="000A3F2D"/>
    <w:rsid w:val="000A3F80"/>
    <w:rsid w:val="000A3F94"/>
    <w:rsid w:val="000A3FAF"/>
    <w:rsid w:val="000A4068"/>
    <w:rsid w:val="000A409E"/>
    <w:rsid w:val="000A4121"/>
    <w:rsid w:val="000A41F4"/>
    <w:rsid w:val="000A4400"/>
    <w:rsid w:val="000A44B9"/>
    <w:rsid w:val="000A44C6"/>
    <w:rsid w:val="000A453D"/>
    <w:rsid w:val="000A4542"/>
    <w:rsid w:val="000A457B"/>
    <w:rsid w:val="000A4675"/>
    <w:rsid w:val="000A46BE"/>
    <w:rsid w:val="000A4726"/>
    <w:rsid w:val="000A47A0"/>
    <w:rsid w:val="000A4837"/>
    <w:rsid w:val="000A4859"/>
    <w:rsid w:val="000A48DC"/>
    <w:rsid w:val="000A49E3"/>
    <w:rsid w:val="000A49ED"/>
    <w:rsid w:val="000A4AAB"/>
    <w:rsid w:val="000A4C3A"/>
    <w:rsid w:val="000A4CAF"/>
    <w:rsid w:val="000A4CC7"/>
    <w:rsid w:val="000A4D44"/>
    <w:rsid w:val="000A4ED9"/>
    <w:rsid w:val="000A4F35"/>
    <w:rsid w:val="000A4F3F"/>
    <w:rsid w:val="000A4FA6"/>
    <w:rsid w:val="000A5000"/>
    <w:rsid w:val="000A5048"/>
    <w:rsid w:val="000A5090"/>
    <w:rsid w:val="000A50AB"/>
    <w:rsid w:val="000A51DB"/>
    <w:rsid w:val="000A5277"/>
    <w:rsid w:val="000A528D"/>
    <w:rsid w:val="000A5341"/>
    <w:rsid w:val="000A535A"/>
    <w:rsid w:val="000A53D7"/>
    <w:rsid w:val="000A55F7"/>
    <w:rsid w:val="000A5643"/>
    <w:rsid w:val="000A5696"/>
    <w:rsid w:val="000A56EF"/>
    <w:rsid w:val="000A57E0"/>
    <w:rsid w:val="000A57F6"/>
    <w:rsid w:val="000A5817"/>
    <w:rsid w:val="000A58B6"/>
    <w:rsid w:val="000A5936"/>
    <w:rsid w:val="000A59D6"/>
    <w:rsid w:val="000A5B30"/>
    <w:rsid w:val="000A5B3A"/>
    <w:rsid w:val="000A5B5C"/>
    <w:rsid w:val="000A5BD7"/>
    <w:rsid w:val="000A5C1E"/>
    <w:rsid w:val="000A5C56"/>
    <w:rsid w:val="000A5D08"/>
    <w:rsid w:val="000A5D85"/>
    <w:rsid w:val="000A5DB2"/>
    <w:rsid w:val="000A5DF5"/>
    <w:rsid w:val="000A5EA0"/>
    <w:rsid w:val="000A5EBF"/>
    <w:rsid w:val="000A5F1A"/>
    <w:rsid w:val="000A5FA5"/>
    <w:rsid w:val="000A5FBC"/>
    <w:rsid w:val="000A5FC2"/>
    <w:rsid w:val="000A604A"/>
    <w:rsid w:val="000A60A4"/>
    <w:rsid w:val="000A6120"/>
    <w:rsid w:val="000A6155"/>
    <w:rsid w:val="000A6252"/>
    <w:rsid w:val="000A6291"/>
    <w:rsid w:val="000A635C"/>
    <w:rsid w:val="000A638E"/>
    <w:rsid w:val="000A642D"/>
    <w:rsid w:val="000A64FA"/>
    <w:rsid w:val="000A65A5"/>
    <w:rsid w:val="000A6651"/>
    <w:rsid w:val="000A66FA"/>
    <w:rsid w:val="000A675B"/>
    <w:rsid w:val="000A67A6"/>
    <w:rsid w:val="000A68AC"/>
    <w:rsid w:val="000A68BF"/>
    <w:rsid w:val="000A69E4"/>
    <w:rsid w:val="000A6A7D"/>
    <w:rsid w:val="000A6A8E"/>
    <w:rsid w:val="000A6A8F"/>
    <w:rsid w:val="000A6B11"/>
    <w:rsid w:val="000A6C26"/>
    <w:rsid w:val="000A6D18"/>
    <w:rsid w:val="000A6DE6"/>
    <w:rsid w:val="000A6EB9"/>
    <w:rsid w:val="000A6EC7"/>
    <w:rsid w:val="000A6EE3"/>
    <w:rsid w:val="000A6EF8"/>
    <w:rsid w:val="000A6F04"/>
    <w:rsid w:val="000A6F77"/>
    <w:rsid w:val="000A6F95"/>
    <w:rsid w:val="000A6FF6"/>
    <w:rsid w:val="000A702F"/>
    <w:rsid w:val="000A703D"/>
    <w:rsid w:val="000A7076"/>
    <w:rsid w:val="000A7111"/>
    <w:rsid w:val="000A72CB"/>
    <w:rsid w:val="000A7390"/>
    <w:rsid w:val="000A74E1"/>
    <w:rsid w:val="000A75BC"/>
    <w:rsid w:val="000A75CD"/>
    <w:rsid w:val="000A7628"/>
    <w:rsid w:val="000A7676"/>
    <w:rsid w:val="000A772A"/>
    <w:rsid w:val="000A77C9"/>
    <w:rsid w:val="000A7854"/>
    <w:rsid w:val="000A785D"/>
    <w:rsid w:val="000A7868"/>
    <w:rsid w:val="000A788F"/>
    <w:rsid w:val="000A798A"/>
    <w:rsid w:val="000A799F"/>
    <w:rsid w:val="000A79A3"/>
    <w:rsid w:val="000A79B8"/>
    <w:rsid w:val="000A79DB"/>
    <w:rsid w:val="000A7A16"/>
    <w:rsid w:val="000A7A2A"/>
    <w:rsid w:val="000A7A35"/>
    <w:rsid w:val="000A7A50"/>
    <w:rsid w:val="000A7AE0"/>
    <w:rsid w:val="000A7BA3"/>
    <w:rsid w:val="000A7C25"/>
    <w:rsid w:val="000A7C6D"/>
    <w:rsid w:val="000A7C7E"/>
    <w:rsid w:val="000A7C86"/>
    <w:rsid w:val="000A7CF0"/>
    <w:rsid w:val="000A7D47"/>
    <w:rsid w:val="000A7E24"/>
    <w:rsid w:val="000A7E8A"/>
    <w:rsid w:val="000A7EA5"/>
    <w:rsid w:val="000A7EEB"/>
    <w:rsid w:val="000A7F0B"/>
    <w:rsid w:val="000A7F2D"/>
    <w:rsid w:val="000A7F9E"/>
    <w:rsid w:val="000A7FFB"/>
    <w:rsid w:val="000B0072"/>
    <w:rsid w:val="000B009A"/>
    <w:rsid w:val="000B00E9"/>
    <w:rsid w:val="000B015F"/>
    <w:rsid w:val="000B019C"/>
    <w:rsid w:val="000B0201"/>
    <w:rsid w:val="000B02A2"/>
    <w:rsid w:val="000B02BD"/>
    <w:rsid w:val="000B02C4"/>
    <w:rsid w:val="000B0326"/>
    <w:rsid w:val="000B032D"/>
    <w:rsid w:val="000B037D"/>
    <w:rsid w:val="000B0587"/>
    <w:rsid w:val="000B05B9"/>
    <w:rsid w:val="000B069A"/>
    <w:rsid w:val="000B06D1"/>
    <w:rsid w:val="000B07A8"/>
    <w:rsid w:val="000B088D"/>
    <w:rsid w:val="000B096D"/>
    <w:rsid w:val="000B09C8"/>
    <w:rsid w:val="000B09EE"/>
    <w:rsid w:val="000B0A46"/>
    <w:rsid w:val="000B0A68"/>
    <w:rsid w:val="000B0A69"/>
    <w:rsid w:val="000B0B24"/>
    <w:rsid w:val="000B0B64"/>
    <w:rsid w:val="000B0C34"/>
    <w:rsid w:val="000B0D29"/>
    <w:rsid w:val="000B0D59"/>
    <w:rsid w:val="000B0DF1"/>
    <w:rsid w:val="000B0F84"/>
    <w:rsid w:val="000B0FA3"/>
    <w:rsid w:val="000B10DA"/>
    <w:rsid w:val="000B1159"/>
    <w:rsid w:val="000B1339"/>
    <w:rsid w:val="000B1380"/>
    <w:rsid w:val="000B13CC"/>
    <w:rsid w:val="000B1421"/>
    <w:rsid w:val="000B1473"/>
    <w:rsid w:val="000B14DF"/>
    <w:rsid w:val="000B1538"/>
    <w:rsid w:val="000B154D"/>
    <w:rsid w:val="000B1598"/>
    <w:rsid w:val="000B15D5"/>
    <w:rsid w:val="000B15E4"/>
    <w:rsid w:val="000B15E9"/>
    <w:rsid w:val="000B1628"/>
    <w:rsid w:val="000B174E"/>
    <w:rsid w:val="000B1780"/>
    <w:rsid w:val="000B1799"/>
    <w:rsid w:val="000B185B"/>
    <w:rsid w:val="000B18B5"/>
    <w:rsid w:val="000B18C8"/>
    <w:rsid w:val="000B1915"/>
    <w:rsid w:val="000B195F"/>
    <w:rsid w:val="000B1960"/>
    <w:rsid w:val="000B199D"/>
    <w:rsid w:val="000B1ABA"/>
    <w:rsid w:val="000B1AF2"/>
    <w:rsid w:val="000B1AFB"/>
    <w:rsid w:val="000B1B3C"/>
    <w:rsid w:val="000B1B83"/>
    <w:rsid w:val="000B1C2E"/>
    <w:rsid w:val="000B1C6C"/>
    <w:rsid w:val="000B1CD6"/>
    <w:rsid w:val="000B1D81"/>
    <w:rsid w:val="000B1DAA"/>
    <w:rsid w:val="000B1E45"/>
    <w:rsid w:val="000B1E6B"/>
    <w:rsid w:val="000B1ED3"/>
    <w:rsid w:val="000B1F3D"/>
    <w:rsid w:val="000B1F46"/>
    <w:rsid w:val="000B1F52"/>
    <w:rsid w:val="000B1F6B"/>
    <w:rsid w:val="000B1F97"/>
    <w:rsid w:val="000B1FB7"/>
    <w:rsid w:val="000B205B"/>
    <w:rsid w:val="000B20C0"/>
    <w:rsid w:val="000B20DA"/>
    <w:rsid w:val="000B2192"/>
    <w:rsid w:val="000B2206"/>
    <w:rsid w:val="000B2245"/>
    <w:rsid w:val="000B232C"/>
    <w:rsid w:val="000B2388"/>
    <w:rsid w:val="000B238A"/>
    <w:rsid w:val="000B2451"/>
    <w:rsid w:val="000B2614"/>
    <w:rsid w:val="000B261D"/>
    <w:rsid w:val="000B26BE"/>
    <w:rsid w:val="000B26F0"/>
    <w:rsid w:val="000B273A"/>
    <w:rsid w:val="000B276D"/>
    <w:rsid w:val="000B27A4"/>
    <w:rsid w:val="000B27CF"/>
    <w:rsid w:val="000B2965"/>
    <w:rsid w:val="000B29AC"/>
    <w:rsid w:val="000B29F8"/>
    <w:rsid w:val="000B2A07"/>
    <w:rsid w:val="000B2A62"/>
    <w:rsid w:val="000B2B1C"/>
    <w:rsid w:val="000B2BAB"/>
    <w:rsid w:val="000B2C3B"/>
    <w:rsid w:val="000B2C3D"/>
    <w:rsid w:val="000B2C5D"/>
    <w:rsid w:val="000B2CB7"/>
    <w:rsid w:val="000B2E1C"/>
    <w:rsid w:val="000B2F12"/>
    <w:rsid w:val="000B2F1F"/>
    <w:rsid w:val="000B3056"/>
    <w:rsid w:val="000B30E7"/>
    <w:rsid w:val="000B3165"/>
    <w:rsid w:val="000B3190"/>
    <w:rsid w:val="000B3204"/>
    <w:rsid w:val="000B328D"/>
    <w:rsid w:val="000B32F6"/>
    <w:rsid w:val="000B3307"/>
    <w:rsid w:val="000B3381"/>
    <w:rsid w:val="000B3391"/>
    <w:rsid w:val="000B3459"/>
    <w:rsid w:val="000B34AC"/>
    <w:rsid w:val="000B3502"/>
    <w:rsid w:val="000B3544"/>
    <w:rsid w:val="000B355F"/>
    <w:rsid w:val="000B35FE"/>
    <w:rsid w:val="000B365D"/>
    <w:rsid w:val="000B3686"/>
    <w:rsid w:val="000B3792"/>
    <w:rsid w:val="000B37C8"/>
    <w:rsid w:val="000B37DF"/>
    <w:rsid w:val="000B37EC"/>
    <w:rsid w:val="000B387F"/>
    <w:rsid w:val="000B38A9"/>
    <w:rsid w:val="000B38CE"/>
    <w:rsid w:val="000B399D"/>
    <w:rsid w:val="000B39F8"/>
    <w:rsid w:val="000B3B09"/>
    <w:rsid w:val="000B3C25"/>
    <w:rsid w:val="000B3C29"/>
    <w:rsid w:val="000B3C7E"/>
    <w:rsid w:val="000B3CD9"/>
    <w:rsid w:val="000B3CE0"/>
    <w:rsid w:val="000B3D90"/>
    <w:rsid w:val="000B3D91"/>
    <w:rsid w:val="000B3DAC"/>
    <w:rsid w:val="000B3DEF"/>
    <w:rsid w:val="000B3F78"/>
    <w:rsid w:val="000B3F79"/>
    <w:rsid w:val="000B3F88"/>
    <w:rsid w:val="000B4004"/>
    <w:rsid w:val="000B40F1"/>
    <w:rsid w:val="000B41F5"/>
    <w:rsid w:val="000B4204"/>
    <w:rsid w:val="000B4226"/>
    <w:rsid w:val="000B42BD"/>
    <w:rsid w:val="000B4358"/>
    <w:rsid w:val="000B447D"/>
    <w:rsid w:val="000B451E"/>
    <w:rsid w:val="000B45A0"/>
    <w:rsid w:val="000B477C"/>
    <w:rsid w:val="000B47A8"/>
    <w:rsid w:val="000B48F8"/>
    <w:rsid w:val="000B4A65"/>
    <w:rsid w:val="000B4A6F"/>
    <w:rsid w:val="000B4A9A"/>
    <w:rsid w:val="000B4B90"/>
    <w:rsid w:val="000B4BF5"/>
    <w:rsid w:val="000B4C1D"/>
    <w:rsid w:val="000B4D6E"/>
    <w:rsid w:val="000B4DF0"/>
    <w:rsid w:val="000B4F62"/>
    <w:rsid w:val="000B4FCC"/>
    <w:rsid w:val="000B503D"/>
    <w:rsid w:val="000B5049"/>
    <w:rsid w:val="000B517A"/>
    <w:rsid w:val="000B518C"/>
    <w:rsid w:val="000B5274"/>
    <w:rsid w:val="000B52EE"/>
    <w:rsid w:val="000B5351"/>
    <w:rsid w:val="000B53DE"/>
    <w:rsid w:val="000B5418"/>
    <w:rsid w:val="000B5469"/>
    <w:rsid w:val="000B546D"/>
    <w:rsid w:val="000B559A"/>
    <w:rsid w:val="000B55E8"/>
    <w:rsid w:val="000B567E"/>
    <w:rsid w:val="000B56B2"/>
    <w:rsid w:val="000B5791"/>
    <w:rsid w:val="000B57E6"/>
    <w:rsid w:val="000B58A6"/>
    <w:rsid w:val="000B59EF"/>
    <w:rsid w:val="000B59F5"/>
    <w:rsid w:val="000B5A00"/>
    <w:rsid w:val="000B5BD7"/>
    <w:rsid w:val="000B5C5A"/>
    <w:rsid w:val="000B5CEF"/>
    <w:rsid w:val="000B5D54"/>
    <w:rsid w:val="000B5D8A"/>
    <w:rsid w:val="000B5E07"/>
    <w:rsid w:val="000B5F78"/>
    <w:rsid w:val="000B5FA0"/>
    <w:rsid w:val="000B602E"/>
    <w:rsid w:val="000B604F"/>
    <w:rsid w:val="000B6113"/>
    <w:rsid w:val="000B61E1"/>
    <w:rsid w:val="000B6293"/>
    <w:rsid w:val="000B6312"/>
    <w:rsid w:val="000B6347"/>
    <w:rsid w:val="000B634F"/>
    <w:rsid w:val="000B6363"/>
    <w:rsid w:val="000B63C7"/>
    <w:rsid w:val="000B63F6"/>
    <w:rsid w:val="000B6455"/>
    <w:rsid w:val="000B6460"/>
    <w:rsid w:val="000B6466"/>
    <w:rsid w:val="000B6504"/>
    <w:rsid w:val="000B6631"/>
    <w:rsid w:val="000B6689"/>
    <w:rsid w:val="000B66D6"/>
    <w:rsid w:val="000B6750"/>
    <w:rsid w:val="000B67FF"/>
    <w:rsid w:val="000B69CB"/>
    <w:rsid w:val="000B6A85"/>
    <w:rsid w:val="000B6AD1"/>
    <w:rsid w:val="000B6B0C"/>
    <w:rsid w:val="000B6BB1"/>
    <w:rsid w:val="000B6BCC"/>
    <w:rsid w:val="000B6BFD"/>
    <w:rsid w:val="000B6C47"/>
    <w:rsid w:val="000B6CF6"/>
    <w:rsid w:val="000B6D9C"/>
    <w:rsid w:val="000B6DF0"/>
    <w:rsid w:val="000B6ED8"/>
    <w:rsid w:val="000B6F13"/>
    <w:rsid w:val="000B7058"/>
    <w:rsid w:val="000B7099"/>
    <w:rsid w:val="000B7124"/>
    <w:rsid w:val="000B712B"/>
    <w:rsid w:val="000B71AE"/>
    <w:rsid w:val="000B71CB"/>
    <w:rsid w:val="000B722B"/>
    <w:rsid w:val="000B7267"/>
    <w:rsid w:val="000B726A"/>
    <w:rsid w:val="000B7289"/>
    <w:rsid w:val="000B72A5"/>
    <w:rsid w:val="000B72BF"/>
    <w:rsid w:val="000B733C"/>
    <w:rsid w:val="000B739E"/>
    <w:rsid w:val="000B73C2"/>
    <w:rsid w:val="000B7473"/>
    <w:rsid w:val="000B74E9"/>
    <w:rsid w:val="000B7516"/>
    <w:rsid w:val="000B753B"/>
    <w:rsid w:val="000B75AE"/>
    <w:rsid w:val="000B7665"/>
    <w:rsid w:val="000B76CA"/>
    <w:rsid w:val="000B76DE"/>
    <w:rsid w:val="000B779E"/>
    <w:rsid w:val="000B78B9"/>
    <w:rsid w:val="000B78EF"/>
    <w:rsid w:val="000B79AD"/>
    <w:rsid w:val="000B79C1"/>
    <w:rsid w:val="000B7A8E"/>
    <w:rsid w:val="000B7A99"/>
    <w:rsid w:val="000B7ADF"/>
    <w:rsid w:val="000B7AF9"/>
    <w:rsid w:val="000B7BF6"/>
    <w:rsid w:val="000B7BF7"/>
    <w:rsid w:val="000B7C8C"/>
    <w:rsid w:val="000B7E13"/>
    <w:rsid w:val="000B7E1D"/>
    <w:rsid w:val="000B7F67"/>
    <w:rsid w:val="000B7FE9"/>
    <w:rsid w:val="000C0007"/>
    <w:rsid w:val="000C009F"/>
    <w:rsid w:val="000C012E"/>
    <w:rsid w:val="000C01F2"/>
    <w:rsid w:val="000C0233"/>
    <w:rsid w:val="000C0260"/>
    <w:rsid w:val="000C0269"/>
    <w:rsid w:val="000C02DE"/>
    <w:rsid w:val="000C02EF"/>
    <w:rsid w:val="000C048B"/>
    <w:rsid w:val="000C054F"/>
    <w:rsid w:val="000C0561"/>
    <w:rsid w:val="000C0573"/>
    <w:rsid w:val="000C0588"/>
    <w:rsid w:val="000C0641"/>
    <w:rsid w:val="000C06B9"/>
    <w:rsid w:val="000C0763"/>
    <w:rsid w:val="000C0764"/>
    <w:rsid w:val="000C07A3"/>
    <w:rsid w:val="000C07A4"/>
    <w:rsid w:val="000C088A"/>
    <w:rsid w:val="000C096A"/>
    <w:rsid w:val="000C09BD"/>
    <w:rsid w:val="000C09F8"/>
    <w:rsid w:val="000C0A28"/>
    <w:rsid w:val="000C0A93"/>
    <w:rsid w:val="000C0B5F"/>
    <w:rsid w:val="000C0B7C"/>
    <w:rsid w:val="000C0BAF"/>
    <w:rsid w:val="000C0C1B"/>
    <w:rsid w:val="000C0CF4"/>
    <w:rsid w:val="000C0D3E"/>
    <w:rsid w:val="000C0E1F"/>
    <w:rsid w:val="000C0ECA"/>
    <w:rsid w:val="000C0F2A"/>
    <w:rsid w:val="000C100D"/>
    <w:rsid w:val="000C1019"/>
    <w:rsid w:val="000C1074"/>
    <w:rsid w:val="000C113B"/>
    <w:rsid w:val="000C1147"/>
    <w:rsid w:val="000C1222"/>
    <w:rsid w:val="000C1279"/>
    <w:rsid w:val="000C1307"/>
    <w:rsid w:val="000C1353"/>
    <w:rsid w:val="000C1446"/>
    <w:rsid w:val="000C1452"/>
    <w:rsid w:val="000C15AC"/>
    <w:rsid w:val="000C1607"/>
    <w:rsid w:val="000C161D"/>
    <w:rsid w:val="000C164D"/>
    <w:rsid w:val="000C17AF"/>
    <w:rsid w:val="000C17BD"/>
    <w:rsid w:val="000C17FC"/>
    <w:rsid w:val="000C1872"/>
    <w:rsid w:val="000C1874"/>
    <w:rsid w:val="000C1A5E"/>
    <w:rsid w:val="000C1AA8"/>
    <w:rsid w:val="000C1B0A"/>
    <w:rsid w:val="000C1C5D"/>
    <w:rsid w:val="000C1D0C"/>
    <w:rsid w:val="000C1F24"/>
    <w:rsid w:val="000C1F43"/>
    <w:rsid w:val="000C1FE9"/>
    <w:rsid w:val="000C200B"/>
    <w:rsid w:val="000C2122"/>
    <w:rsid w:val="000C2198"/>
    <w:rsid w:val="000C21F4"/>
    <w:rsid w:val="000C22C5"/>
    <w:rsid w:val="000C22D4"/>
    <w:rsid w:val="000C23AF"/>
    <w:rsid w:val="000C2427"/>
    <w:rsid w:val="000C2467"/>
    <w:rsid w:val="000C256A"/>
    <w:rsid w:val="000C257D"/>
    <w:rsid w:val="000C2594"/>
    <w:rsid w:val="000C25B8"/>
    <w:rsid w:val="000C25F6"/>
    <w:rsid w:val="000C262E"/>
    <w:rsid w:val="000C264B"/>
    <w:rsid w:val="000C26B7"/>
    <w:rsid w:val="000C26EF"/>
    <w:rsid w:val="000C278C"/>
    <w:rsid w:val="000C2886"/>
    <w:rsid w:val="000C28B5"/>
    <w:rsid w:val="000C2964"/>
    <w:rsid w:val="000C29C9"/>
    <w:rsid w:val="000C29E7"/>
    <w:rsid w:val="000C2AE2"/>
    <w:rsid w:val="000C2B51"/>
    <w:rsid w:val="000C2D7E"/>
    <w:rsid w:val="000C2DC4"/>
    <w:rsid w:val="000C2E4F"/>
    <w:rsid w:val="000C2EF6"/>
    <w:rsid w:val="000C2F97"/>
    <w:rsid w:val="000C2FC8"/>
    <w:rsid w:val="000C304D"/>
    <w:rsid w:val="000C3178"/>
    <w:rsid w:val="000C3220"/>
    <w:rsid w:val="000C3252"/>
    <w:rsid w:val="000C329B"/>
    <w:rsid w:val="000C32EE"/>
    <w:rsid w:val="000C330A"/>
    <w:rsid w:val="000C3353"/>
    <w:rsid w:val="000C341C"/>
    <w:rsid w:val="000C3445"/>
    <w:rsid w:val="000C3454"/>
    <w:rsid w:val="000C34E0"/>
    <w:rsid w:val="000C35BB"/>
    <w:rsid w:val="000C3635"/>
    <w:rsid w:val="000C3655"/>
    <w:rsid w:val="000C3667"/>
    <w:rsid w:val="000C374C"/>
    <w:rsid w:val="000C375B"/>
    <w:rsid w:val="000C3859"/>
    <w:rsid w:val="000C3896"/>
    <w:rsid w:val="000C38E7"/>
    <w:rsid w:val="000C39D9"/>
    <w:rsid w:val="000C39F0"/>
    <w:rsid w:val="000C3A80"/>
    <w:rsid w:val="000C3A9C"/>
    <w:rsid w:val="000C3AA3"/>
    <w:rsid w:val="000C3AAC"/>
    <w:rsid w:val="000C3ADE"/>
    <w:rsid w:val="000C3B50"/>
    <w:rsid w:val="000C3C17"/>
    <w:rsid w:val="000C3D52"/>
    <w:rsid w:val="000C3D75"/>
    <w:rsid w:val="000C3DF9"/>
    <w:rsid w:val="000C3E27"/>
    <w:rsid w:val="000C3E89"/>
    <w:rsid w:val="000C3EA4"/>
    <w:rsid w:val="000C3F0F"/>
    <w:rsid w:val="000C3F88"/>
    <w:rsid w:val="000C3FD6"/>
    <w:rsid w:val="000C3FFD"/>
    <w:rsid w:val="000C40C1"/>
    <w:rsid w:val="000C40D0"/>
    <w:rsid w:val="000C40D1"/>
    <w:rsid w:val="000C41B3"/>
    <w:rsid w:val="000C41ED"/>
    <w:rsid w:val="000C4203"/>
    <w:rsid w:val="000C4314"/>
    <w:rsid w:val="000C43FA"/>
    <w:rsid w:val="000C4426"/>
    <w:rsid w:val="000C4451"/>
    <w:rsid w:val="000C4489"/>
    <w:rsid w:val="000C4504"/>
    <w:rsid w:val="000C4686"/>
    <w:rsid w:val="000C46BE"/>
    <w:rsid w:val="000C470E"/>
    <w:rsid w:val="000C4728"/>
    <w:rsid w:val="000C4809"/>
    <w:rsid w:val="000C4861"/>
    <w:rsid w:val="000C48D1"/>
    <w:rsid w:val="000C4994"/>
    <w:rsid w:val="000C49B3"/>
    <w:rsid w:val="000C49E9"/>
    <w:rsid w:val="000C4A93"/>
    <w:rsid w:val="000C4B82"/>
    <w:rsid w:val="000C4CC9"/>
    <w:rsid w:val="000C4CE7"/>
    <w:rsid w:val="000C4CFD"/>
    <w:rsid w:val="000C4D3A"/>
    <w:rsid w:val="000C4D61"/>
    <w:rsid w:val="000C4F65"/>
    <w:rsid w:val="000C4F95"/>
    <w:rsid w:val="000C4FAF"/>
    <w:rsid w:val="000C4FFA"/>
    <w:rsid w:val="000C504D"/>
    <w:rsid w:val="000C5057"/>
    <w:rsid w:val="000C5058"/>
    <w:rsid w:val="000C50A5"/>
    <w:rsid w:val="000C52FE"/>
    <w:rsid w:val="000C54AD"/>
    <w:rsid w:val="000C5524"/>
    <w:rsid w:val="000C5527"/>
    <w:rsid w:val="000C55DD"/>
    <w:rsid w:val="000C564C"/>
    <w:rsid w:val="000C5693"/>
    <w:rsid w:val="000C56C0"/>
    <w:rsid w:val="000C5700"/>
    <w:rsid w:val="000C5783"/>
    <w:rsid w:val="000C57A6"/>
    <w:rsid w:val="000C5864"/>
    <w:rsid w:val="000C5867"/>
    <w:rsid w:val="000C5872"/>
    <w:rsid w:val="000C588C"/>
    <w:rsid w:val="000C5A39"/>
    <w:rsid w:val="000C5A9C"/>
    <w:rsid w:val="000C5AC6"/>
    <w:rsid w:val="000C5B14"/>
    <w:rsid w:val="000C5B4F"/>
    <w:rsid w:val="000C5CEC"/>
    <w:rsid w:val="000C5CF6"/>
    <w:rsid w:val="000C5D66"/>
    <w:rsid w:val="000C5E69"/>
    <w:rsid w:val="000C5EA5"/>
    <w:rsid w:val="000C5F2C"/>
    <w:rsid w:val="000C608F"/>
    <w:rsid w:val="000C6090"/>
    <w:rsid w:val="000C619F"/>
    <w:rsid w:val="000C61C1"/>
    <w:rsid w:val="000C61E6"/>
    <w:rsid w:val="000C61F7"/>
    <w:rsid w:val="000C623D"/>
    <w:rsid w:val="000C6242"/>
    <w:rsid w:val="000C6275"/>
    <w:rsid w:val="000C62C1"/>
    <w:rsid w:val="000C63BC"/>
    <w:rsid w:val="000C6402"/>
    <w:rsid w:val="000C64E0"/>
    <w:rsid w:val="000C64EF"/>
    <w:rsid w:val="000C6613"/>
    <w:rsid w:val="000C666E"/>
    <w:rsid w:val="000C66A4"/>
    <w:rsid w:val="000C6807"/>
    <w:rsid w:val="000C684A"/>
    <w:rsid w:val="000C68DB"/>
    <w:rsid w:val="000C694F"/>
    <w:rsid w:val="000C6977"/>
    <w:rsid w:val="000C69D8"/>
    <w:rsid w:val="000C6A16"/>
    <w:rsid w:val="000C6A2A"/>
    <w:rsid w:val="000C6A91"/>
    <w:rsid w:val="000C6AD2"/>
    <w:rsid w:val="000C6B05"/>
    <w:rsid w:val="000C6CB5"/>
    <w:rsid w:val="000C6CF3"/>
    <w:rsid w:val="000C6D8B"/>
    <w:rsid w:val="000C6DC5"/>
    <w:rsid w:val="000C6EEE"/>
    <w:rsid w:val="000C6EFD"/>
    <w:rsid w:val="000C6F6C"/>
    <w:rsid w:val="000C6F70"/>
    <w:rsid w:val="000C6FDA"/>
    <w:rsid w:val="000C70B5"/>
    <w:rsid w:val="000C70C8"/>
    <w:rsid w:val="000C70CF"/>
    <w:rsid w:val="000C7326"/>
    <w:rsid w:val="000C7359"/>
    <w:rsid w:val="000C7384"/>
    <w:rsid w:val="000C7469"/>
    <w:rsid w:val="000C7543"/>
    <w:rsid w:val="000C7598"/>
    <w:rsid w:val="000C75B7"/>
    <w:rsid w:val="000C75BF"/>
    <w:rsid w:val="000C75C5"/>
    <w:rsid w:val="000C75DD"/>
    <w:rsid w:val="000C7703"/>
    <w:rsid w:val="000C7715"/>
    <w:rsid w:val="000C77CD"/>
    <w:rsid w:val="000C7873"/>
    <w:rsid w:val="000C787D"/>
    <w:rsid w:val="000C79B4"/>
    <w:rsid w:val="000C79E4"/>
    <w:rsid w:val="000C7C9C"/>
    <w:rsid w:val="000C7CEF"/>
    <w:rsid w:val="000C7CF8"/>
    <w:rsid w:val="000C7CF9"/>
    <w:rsid w:val="000C7D1D"/>
    <w:rsid w:val="000C7D72"/>
    <w:rsid w:val="000C7E04"/>
    <w:rsid w:val="000C7E7E"/>
    <w:rsid w:val="000C7E8A"/>
    <w:rsid w:val="000C7F00"/>
    <w:rsid w:val="000C7FE8"/>
    <w:rsid w:val="000D006C"/>
    <w:rsid w:val="000D00C0"/>
    <w:rsid w:val="000D0199"/>
    <w:rsid w:val="000D019C"/>
    <w:rsid w:val="000D0281"/>
    <w:rsid w:val="000D02ED"/>
    <w:rsid w:val="000D02FD"/>
    <w:rsid w:val="000D03A2"/>
    <w:rsid w:val="000D03A7"/>
    <w:rsid w:val="000D052F"/>
    <w:rsid w:val="000D0562"/>
    <w:rsid w:val="000D0593"/>
    <w:rsid w:val="000D05A5"/>
    <w:rsid w:val="000D05AA"/>
    <w:rsid w:val="000D06F3"/>
    <w:rsid w:val="000D0712"/>
    <w:rsid w:val="000D0767"/>
    <w:rsid w:val="000D0836"/>
    <w:rsid w:val="000D0846"/>
    <w:rsid w:val="000D0882"/>
    <w:rsid w:val="000D08D5"/>
    <w:rsid w:val="000D08D7"/>
    <w:rsid w:val="000D08F4"/>
    <w:rsid w:val="000D08FE"/>
    <w:rsid w:val="000D092A"/>
    <w:rsid w:val="000D093F"/>
    <w:rsid w:val="000D097E"/>
    <w:rsid w:val="000D0982"/>
    <w:rsid w:val="000D0994"/>
    <w:rsid w:val="000D099B"/>
    <w:rsid w:val="000D0A37"/>
    <w:rsid w:val="000D0AAA"/>
    <w:rsid w:val="000D0ADC"/>
    <w:rsid w:val="000D0AF4"/>
    <w:rsid w:val="000D0B1F"/>
    <w:rsid w:val="000D0B27"/>
    <w:rsid w:val="000D0BC3"/>
    <w:rsid w:val="000D0C47"/>
    <w:rsid w:val="000D0C73"/>
    <w:rsid w:val="000D0C9A"/>
    <w:rsid w:val="000D0CDF"/>
    <w:rsid w:val="000D0DAF"/>
    <w:rsid w:val="000D0E53"/>
    <w:rsid w:val="000D0E73"/>
    <w:rsid w:val="000D0E9B"/>
    <w:rsid w:val="000D1030"/>
    <w:rsid w:val="000D1094"/>
    <w:rsid w:val="000D1199"/>
    <w:rsid w:val="000D1334"/>
    <w:rsid w:val="000D13D6"/>
    <w:rsid w:val="000D1579"/>
    <w:rsid w:val="000D1614"/>
    <w:rsid w:val="000D165C"/>
    <w:rsid w:val="000D1660"/>
    <w:rsid w:val="000D16DD"/>
    <w:rsid w:val="000D16F1"/>
    <w:rsid w:val="000D180F"/>
    <w:rsid w:val="000D1817"/>
    <w:rsid w:val="000D1868"/>
    <w:rsid w:val="000D18B2"/>
    <w:rsid w:val="000D18DC"/>
    <w:rsid w:val="000D1962"/>
    <w:rsid w:val="000D197F"/>
    <w:rsid w:val="000D19EF"/>
    <w:rsid w:val="000D1A0B"/>
    <w:rsid w:val="000D1A9F"/>
    <w:rsid w:val="000D1AB5"/>
    <w:rsid w:val="000D1B00"/>
    <w:rsid w:val="000D1C21"/>
    <w:rsid w:val="000D1CAA"/>
    <w:rsid w:val="000D1CE3"/>
    <w:rsid w:val="000D1CE9"/>
    <w:rsid w:val="000D1D40"/>
    <w:rsid w:val="000D1D55"/>
    <w:rsid w:val="000D1D7A"/>
    <w:rsid w:val="000D1E24"/>
    <w:rsid w:val="000D1E2C"/>
    <w:rsid w:val="000D1E42"/>
    <w:rsid w:val="000D1F70"/>
    <w:rsid w:val="000D1FDB"/>
    <w:rsid w:val="000D1FFB"/>
    <w:rsid w:val="000D2027"/>
    <w:rsid w:val="000D203F"/>
    <w:rsid w:val="000D20C4"/>
    <w:rsid w:val="000D2194"/>
    <w:rsid w:val="000D22E9"/>
    <w:rsid w:val="000D243D"/>
    <w:rsid w:val="000D24A5"/>
    <w:rsid w:val="000D256D"/>
    <w:rsid w:val="000D265A"/>
    <w:rsid w:val="000D26D6"/>
    <w:rsid w:val="000D282C"/>
    <w:rsid w:val="000D283D"/>
    <w:rsid w:val="000D286F"/>
    <w:rsid w:val="000D28D7"/>
    <w:rsid w:val="000D28EB"/>
    <w:rsid w:val="000D290B"/>
    <w:rsid w:val="000D2A3F"/>
    <w:rsid w:val="000D2A5C"/>
    <w:rsid w:val="000D2C32"/>
    <w:rsid w:val="000D2C90"/>
    <w:rsid w:val="000D2E3E"/>
    <w:rsid w:val="000D2F3B"/>
    <w:rsid w:val="000D2F75"/>
    <w:rsid w:val="000D2FE4"/>
    <w:rsid w:val="000D3030"/>
    <w:rsid w:val="000D3080"/>
    <w:rsid w:val="000D3204"/>
    <w:rsid w:val="000D32BD"/>
    <w:rsid w:val="000D330C"/>
    <w:rsid w:val="000D3327"/>
    <w:rsid w:val="000D3346"/>
    <w:rsid w:val="000D3351"/>
    <w:rsid w:val="000D3394"/>
    <w:rsid w:val="000D339E"/>
    <w:rsid w:val="000D33C6"/>
    <w:rsid w:val="000D33D5"/>
    <w:rsid w:val="000D341C"/>
    <w:rsid w:val="000D3464"/>
    <w:rsid w:val="000D35E6"/>
    <w:rsid w:val="000D3638"/>
    <w:rsid w:val="000D3797"/>
    <w:rsid w:val="000D37BB"/>
    <w:rsid w:val="000D37BE"/>
    <w:rsid w:val="000D37C9"/>
    <w:rsid w:val="000D37E8"/>
    <w:rsid w:val="000D386B"/>
    <w:rsid w:val="000D38B1"/>
    <w:rsid w:val="000D38BF"/>
    <w:rsid w:val="000D38EB"/>
    <w:rsid w:val="000D39CD"/>
    <w:rsid w:val="000D39FF"/>
    <w:rsid w:val="000D3A0B"/>
    <w:rsid w:val="000D3A2E"/>
    <w:rsid w:val="000D3AF8"/>
    <w:rsid w:val="000D3B3C"/>
    <w:rsid w:val="000D3CEA"/>
    <w:rsid w:val="000D3DEE"/>
    <w:rsid w:val="000D401D"/>
    <w:rsid w:val="000D4079"/>
    <w:rsid w:val="000D4091"/>
    <w:rsid w:val="000D40AB"/>
    <w:rsid w:val="000D40D8"/>
    <w:rsid w:val="000D4121"/>
    <w:rsid w:val="000D412A"/>
    <w:rsid w:val="000D4169"/>
    <w:rsid w:val="000D422A"/>
    <w:rsid w:val="000D4243"/>
    <w:rsid w:val="000D4326"/>
    <w:rsid w:val="000D4660"/>
    <w:rsid w:val="000D480D"/>
    <w:rsid w:val="000D4856"/>
    <w:rsid w:val="000D48CA"/>
    <w:rsid w:val="000D48E5"/>
    <w:rsid w:val="000D492D"/>
    <w:rsid w:val="000D494D"/>
    <w:rsid w:val="000D4964"/>
    <w:rsid w:val="000D4A03"/>
    <w:rsid w:val="000D4A71"/>
    <w:rsid w:val="000D4AFE"/>
    <w:rsid w:val="000D4B0E"/>
    <w:rsid w:val="000D4BB4"/>
    <w:rsid w:val="000D4C79"/>
    <w:rsid w:val="000D4D04"/>
    <w:rsid w:val="000D4E10"/>
    <w:rsid w:val="000D4FF8"/>
    <w:rsid w:val="000D503B"/>
    <w:rsid w:val="000D50D8"/>
    <w:rsid w:val="000D50D9"/>
    <w:rsid w:val="000D516D"/>
    <w:rsid w:val="000D51D4"/>
    <w:rsid w:val="000D539D"/>
    <w:rsid w:val="000D5469"/>
    <w:rsid w:val="000D562F"/>
    <w:rsid w:val="000D5655"/>
    <w:rsid w:val="000D5667"/>
    <w:rsid w:val="000D5706"/>
    <w:rsid w:val="000D5757"/>
    <w:rsid w:val="000D5778"/>
    <w:rsid w:val="000D58DA"/>
    <w:rsid w:val="000D58E6"/>
    <w:rsid w:val="000D58E7"/>
    <w:rsid w:val="000D5909"/>
    <w:rsid w:val="000D5B5C"/>
    <w:rsid w:val="000D5CC9"/>
    <w:rsid w:val="000D5CF3"/>
    <w:rsid w:val="000D5D43"/>
    <w:rsid w:val="000D5D87"/>
    <w:rsid w:val="000D5DD7"/>
    <w:rsid w:val="000D5E04"/>
    <w:rsid w:val="000D5E54"/>
    <w:rsid w:val="000D5E5F"/>
    <w:rsid w:val="000D5E78"/>
    <w:rsid w:val="000D5F16"/>
    <w:rsid w:val="000D5F8D"/>
    <w:rsid w:val="000D609C"/>
    <w:rsid w:val="000D609E"/>
    <w:rsid w:val="000D60B0"/>
    <w:rsid w:val="000D60BA"/>
    <w:rsid w:val="000D610F"/>
    <w:rsid w:val="000D6122"/>
    <w:rsid w:val="000D6126"/>
    <w:rsid w:val="000D61D6"/>
    <w:rsid w:val="000D6229"/>
    <w:rsid w:val="000D6259"/>
    <w:rsid w:val="000D6268"/>
    <w:rsid w:val="000D627A"/>
    <w:rsid w:val="000D628D"/>
    <w:rsid w:val="000D629F"/>
    <w:rsid w:val="000D62A0"/>
    <w:rsid w:val="000D638F"/>
    <w:rsid w:val="000D63C3"/>
    <w:rsid w:val="000D6468"/>
    <w:rsid w:val="000D650F"/>
    <w:rsid w:val="000D656D"/>
    <w:rsid w:val="000D6650"/>
    <w:rsid w:val="000D66A5"/>
    <w:rsid w:val="000D66BE"/>
    <w:rsid w:val="000D6757"/>
    <w:rsid w:val="000D6804"/>
    <w:rsid w:val="000D681B"/>
    <w:rsid w:val="000D68C1"/>
    <w:rsid w:val="000D6924"/>
    <w:rsid w:val="000D69A8"/>
    <w:rsid w:val="000D6A39"/>
    <w:rsid w:val="000D6A96"/>
    <w:rsid w:val="000D6ADA"/>
    <w:rsid w:val="000D6BFC"/>
    <w:rsid w:val="000D6C5F"/>
    <w:rsid w:val="000D6CBC"/>
    <w:rsid w:val="000D6CBF"/>
    <w:rsid w:val="000D6CFB"/>
    <w:rsid w:val="000D6D09"/>
    <w:rsid w:val="000D6E0B"/>
    <w:rsid w:val="000D7052"/>
    <w:rsid w:val="000D70A1"/>
    <w:rsid w:val="000D70E4"/>
    <w:rsid w:val="000D71E6"/>
    <w:rsid w:val="000D71E9"/>
    <w:rsid w:val="000D7253"/>
    <w:rsid w:val="000D7257"/>
    <w:rsid w:val="000D72D4"/>
    <w:rsid w:val="000D72FF"/>
    <w:rsid w:val="000D73B5"/>
    <w:rsid w:val="000D7456"/>
    <w:rsid w:val="000D74C1"/>
    <w:rsid w:val="000D7537"/>
    <w:rsid w:val="000D753A"/>
    <w:rsid w:val="000D7558"/>
    <w:rsid w:val="000D7578"/>
    <w:rsid w:val="000D758C"/>
    <w:rsid w:val="000D75AD"/>
    <w:rsid w:val="000D75D6"/>
    <w:rsid w:val="000D75E3"/>
    <w:rsid w:val="000D7655"/>
    <w:rsid w:val="000D7776"/>
    <w:rsid w:val="000D77CE"/>
    <w:rsid w:val="000D77D2"/>
    <w:rsid w:val="000D77F4"/>
    <w:rsid w:val="000D7831"/>
    <w:rsid w:val="000D7861"/>
    <w:rsid w:val="000D78A3"/>
    <w:rsid w:val="000D78AE"/>
    <w:rsid w:val="000D79EE"/>
    <w:rsid w:val="000D7A38"/>
    <w:rsid w:val="000D7A42"/>
    <w:rsid w:val="000D7AE6"/>
    <w:rsid w:val="000D7B07"/>
    <w:rsid w:val="000D7C6C"/>
    <w:rsid w:val="000D7C88"/>
    <w:rsid w:val="000D7E0B"/>
    <w:rsid w:val="000D7E48"/>
    <w:rsid w:val="000D7E61"/>
    <w:rsid w:val="000D7FD4"/>
    <w:rsid w:val="000D7FF0"/>
    <w:rsid w:val="000E0079"/>
    <w:rsid w:val="000E00AD"/>
    <w:rsid w:val="000E00C0"/>
    <w:rsid w:val="000E00C3"/>
    <w:rsid w:val="000E00CC"/>
    <w:rsid w:val="000E01A0"/>
    <w:rsid w:val="000E01DE"/>
    <w:rsid w:val="000E023C"/>
    <w:rsid w:val="000E03E0"/>
    <w:rsid w:val="000E04FE"/>
    <w:rsid w:val="000E0527"/>
    <w:rsid w:val="000E0595"/>
    <w:rsid w:val="000E065F"/>
    <w:rsid w:val="000E06A6"/>
    <w:rsid w:val="000E078B"/>
    <w:rsid w:val="000E07DB"/>
    <w:rsid w:val="000E087A"/>
    <w:rsid w:val="000E087D"/>
    <w:rsid w:val="000E08D7"/>
    <w:rsid w:val="000E0942"/>
    <w:rsid w:val="000E09F3"/>
    <w:rsid w:val="000E0A12"/>
    <w:rsid w:val="000E0A26"/>
    <w:rsid w:val="000E0AFE"/>
    <w:rsid w:val="000E0B9E"/>
    <w:rsid w:val="000E0BE8"/>
    <w:rsid w:val="000E0BEC"/>
    <w:rsid w:val="000E0C5E"/>
    <w:rsid w:val="000E0C84"/>
    <w:rsid w:val="000E0D7D"/>
    <w:rsid w:val="000E0DEB"/>
    <w:rsid w:val="000E0E10"/>
    <w:rsid w:val="000E0ED3"/>
    <w:rsid w:val="000E0EE9"/>
    <w:rsid w:val="000E0F0F"/>
    <w:rsid w:val="000E0F18"/>
    <w:rsid w:val="000E0F1A"/>
    <w:rsid w:val="000E0F92"/>
    <w:rsid w:val="000E1067"/>
    <w:rsid w:val="000E10FC"/>
    <w:rsid w:val="000E1167"/>
    <w:rsid w:val="000E1367"/>
    <w:rsid w:val="000E138D"/>
    <w:rsid w:val="000E13EC"/>
    <w:rsid w:val="000E14A3"/>
    <w:rsid w:val="000E14C6"/>
    <w:rsid w:val="000E1502"/>
    <w:rsid w:val="000E155D"/>
    <w:rsid w:val="000E15A7"/>
    <w:rsid w:val="000E1686"/>
    <w:rsid w:val="000E1713"/>
    <w:rsid w:val="000E173F"/>
    <w:rsid w:val="000E177D"/>
    <w:rsid w:val="000E178E"/>
    <w:rsid w:val="000E17F2"/>
    <w:rsid w:val="000E1991"/>
    <w:rsid w:val="000E19C2"/>
    <w:rsid w:val="000E1A74"/>
    <w:rsid w:val="000E1A9C"/>
    <w:rsid w:val="000E1B17"/>
    <w:rsid w:val="000E1B8C"/>
    <w:rsid w:val="000E1BB9"/>
    <w:rsid w:val="000E1C2B"/>
    <w:rsid w:val="000E1C58"/>
    <w:rsid w:val="000E1D06"/>
    <w:rsid w:val="000E1D26"/>
    <w:rsid w:val="000E1D5D"/>
    <w:rsid w:val="000E1E1D"/>
    <w:rsid w:val="000E1E88"/>
    <w:rsid w:val="000E1EA3"/>
    <w:rsid w:val="000E1F47"/>
    <w:rsid w:val="000E1FE7"/>
    <w:rsid w:val="000E2146"/>
    <w:rsid w:val="000E2241"/>
    <w:rsid w:val="000E2251"/>
    <w:rsid w:val="000E22A6"/>
    <w:rsid w:val="000E2354"/>
    <w:rsid w:val="000E2359"/>
    <w:rsid w:val="000E2395"/>
    <w:rsid w:val="000E24A6"/>
    <w:rsid w:val="000E24D1"/>
    <w:rsid w:val="000E254D"/>
    <w:rsid w:val="000E25AB"/>
    <w:rsid w:val="000E25CE"/>
    <w:rsid w:val="000E2626"/>
    <w:rsid w:val="000E2796"/>
    <w:rsid w:val="000E27E3"/>
    <w:rsid w:val="000E27FA"/>
    <w:rsid w:val="000E28CD"/>
    <w:rsid w:val="000E28CF"/>
    <w:rsid w:val="000E28EF"/>
    <w:rsid w:val="000E2919"/>
    <w:rsid w:val="000E2934"/>
    <w:rsid w:val="000E2983"/>
    <w:rsid w:val="000E29EA"/>
    <w:rsid w:val="000E2A08"/>
    <w:rsid w:val="000E2A6B"/>
    <w:rsid w:val="000E2AF8"/>
    <w:rsid w:val="000E2B66"/>
    <w:rsid w:val="000E2C12"/>
    <w:rsid w:val="000E2CBE"/>
    <w:rsid w:val="000E2CCF"/>
    <w:rsid w:val="000E2D03"/>
    <w:rsid w:val="000E2D87"/>
    <w:rsid w:val="000E2F51"/>
    <w:rsid w:val="000E2FA5"/>
    <w:rsid w:val="000E303B"/>
    <w:rsid w:val="000E30DD"/>
    <w:rsid w:val="000E3121"/>
    <w:rsid w:val="000E3137"/>
    <w:rsid w:val="000E313D"/>
    <w:rsid w:val="000E32A3"/>
    <w:rsid w:val="000E32B9"/>
    <w:rsid w:val="000E32F0"/>
    <w:rsid w:val="000E3314"/>
    <w:rsid w:val="000E3355"/>
    <w:rsid w:val="000E349A"/>
    <w:rsid w:val="000E34C2"/>
    <w:rsid w:val="000E3566"/>
    <w:rsid w:val="000E360A"/>
    <w:rsid w:val="000E3758"/>
    <w:rsid w:val="000E3813"/>
    <w:rsid w:val="000E3825"/>
    <w:rsid w:val="000E3852"/>
    <w:rsid w:val="000E3853"/>
    <w:rsid w:val="000E3890"/>
    <w:rsid w:val="000E3931"/>
    <w:rsid w:val="000E39AC"/>
    <w:rsid w:val="000E39C3"/>
    <w:rsid w:val="000E3A0B"/>
    <w:rsid w:val="000E3A8D"/>
    <w:rsid w:val="000E3B11"/>
    <w:rsid w:val="000E3B54"/>
    <w:rsid w:val="000E3B74"/>
    <w:rsid w:val="000E3C08"/>
    <w:rsid w:val="000E3CA1"/>
    <w:rsid w:val="000E3D3A"/>
    <w:rsid w:val="000E3D5A"/>
    <w:rsid w:val="000E3DE7"/>
    <w:rsid w:val="000E3E19"/>
    <w:rsid w:val="000E3E57"/>
    <w:rsid w:val="000E3EB7"/>
    <w:rsid w:val="000E3EDE"/>
    <w:rsid w:val="000E3FE0"/>
    <w:rsid w:val="000E4014"/>
    <w:rsid w:val="000E409F"/>
    <w:rsid w:val="000E417E"/>
    <w:rsid w:val="000E426C"/>
    <w:rsid w:val="000E42F3"/>
    <w:rsid w:val="000E4448"/>
    <w:rsid w:val="000E4531"/>
    <w:rsid w:val="000E4603"/>
    <w:rsid w:val="000E4832"/>
    <w:rsid w:val="000E486E"/>
    <w:rsid w:val="000E48C5"/>
    <w:rsid w:val="000E492B"/>
    <w:rsid w:val="000E4934"/>
    <w:rsid w:val="000E4AA9"/>
    <w:rsid w:val="000E4ABB"/>
    <w:rsid w:val="000E4D43"/>
    <w:rsid w:val="000E4DD4"/>
    <w:rsid w:val="000E4E7A"/>
    <w:rsid w:val="000E4EC1"/>
    <w:rsid w:val="000E4EE6"/>
    <w:rsid w:val="000E4EFE"/>
    <w:rsid w:val="000E4F0E"/>
    <w:rsid w:val="000E509A"/>
    <w:rsid w:val="000E51CF"/>
    <w:rsid w:val="000E51FA"/>
    <w:rsid w:val="000E5212"/>
    <w:rsid w:val="000E52EB"/>
    <w:rsid w:val="000E5322"/>
    <w:rsid w:val="000E532C"/>
    <w:rsid w:val="000E5444"/>
    <w:rsid w:val="000E54BD"/>
    <w:rsid w:val="000E54F6"/>
    <w:rsid w:val="000E5534"/>
    <w:rsid w:val="000E554C"/>
    <w:rsid w:val="000E5663"/>
    <w:rsid w:val="000E56D5"/>
    <w:rsid w:val="000E573F"/>
    <w:rsid w:val="000E57D5"/>
    <w:rsid w:val="000E57E4"/>
    <w:rsid w:val="000E582B"/>
    <w:rsid w:val="000E5863"/>
    <w:rsid w:val="000E5893"/>
    <w:rsid w:val="000E5959"/>
    <w:rsid w:val="000E5A18"/>
    <w:rsid w:val="000E5A83"/>
    <w:rsid w:val="000E5AB1"/>
    <w:rsid w:val="000E5AE4"/>
    <w:rsid w:val="000E5B4E"/>
    <w:rsid w:val="000E5BFD"/>
    <w:rsid w:val="000E5C11"/>
    <w:rsid w:val="000E5DB7"/>
    <w:rsid w:val="000E5F50"/>
    <w:rsid w:val="000E5F5C"/>
    <w:rsid w:val="000E5FFC"/>
    <w:rsid w:val="000E5FFF"/>
    <w:rsid w:val="000E6040"/>
    <w:rsid w:val="000E6161"/>
    <w:rsid w:val="000E6241"/>
    <w:rsid w:val="000E6244"/>
    <w:rsid w:val="000E62E6"/>
    <w:rsid w:val="000E632A"/>
    <w:rsid w:val="000E6374"/>
    <w:rsid w:val="000E6377"/>
    <w:rsid w:val="000E65F7"/>
    <w:rsid w:val="000E6630"/>
    <w:rsid w:val="000E6696"/>
    <w:rsid w:val="000E66A8"/>
    <w:rsid w:val="000E66BC"/>
    <w:rsid w:val="000E6877"/>
    <w:rsid w:val="000E68A1"/>
    <w:rsid w:val="000E690A"/>
    <w:rsid w:val="000E692F"/>
    <w:rsid w:val="000E6964"/>
    <w:rsid w:val="000E69B7"/>
    <w:rsid w:val="000E6BAE"/>
    <w:rsid w:val="000E6C10"/>
    <w:rsid w:val="000E6C81"/>
    <w:rsid w:val="000E6CD6"/>
    <w:rsid w:val="000E6D6C"/>
    <w:rsid w:val="000E6E18"/>
    <w:rsid w:val="000E6E28"/>
    <w:rsid w:val="000E6E30"/>
    <w:rsid w:val="000E6EF1"/>
    <w:rsid w:val="000E6EFE"/>
    <w:rsid w:val="000E6F51"/>
    <w:rsid w:val="000E6F72"/>
    <w:rsid w:val="000E6FA2"/>
    <w:rsid w:val="000E6FD4"/>
    <w:rsid w:val="000E7029"/>
    <w:rsid w:val="000E7102"/>
    <w:rsid w:val="000E7174"/>
    <w:rsid w:val="000E719A"/>
    <w:rsid w:val="000E71E2"/>
    <w:rsid w:val="000E7206"/>
    <w:rsid w:val="000E722E"/>
    <w:rsid w:val="000E72B8"/>
    <w:rsid w:val="000E72C0"/>
    <w:rsid w:val="000E73B7"/>
    <w:rsid w:val="000E73E6"/>
    <w:rsid w:val="000E74B5"/>
    <w:rsid w:val="000E74C2"/>
    <w:rsid w:val="000E752A"/>
    <w:rsid w:val="000E759B"/>
    <w:rsid w:val="000E76DA"/>
    <w:rsid w:val="000E7839"/>
    <w:rsid w:val="000E78A0"/>
    <w:rsid w:val="000E78B0"/>
    <w:rsid w:val="000E796C"/>
    <w:rsid w:val="000E7A2F"/>
    <w:rsid w:val="000E7BAA"/>
    <w:rsid w:val="000E7BFA"/>
    <w:rsid w:val="000E7D3F"/>
    <w:rsid w:val="000E7E0B"/>
    <w:rsid w:val="000E7EAF"/>
    <w:rsid w:val="000E7ED4"/>
    <w:rsid w:val="000E7FE9"/>
    <w:rsid w:val="000F0001"/>
    <w:rsid w:val="000F0068"/>
    <w:rsid w:val="000F00E2"/>
    <w:rsid w:val="000F0133"/>
    <w:rsid w:val="000F014B"/>
    <w:rsid w:val="000F0178"/>
    <w:rsid w:val="000F03C4"/>
    <w:rsid w:val="000F03EE"/>
    <w:rsid w:val="000F040F"/>
    <w:rsid w:val="000F0478"/>
    <w:rsid w:val="000F0538"/>
    <w:rsid w:val="000F0631"/>
    <w:rsid w:val="000F06AA"/>
    <w:rsid w:val="000F06B2"/>
    <w:rsid w:val="000F06D1"/>
    <w:rsid w:val="000F074B"/>
    <w:rsid w:val="000F0A50"/>
    <w:rsid w:val="000F0A66"/>
    <w:rsid w:val="000F0B62"/>
    <w:rsid w:val="000F0BE9"/>
    <w:rsid w:val="000F0C86"/>
    <w:rsid w:val="000F0CE9"/>
    <w:rsid w:val="000F0D29"/>
    <w:rsid w:val="000F0D5A"/>
    <w:rsid w:val="000F0DB5"/>
    <w:rsid w:val="000F0DCE"/>
    <w:rsid w:val="000F0FB7"/>
    <w:rsid w:val="000F108A"/>
    <w:rsid w:val="000F1094"/>
    <w:rsid w:val="000F10BE"/>
    <w:rsid w:val="000F1188"/>
    <w:rsid w:val="000F11E7"/>
    <w:rsid w:val="000F12EF"/>
    <w:rsid w:val="000F12F6"/>
    <w:rsid w:val="000F1314"/>
    <w:rsid w:val="000F13C4"/>
    <w:rsid w:val="000F141A"/>
    <w:rsid w:val="000F145E"/>
    <w:rsid w:val="000F14C4"/>
    <w:rsid w:val="000F159B"/>
    <w:rsid w:val="000F164A"/>
    <w:rsid w:val="000F1710"/>
    <w:rsid w:val="000F174A"/>
    <w:rsid w:val="000F17A4"/>
    <w:rsid w:val="000F17A9"/>
    <w:rsid w:val="000F1828"/>
    <w:rsid w:val="000F1855"/>
    <w:rsid w:val="000F1876"/>
    <w:rsid w:val="000F18AB"/>
    <w:rsid w:val="000F18D3"/>
    <w:rsid w:val="000F18DB"/>
    <w:rsid w:val="000F1952"/>
    <w:rsid w:val="000F1995"/>
    <w:rsid w:val="000F19EF"/>
    <w:rsid w:val="000F19F9"/>
    <w:rsid w:val="000F1A6B"/>
    <w:rsid w:val="000F1B10"/>
    <w:rsid w:val="000F1B51"/>
    <w:rsid w:val="000F1C29"/>
    <w:rsid w:val="000F1CA2"/>
    <w:rsid w:val="000F1D6A"/>
    <w:rsid w:val="000F1E27"/>
    <w:rsid w:val="000F1F5E"/>
    <w:rsid w:val="000F1FB7"/>
    <w:rsid w:val="000F213A"/>
    <w:rsid w:val="000F2226"/>
    <w:rsid w:val="000F2273"/>
    <w:rsid w:val="000F2300"/>
    <w:rsid w:val="000F234D"/>
    <w:rsid w:val="000F2487"/>
    <w:rsid w:val="000F24C9"/>
    <w:rsid w:val="000F24E5"/>
    <w:rsid w:val="000F2585"/>
    <w:rsid w:val="000F25C8"/>
    <w:rsid w:val="000F25D1"/>
    <w:rsid w:val="000F25E5"/>
    <w:rsid w:val="000F25F0"/>
    <w:rsid w:val="000F26C5"/>
    <w:rsid w:val="000F2779"/>
    <w:rsid w:val="000F279E"/>
    <w:rsid w:val="000F27CD"/>
    <w:rsid w:val="000F28A2"/>
    <w:rsid w:val="000F28ED"/>
    <w:rsid w:val="000F2921"/>
    <w:rsid w:val="000F2A35"/>
    <w:rsid w:val="000F2A69"/>
    <w:rsid w:val="000F2B0D"/>
    <w:rsid w:val="000F2C4F"/>
    <w:rsid w:val="000F2C6A"/>
    <w:rsid w:val="000F2C6C"/>
    <w:rsid w:val="000F2CB3"/>
    <w:rsid w:val="000F2CF5"/>
    <w:rsid w:val="000F2D19"/>
    <w:rsid w:val="000F2DF6"/>
    <w:rsid w:val="000F2DFF"/>
    <w:rsid w:val="000F2E74"/>
    <w:rsid w:val="000F2E86"/>
    <w:rsid w:val="000F2E8D"/>
    <w:rsid w:val="000F2F75"/>
    <w:rsid w:val="000F2F80"/>
    <w:rsid w:val="000F2F99"/>
    <w:rsid w:val="000F2FFA"/>
    <w:rsid w:val="000F30DE"/>
    <w:rsid w:val="000F31C4"/>
    <w:rsid w:val="000F31EF"/>
    <w:rsid w:val="000F3233"/>
    <w:rsid w:val="000F3242"/>
    <w:rsid w:val="000F32D8"/>
    <w:rsid w:val="000F32FA"/>
    <w:rsid w:val="000F3322"/>
    <w:rsid w:val="000F33F7"/>
    <w:rsid w:val="000F3548"/>
    <w:rsid w:val="000F3549"/>
    <w:rsid w:val="000F35F1"/>
    <w:rsid w:val="000F36B4"/>
    <w:rsid w:val="000F36F4"/>
    <w:rsid w:val="000F3758"/>
    <w:rsid w:val="000F3762"/>
    <w:rsid w:val="000F380C"/>
    <w:rsid w:val="000F3828"/>
    <w:rsid w:val="000F388A"/>
    <w:rsid w:val="000F38F0"/>
    <w:rsid w:val="000F39ED"/>
    <w:rsid w:val="000F3A9F"/>
    <w:rsid w:val="000F3BB7"/>
    <w:rsid w:val="000F3BD3"/>
    <w:rsid w:val="000F3D45"/>
    <w:rsid w:val="000F3DB3"/>
    <w:rsid w:val="000F3E2E"/>
    <w:rsid w:val="000F3E9D"/>
    <w:rsid w:val="000F3EDB"/>
    <w:rsid w:val="000F3FE3"/>
    <w:rsid w:val="000F4053"/>
    <w:rsid w:val="000F408E"/>
    <w:rsid w:val="000F4120"/>
    <w:rsid w:val="000F4141"/>
    <w:rsid w:val="000F4144"/>
    <w:rsid w:val="000F426B"/>
    <w:rsid w:val="000F42D5"/>
    <w:rsid w:val="000F4321"/>
    <w:rsid w:val="000F4498"/>
    <w:rsid w:val="000F4531"/>
    <w:rsid w:val="000F456D"/>
    <w:rsid w:val="000F45D5"/>
    <w:rsid w:val="000F45E5"/>
    <w:rsid w:val="000F4774"/>
    <w:rsid w:val="000F483D"/>
    <w:rsid w:val="000F491D"/>
    <w:rsid w:val="000F495A"/>
    <w:rsid w:val="000F4975"/>
    <w:rsid w:val="000F49C1"/>
    <w:rsid w:val="000F4A25"/>
    <w:rsid w:val="000F4A7B"/>
    <w:rsid w:val="000F4B5D"/>
    <w:rsid w:val="000F4B5E"/>
    <w:rsid w:val="000F4B97"/>
    <w:rsid w:val="000F4BF3"/>
    <w:rsid w:val="000F4C7F"/>
    <w:rsid w:val="000F4D62"/>
    <w:rsid w:val="000F4DA5"/>
    <w:rsid w:val="000F4E41"/>
    <w:rsid w:val="000F4EBE"/>
    <w:rsid w:val="000F4EF7"/>
    <w:rsid w:val="000F4F29"/>
    <w:rsid w:val="000F5072"/>
    <w:rsid w:val="000F51B2"/>
    <w:rsid w:val="000F5366"/>
    <w:rsid w:val="000F5386"/>
    <w:rsid w:val="000F53A0"/>
    <w:rsid w:val="000F53D6"/>
    <w:rsid w:val="000F5408"/>
    <w:rsid w:val="000F54FE"/>
    <w:rsid w:val="000F55A9"/>
    <w:rsid w:val="000F56B2"/>
    <w:rsid w:val="000F56FA"/>
    <w:rsid w:val="000F5775"/>
    <w:rsid w:val="000F5806"/>
    <w:rsid w:val="000F580C"/>
    <w:rsid w:val="000F58DD"/>
    <w:rsid w:val="000F5909"/>
    <w:rsid w:val="000F5A3E"/>
    <w:rsid w:val="000F5A42"/>
    <w:rsid w:val="000F5A55"/>
    <w:rsid w:val="000F5B1D"/>
    <w:rsid w:val="000F5B29"/>
    <w:rsid w:val="000F5C2A"/>
    <w:rsid w:val="000F5C35"/>
    <w:rsid w:val="000F5CEA"/>
    <w:rsid w:val="000F5DB9"/>
    <w:rsid w:val="000F5E4B"/>
    <w:rsid w:val="000F5EAB"/>
    <w:rsid w:val="000F5ED5"/>
    <w:rsid w:val="000F5FFB"/>
    <w:rsid w:val="000F617D"/>
    <w:rsid w:val="000F6284"/>
    <w:rsid w:val="000F629D"/>
    <w:rsid w:val="000F62BB"/>
    <w:rsid w:val="000F630D"/>
    <w:rsid w:val="000F6399"/>
    <w:rsid w:val="000F63B7"/>
    <w:rsid w:val="000F63E5"/>
    <w:rsid w:val="000F647D"/>
    <w:rsid w:val="000F655B"/>
    <w:rsid w:val="000F6565"/>
    <w:rsid w:val="000F65FE"/>
    <w:rsid w:val="000F660C"/>
    <w:rsid w:val="000F6617"/>
    <w:rsid w:val="000F663F"/>
    <w:rsid w:val="000F66D8"/>
    <w:rsid w:val="000F6792"/>
    <w:rsid w:val="000F6870"/>
    <w:rsid w:val="000F6879"/>
    <w:rsid w:val="000F6929"/>
    <w:rsid w:val="000F693D"/>
    <w:rsid w:val="000F6970"/>
    <w:rsid w:val="000F6AAC"/>
    <w:rsid w:val="000F6BA6"/>
    <w:rsid w:val="000F6CDF"/>
    <w:rsid w:val="000F6D32"/>
    <w:rsid w:val="000F6DE8"/>
    <w:rsid w:val="000F6E19"/>
    <w:rsid w:val="000F6E2D"/>
    <w:rsid w:val="000F6E71"/>
    <w:rsid w:val="000F6EFD"/>
    <w:rsid w:val="000F6F07"/>
    <w:rsid w:val="000F6F2B"/>
    <w:rsid w:val="000F6F39"/>
    <w:rsid w:val="000F7080"/>
    <w:rsid w:val="000F716C"/>
    <w:rsid w:val="000F71A1"/>
    <w:rsid w:val="000F71A7"/>
    <w:rsid w:val="000F7292"/>
    <w:rsid w:val="000F72A7"/>
    <w:rsid w:val="000F73E3"/>
    <w:rsid w:val="000F7468"/>
    <w:rsid w:val="000F746A"/>
    <w:rsid w:val="000F75A2"/>
    <w:rsid w:val="000F7648"/>
    <w:rsid w:val="000F778B"/>
    <w:rsid w:val="000F779C"/>
    <w:rsid w:val="000F7824"/>
    <w:rsid w:val="000F7907"/>
    <w:rsid w:val="000F7978"/>
    <w:rsid w:val="000F7A14"/>
    <w:rsid w:val="000F7A56"/>
    <w:rsid w:val="000F7A76"/>
    <w:rsid w:val="000F7B8C"/>
    <w:rsid w:val="000F7BD2"/>
    <w:rsid w:val="000F7C0D"/>
    <w:rsid w:val="000F7C59"/>
    <w:rsid w:val="000F7C94"/>
    <w:rsid w:val="000F7CBD"/>
    <w:rsid w:val="000F7CDE"/>
    <w:rsid w:val="000F7D51"/>
    <w:rsid w:val="000F7D55"/>
    <w:rsid w:val="000F7F48"/>
    <w:rsid w:val="000F7FBF"/>
    <w:rsid w:val="00100034"/>
    <w:rsid w:val="0010007A"/>
    <w:rsid w:val="001000A6"/>
    <w:rsid w:val="001000A8"/>
    <w:rsid w:val="00100170"/>
    <w:rsid w:val="00100249"/>
    <w:rsid w:val="00100312"/>
    <w:rsid w:val="00100329"/>
    <w:rsid w:val="0010036B"/>
    <w:rsid w:val="0010038C"/>
    <w:rsid w:val="0010039C"/>
    <w:rsid w:val="001003BF"/>
    <w:rsid w:val="0010042C"/>
    <w:rsid w:val="00100441"/>
    <w:rsid w:val="0010050C"/>
    <w:rsid w:val="00100513"/>
    <w:rsid w:val="0010053C"/>
    <w:rsid w:val="0010053F"/>
    <w:rsid w:val="00100546"/>
    <w:rsid w:val="001005F5"/>
    <w:rsid w:val="0010063F"/>
    <w:rsid w:val="001006B1"/>
    <w:rsid w:val="001006B2"/>
    <w:rsid w:val="001007C3"/>
    <w:rsid w:val="001007F6"/>
    <w:rsid w:val="00100814"/>
    <w:rsid w:val="001008A4"/>
    <w:rsid w:val="001008EE"/>
    <w:rsid w:val="001008FA"/>
    <w:rsid w:val="00100925"/>
    <w:rsid w:val="0010093F"/>
    <w:rsid w:val="00100941"/>
    <w:rsid w:val="0010097E"/>
    <w:rsid w:val="00100993"/>
    <w:rsid w:val="00100A2D"/>
    <w:rsid w:val="00100A52"/>
    <w:rsid w:val="00100C42"/>
    <w:rsid w:val="00100C46"/>
    <w:rsid w:val="00100C7E"/>
    <w:rsid w:val="00100D47"/>
    <w:rsid w:val="00100F1D"/>
    <w:rsid w:val="00100F6C"/>
    <w:rsid w:val="001010E3"/>
    <w:rsid w:val="00101177"/>
    <w:rsid w:val="0010121A"/>
    <w:rsid w:val="00101232"/>
    <w:rsid w:val="0010123F"/>
    <w:rsid w:val="00101249"/>
    <w:rsid w:val="0010130B"/>
    <w:rsid w:val="0010133A"/>
    <w:rsid w:val="00101371"/>
    <w:rsid w:val="001013FB"/>
    <w:rsid w:val="001014C5"/>
    <w:rsid w:val="00101582"/>
    <w:rsid w:val="001015C6"/>
    <w:rsid w:val="001015E3"/>
    <w:rsid w:val="00101623"/>
    <w:rsid w:val="00101649"/>
    <w:rsid w:val="00101730"/>
    <w:rsid w:val="00101758"/>
    <w:rsid w:val="0010180F"/>
    <w:rsid w:val="001018BF"/>
    <w:rsid w:val="001018F3"/>
    <w:rsid w:val="00101971"/>
    <w:rsid w:val="001019F0"/>
    <w:rsid w:val="00101A2E"/>
    <w:rsid w:val="00101A4B"/>
    <w:rsid w:val="00101A56"/>
    <w:rsid w:val="00101AD2"/>
    <w:rsid w:val="00101B14"/>
    <w:rsid w:val="00101B2D"/>
    <w:rsid w:val="00101BBD"/>
    <w:rsid w:val="00101BE5"/>
    <w:rsid w:val="00101BFB"/>
    <w:rsid w:val="00101D7C"/>
    <w:rsid w:val="00101EDA"/>
    <w:rsid w:val="00101F0D"/>
    <w:rsid w:val="00101F2E"/>
    <w:rsid w:val="00101F70"/>
    <w:rsid w:val="0010200F"/>
    <w:rsid w:val="0010223E"/>
    <w:rsid w:val="0010223F"/>
    <w:rsid w:val="0010245D"/>
    <w:rsid w:val="001024C6"/>
    <w:rsid w:val="00102646"/>
    <w:rsid w:val="001026A2"/>
    <w:rsid w:val="001026CA"/>
    <w:rsid w:val="00102882"/>
    <w:rsid w:val="001028C7"/>
    <w:rsid w:val="001028EF"/>
    <w:rsid w:val="00102934"/>
    <w:rsid w:val="00102965"/>
    <w:rsid w:val="0010296D"/>
    <w:rsid w:val="001029B0"/>
    <w:rsid w:val="00102A26"/>
    <w:rsid w:val="00102B97"/>
    <w:rsid w:val="00102C25"/>
    <w:rsid w:val="00102CB9"/>
    <w:rsid w:val="00102DD3"/>
    <w:rsid w:val="00102E14"/>
    <w:rsid w:val="0010308F"/>
    <w:rsid w:val="0010310D"/>
    <w:rsid w:val="0010313A"/>
    <w:rsid w:val="00103151"/>
    <w:rsid w:val="0010329B"/>
    <w:rsid w:val="001032A8"/>
    <w:rsid w:val="00103314"/>
    <w:rsid w:val="00103322"/>
    <w:rsid w:val="0010333A"/>
    <w:rsid w:val="001033FD"/>
    <w:rsid w:val="001034D7"/>
    <w:rsid w:val="001036BF"/>
    <w:rsid w:val="00103768"/>
    <w:rsid w:val="0010383B"/>
    <w:rsid w:val="00103924"/>
    <w:rsid w:val="0010395C"/>
    <w:rsid w:val="00103973"/>
    <w:rsid w:val="00103A0A"/>
    <w:rsid w:val="00103A24"/>
    <w:rsid w:val="00103B0B"/>
    <w:rsid w:val="00103B0E"/>
    <w:rsid w:val="00103B28"/>
    <w:rsid w:val="00103B2E"/>
    <w:rsid w:val="00103B9D"/>
    <w:rsid w:val="00103C44"/>
    <w:rsid w:val="00103CFC"/>
    <w:rsid w:val="00103D50"/>
    <w:rsid w:val="00103D5E"/>
    <w:rsid w:val="00103E36"/>
    <w:rsid w:val="00103EA2"/>
    <w:rsid w:val="00103FE9"/>
    <w:rsid w:val="00103FFC"/>
    <w:rsid w:val="00104084"/>
    <w:rsid w:val="001040CC"/>
    <w:rsid w:val="0010411A"/>
    <w:rsid w:val="0010414A"/>
    <w:rsid w:val="0010415E"/>
    <w:rsid w:val="00104220"/>
    <w:rsid w:val="001042FA"/>
    <w:rsid w:val="00104303"/>
    <w:rsid w:val="00104335"/>
    <w:rsid w:val="00104386"/>
    <w:rsid w:val="001043BE"/>
    <w:rsid w:val="00104448"/>
    <w:rsid w:val="001044C5"/>
    <w:rsid w:val="00104622"/>
    <w:rsid w:val="00104650"/>
    <w:rsid w:val="001046B6"/>
    <w:rsid w:val="001046BC"/>
    <w:rsid w:val="001046DC"/>
    <w:rsid w:val="0010470E"/>
    <w:rsid w:val="0010472B"/>
    <w:rsid w:val="00104795"/>
    <w:rsid w:val="001047B2"/>
    <w:rsid w:val="00104871"/>
    <w:rsid w:val="00104904"/>
    <w:rsid w:val="00104929"/>
    <w:rsid w:val="00104B05"/>
    <w:rsid w:val="00104BBC"/>
    <w:rsid w:val="00104C35"/>
    <w:rsid w:val="00104D77"/>
    <w:rsid w:val="00104E36"/>
    <w:rsid w:val="00104E43"/>
    <w:rsid w:val="00104EA7"/>
    <w:rsid w:val="00104F49"/>
    <w:rsid w:val="00104F85"/>
    <w:rsid w:val="00104F8B"/>
    <w:rsid w:val="0010506D"/>
    <w:rsid w:val="00105071"/>
    <w:rsid w:val="00105142"/>
    <w:rsid w:val="00105232"/>
    <w:rsid w:val="0010528D"/>
    <w:rsid w:val="001052BD"/>
    <w:rsid w:val="001052BF"/>
    <w:rsid w:val="001053BD"/>
    <w:rsid w:val="0010548B"/>
    <w:rsid w:val="001054C8"/>
    <w:rsid w:val="0010554C"/>
    <w:rsid w:val="00105596"/>
    <w:rsid w:val="001055A6"/>
    <w:rsid w:val="00105615"/>
    <w:rsid w:val="0010564F"/>
    <w:rsid w:val="0010565F"/>
    <w:rsid w:val="001056BE"/>
    <w:rsid w:val="001057C1"/>
    <w:rsid w:val="001057FE"/>
    <w:rsid w:val="001058F6"/>
    <w:rsid w:val="0010590A"/>
    <w:rsid w:val="00105956"/>
    <w:rsid w:val="00105979"/>
    <w:rsid w:val="001059B9"/>
    <w:rsid w:val="00105A7E"/>
    <w:rsid w:val="00105AC7"/>
    <w:rsid w:val="00105B56"/>
    <w:rsid w:val="00105B61"/>
    <w:rsid w:val="00105BC1"/>
    <w:rsid w:val="00105C27"/>
    <w:rsid w:val="00105C78"/>
    <w:rsid w:val="00105D5C"/>
    <w:rsid w:val="00105DC4"/>
    <w:rsid w:val="00105DD9"/>
    <w:rsid w:val="00105DF4"/>
    <w:rsid w:val="00105EAF"/>
    <w:rsid w:val="00105F12"/>
    <w:rsid w:val="00105FAD"/>
    <w:rsid w:val="00106034"/>
    <w:rsid w:val="0010608B"/>
    <w:rsid w:val="00106129"/>
    <w:rsid w:val="00106257"/>
    <w:rsid w:val="001062B7"/>
    <w:rsid w:val="0010630F"/>
    <w:rsid w:val="0010640A"/>
    <w:rsid w:val="0010646F"/>
    <w:rsid w:val="001064DE"/>
    <w:rsid w:val="00106672"/>
    <w:rsid w:val="00106717"/>
    <w:rsid w:val="00106778"/>
    <w:rsid w:val="0010683B"/>
    <w:rsid w:val="001068D1"/>
    <w:rsid w:val="00106925"/>
    <w:rsid w:val="00106956"/>
    <w:rsid w:val="00106997"/>
    <w:rsid w:val="001069B4"/>
    <w:rsid w:val="00106A6B"/>
    <w:rsid w:val="00106A83"/>
    <w:rsid w:val="00106A9C"/>
    <w:rsid w:val="00106B39"/>
    <w:rsid w:val="00106B8D"/>
    <w:rsid w:val="00106BD9"/>
    <w:rsid w:val="00106C0A"/>
    <w:rsid w:val="00106C75"/>
    <w:rsid w:val="00106CBF"/>
    <w:rsid w:val="00106CCD"/>
    <w:rsid w:val="00106D22"/>
    <w:rsid w:val="00106DF2"/>
    <w:rsid w:val="00106EA6"/>
    <w:rsid w:val="00106ED1"/>
    <w:rsid w:val="00106EEE"/>
    <w:rsid w:val="00106F1B"/>
    <w:rsid w:val="00106F58"/>
    <w:rsid w:val="0010709B"/>
    <w:rsid w:val="0010710D"/>
    <w:rsid w:val="00107140"/>
    <w:rsid w:val="00107149"/>
    <w:rsid w:val="001071D6"/>
    <w:rsid w:val="001071DB"/>
    <w:rsid w:val="001072B0"/>
    <w:rsid w:val="001072CC"/>
    <w:rsid w:val="0010736A"/>
    <w:rsid w:val="001073AD"/>
    <w:rsid w:val="001073E5"/>
    <w:rsid w:val="00107442"/>
    <w:rsid w:val="0010747D"/>
    <w:rsid w:val="001074BF"/>
    <w:rsid w:val="00107552"/>
    <w:rsid w:val="00107562"/>
    <w:rsid w:val="00107582"/>
    <w:rsid w:val="0010760E"/>
    <w:rsid w:val="0010766D"/>
    <w:rsid w:val="00107730"/>
    <w:rsid w:val="00107735"/>
    <w:rsid w:val="001077B9"/>
    <w:rsid w:val="00107886"/>
    <w:rsid w:val="0010791F"/>
    <w:rsid w:val="00107A35"/>
    <w:rsid w:val="00107B00"/>
    <w:rsid w:val="00107B25"/>
    <w:rsid w:val="00107B8E"/>
    <w:rsid w:val="00107BC6"/>
    <w:rsid w:val="00107C4A"/>
    <w:rsid w:val="00107C4F"/>
    <w:rsid w:val="00107CDC"/>
    <w:rsid w:val="00107D87"/>
    <w:rsid w:val="00107DB3"/>
    <w:rsid w:val="00107EEB"/>
    <w:rsid w:val="00107F1C"/>
    <w:rsid w:val="00107F2D"/>
    <w:rsid w:val="00107F4E"/>
    <w:rsid w:val="00107FE6"/>
    <w:rsid w:val="00110042"/>
    <w:rsid w:val="00110221"/>
    <w:rsid w:val="00110250"/>
    <w:rsid w:val="00110306"/>
    <w:rsid w:val="0011030E"/>
    <w:rsid w:val="00110311"/>
    <w:rsid w:val="0011051A"/>
    <w:rsid w:val="0011052B"/>
    <w:rsid w:val="0011055F"/>
    <w:rsid w:val="0011059D"/>
    <w:rsid w:val="001107FC"/>
    <w:rsid w:val="00110847"/>
    <w:rsid w:val="0011088A"/>
    <w:rsid w:val="001109BB"/>
    <w:rsid w:val="00110A61"/>
    <w:rsid w:val="00110A68"/>
    <w:rsid w:val="00110A7C"/>
    <w:rsid w:val="00110B36"/>
    <w:rsid w:val="00110B44"/>
    <w:rsid w:val="00110C23"/>
    <w:rsid w:val="00110C84"/>
    <w:rsid w:val="00110DB6"/>
    <w:rsid w:val="00110DBF"/>
    <w:rsid w:val="00110EB4"/>
    <w:rsid w:val="00110F19"/>
    <w:rsid w:val="00110FD1"/>
    <w:rsid w:val="00111165"/>
    <w:rsid w:val="0011126B"/>
    <w:rsid w:val="00111283"/>
    <w:rsid w:val="001112B7"/>
    <w:rsid w:val="001112F8"/>
    <w:rsid w:val="001113FC"/>
    <w:rsid w:val="00111484"/>
    <w:rsid w:val="0011155B"/>
    <w:rsid w:val="001115B8"/>
    <w:rsid w:val="00111624"/>
    <w:rsid w:val="00111707"/>
    <w:rsid w:val="001117E9"/>
    <w:rsid w:val="001117F3"/>
    <w:rsid w:val="00111826"/>
    <w:rsid w:val="001118A5"/>
    <w:rsid w:val="00111A4A"/>
    <w:rsid w:val="00111A6A"/>
    <w:rsid w:val="00111AA6"/>
    <w:rsid w:val="00111B57"/>
    <w:rsid w:val="00111B8B"/>
    <w:rsid w:val="00111C34"/>
    <w:rsid w:val="00111C37"/>
    <w:rsid w:val="00111C4F"/>
    <w:rsid w:val="00111C93"/>
    <w:rsid w:val="00111D40"/>
    <w:rsid w:val="00111E16"/>
    <w:rsid w:val="00111E5D"/>
    <w:rsid w:val="00111ED0"/>
    <w:rsid w:val="0011209B"/>
    <w:rsid w:val="00112200"/>
    <w:rsid w:val="00112234"/>
    <w:rsid w:val="0011228F"/>
    <w:rsid w:val="001122B4"/>
    <w:rsid w:val="0011232E"/>
    <w:rsid w:val="00112334"/>
    <w:rsid w:val="00112499"/>
    <w:rsid w:val="0011255D"/>
    <w:rsid w:val="001125A6"/>
    <w:rsid w:val="001125B1"/>
    <w:rsid w:val="00112625"/>
    <w:rsid w:val="0011262D"/>
    <w:rsid w:val="0011264A"/>
    <w:rsid w:val="00112683"/>
    <w:rsid w:val="001126E2"/>
    <w:rsid w:val="001126F7"/>
    <w:rsid w:val="0011286E"/>
    <w:rsid w:val="001128AA"/>
    <w:rsid w:val="00112949"/>
    <w:rsid w:val="00112A49"/>
    <w:rsid w:val="00112ACD"/>
    <w:rsid w:val="00112AE9"/>
    <w:rsid w:val="00112B05"/>
    <w:rsid w:val="00112B94"/>
    <w:rsid w:val="00112BD7"/>
    <w:rsid w:val="00112BF7"/>
    <w:rsid w:val="00112C00"/>
    <w:rsid w:val="00112C05"/>
    <w:rsid w:val="00112CBA"/>
    <w:rsid w:val="00112CC5"/>
    <w:rsid w:val="00112CFB"/>
    <w:rsid w:val="00112D25"/>
    <w:rsid w:val="00112DC3"/>
    <w:rsid w:val="00112F43"/>
    <w:rsid w:val="00113037"/>
    <w:rsid w:val="00113106"/>
    <w:rsid w:val="0011316A"/>
    <w:rsid w:val="001131CD"/>
    <w:rsid w:val="001131D6"/>
    <w:rsid w:val="00113249"/>
    <w:rsid w:val="00113321"/>
    <w:rsid w:val="0011338D"/>
    <w:rsid w:val="001133E3"/>
    <w:rsid w:val="00113400"/>
    <w:rsid w:val="00113429"/>
    <w:rsid w:val="00113447"/>
    <w:rsid w:val="00113472"/>
    <w:rsid w:val="0011347A"/>
    <w:rsid w:val="001136C9"/>
    <w:rsid w:val="00113777"/>
    <w:rsid w:val="00113889"/>
    <w:rsid w:val="00113902"/>
    <w:rsid w:val="00113959"/>
    <w:rsid w:val="00113BC7"/>
    <w:rsid w:val="00113C71"/>
    <w:rsid w:val="00113C89"/>
    <w:rsid w:val="00113D8F"/>
    <w:rsid w:val="00113DA0"/>
    <w:rsid w:val="00113E0C"/>
    <w:rsid w:val="00113F17"/>
    <w:rsid w:val="00113F36"/>
    <w:rsid w:val="00113F3A"/>
    <w:rsid w:val="00113FAF"/>
    <w:rsid w:val="00114031"/>
    <w:rsid w:val="001140A4"/>
    <w:rsid w:val="001140E3"/>
    <w:rsid w:val="0011411F"/>
    <w:rsid w:val="0011419E"/>
    <w:rsid w:val="0011422E"/>
    <w:rsid w:val="001142AC"/>
    <w:rsid w:val="001142BB"/>
    <w:rsid w:val="001142C4"/>
    <w:rsid w:val="00114318"/>
    <w:rsid w:val="001143EF"/>
    <w:rsid w:val="001144A4"/>
    <w:rsid w:val="001145C5"/>
    <w:rsid w:val="001145EB"/>
    <w:rsid w:val="0011482F"/>
    <w:rsid w:val="00114846"/>
    <w:rsid w:val="00114847"/>
    <w:rsid w:val="00114886"/>
    <w:rsid w:val="00114A19"/>
    <w:rsid w:val="00114A9B"/>
    <w:rsid w:val="00114B22"/>
    <w:rsid w:val="00114B28"/>
    <w:rsid w:val="00114B4D"/>
    <w:rsid w:val="00114BA0"/>
    <w:rsid w:val="00114CB2"/>
    <w:rsid w:val="00114D7F"/>
    <w:rsid w:val="00114DB7"/>
    <w:rsid w:val="00114E2E"/>
    <w:rsid w:val="00114E49"/>
    <w:rsid w:val="00115032"/>
    <w:rsid w:val="00115083"/>
    <w:rsid w:val="001150F0"/>
    <w:rsid w:val="00115139"/>
    <w:rsid w:val="00115162"/>
    <w:rsid w:val="001151D9"/>
    <w:rsid w:val="001151EA"/>
    <w:rsid w:val="001151F1"/>
    <w:rsid w:val="001151F5"/>
    <w:rsid w:val="001151F7"/>
    <w:rsid w:val="00115247"/>
    <w:rsid w:val="001152B2"/>
    <w:rsid w:val="001152EE"/>
    <w:rsid w:val="0011530A"/>
    <w:rsid w:val="00115466"/>
    <w:rsid w:val="001155B8"/>
    <w:rsid w:val="00115659"/>
    <w:rsid w:val="00115765"/>
    <w:rsid w:val="0011585A"/>
    <w:rsid w:val="00115862"/>
    <w:rsid w:val="0011586C"/>
    <w:rsid w:val="00115883"/>
    <w:rsid w:val="001158AA"/>
    <w:rsid w:val="001158AE"/>
    <w:rsid w:val="0011593D"/>
    <w:rsid w:val="0011594E"/>
    <w:rsid w:val="0011596A"/>
    <w:rsid w:val="00115A20"/>
    <w:rsid w:val="00115ADC"/>
    <w:rsid w:val="00115BDC"/>
    <w:rsid w:val="00115C65"/>
    <w:rsid w:val="00115CA7"/>
    <w:rsid w:val="00115CDD"/>
    <w:rsid w:val="00115DC4"/>
    <w:rsid w:val="00115E9B"/>
    <w:rsid w:val="00115EAE"/>
    <w:rsid w:val="00115EBE"/>
    <w:rsid w:val="00115ED2"/>
    <w:rsid w:val="00115F5F"/>
    <w:rsid w:val="00116076"/>
    <w:rsid w:val="00116092"/>
    <w:rsid w:val="0011613B"/>
    <w:rsid w:val="0011614B"/>
    <w:rsid w:val="001161DD"/>
    <w:rsid w:val="00116237"/>
    <w:rsid w:val="00116270"/>
    <w:rsid w:val="0011627A"/>
    <w:rsid w:val="001162A2"/>
    <w:rsid w:val="001162D0"/>
    <w:rsid w:val="0011631C"/>
    <w:rsid w:val="0011649E"/>
    <w:rsid w:val="001164E5"/>
    <w:rsid w:val="00116527"/>
    <w:rsid w:val="0011656E"/>
    <w:rsid w:val="0011676D"/>
    <w:rsid w:val="001167A6"/>
    <w:rsid w:val="001167BC"/>
    <w:rsid w:val="0011681C"/>
    <w:rsid w:val="00116956"/>
    <w:rsid w:val="00116988"/>
    <w:rsid w:val="00116A9E"/>
    <w:rsid w:val="00116AC8"/>
    <w:rsid w:val="00116AE7"/>
    <w:rsid w:val="00116B46"/>
    <w:rsid w:val="00116B6A"/>
    <w:rsid w:val="00116C68"/>
    <w:rsid w:val="00116D46"/>
    <w:rsid w:val="00116D91"/>
    <w:rsid w:val="00116EB2"/>
    <w:rsid w:val="00116F03"/>
    <w:rsid w:val="00116F1A"/>
    <w:rsid w:val="00116FFF"/>
    <w:rsid w:val="00117008"/>
    <w:rsid w:val="00117056"/>
    <w:rsid w:val="001170A1"/>
    <w:rsid w:val="001170C0"/>
    <w:rsid w:val="001170FA"/>
    <w:rsid w:val="00117145"/>
    <w:rsid w:val="0011717E"/>
    <w:rsid w:val="001172A6"/>
    <w:rsid w:val="001172AE"/>
    <w:rsid w:val="00117320"/>
    <w:rsid w:val="0011732D"/>
    <w:rsid w:val="00117341"/>
    <w:rsid w:val="001173AD"/>
    <w:rsid w:val="001173C0"/>
    <w:rsid w:val="001174B3"/>
    <w:rsid w:val="001174E7"/>
    <w:rsid w:val="0011753D"/>
    <w:rsid w:val="00117599"/>
    <w:rsid w:val="001175DB"/>
    <w:rsid w:val="0011760D"/>
    <w:rsid w:val="001176C6"/>
    <w:rsid w:val="001176F4"/>
    <w:rsid w:val="00117730"/>
    <w:rsid w:val="00117756"/>
    <w:rsid w:val="001177E5"/>
    <w:rsid w:val="001178BB"/>
    <w:rsid w:val="00117AD6"/>
    <w:rsid w:val="00117BDE"/>
    <w:rsid w:val="00117BEA"/>
    <w:rsid w:val="00117BEF"/>
    <w:rsid w:val="00117D46"/>
    <w:rsid w:val="00117E07"/>
    <w:rsid w:val="0012000B"/>
    <w:rsid w:val="0012006B"/>
    <w:rsid w:val="00120071"/>
    <w:rsid w:val="001200C0"/>
    <w:rsid w:val="00120133"/>
    <w:rsid w:val="001201C5"/>
    <w:rsid w:val="0012021F"/>
    <w:rsid w:val="00120253"/>
    <w:rsid w:val="00120282"/>
    <w:rsid w:val="001204F6"/>
    <w:rsid w:val="00120541"/>
    <w:rsid w:val="0012059C"/>
    <w:rsid w:val="0012069F"/>
    <w:rsid w:val="00120937"/>
    <w:rsid w:val="00120943"/>
    <w:rsid w:val="00120AC8"/>
    <w:rsid w:val="00120B32"/>
    <w:rsid w:val="00120BE4"/>
    <w:rsid w:val="00120C87"/>
    <w:rsid w:val="00120CB5"/>
    <w:rsid w:val="00120CFC"/>
    <w:rsid w:val="00120D01"/>
    <w:rsid w:val="00120D6B"/>
    <w:rsid w:val="00120DDF"/>
    <w:rsid w:val="00120E0A"/>
    <w:rsid w:val="00120E37"/>
    <w:rsid w:val="00120F5E"/>
    <w:rsid w:val="00120FFE"/>
    <w:rsid w:val="00121175"/>
    <w:rsid w:val="0012117A"/>
    <w:rsid w:val="00121209"/>
    <w:rsid w:val="00121251"/>
    <w:rsid w:val="00121367"/>
    <w:rsid w:val="001213F3"/>
    <w:rsid w:val="0012143E"/>
    <w:rsid w:val="00121514"/>
    <w:rsid w:val="001215D4"/>
    <w:rsid w:val="0012165B"/>
    <w:rsid w:val="00121661"/>
    <w:rsid w:val="00121692"/>
    <w:rsid w:val="001217BD"/>
    <w:rsid w:val="001217C8"/>
    <w:rsid w:val="00121805"/>
    <w:rsid w:val="00121A00"/>
    <w:rsid w:val="00121A16"/>
    <w:rsid w:val="00121A1E"/>
    <w:rsid w:val="00121A40"/>
    <w:rsid w:val="00121A6C"/>
    <w:rsid w:val="00121B35"/>
    <w:rsid w:val="00121BF1"/>
    <w:rsid w:val="00121C98"/>
    <w:rsid w:val="00121CE0"/>
    <w:rsid w:val="00121D71"/>
    <w:rsid w:val="00121DC5"/>
    <w:rsid w:val="00121DDA"/>
    <w:rsid w:val="00121DE5"/>
    <w:rsid w:val="00122012"/>
    <w:rsid w:val="001222AE"/>
    <w:rsid w:val="001222C7"/>
    <w:rsid w:val="00122394"/>
    <w:rsid w:val="00122401"/>
    <w:rsid w:val="00122417"/>
    <w:rsid w:val="0012258E"/>
    <w:rsid w:val="001225A0"/>
    <w:rsid w:val="001225AA"/>
    <w:rsid w:val="001225B5"/>
    <w:rsid w:val="001225F2"/>
    <w:rsid w:val="0012263B"/>
    <w:rsid w:val="001226E4"/>
    <w:rsid w:val="00122729"/>
    <w:rsid w:val="00122746"/>
    <w:rsid w:val="001227C8"/>
    <w:rsid w:val="001227F7"/>
    <w:rsid w:val="00122800"/>
    <w:rsid w:val="00122801"/>
    <w:rsid w:val="0012287F"/>
    <w:rsid w:val="0012294D"/>
    <w:rsid w:val="001229D2"/>
    <w:rsid w:val="00122C3B"/>
    <w:rsid w:val="00122DF9"/>
    <w:rsid w:val="00122E26"/>
    <w:rsid w:val="00122E47"/>
    <w:rsid w:val="00122F27"/>
    <w:rsid w:val="00122F75"/>
    <w:rsid w:val="001230DB"/>
    <w:rsid w:val="0012313A"/>
    <w:rsid w:val="001231A8"/>
    <w:rsid w:val="001231D9"/>
    <w:rsid w:val="0012335A"/>
    <w:rsid w:val="00123362"/>
    <w:rsid w:val="001233D4"/>
    <w:rsid w:val="001233E8"/>
    <w:rsid w:val="0012347F"/>
    <w:rsid w:val="001234A6"/>
    <w:rsid w:val="001234E6"/>
    <w:rsid w:val="001234EC"/>
    <w:rsid w:val="00123623"/>
    <w:rsid w:val="00123636"/>
    <w:rsid w:val="00123698"/>
    <w:rsid w:val="001236D7"/>
    <w:rsid w:val="001236DB"/>
    <w:rsid w:val="001236FF"/>
    <w:rsid w:val="00123746"/>
    <w:rsid w:val="0012381E"/>
    <w:rsid w:val="001239BB"/>
    <w:rsid w:val="00123A16"/>
    <w:rsid w:val="00123ABC"/>
    <w:rsid w:val="00123B46"/>
    <w:rsid w:val="00123B9D"/>
    <w:rsid w:val="00123C1C"/>
    <w:rsid w:val="00123D4D"/>
    <w:rsid w:val="00123D77"/>
    <w:rsid w:val="00123DE8"/>
    <w:rsid w:val="00123E36"/>
    <w:rsid w:val="00123E63"/>
    <w:rsid w:val="00124156"/>
    <w:rsid w:val="0012415D"/>
    <w:rsid w:val="00124168"/>
    <w:rsid w:val="0012418F"/>
    <w:rsid w:val="001241B5"/>
    <w:rsid w:val="0012425D"/>
    <w:rsid w:val="00124286"/>
    <w:rsid w:val="001242FC"/>
    <w:rsid w:val="00124352"/>
    <w:rsid w:val="00124445"/>
    <w:rsid w:val="0012453C"/>
    <w:rsid w:val="00124578"/>
    <w:rsid w:val="00124609"/>
    <w:rsid w:val="00124683"/>
    <w:rsid w:val="0012469E"/>
    <w:rsid w:val="0012470B"/>
    <w:rsid w:val="001247BE"/>
    <w:rsid w:val="00124808"/>
    <w:rsid w:val="00124874"/>
    <w:rsid w:val="001249D8"/>
    <w:rsid w:val="00124A70"/>
    <w:rsid w:val="00124AC9"/>
    <w:rsid w:val="00124AD9"/>
    <w:rsid w:val="00124AE1"/>
    <w:rsid w:val="00124B6E"/>
    <w:rsid w:val="00124CA4"/>
    <w:rsid w:val="00124D48"/>
    <w:rsid w:val="00124DF4"/>
    <w:rsid w:val="00124EAC"/>
    <w:rsid w:val="00124F0A"/>
    <w:rsid w:val="00124F6A"/>
    <w:rsid w:val="00124F94"/>
    <w:rsid w:val="00125004"/>
    <w:rsid w:val="00125099"/>
    <w:rsid w:val="00125145"/>
    <w:rsid w:val="0012517E"/>
    <w:rsid w:val="0012523E"/>
    <w:rsid w:val="00125275"/>
    <w:rsid w:val="001252A3"/>
    <w:rsid w:val="001252C3"/>
    <w:rsid w:val="001252CC"/>
    <w:rsid w:val="0012538E"/>
    <w:rsid w:val="0012539A"/>
    <w:rsid w:val="001254EA"/>
    <w:rsid w:val="0012555D"/>
    <w:rsid w:val="00125670"/>
    <w:rsid w:val="00125768"/>
    <w:rsid w:val="0012583E"/>
    <w:rsid w:val="0012584B"/>
    <w:rsid w:val="00125881"/>
    <w:rsid w:val="001258C3"/>
    <w:rsid w:val="00125929"/>
    <w:rsid w:val="00125972"/>
    <w:rsid w:val="001259A8"/>
    <w:rsid w:val="001259E5"/>
    <w:rsid w:val="00125A5E"/>
    <w:rsid w:val="00125ADF"/>
    <w:rsid w:val="00125B44"/>
    <w:rsid w:val="00125B59"/>
    <w:rsid w:val="00125BA1"/>
    <w:rsid w:val="00125C96"/>
    <w:rsid w:val="00125CA7"/>
    <w:rsid w:val="00125D43"/>
    <w:rsid w:val="00125D51"/>
    <w:rsid w:val="00125D99"/>
    <w:rsid w:val="00125E33"/>
    <w:rsid w:val="00125E5A"/>
    <w:rsid w:val="00125E64"/>
    <w:rsid w:val="00125ECE"/>
    <w:rsid w:val="00125F54"/>
    <w:rsid w:val="00125FEE"/>
    <w:rsid w:val="001261BD"/>
    <w:rsid w:val="001262E5"/>
    <w:rsid w:val="001262F1"/>
    <w:rsid w:val="00126316"/>
    <w:rsid w:val="00126329"/>
    <w:rsid w:val="00126373"/>
    <w:rsid w:val="0012641B"/>
    <w:rsid w:val="0012649A"/>
    <w:rsid w:val="0012649D"/>
    <w:rsid w:val="001264B5"/>
    <w:rsid w:val="001264EF"/>
    <w:rsid w:val="001265F5"/>
    <w:rsid w:val="00126627"/>
    <w:rsid w:val="00126762"/>
    <w:rsid w:val="00126773"/>
    <w:rsid w:val="0012691F"/>
    <w:rsid w:val="001269BD"/>
    <w:rsid w:val="00126A0D"/>
    <w:rsid w:val="00126A63"/>
    <w:rsid w:val="00126A78"/>
    <w:rsid w:val="00126B19"/>
    <w:rsid w:val="00126B3D"/>
    <w:rsid w:val="00126CCE"/>
    <w:rsid w:val="00126D18"/>
    <w:rsid w:val="00126D3E"/>
    <w:rsid w:val="00126D88"/>
    <w:rsid w:val="00126DED"/>
    <w:rsid w:val="00126F64"/>
    <w:rsid w:val="00126F94"/>
    <w:rsid w:val="00126FE7"/>
    <w:rsid w:val="00127010"/>
    <w:rsid w:val="001270A5"/>
    <w:rsid w:val="001270BE"/>
    <w:rsid w:val="00127193"/>
    <w:rsid w:val="0012726C"/>
    <w:rsid w:val="00127359"/>
    <w:rsid w:val="00127447"/>
    <w:rsid w:val="001274B2"/>
    <w:rsid w:val="001274EC"/>
    <w:rsid w:val="00127514"/>
    <w:rsid w:val="0012756C"/>
    <w:rsid w:val="00127682"/>
    <w:rsid w:val="001276EB"/>
    <w:rsid w:val="0012770A"/>
    <w:rsid w:val="00127770"/>
    <w:rsid w:val="0012777A"/>
    <w:rsid w:val="001277D8"/>
    <w:rsid w:val="001277D9"/>
    <w:rsid w:val="001278EB"/>
    <w:rsid w:val="00127999"/>
    <w:rsid w:val="001279CA"/>
    <w:rsid w:val="00127A63"/>
    <w:rsid w:val="00127A8B"/>
    <w:rsid w:val="00127AA5"/>
    <w:rsid w:val="00127AB5"/>
    <w:rsid w:val="00127BAA"/>
    <w:rsid w:val="00127BE3"/>
    <w:rsid w:val="00127CA8"/>
    <w:rsid w:val="00127D46"/>
    <w:rsid w:val="00127E00"/>
    <w:rsid w:val="00127E93"/>
    <w:rsid w:val="00127EBA"/>
    <w:rsid w:val="00127F5C"/>
    <w:rsid w:val="00127FCE"/>
    <w:rsid w:val="0013002C"/>
    <w:rsid w:val="00130037"/>
    <w:rsid w:val="00130056"/>
    <w:rsid w:val="00130060"/>
    <w:rsid w:val="0013015F"/>
    <w:rsid w:val="0013022A"/>
    <w:rsid w:val="00130236"/>
    <w:rsid w:val="00130254"/>
    <w:rsid w:val="00130285"/>
    <w:rsid w:val="001302F6"/>
    <w:rsid w:val="001303F4"/>
    <w:rsid w:val="00130450"/>
    <w:rsid w:val="001304AF"/>
    <w:rsid w:val="0013056C"/>
    <w:rsid w:val="00130682"/>
    <w:rsid w:val="0013071A"/>
    <w:rsid w:val="0013075E"/>
    <w:rsid w:val="00130829"/>
    <w:rsid w:val="001308AC"/>
    <w:rsid w:val="0013098B"/>
    <w:rsid w:val="00130991"/>
    <w:rsid w:val="00130A32"/>
    <w:rsid w:val="00130A4B"/>
    <w:rsid w:val="00130BA6"/>
    <w:rsid w:val="00130BD6"/>
    <w:rsid w:val="00130C69"/>
    <w:rsid w:val="00130C6F"/>
    <w:rsid w:val="00130C7A"/>
    <w:rsid w:val="00130D2C"/>
    <w:rsid w:val="00130D8E"/>
    <w:rsid w:val="00130DE7"/>
    <w:rsid w:val="00130E26"/>
    <w:rsid w:val="00130EA1"/>
    <w:rsid w:val="00131068"/>
    <w:rsid w:val="00131197"/>
    <w:rsid w:val="00131212"/>
    <w:rsid w:val="0013128F"/>
    <w:rsid w:val="00131453"/>
    <w:rsid w:val="00131492"/>
    <w:rsid w:val="0013162A"/>
    <w:rsid w:val="0013162F"/>
    <w:rsid w:val="0013164F"/>
    <w:rsid w:val="00131661"/>
    <w:rsid w:val="00131690"/>
    <w:rsid w:val="00131700"/>
    <w:rsid w:val="00131702"/>
    <w:rsid w:val="001317C7"/>
    <w:rsid w:val="001317D1"/>
    <w:rsid w:val="001317D4"/>
    <w:rsid w:val="001318D7"/>
    <w:rsid w:val="001318E6"/>
    <w:rsid w:val="0013195C"/>
    <w:rsid w:val="0013197C"/>
    <w:rsid w:val="00131A99"/>
    <w:rsid w:val="00131AE8"/>
    <w:rsid w:val="00131B0E"/>
    <w:rsid w:val="00131B24"/>
    <w:rsid w:val="00131BBE"/>
    <w:rsid w:val="00131C0A"/>
    <w:rsid w:val="00131D61"/>
    <w:rsid w:val="00131DC5"/>
    <w:rsid w:val="00131ED3"/>
    <w:rsid w:val="00131F8B"/>
    <w:rsid w:val="00131FD8"/>
    <w:rsid w:val="00132023"/>
    <w:rsid w:val="00132128"/>
    <w:rsid w:val="00132148"/>
    <w:rsid w:val="0013228C"/>
    <w:rsid w:val="00132313"/>
    <w:rsid w:val="00132327"/>
    <w:rsid w:val="00132397"/>
    <w:rsid w:val="001323CB"/>
    <w:rsid w:val="001324A9"/>
    <w:rsid w:val="001324BE"/>
    <w:rsid w:val="001324D7"/>
    <w:rsid w:val="00132524"/>
    <w:rsid w:val="0013258C"/>
    <w:rsid w:val="0013269D"/>
    <w:rsid w:val="001326E7"/>
    <w:rsid w:val="001326FF"/>
    <w:rsid w:val="001328A5"/>
    <w:rsid w:val="00132984"/>
    <w:rsid w:val="00132996"/>
    <w:rsid w:val="00132999"/>
    <w:rsid w:val="001329D4"/>
    <w:rsid w:val="00132A18"/>
    <w:rsid w:val="00132AFC"/>
    <w:rsid w:val="00132BAC"/>
    <w:rsid w:val="00132BB0"/>
    <w:rsid w:val="00132BF5"/>
    <w:rsid w:val="00132D1D"/>
    <w:rsid w:val="00132D61"/>
    <w:rsid w:val="00132E74"/>
    <w:rsid w:val="00132EAB"/>
    <w:rsid w:val="00132EAF"/>
    <w:rsid w:val="00132F37"/>
    <w:rsid w:val="00132F69"/>
    <w:rsid w:val="00132F80"/>
    <w:rsid w:val="00132F85"/>
    <w:rsid w:val="00133001"/>
    <w:rsid w:val="0013300A"/>
    <w:rsid w:val="00133057"/>
    <w:rsid w:val="00133090"/>
    <w:rsid w:val="00133099"/>
    <w:rsid w:val="001330F4"/>
    <w:rsid w:val="0013313F"/>
    <w:rsid w:val="00133489"/>
    <w:rsid w:val="0013349A"/>
    <w:rsid w:val="001334C1"/>
    <w:rsid w:val="001334FE"/>
    <w:rsid w:val="0013351B"/>
    <w:rsid w:val="00133526"/>
    <w:rsid w:val="001335BA"/>
    <w:rsid w:val="001335EA"/>
    <w:rsid w:val="00133652"/>
    <w:rsid w:val="001336DC"/>
    <w:rsid w:val="0013370A"/>
    <w:rsid w:val="00133785"/>
    <w:rsid w:val="00133820"/>
    <w:rsid w:val="00133888"/>
    <w:rsid w:val="001339E3"/>
    <w:rsid w:val="001339EA"/>
    <w:rsid w:val="001339FE"/>
    <w:rsid w:val="00133AB3"/>
    <w:rsid w:val="00133B92"/>
    <w:rsid w:val="00133BD1"/>
    <w:rsid w:val="00133C60"/>
    <w:rsid w:val="00133E04"/>
    <w:rsid w:val="00133EB0"/>
    <w:rsid w:val="00133FA7"/>
    <w:rsid w:val="00133FDD"/>
    <w:rsid w:val="0013406B"/>
    <w:rsid w:val="0013425E"/>
    <w:rsid w:val="00134359"/>
    <w:rsid w:val="00134456"/>
    <w:rsid w:val="0013449A"/>
    <w:rsid w:val="0013450B"/>
    <w:rsid w:val="0013457D"/>
    <w:rsid w:val="0013461B"/>
    <w:rsid w:val="0013465A"/>
    <w:rsid w:val="00134664"/>
    <w:rsid w:val="0013467F"/>
    <w:rsid w:val="0013471B"/>
    <w:rsid w:val="001347ED"/>
    <w:rsid w:val="00134874"/>
    <w:rsid w:val="001348E7"/>
    <w:rsid w:val="00134910"/>
    <w:rsid w:val="00134A11"/>
    <w:rsid w:val="00134A28"/>
    <w:rsid w:val="00134ABF"/>
    <w:rsid w:val="00134B1C"/>
    <w:rsid w:val="00134BAF"/>
    <w:rsid w:val="00134BE5"/>
    <w:rsid w:val="00134BFE"/>
    <w:rsid w:val="00134C71"/>
    <w:rsid w:val="00134CB9"/>
    <w:rsid w:val="00134D37"/>
    <w:rsid w:val="00134D6F"/>
    <w:rsid w:val="00134D89"/>
    <w:rsid w:val="00134DD7"/>
    <w:rsid w:val="00134EB5"/>
    <w:rsid w:val="0013503A"/>
    <w:rsid w:val="00135051"/>
    <w:rsid w:val="0013515F"/>
    <w:rsid w:val="0013518E"/>
    <w:rsid w:val="00135324"/>
    <w:rsid w:val="0013545A"/>
    <w:rsid w:val="0013546D"/>
    <w:rsid w:val="001354DE"/>
    <w:rsid w:val="00135517"/>
    <w:rsid w:val="00135535"/>
    <w:rsid w:val="00135597"/>
    <w:rsid w:val="0013576F"/>
    <w:rsid w:val="00135785"/>
    <w:rsid w:val="00135789"/>
    <w:rsid w:val="00135790"/>
    <w:rsid w:val="001357B9"/>
    <w:rsid w:val="0013589C"/>
    <w:rsid w:val="00135994"/>
    <w:rsid w:val="00135A1F"/>
    <w:rsid w:val="00135AFE"/>
    <w:rsid w:val="00135C07"/>
    <w:rsid w:val="00135C1B"/>
    <w:rsid w:val="00135C9F"/>
    <w:rsid w:val="00135D05"/>
    <w:rsid w:val="00135E28"/>
    <w:rsid w:val="00135E8E"/>
    <w:rsid w:val="00135EDF"/>
    <w:rsid w:val="00135F2F"/>
    <w:rsid w:val="00135F3E"/>
    <w:rsid w:val="00135FC8"/>
    <w:rsid w:val="00136060"/>
    <w:rsid w:val="001360DC"/>
    <w:rsid w:val="0013626F"/>
    <w:rsid w:val="001362DB"/>
    <w:rsid w:val="0013634C"/>
    <w:rsid w:val="001363D9"/>
    <w:rsid w:val="00136401"/>
    <w:rsid w:val="00136409"/>
    <w:rsid w:val="00136415"/>
    <w:rsid w:val="00136485"/>
    <w:rsid w:val="00136497"/>
    <w:rsid w:val="001364EC"/>
    <w:rsid w:val="00136675"/>
    <w:rsid w:val="00136773"/>
    <w:rsid w:val="001368E8"/>
    <w:rsid w:val="00136934"/>
    <w:rsid w:val="001369F4"/>
    <w:rsid w:val="00136A2C"/>
    <w:rsid w:val="00136B17"/>
    <w:rsid w:val="00136B1B"/>
    <w:rsid w:val="00136B25"/>
    <w:rsid w:val="00136B63"/>
    <w:rsid w:val="00136BFE"/>
    <w:rsid w:val="00136DAD"/>
    <w:rsid w:val="00136E4F"/>
    <w:rsid w:val="00136E6D"/>
    <w:rsid w:val="00136EA9"/>
    <w:rsid w:val="00136F0B"/>
    <w:rsid w:val="001370F5"/>
    <w:rsid w:val="00137412"/>
    <w:rsid w:val="0013745F"/>
    <w:rsid w:val="001374AE"/>
    <w:rsid w:val="00137517"/>
    <w:rsid w:val="001375D8"/>
    <w:rsid w:val="001375E2"/>
    <w:rsid w:val="00137610"/>
    <w:rsid w:val="001377CC"/>
    <w:rsid w:val="00137915"/>
    <w:rsid w:val="00137934"/>
    <w:rsid w:val="001379C0"/>
    <w:rsid w:val="00137A6B"/>
    <w:rsid w:val="00137A84"/>
    <w:rsid w:val="00137B30"/>
    <w:rsid w:val="00137C67"/>
    <w:rsid w:val="00137C79"/>
    <w:rsid w:val="00137C8B"/>
    <w:rsid w:val="00137CE8"/>
    <w:rsid w:val="00137CF8"/>
    <w:rsid w:val="00137D98"/>
    <w:rsid w:val="00137DEF"/>
    <w:rsid w:val="00137EA6"/>
    <w:rsid w:val="00137FA1"/>
    <w:rsid w:val="0014000C"/>
    <w:rsid w:val="00140071"/>
    <w:rsid w:val="001400EE"/>
    <w:rsid w:val="0014010D"/>
    <w:rsid w:val="00140118"/>
    <w:rsid w:val="001401F2"/>
    <w:rsid w:val="0014020B"/>
    <w:rsid w:val="001402A9"/>
    <w:rsid w:val="00140337"/>
    <w:rsid w:val="001403E8"/>
    <w:rsid w:val="00140424"/>
    <w:rsid w:val="00140451"/>
    <w:rsid w:val="0014045B"/>
    <w:rsid w:val="0014045F"/>
    <w:rsid w:val="00140460"/>
    <w:rsid w:val="00140490"/>
    <w:rsid w:val="001404CC"/>
    <w:rsid w:val="00140504"/>
    <w:rsid w:val="00140558"/>
    <w:rsid w:val="00140586"/>
    <w:rsid w:val="001405E5"/>
    <w:rsid w:val="0014065A"/>
    <w:rsid w:val="00140731"/>
    <w:rsid w:val="00140741"/>
    <w:rsid w:val="001407EC"/>
    <w:rsid w:val="00140830"/>
    <w:rsid w:val="001408E0"/>
    <w:rsid w:val="001408F4"/>
    <w:rsid w:val="00140985"/>
    <w:rsid w:val="00140A19"/>
    <w:rsid w:val="00140B73"/>
    <w:rsid w:val="00140BA7"/>
    <w:rsid w:val="00140C72"/>
    <w:rsid w:val="00140CD3"/>
    <w:rsid w:val="00140D33"/>
    <w:rsid w:val="00140D50"/>
    <w:rsid w:val="00140E3A"/>
    <w:rsid w:val="00140F58"/>
    <w:rsid w:val="00140F61"/>
    <w:rsid w:val="00141033"/>
    <w:rsid w:val="00141089"/>
    <w:rsid w:val="0014119E"/>
    <w:rsid w:val="001411A6"/>
    <w:rsid w:val="001412CF"/>
    <w:rsid w:val="001412D1"/>
    <w:rsid w:val="0014130E"/>
    <w:rsid w:val="00141311"/>
    <w:rsid w:val="00141315"/>
    <w:rsid w:val="00141374"/>
    <w:rsid w:val="00141444"/>
    <w:rsid w:val="0014146A"/>
    <w:rsid w:val="00141555"/>
    <w:rsid w:val="001415B5"/>
    <w:rsid w:val="001415EF"/>
    <w:rsid w:val="0014160C"/>
    <w:rsid w:val="0014168F"/>
    <w:rsid w:val="001416EE"/>
    <w:rsid w:val="0014170D"/>
    <w:rsid w:val="001417CE"/>
    <w:rsid w:val="0014186F"/>
    <w:rsid w:val="001419D1"/>
    <w:rsid w:val="00141A42"/>
    <w:rsid w:val="00141A93"/>
    <w:rsid w:val="00141B2B"/>
    <w:rsid w:val="00141BB0"/>
    <w:rsid w:val="00141C32"/>
    <w:rsid w:val="00141D70"/>
    <w:rsid w:val="00141DF8"/>
    <w:rsid w:val="00141E81"/>
    <w:rsid w:val="00141E85"/>
    <w:rsid w:val="00141ED9"/>
    <w:rsid w:val="0014200C"/>
    <w:rsid w:val="0014203E"/>
    <w:rsid w:val="001420CC"/>
    <w:rsid w:val="0014215C"/>
    <w:rsid w:val="00142162"/>
    <w:rsid w:val="001422D4"/>
    <w:rsid w:val="0014234E"/>
    <w:rsid w:val="001423E3"/>
    <w:rsid w:val="00142513"/>
    <w:rsid w:val="001425B2"/>
    <w:rsid w:val="001425FF"/>
    <w:rsid w:val="0014267D"/>
    <w:rsid w:val="00142710"/>
    <w:rsid w:val="00142762"/>
    <w:rsid w:val="0014291A"/>
    <w:rsid w:val="00142938"/>
    <w:rsid w:val="0014294D"/>
    <w:rsid w:val="001429B4"/>
    <w:rsid w:val="00142A25"/>
    <w:rsid w:val="00142AF5"/>
    <w:rsid w:val="00142B24"/>
    <w:rsid w:val="00142B2B"/>
    <w:rsid w:val="00142BDD"/>
    <w:rsid w:val="00142BF3"/>
    <w:rsid w:val="00142C41"/>
    <w:rsid w:val="00142CAE"/>
    <w:rsid w:val="00142D05"/>
    <w:rsid w:val="00142D54"/>
    <w:rsid w:val="00142D59"/>
    <w:rsid w:val="00142D76"/>
    <w:rsid w:val="00142D85"/>
    <w:rsid w:val="00142D9C"/>
    <w:rsid w:val="00142DCA"/>
    <w:rsid w:val="00142E46"/>
    <w:rsid w:val="00142F6F"/>
    <w:rsid w:val="00143053"/>
    <w:rsid w:val="00143133"/>
    <w:rsid w:val="0014330B"/>
    <w:rsid w:val="00143353"/>
    <w:rsid w:val="0014340E"/>
    <w:rsid w:val="0014343A"/>
    <w:rsid w:val="001434E2"/>
    <w:rsid w:val="001435FD"/>
    <w:rsid w:val="00143655"/>
    <w:rsid w:val="001436D9"/>
    <w:rsid w:val="001436FE"/>
    <w:rsid w:val="00143746"/>
    <w:rsid w:val="0014375B"/>
    <w:rsid w:val="001437EE"/>
    <w:rsid w:val="0014387B"/>
    <w:rsid w:val="001438E7"/>
    <w:rsid w:val="0014396C"/>
    <w:rsid w:val="00143998"/>
    <w:rsid w:val="001439A4"/>
    <w:rsid w:val="00143A1D"/>
    <w:rsid w:val="00143A45"/>
    <w:rsid w:val="00143AF6"/>
    <w:rsid w:val="00143B0E"/>
    <w:rsid w:val="00143BAB"/>
    <w:rsid w:val="00143C2C"/>
    <w:rsid w:val="00143C32"/>
    <w:rsid w:val="00143CAF"/>
    <w:rsid w:val="00143CEB"/>
    <w:rsid w:val="00143D2B"/>
    <w:rsid w:val="00143D44"/>
    <w:rsid w:val="00143DA0"/>
    <w:rsid w:val="00143DC2"/>
    <w:rsid w:val="00143E3A"/>
    <w:rsid w:val="00143E53"/>
    <w:rsid w:val="00143E8D"/>
    <w:rsid w:val="00143EEE"/>
    <w:rsid w:val="00143F92"/>
    <w:rsid w:val="00143F98"/>
    <w:rsid w:val="00143FAE"/>
    <w:rsid w:val="00143FD1"/>
    <w:rsid w:val="00144013"/>
    <w:rsid w:val="00144053"/>
    <w:rsid w:val="0014405F"/>
    <w:rsid w:val="00144224"/>
    <w:rsid w:val="001442D5"/>
    <w:rsid w:val="001442F5"/>
    <w:rsid w:val="001443D9"/>
    <w:rsid w:val="001443EB"/>
    <w:rsid w:val="00144430"/>
    <w:rsid w:val="0014447A"/>
    <w:rsid w:val="00144480"/>
    <w:rsid w:val="001444D0"/>
    <w:rsid w:val="0014452C"/>
    <w:rsid w:val="00144556"/>
    <w:rsid w:val="001445B9"/>
    <w:rsid w:val="001446BA"/>
    <w:rsid w:val="0014483B"/>
    <w:rsid w:val="00144863"/>
    <w:rsid w:val="00144890"/>
    <w:rsid w:val="001448A5"/>
    <w:rsid w:val="00144906"/>
    <w:rsid w:val="0014495F"/>
    <w:rsid w:val="0014496E"/>
    <w:rsid w:val="001449FA"/>
    <w:rsid w:val="00144A03"/>
    <w:rsid w:val="00144A81"/>
    <w:rsid w:val="00144AE5"/>
    <w:rsid w:val="00144B8D"/>
    <w:rsid w:val="00144BC4"/>
    <w:rsid w:val="00144BEB"/>
    <w:rsid w:val="00144C13"/>
    <w:rsid w:val="00144DC7"/>
    <w:rsid w:val="00144ED5"/>
    <w:rsid w:val="00144EFC"/>
    <w:rsid w:val="00144FA0"/>
    <w:rsid w:val="00144FC2"/>
    <w:rsid w:val="0014508F"/>
    <w:rsid w:val="00145151"/>
    <w:rsid w:val="0014517E"/>
    <w:rsid w:val="001451C2"/>
    <w:rsid w:val="00145250"/>
    <w:rsid w:val="001452F6"/>
    <w:rsid w:val="00145323"/>
    <w:rsid w:val="0014542C"/>
    <w:rsid w:val="001454CA"/>
    <w:rsid w:val="0014552B"/>
    <w:rsid w:val="00145629"/>
    <w:rsid w:val="00145947"/>
    <w:rsid w:val="00145A4C"/>
    <w:rsid w:val="00145A7E"/>
    <w:rsid w:val="00145B28"/>
    <w:rsid w:val="00145B9F"/>
    <w:rsid w:val="00145BE8"/>
    <w:rsid w:val="00145C4B"/>
    <w:rsid w:val="00145C90"/>
    <w:rsid w:val="00145CD8"/>
    <w:rsid w:val="00145DBD"/>
    <w:rsid w:val="00145DCE"/>
    <w:rsid w:val="00145FD2"/>
    <w:rsid w:val="001460C8"/>
    <w:rsid w:val="00146112"/>
    <w:rsid w:val="00146166"/>
    <w:rsid w:val="001461F6"/>
    <w:rsid w:val="001462A8"/>
    <w:rsid w:val="001463B9"/>
    <w:rsid w:val="001463BD"/>
    <w:rsid w:val="001463EE"/>
    <w:rsid w:val="0014643F"/>
    <w:rsid w:val="00146490"/>
    <w:rsid w:val="001464A6"/>
    <w:rsid w:val="00146543"/>
    <w:rsid w:val="00146629"/>
    <w:rsid w:val="00146671"/>
    <w:rsid w:val="001466BE"/>
    <w:rsid w:val="001466F3"/>
    <w:rsid w:val="00146760"/>
    <w:rsid w:val="00146761"/>
    <w:rsid w:val="0014679C"/>
    <w:rsid w:val="00146825"/>
    <w:rsid w:val="00146864"/>
    <w:rsid w:val="001468BF"/>
    <w:rsid w:val="0014694A"/>
    <w:rsid w:val="001469DB"/>
    <w:rsid w:val="00146A92"/>
    <w:rsid w:val="00146B57"/>
    <w:rsid w:val="00146B93"/>
    <w:rsid w:val="00146BA6"/>
    <w:rsid w:val="00146BAC"/>
    <w:rsid w:val="00146D75"/>
    <w:rsid w:val="00146DBB"/>
    <w:rsid w:val="00146DFF"/>
    <w:rsid w:val="00146E13"/>
    <w:rsid w:val="00146E83"/>
    <w:rsid w:val="00146F02"/>
    <w:rsid w:val="00146F67"/>
    <w:rsid w:val="00146F90"/>
    <w:rsid w:val="00146FB0"/>
    <w:rsid w:val="00146FCB"/>
    <w:rsid w:val="00147079"/>
    <w:rsid w:val="0014709C"/>
    <w:rsid w:val="00147101"/>
    <w:rsid w:val="00147113"/>
    <w:rsid w:val="0014712B"/>
    <w:rsid w:val="001471B7"/>
    <w:rsid w:val="001471ED"/>
    <w:rsid w:val="0014724D"/>
    <w:rsid w:val="00147265"/>
    <w:rsid w:val="0014759C"/>
    <w:rsid w:val="001475EA"/>
    <w:rsid w:val="00147620"/>
    <w:rsid w:val="00147662"/>
    <w:rsid w:val="0014766A"/>
    <w:rsid w:val="001476B2"/>
    <w:rsid w:val="001476DF"/>
    <w:rsid w:val="001476F9"/>
    <w:rsid w:val="0014775B"/>
    <w:rsid w:val="00147790"/>
    <w:rsid w:val="0014784F"/>
    <w:rsid w:val="00147889"/>
    <w:rsid w:val="0014798E"/>
    <w:rsid w:val="001479A2"/>
    <w:rsid w:val="00147A23"/>
    <w:rsid w:val="00147A6D"/>
    <w:rsid w:val="00147AC4"/>
    <w:rsid w:val="00147B68"/>
    <w:rsid w:val="00147BB1"/>
    <w:rsid w:val="00147C5A"/>
    <w:rsid w:val="00147CDE"/>
    <w:rsid w:val="00147D58"/>
    <w:rsid w:val="00147DC2"/>
    <w:rsid w:val="00147DC8"/>
    <w:rsid w:val="00147DDA"/>
    <w:rsid w:val="00147E06"/>
    <w:rsid w:val="00147E60"/>
    <w:rsid w:val="00147EC6"/>
    <w:rsid w:val="00147EE4"/>
    <w:rsid w:val="00147EEF"/>
    <w:rsid w:val="00147F48"/>
    <w:rsid w:val="00147F73"/>
    <w:rsid w:val="0015006E"/>
    <w:rsid w:val="001500A9"/>
    <w:rsid w:val="00150157"/>
    <w:rsid w:val="0015025A"/>
    <w:rsid w:val="00150389"/>
    <w:rsid w:val="00150412"/>
    <w:rsid w:val="0015045C"/>
    <w:rsid w:val="00150468"/>
    <w:rsid w:val="0015049E"/>
    <w:rsid w:val="001504F5"/>
    <w:rsid w:val="00150583"/>
    <w:rsid w:val="0015065A"/>
    <w:rsid w:val="001506C3"/>
    <w:rsid w:val="001506D3"/>
    <w:rsid w:val="00150719"/>
    <w:rsid w:val="00150785"/>
    <w:rsid w:val="001507E4"/>
    <w:rsid w:val="00150872"/>
    <w:rsid w:val="0015089A"/>
    <w:rsid w:val="001508D2"/>
    <w:rsid w:val="0015090B"/>
    <w:rsid w:val="0015090F"/>
    <w:rsid w:val="00150971"/>
    <w:rsid w:val="00150A47"/>
    <w:rsid w:val="00150A50"/>
    <w:rsid w:val="00150AC8"/>
    <w:rsid w:val="00150AF8"/>
    <w:rsid w:val="00150B45"/>
    <w:rsid w:val="00150B80"/>
    <w:rsid w:val="00150CD4"/>
    <w:rsid w:val="00150CE1"/>
    <w:rsid w:val="00150D35"/>
    <w:rsid w:val="00150D75"/>
    <w:rsid w:val="00150E4F"/>
    <w:rsid w:val="00150E57"/>
    <w:rsid w:val="00150E94"/>
    <w:rsid w:val="00150F69"/>
    <w:rsid w:val="00150F86"/>
    <w:rsid w:val="0015101C"/>
    <w:rsid w:val="00151056"/>
    <w:rsid w:val="001510E6"/>
    <w:rsid w:val="0015141A"/>
    <w:rsid w:val="00151489"/>
    <w:rsid w:val="00151555"/>
    <w:rsid w:val="001515C7"/>
    <w:rsid w:val="001516A8"/>
    <w:rsid w:val="001516BD"/>
    <w:rsid w:val="00151757"/>
    <w:rsid w:val="001517BD"/>
    <w:rsid w:val="00151873"/>
    <w:rsid w:val="0015191D"/>
    <w:rsid w:val="001519A2"/>
    <w:rsid w:val="001519D5"/>
    <w:rsid w:val="00151A36"/>
    <w:rsid w:val="00151A5D"/>
    <w:rsid w:val="00151A82"/>
    <w:rsid w:val="00151AA5"/>
    <w:rsid w:val="00151B2D"/>
    <w:rsid w:val="00151B2E"/>
    <w:rsid w:val="00151B7D"/>
    <w:rsid w:val="00151BFE"/>
    <w:rsid w:val="00151C34"/>
    <w:rsid w:val="00151D2B"/>
    <w:rsid w:val="00151DB4"/>
    <w:rsid w:val="00151F04"/>
    <w:rsid w:val="00151FAC"/>
    <w:rsid w:val="00152140"/>
    <w:rsid w:val="00152146"/>
    <w:rsid w:val="00152148"/>
    <w:rsid w:val="0015223A"/>
    <w:rsid w:val="0015248D"/>
    <w:rsid w:val="001524C0"/>
    <w:rsid w:val="00152618"/>
    <w:rsid w:val="0015274D"/>
    <w:rsid w:val="00152870"/>
    <w:rsid w:val="0015287C"/>
    <w:rsid w:val="001529D5"/>
    <w:rsid w:val="00152A09"/>
    <w:rsid w:val="00152A13"/>
    <w:rsid w:val="00152A9A"/>
    <w:rsid w:val="00152AB3"/>
    <w:rsid w:val="00152AEE"/>
    <w:rsid w:val="00152B7C"/>
    <w:rsid w:val="00152C16"/>
    <w:rsid w:val="00152C3C"/>
    <w:rsid w:val="00152C57"/>
    <w:rsid w:val="00152C72"/>
    <w:rsid w:val="00152D39"/>
    <w:rsid w:val="00152DCE"/>
    <w:rsid w:val="00152E29"/>
    <w:rsid w:val="00152E54"/>
    <w:rsid w:val="00152F5C"/>
    <w:rsid w:val="00152F8C"/>
    <w:rsid w:val="0015313C"/>
    <w:rsid w:val="0015314A"/>
    <w:rsid w:val="00153181"/>
    <w:rsid w:val="0015324D"/>
    <w:rsid w:val="00153256"/>
    <w:rsid w:val="001532AE"/>
    <w:rsid w:val="0015335D"/>
    <w:rsid w:val="00153401"/>
    <w:rsid w:val="00153442"/>
    <w:rsid w:val="00153489"/>
    <w:rsid w:val="0015358B"/>
    <w:rsid w:val="0015358C"/>
    <w:rsid w:val="00153598"/>
    <w:rsid w:val="0015363E"/>
    <w:rsid w:val="00153718"/>
    <w:rsid w:val="00153746"/>
    <w:rsid w:val="00153759"/>
    <w:rsid w:val="0015377A"/>
    <w:rsid w:val="001537D7"/>
    <w:rsid w:val="001537EC"/>
    <w:rsid w:val="00153833"/>
    <w:rsid w:val="0015386B"/>
    <w:rsid w:val="00153997"/>
    <w:rsid w:val="001539B3"/>
    <w:rsid w:val="001539D8"/>
    <w:rsid w:val="00153A74"/>
    <w:rsid w:val="00153B16"/>
    <w:rsid w:val="00153B3B"/>
    <w:rsid w:val="00153B71"/>
    <w:rsid w:val="00153BAF"/>
    <w:rsid w:val="00153BCD"/>
    <w:rsid w:val="00153C03"/>
    <w:rsid w:val="00153CD2"/>
    <w:rsid w:val="00153CE8"/>
    <w:rsid w:val="00153D22"/>
    <w:rsid w:val="00153D5D"/>
    <w:rsid w:val="00153D62"/>
    <w:rsid w:val="00153D95"/>
    <w:rsid w:val="00153DFE"/>
    <w:rsid w:val="00153E4C"/>
    <w:rsid w:val="00153E71"/>
    <w:rsid w:val="00153F5B"/>
    <w:rsid w:val="00153F99"/>
    <w:rsid w:val="00153FEA"/>
    <w:rsid w:val="00153FEE"/>
    <w:rsid w:val="001540AF"/>
    <w:rsid w:val="001540E6"/>
    <w:rsid w:val="001541AB"/>
    <w:rsid w:val="001541D7"/>
    <w:rsid w:val="0015428C"/>
    <w:rsid w:val="0015431B"/>
    <w:rsid w:val="0015438B"/>
    <w:rsid w:val="0015451B"/>
    <w:rsid w:val="0015454B"/>
    <w:rsid w:val="00154880"/>
    <w:rsid w:val="00154898"/>
    <w:rsid w:val="001548BC"/>
    <w:rsid w:val="001548FE"/>
    <w:rsid w:val="00154960"/>
    <w:rsid w:val="001549BA"/>
    <w:rsid w:val="00154A68"/>
    <w:rsid w:val="00154AC0"/>
    <w:rsid w:val="00154B6D"/>
    <w:rsid w:val="00154BC7"/>
    <w:rsid w:val="00154C06"/>
    <w:rsid w:val="00154C92"/>
    <w:rsid w:val="00154DE1"/>
    <w:rsid w:val="00154EEC"/>
    <w:rsid w:val="00154EF2"/>
    <w:rsid w:val="00154EF7"/>
    <w:rsid w:val="00154F84"/>
    <w:rsid w:val="0015500A"/>
    <w:rsid w:val="00155056"/>
    <w:rsid w:val="00155109"/>
    <w:rsid w:val="001551C8"/>
    <w:rsid w:val="001551ED"/>
    <w:rsid w:val="00155223"/>
    <w:rsid w:val="00155231"/>
    <w:rsid w:val="00155239"/>
    <w:rsid w:val="001552E6"/>
    <w:rsid w:val="001553D6"/>
    <w:rsid w:val="001553F5"/>
    <w:rsid w:val="0015543C"/>
    <w:rsid w:val="0015548A"/>
    <w:rsid w:val="001555CF"/>
    <w:rsid w:val="001556C2"/>
    <w:rsid w:val="001557AE"/>
    <w:rsid w:val="00155915"/>
    <w:rsid w:val="00155930"/>
    <w:rsid w:val="00155982"/>
    <w:rsid w:val="00155987"/>
    <w:rsid w:val="001559D6"/>
    <w:rsid w:val="00155A9C"/>
    <w:rsid w:val="00155B5C"/>
    <w:rsid w:val="00155B9D"/>
    <w:rsid w:val="00155BBE"/>
    <w:rsid w:val="00155D1E"/>
    <w:rsid w:val="00155D38"/>
    <w:rsid w:val="00155D57"/>
    <w:rsid w:val="00155DC1"/>
    <w:rsid w:val="00155DCC"/>
    <w:rsid w:val="00155E42"/>
    <w:rsid w:val="00155EC0"/>
    <w:rsid w:val="00155F5C"/>
    <w:rsid w:val="00155F9B"/>
    <w:rsid w:val="00155FA0"/>
    <w:rsid w:val="0015618D"/>
    <w:rsid w:val="001561E1"/>
    <w:rsid w:val="0015622B"/>
    <w:rsid w:val="001562D2"/>
    <w:rsid w:val="001562DF"/>
    <w:rsid w:val="0015642C"/>
    <w:rsid w:val="00156459"/>
    <w:rsid w:val="00156577"/>
    <w:rsid w:val="001565B4"/>
    <w:rsid w:val="001565CD"/>
    <w:rsid w:val="001565F8"/>
    <w:rsid w:val="0015662F"/>
    <w:rsid w:val="0015666B"/>
    <w:rsid w:val="001566DC"/>
    <w:rsid w:val="0015676B"/>
    <w:rsid w:val="001567C0"/>
    <w:rsid w:val="00156918"/>
    <w:rsid w:val="0015693B"/>
    <w:rsid w:val="001569F5"/>
    <w:rsid w:val="00156A1B"/>
    <w:rsid w:val="00156AA9"/>
    <w:rsid w:val="00156C2A"/>
    <w:rsid w:val="00156C2B"/>
    <w:rsid w:val="00156DE1"/>
    <w:rsid w:val="00156E21"/>
    <w:rsid w:val="00156E42"/>
    <w:rsid w:val="0015706D"/>
    <w:rsid w:val="001570B6"/>
    <w:rsid w:val="001571F8"/>
    <w:rsid w:val="0015723A"/>
    <w:rsid w:val="0015724C"/>
    <w:rsid w:val="001572B0"/>
    <w:rsid w:val="0015732D"/>
    <w:rsid w:val="001573E6"/>
    <w:rsid w:val="001573EB"/>
    <w:rsid w:val="00157427"/>
    <w:rsid w:val="0015744E"/>
    <w:rsid w:val="0015746F"/>
    <w:rsid w:val="001574BC"/>
    <w:rsid w:val="00157565"/>
    <w:rsid w:val="00157623"/>
    <w:rsid w:val="00157629"/>
    <w:rsid w:val="0015768C"/>
    <w:rsid w:val="001576C3"/>
    <w:rsid w:val="0015779E"/>
    <w:rsid w:val="001577D6"/>
    <w:rsid w:val="00157801"/>
    <w:rsid w:val="00157878"/>
    <w:rsid w:val="001578DB"/>
    <w:rsid w:val="001578EC"/>
    <w:rsid w:val="001578F8"/>
    <w:rsid w:val="00157908"/>
    <w:rsid w:val="00157994"/>
    <w:rsid w:val="00157BA9"/>
    <w:rsid w:val="00157BE6"/>
    <w:rsid w:val="00157BF9"/>
    <w:rsid w:val="00157C43"/>
    <w:rsid w:val="00157C81"/>
    <w:rsid w:val="00157CD2"/>
    <w:rsid w:val="00157CF2"/>
    <w:rsid w:val="00157D16"/>
    <w:rsid w:val="00157D1C"/>
    <w:rsid w:val="00157D8E"/>
    <w:rsid w:val="00157DE5"/>
    <w:rsid w:val="00157EDA"/>
    <w:rsid w:val="00157EFF"/>
    <w:rsid w:val="00157F21"/>
    <w:rsid w:val="00157F62"/>
    <w:rsid w:val="00157FE6"/>
    <w:rsid w:val="00160134"/>
    <w:rsid w:val="0016027F"/>
    <w:rsid w:val="0016034F"/>
    <w:rsid w:val="001603E2"/>
    <w:rsid w:val="001603F2"/>
    <w:rsid w:val="0016041D"/>
    <w:rsid w:val="00160466"/>
    <w:rsid w:val="0016053D"/>
    <w:rsid w:val="00160554"/>
    <w:rsid w:val="001605A7"/>
    <w:rsid w:val="00160601"/>
    <w:rsid w:val="00160610"/>
    <w:rsid w:val="0016065C"/>
    <w:rsid w:val="00160680"/>
    <w:rsid w:val="001606F4"/>
    <w:rsid w:val="001607DB"/>
    <w:rsid w:val="001607F9"/>
    <w:rsid w:val="00160867"/>
    <w:rsid w:val="00160882"/>
    <w:rsid w:val="00160A63"/>
    <w:rsid w:val="00160A7B"/>
    <w:rsid w:val="00160ABE"/>
    <w:rsid w:val="00160B35"/>
    <w:rsid w:val="00160B63"/>
    <w:rsid w:val="00160C39"/>
    <w:rsid w:val="00160C61"/>
    <w:rsid w:val="00160D57"/>
    <w:rsid w:val="00160D62"/>
    <w:rsid w:val="00160E58"/>
    <w:rsid w:val="00160F2F"/>
    <w:rsid w:val="00160F70"/>
    <w:rsid w:val="00160FFB"/>
    <w:rsid w:val="001610BE"/>
    <w:rsid w:val="0016119A"/>
    <w:rsid w:val="0016122D"/>
    <w:rsid w:val="001612C1"/>
    <w:rsid w:val="001612DB"/>
    <w:rsid w:val="00161352"/>
    <w:rsid w:val="001613CD"/>
    <w:rsid w:val="00161458"/>
    <w:rsid w:val="0016147C"/>
    <w:rsid w:val="001614A7"/>
    <w:rsid w:val="00161556"/>
    <w:rsid w:val="00161559"/>
    <w:rsid w:val="0016165B"/>
    <w:rsid w:val="0016169C"/>
    <w:rsid w:val="00161710"/>
    <w:rsid w:val="00161743"/>
    <w:rsid w:val="0016175B"/>
    <w:rsid w:val="0016187E"/>
    <w:rsid w:val="001618A0"/>
    <w:rsid w:val="001618C8"/>
    <w:rsid w:val="00161906"/>
    <w:rsid w:val="0016195D"/>
    <w:rsid w:val="0016197E"/>
    <w:rsid w:val="00161A02"/>
    <w:rsid w:val="00161B26"/>
    <w:rsid w:val="00161B56"/>
    <w:rsid w:val="00161BB5"/>
    <w:rsid w:val="00161BD4"/>
    <w:rsid w:val="00161BF6"/>
    <w:rsid w:val="00161C88"/>
    <w:rsid w:val="00161CF6"/>
    <w:rsid w:val="00161D6F"/>
    <w:rsid w:val="00161DAF"/>
    <w:rsid w:val="00161E06"/>
    <w:rsid w:val="00161EFE"/>
    <w:rsid w:val="00161F9F"/>
    <w:rsid w:val="00161FCD"/>
    <w:rsid w:val="001620E1"/>
    <w:rsid w:val="00162204"/>
    <w:rsid w:val="001622B5"/>
    <w:rsid w:val="001622E6"/>
    <w:rsid w:val="00162305"/>
    <w:rsid w:val="001623FC"/>
    <w:rsid w:val="001624D1"/>
    <w:rsid w:val="00162584"/>
    <w:rsid w:val="0016258F"/>
    <w:rsid w:val="001625D1"/>
    <w:rsid w:val="0016262B"/>
    <w:rsid w:val="00162772"/>
    <w:rsid w:val="00162775"/>
    <w:rsid w:val="001627DE"/>
    <w:rsid w:val="00162977"/>
    <w:rsid w:val="001629C3"/>
    <w:rsid w:val="00162A4D"/>
    <w:rsid w:val="00162B33"/>
    <w:rsid w:val="00162B77"/>
    <w:rsid w:val="00162B9B"/>
    <w:rsid w:val="00162BC7"/>
    <w:rsid w:val="00162BDC"/>
    <w:rsid w:val="00162BDE"/>
    <w:rsid w:val="00162C42"/>
    <w:rsid w:val="00162CD1"/>
    <w:rsid w:val="00162CFF"/>
    <w:rsid w:val="00162D16"/>
    <w:rsid w:val="00162D87"/>
    <w:rsid w:val="00162DA8"/>
    <w:rsid w:val="00162E18"/>
    <w:rsid w:val="00162E5F"/>
    <w:rsid w:val="00162E7A"/>
    <w:rsid w:val="00162EAA"/>
    <w:rsid w:val="00162F18"/>
    <w:rsid w:val="00162F4A"/>
    <w:rsid w:val="00163047"/>
    <w:rsid w:val="00163056"/>
    <w:rsid w:val="0016308F"/>
    <w:rsid w:val="001630B6"/>
    <w:rsid w:val="0016310F"/>
    <w:rsid w:val="00163134"/>
    <w:rsid w:val="00163188"/>
    <w:rsid w:val="001631DB"/>
    <w:rsid w:val="0016328E"/>
    <w:rsid w:val="001632A2"/>
    <w:rsid w:val="00163366"/>
    <w:rsid w:val="0016339C"/>
    <w:rsid w:val="001633B2"/>
    <w:rsid w:val="00163483"/>
    <w:rsid w:val="0016351F"/>
    <w:rsid w:val="00163562"/>
    <w:rsid w:val="0016356A"/>
    <w:rsid w:val="0016356F"/>
    <w:rsid w:val="00163587"/>
    <w:rsid w:val="00163612"/>
    <w:rsid w:val="001636B5"/>
    <w:rsid w:val="001637AD"/>
    <w:rsid w:val="001637CB"/>
    <w:rsid w:val="001637E4"/>
    <w:rsid w:val="00163831"/>
    <w:rsid w:val="00163870"/>
    <w:rsid w:val="00163898"/>
    <w:rsid w:val="00163967"/>
    <w:rsid w:val="001639F9"/>
    <w:rsid w:val="00163A55"/>
    <w:rsid w:val="00163AD3"/>
    <w:rsid w:val="00163BC2"/>
    <w:rsid w:val="00163C0D"/>
    <w:rsid w:val="00163C2A"/>
    <w:rsid w:val="00163C9E"/>
    <w:rsid w:val="00163D08"/>
    <w:rsid w:val="00163D3E"/>
    <w:rsid w:val="00163E00"/>
    <w:rsid w:val="00163E0E"/>
    <w:rsid w:val="00163E5A"/>
    <w:rsid w:val="00163F38"/>
    <w:rsid w:val="00163F91"/>
    <w:rsid w:val="00163FC9"/>
    <w:rsid w:val="0016404A"/>
    <w:rsid w:val="00164168"/>
    <w:rsid w:val="0016420B"/>
    <w:rsid w:val="00164225"/>
    <w:rsid w:val="001642A4"/>
    <w:rsid w:val="0016438C"/>
    <w:rsid w:val="00164483"/>
    <w:rsid w:val="001645A9"/>
    <w:rsid w:val="001645B1"/>
    <w:rsid w:val="001646A6"/>
    <w:rsid w:val="001646BB"/>
    <w:rsid w:val="001646EB"/>
    <w:rsid w:val="001649BD"/>
    <w:rsid w:val="00164A01"/>
    <w:rsid w:val="00164A85"/>
    <w:rsid w:val="00164BD5"/>
    <w:rsid w:val="00164C56"/>
    <w:rsid w:val="00164C74"/>
    <w:rsid w:val="00164C9A"/>
    <w:rsid w:val="00164D8F"/>
    <w:rsid w:val="00164DFE"/>
    <w:rsid w:val="00164EC6"/>
    <w:rsid w:val="00165006"/>
    <w:rsid w:val="00165054"/>
    <w:rsid w:val="00165100"/>
    <w:rsid w:val="00165175"/>
    <w:rsid w:val="0016520F"/>
    <w:rsid w:val="00165258"/>
    <w:rsid w:val="001652BB"/>
    <w:rsid w:val="001652BC"/>
    <w:rsid w:val="00165453"/>
    <w:rsid w:val="001654E0"/>
    <w:rsid w:val="001658A5"/>
    <w:rsid w:val="0016594A"/>
    <w:rsid w:val="00165A0D"/>
    <w:rsid w:val="00165A36"/>
    <w:rsid w:val="00165AD1"/>
    <w:rsid w:val="00165B6B"/>
    <w:rsid w:val="00165BA6"/>
    <w:rsid w:val="00165BD0"/>
    <w:rsid w:val="00165C80"/>
    <w:rsid w:val="00165CE4"/>
    <w:rsid w:val="00165D02"/>
    <w:rsid w:val="00165E1F"/>
    <w:rsid w:val="00165E5C"/>
    <w:rsid w:val="00165E77"/>
    <w:rsid w:val="00165E9D"/>
    <w:rsid w:val="00165F61"/>
    <w:rsid w:val="00165F65"/>
    <w:rsid w:val="00165FD5"/>
    <w:rsid w:val="0016609D"/>
    <w:rsid w:val="0016619C"/>
    <w:rsid w:val="00166267"/>
    <w:rsid w:val="0016626C"/>
    <w:rsid w:val="0016628C"/>
    <w:rsid w:val="001662D2"/>
    <w:rsid w:val="00166393"/>
    <w:rsid w:val="001664E2"/>
    <w:rsid w:val="001665AB"/>
    <w:rsid w:val="001665C2"/>
    <w:rsid w:val="0016662B"/>
    <w:rsid w:val="00166667"/>
    <w:rsid w:val="0016670B"/>
    <w:rsid w:val="00166710"/>
    <w:rsid w:val="00166763"/>
    <w:rsid w:val="001667A9"/>
    <w:rsid w:val="00166857"/>
    <w:rsid w:val="00166881"/>
    <w:rsid w:val="0016688B"/>
    <w:rsid w:val="001668DF"/>
    <w:rsid w:val="001668E5"/>
    <w:rsid w:val="001668EA"/>
    <w:rsid w:val="00166AAA"/>
    <w:rsid w:val="00166AE2"/>
    <w:rsid w:val="00166B02"/>
    <w:rsid w:val="00166B97"/>
    <w:rsid w:val="00166BC9"/>
    <w:rsid w:val="00166D19"/>
    <w:rsid w:val="00166D36"/>
    <w:rsid w:val="00166D55"/>
    <w:rsid w:val="00166D8A"/>
    <w:rsid w:val="00166D9F"/>
    <w:rsid w:val="00166DC8"/>
    <w:rsid w:val="00166E5E"/>
    <w:rsid w:val="00166EAC"/>
    <w:rsid w:val="00166EDE"/>
    <w:rsid w:val="00166FF9"/>
    <w:rsid w:val="001670E8"/>
    <w:rsid w:val="0016729D"/>
    <w:rsid w:val="00167345"/>
    <w:rsid w:val="001673B2"/>
    <w:rsid w:val="001673BE"/>
    <w:rsid w:val="00167405"/>
    <w:rsid w:val="0016740A"/>
    <w:rsid w:val="0016740D"/>
    <w:rsid w:val="00167432"/>
    <w:rsid w:val="00167501"/>
    <w:rsid w:val="001676C2"/>
    <w:rsid w:val="001676D6"/>
    <w:rsid w:val="0016773A"/>
    <w:rsid w:val="0016778F"/>
    <w:rsid w:val="00167817"/>
    <w:rsid w:val="00167843"/>
    <w:rsid w:val="00167867"/>
    <w:rsid w:val="001678B0"/>
    <w:rsid w:val="001678F5"/>
    <w:rsid w:val="001678FA"/>
    <w:rsid w:val="00167947"/>
    <w:rsid w:val="0016799C"/>
    <w:rsid w:val="00167B07"/>
    <w:rsid w:val="00167B50"/>
    <w:rsid w:val="00167B9B"/>
    <w:rsid w:val="00167BA3"/>
    <w:rsid w:val="00167C9E"/>
    <w:rsid w:val="00167CF4"/>
    <w:rsid w:val="00167DCF"/>
    <w:rsid w:val="00167DEB"/>
    <w:rsid w:val="00167E40"/>
    <w:rsid w:val="00167ED8"/>
    <w:rsid w:val="00167F1E"/>
    <w:rsid w:val="00167F22"/>
    <w:rsid w:val="00167F4E"/>
    <w:rsid w:val="00167F95"/>
    <w:rsid w:val="00167FA7"/>
    <w:rsid w:val="00170046"/>
    <w:rsid w:val="0017008C"/>
    <w:rsid w:val="00170152"/>
    <w:rsid w:val="0017028D"/>
    <w:rsid w:val="001702A8"/>
    <w:rsid w:val="001702D3"/>
    <w:rsid w:val="00170388"/>
    <w:rsid w:val="001703AD"/>
    <w:rsid w:val="001703B2"/>
    <w:rsid w:val="001703ED"/>
    <w:rsid w:val="001703F2"/>
    <w:rsid w:val="00170508"/>
    <w:rsid w:val="0017066D"/>
    <w:rsid w:val="00170690"/>
    <w:rsid w:val="0017069D"/>
    <w:rsid w:val="001706BE"/>
    <w:rsid w:val="001707AE"/>
    <w:rsid w:val="001707C9"/>
    <w:rsid w:val="0017080C"/>
    <w:rsid w:val="001709D5"/>
    <w:rsid w:val="00170A27"/>
    <w:rsid w:val="00170AB8"/>
    <w:rsid w:val="00170BB1"/>
    <w:rsid w:val="00170BEA"/>
    <w:rsid w:val="00170D1F"/>
    <w:rsid w:val="00170D92"/>
    <w:rsid w:val="00170EA1"/>
    <w:rsid w:val="00170EB9"/>
    <w:rsid w:val="00171036"/>
    <w:rsid w:val="001710AA"/>
    <w:rsid w:val="001710D9"/>
    <w:rsid w:val="001710FD"/>
    <w:rsid w:val="00171112"/>
    <w:rsid w:val="00171125"/>
    <w:rsid w:val="0017113F"/>
    <w:rsid w:val="0017117F"/>
    <w:rsid w:val="001711D5"/>
    <w:rsid w:val="001711F9"/>
    <w:rsid w:val="001712D3"/>
    <w:rsid w:val="001713E4"/>
    <w:rsid w:val="00171401"/>
    <w:rsid w:val="00171491"/>
    <w:rsid w:val="00171544"/>
    <w:rsid w:val="00171655"/>
    <w:rsid w:val="00171782"/>
    <w:rsid w:val="001717B4"/>
    <w:rsid w:val="001717C4"/>
    <w:rsid w:val="001718E6"/>
    <w:rsid w:val="001718F0"/>
    <w:rsid w:val="0017190D"/>
    <w:rsid w:val="0017192E"/>
    <w:rsid w:val="001719C1"/>
    <w:rsid w:val="00171AA7"/>
    <w:rsid w:val="00171AC8"/>
    <w:rsid w:val="00171AE5"/>
    <w:rsid w:val="00171BA7"/>
    <w:rsid w:val="00171C7E"/>
    <w:rsid w:val="00171CBD"/>
    <w:rsid w:val="00171CE2"/>
    <w:rsid w:val="00171D0F"/>
    <w:rsid w:val="00171D4D"/>
    <w:rsid w:val="00171DB0"/>
    <w:rsid w:val="00171E59"/>
    <w:rsid w:val="00171E7A"/>
    <w:rsid w:val="00171E97"/>
    <w:rsid w:val="0017201F"/>
    <w:rsid w:val="00172144"/>
    <w:rsid w:val="0017224C"/>
    <w:rsid w:val="00172347"/>
    <w:rsid w:val="001723A6"/>
    <w:rsid w:val="0017242E"/>
    <w:rsid w:val="0017248D"/>
    <w:rsid w:val="00172644"/>
    <w:rsid w:val="001726C8"/>
    <w:rsid w:val="00172716"/>
    <w:rsid w:val="001729F3"/>
    <w:rsid w:val="00172A83"/>
    <w:rsid w:val="00172A8C"/>
    <w:rsid w:val="00172BE9"/>
    <w:rsid w:val="00172C9E"/>
    <w:rsid w:val="00172CB7"/>
    <w:rsid w:val="00172D19"/>
    <w:rsid w:val="00172D48"/>
    <w:rsid w:val="00172D80"/>
    <w:rsid w:val="00172E8E"/>
    <w:rsid w:val="00172E91"/>
    <w:rsid w:val="0017305C"/>
    <w:rsid w:val="00173068"/>
    <w:rsid w:val="0017314D"/>
    <w:rsid w:val="00173247"/>
    <w:rsid w:val="00173289"/>
    <w:rsid w:val="0017328D"/>
    <w:rsid w:val="0017329C"/>
    <w:rsid w:val="00173341"/>
    <w:rsid w:val="001734D9"/>
    <w:rsid w:val="001734E0"/>
    <w:rsid w:val="0017350B"/>
    <w:rsid w:val="001735DC"/>
    <w:rsid w:val="00173612"/>
    <w:rsid w:val="00173626"/>
    <w:rsid w:val="00173654"/>
    <w:rsid w:val="0017378D"/>
    <w:rsid w:val="001737D1"/>
    <w:rsid w:val="00173831"/>
    <w:rsid w:val="00173894"/>
    <w:rsid w:val="001738D0"/>
    <w:rsid w:val="001738D8"/>
    <w:rsid w:val="001739DC"/>
    <w:rsid w:val="00173A34"/>
    <w:rsid w:val="00173A78"/>
    <w:rsid w:val="00173A99"/>
    <w:rsid w:val="00173B2A"/>
    <w:rsid w:val="00173B6D"/>
    <w:rsid w:val="00173B9B"/>
    <w:rsid w:val="00173BA4"/>
    <w:rsid w:val="00173BFC"/>
    <w:rsid w:val="00173C3B"/>
    <w:rsid w:val="00173DD1"/>
    <w:rsid w:val="00173EF8"/>
    <w:rsid w:val="00173F24"/>
    <w:rsid w:val="00173F9F"/>
    <w:rsid w:val="00174256"/>
    <w:rsid w:val="00174335"/>
    <w:rsid w:val="0017434D"/>
    <w:rsid w:val="00174443"/>
    <w:rsid w:val="00174492"/>
    <w:rsid w:val="0017454F"/>
    <w:rsid w:val="00174631"/>
    <w:rsid w:val="001746B6"/>
    <w:rsid w:val="00174752"/>
    <w:rsid w:val="00174810"/>
    <w:rsid w:val="00174837"/>
    <w:rsid w:val="0017483B"/>
    <w:rsid w:val="0017489B"/>
    <w:rsid w:val="001749D9"/>
    <w:rsid w:val="00174A00"/>
    <w:rsid w:val="00174A49"/>
    <w:rsid w:val="00174A4D"/>
    <w:rsid w:val="00174AF8"/>
    <w:rsid w:val="00174B57"/>
    <w:rsid w:val="00174B69"/>
    <w:rsid w:val="00174BDF"/>
    <w:rsid w:val="00174C14"/>
    <w:rsid w:val="00174C36"/>
    <w:rsid w:val="00174C7B"/>
    <w:rsid w:val="00174CC0"/>
    <w:rsid w:val="00174CE7"/>
    <w:rsid w:val="00174D9F"/>
    <w:rsid w:val="00174EAE"/>
    <w:rsid w:val="00174F7E"/>
    <w:rsid w:val="0017507F"/>
    <w:rsid w:val="00175121"/>
    <w:rsid w:val="0017512C"/>
    <w:rsid w:val="001751A6"/>
    <w:rsid w:val="001752FF"/>
    <w:rsid w:val="00175369"/>
    <w:rsid w:val="0017536E"/>
    <w:rsid w:val="00175372"/>
    <w:rsid w:val="001753EA"/>
    <w:rsid w:val="0017548A"/>
    <w:rsid w:val="001754FC"/>
    <w:rsid w:val="00175502"/>
    <w:rsid w:val="001756CD"/>
    <w:rsid w:val="0017573B"/>
    <w:rsid w:val="0017579B"/>
    <w:rsid w:val="001757B2"/>
    <w:rsid w:val="001757CC"/>
    <w:rsid w:val="0017580C"/>
    <w:rsid w:val="001758DC"/>
    <w:rsid w:val="001758EE"/>
    <w:rsid w:val="0017590C"/>
    <w:rsid w:val="00175997"/>
    <w:rsid w:val="00175A79"/>
    <w:rsid w:val="00175BCF"/>
    <w:rsid w:val="00175D4A"/>
    <w:rsid w:val="00175DB0"/>
    <w:rsid w:val="00175DBF"/>
    <w:rsid w:val="00175E32"/>
    <w:rsid w:val="00175E85"/>
    <w:rsid w:val="00175EB1"/>
    <w:rsid w:val="00175EEB"/>
    <w:rsid w:val="00175F0F"/>
    <w:rsid w:val="00175FE1"/>
    <w:rsid w:val="0017614A"/>
    <w:rsid w:val="001761F7"/>
    <w:rsid w:val="00176234"/>
    <w:rsid w:val="001762E8"/>
    <w:rsid w:val="0017630D"/>
    <w:rsid w:val="00176354"/>
    <w:rsid w:val="0017637F"/>
    <w:rsid w:val="001763B0"/>
    <w:rsid w:val="00176441"/>
    <w:rsid w:val="001764EC"/>
    <w:rsid w:val="00176555"/>
    <w:rsid w:val="00176583"/>
    <w:rsid w:val="001765B7"/>
    <w:rsid w:val="001765C4"/>
    <w:rsid w:val="001765DD"/>
    <w:rsid w:val="001766D0"/>
    <w:rsid w:val="001767F5"/>
    <w:rsid w:val="00176800"/>
    <w:rsid w:val="0017683B"/>
    <w:rsid w:val="00176854"/>
    <w:rsid w:val="00176864"/>
    <w:rsid w:val="0017688F"/>
    <w:rsid w:val="00176A0B"/>
    <w:rsid w:val="00176A68"/>
    <w:rsid w:val="00176A9F"/>
    <w:rsid w:val="00176B22"/>
    <w:rsid w:val="00176B45"/>
    <w:rsid w:val="00176B4A"/>
    <w:rsid w:val="00176B7E"/>
    <w:rsid w:val="00176C45"/>
    <w:rsid w:val="00176D49"/>
    <w:rsid w:val="00176D55"/>
    <w:rsid w:val="00176D66"/>
    <w:rsid w:val="00176D82"/>
    <w:rsid w:val="00176D94"/>
    <w:rsid w:val="00176DAA"/>
    <w:rsid w:val="00176DBF"/>
    <w:rsid w:val="00176DC0"/>
    <w:rsid w:val="00176EBC"/>
    <w:rsid w:val="00176F02"/>
    <w:rsid w:val="00176F27"/>
    <w:rsid w:val="0017704C"/>
    <w:rsid w:val="0017719D"/>
    <w:rsid w:val="00177261"/>
    <w:rsid w:val="001772A8"/>
    <w:rsid w:val="001772D1"/>
    <w:rsid w:val="0017733A"/>
    <w:rsid w:val="00177443"/>
    <w:rsid w:val="001774CF"/>
    <w:rsid w:val="00177674"/>
    <w:rsid w:val="001776C8"/>
    <w:rsid w:val="001776E4"/>
    <w:rsid w:val="001776F4"/>
    <w:rsid w:val="00177865"/>
    <w:rsid w:val="00177890"/>
    <w:rsid w:val="001778CD"/>
    <w:rsid w:val="00177941"/>
    <w:rsid w:val="0017794C"/>
    <w:rsid w:val="00177A36"/>
    <w:rsid w:val="00177BF9"/>
    <w:rsid w:val="00177D3F"/>
    <w:rsid w:val="00177D6B"/>
    <w:rsid w:val="00177DF5"/>
    <w:rsid w:val="00177E0F"/>
    <w:rsid w:val="00177E46"/>
    <w:rsid w:val="00177E91"/>
    <w:rsid w:val="00177EE7"/>
    <w:rsid w:val="00177F64"/>
    <w:rsid w:val="00177FE7"/>
    <w:rsid w:val="00180022"/>
    <w:rsid w:val="0018004D"/>
    <w:rsid w:val="001800CB"/>
    <w:rsid w:val="001800FF"/>
    <w:rsid w:val="0018010C"/>
    <w:rsid w:val="001801FC"/>
    <w:rsid w:val="00180247"/>
    <w:rsid w:val="0018029D"/>
    <w:rsid w:val="001802D5"/>
    <w:rsid w:val="00180435"/>
    <w:rsid w:val="00180493"/>
    <w:rsid w:val="0018049F"/>
    <w:rsid w:val="0018061F"/>
    <w:rsid w:val="001806FC"/>
    <w:rsid w:val="00180753"/>
    <w:rsid w:val="001808AF"/>
    <w:rsid w:val="001809B2"/>
    <w:rsid w:val="001809C0"/>
    <w:rsid w:val="00180BBA"/>
    <w:rsid w:val="00180C90"/>
    <w:rsid w:val="00180D85"/>
    <w:rsid w:val="00180DC7"/>
    <w:rsid w:val="00180E2F"/>
    <w:rsid w:val="00180FF3"/>
    <w:rsid w:val="0018102F"/>
    <w:rsid w:val="0018103B"/>
    <w:rsid w:val="0018104D"/>
    <w:rsid w:val="00181155"/>
    <w:rsid w:val="00181192"/>
    <w:rsid w:val="00181274"/>
    <w:rsid w:val="0018127A"/>
    <w:rsid w:val="001812E6"/>
    <w:rsid w:val="00181315"/>
    <w:rsid w:val="00181384"/>
    <w:rsid w:val="00181417"/>
    <w:rsid w:val="00181428"/>
    <w:rsid w:val="00181486"/>
    <w:rsid w:val="001814D7"/>
    <w:rsid w:val="00181544"/>
    <w:rsid w:val="001815BB"/>
    <w:rsid w:val="001815E9"/>
    <w:rsid w:val="00181649"/>
    <w:rsid w:val="00181697"/>
    <w:rsid w:val="001816E9"/>
    <w:rsid w:val="001816FF"/>
    <w:rsid w:val="00181760"/>
    <w:rsid w:val="0018177B"/>
    <w:rsid w:val="00181783"/>
    <w:rsid w:val="001817CD"/>
    <w:rsid w:val="001818B2"/>
    <w:rsid w:val="00181922"/>
    <w:rsid w:val="00181929"/>
    <w:rsid w:val="00181975"/>
    <w:rsid w:val="00181A0C"/>
    <w:rsid w:val="00181A41"/>
    <w:rsid w:val="00181A53"/>
    <w:rsid w:val="00181AB8"/>
    <w:rsid w:val="00181B11"/>
    <w:rsid w:val="00181B85"/>
    <w:rsid w:val="00181BA4"/>
    <w:rsid w:val="00181C7C"/>
    <w:rsid w:val="00181D59"/>
    <w:rsid w:val="00181D9D"/>
    <w:rsid w:val="00181DE7"/>
    <w:rsid w:val="00181DF1"/>
    <w:rsid w:val="00181F09"/>
    <w:rsid w:val="001820E6"/>
    <w:rsid w:val="001821F9"/>
    <w:rsid w:val="0018225A"/>
    <w:rsid w:val="00182264"/>
    <w:rsid w:val="00182288"/>
    <w:rsid w:val="001822C6"/>
    <w:rsid w:val="0018235E"/>
    <w:rsid w:val="001823C7"/>
    <w:rsid w:val="00182435"/>
    <w:rsid w:val="00182446"/>
    <w:rsid w:val="0018244A"/>
    <w:rsid w:val="0018249B"/>
    <w:rsid w:val="00182504"/>
    <w:rsid w:val="0018253B"/>
    <w:rsid w:val="00182557"/>
    <w:rsid w:val="001825D7"/>
    <w:rsid w:val="0018267B"/>
    <w:rsid w:val="001826BC"/>
    <w:rsid w:val="0018271B"/>
    <w:rsid w:val="00182726"/>
    <w:rsid w:val="00182893"/>
    <w:rsid w:val="00182A32"/>
    <w:rsid w:val="00182ADA"/>
    <w:rsid w:val="00182B19"/>
    <w:rsid w:val="00182B38"/>
    <w:rsid w:val="00182BA2"/>
    <w:rsid w:val="00182BA9"/>
    <w:rsid w:val="00182BBD"/>
    <w:rsid w:val="00182BDF"/>
    <w:rsid w:val="00182C45"/>
    <w:rsid w:val="00182CF5"/>
    <w:rsid w:val="00182D38"/>
    <w:rsid w:val="00182D6C"/>
    <w:rsid w:val="00182D70"/>
    <w:rsid w:val="00182D7F"/>
    <w:rsid w:val="00182DC5"/>
    <w:rsid w:val="00182E75"/>
    <w:rsid w:val="00182EEC"/>
    <w:rsid w:val="00182F76"/>
    <w:rsid w:val="0018300D"/>
    <w:rsid w:val="0018313B"/>
    <w:rsid w:val="00183187"/>
    <w:rsid w:val="001831DA"/>
    <w:rsid w:val="001832DE"/>
    <w:rsid w:val="001834A0"/>
    <w:rsid w:val="00183543"/>
    <w:rsid w:val="001835A8"/>
    <w:rsid w:val="00183620"/>
    <w:rsid w:val="0018380B"/>
    <w:rsid w:val="00183815"/>
    <w:rsid w:val="0018393C"/>
    <w:rsid w:val="00183991"/>
    <w:rsid w:val="001839CB"/>
    <w:rsid w:val="001839F3"/>
    <w:rsid w:val="00183A59"/>
    <w:rsid w:val="00183AB3"/>
    <w:rsid w:val="00183AB6"/>
    <w:rsid w:val="00183B90"/>
    <w:rsid w:val="00183C63"/>
    <w:rsid w:val="00183CB3"/>
    <w:rsid w:val="00183D28"/>
    <w:rsid w:val="00183D6C"/>
    <w:rsid w:val="00183D99"/>
    <w:rsid w:val="00183DF2"/>
    <w:rsid w:val="00183E57"/>
    <w:rsid w:val="00183EBC"/>
    <w:rsid w:val="001840A4"/>
    <w:rsid w:val="001840AB"/>
    <w:rsid w:val="001840BF"/>
    <w:rsid w:val="0018425F"/>
    <w:rsid w:val="001842A7"/>
    <w:rsid w:val="00184319"/>
    <w:rsid w:val="00184399"/>
    <w:rsid w:val="00184495"/>
    <w:rsid w:val="001844D7"/>
    <w:rsid w:val="001845CE"/>
    <w:rsid w:val="00184604"/>
    <w:rsid w:val="0018468D"/>
    <w:rsid w:val="00184724"/>
    <w:rsid w:val="001847DB"/>
    <w:rsid w:val="0018480E"/>
    <w:rsid w:val="00184879"/>
    <w:rsid w:val="00184A7C"/>
    <w:rsid w:val="00184AA3"/>
    <w:rsid w:val="00184C4F"/>
    <w:rsid w:val="00184CCE"/>
    <w:rsid w:val="00184D54"/>
    <w:rsid w:val="00184D75"/>
    <w:rsid w:val="00184DC1"/>
    <w:rsid w:val="00184E7A"/>
    <w:rsid w:val="00184EB9"/>
    <w:rsid w:val="00184F72"/>
    <w:rsid w:val="00184F8D"/>
    <w:rsid w:val="00184FA3"/>
    <w:rsid w:val="00184FD4"/>
    <w:rsid w:val="00184FE2"/>
    <w:rsid w:val="0018504C"/>
    <w:rsid w:val="0018505E"/>
    <w:rsid w:val="001850A0"/>
    <w:rsid w:val="0018513F"/>
    <w:rsid w:val="0018518D"/>
    <w:rsid w:val="0018522D"/>
    <w:rsid w:val="0018528A"/>
    <w:rsid w:val="001852CC"/>
    <w:rsid w:val="0018534B"/>
    <w:rsid w:val="001853D9"/>
    <w:rsid w:val="001854D8"/>
    <w:rsid w:val="00185623"/>
    <w:rsid w:val="001856B9"/>
    <w:rsid w:val="001857E2"/>
    <w:rsid w:val="00185800"/>
    <w:rsid w:val="0018586E"/>
    <w:rsid w:val="00185908"/>
    <w:rsid w:val="00185953"/>
    <w:rsid w:val="0018598B"/>
    <w:rsid w:val="00185990"/>
    <w:rsid w:val="00185995"/>
    <w:rsid w:val="001859AC"/>
    <w:rsid w:val="00185A3E"/>
    <w:rsid w:val="00185BA0"/>
    <w:rsid w:val="00185BCA"/>
    <w:rsid w:val="00185BE3"/>
    <w:rsid w:val="00185CE8"/>
    <w:rsid w:val="00185D01"/>
    <w:rsid w:val="00185D39"/>
    <w:rsid w:val="00185D3B"/>
    <w:rsid w:val="00185D72"/>
    <w:rsid w:val="00185DA3"/>
    <w:rsid w:val="00185DB1"/>
    <w:rsid w:val="00185DD0"/>
    <w:rsid w:val="00185EBD"/>
    <w:rsid w:val="00185EBE"/>
    <w:rsid w:val="00185F36"/>
    <w:rsid w:val="00185F41"/>
    <w:rsid w:val="00186011"/>
    <w:rsid w:val="001860E1"/>
    <w:rsid w:val="001861E5"/>
    <w:rsid w:val="00186283"/>
    <w:rsid w:val="00186466"/>
    <w:rsid w:val="00186473"/>
    <w:rsid w:val="00186557"/>
    <w:rsid w:val="001865B1"/>
    <w:rsid w:val="00186635"/>
    <w:rsid w:val="0018668C"/>
    <w:rsid w:val="001866C1"/>
    <w:rsid w:val="001866F6"/>
    <w:rsid w:val="0018674A"/>
    <w:rsid w:val="00186755"/>
    <w:rsid w:val="0018676C"/>
    <w:rsid w:val="0018678D"/>
    <w:rsid w:val="00186AB8"/>
    <w:rsid w:val="00186BD1"/>
    <w:rsid w:val="00186C4D"/>
    <w:rsid w:val="00186D3A"/>
    <w:rsid w:val="00186E03"/>
    <w:rsid w:val="00186E4C"/>
    <w:rsid w:val="00186F20"/>
    <w:rsid w:val="00186F54"/>
    <w:rsid w:val="00186F86"/>
    <w:rsid w:val="00186FA7"/>
    <w:rsid w:val="00186FC3"/>
    <w:rsid w:val="001871E9"/>
    <w:rsid w:val="001872FF"/>
    <w:rsid w:val="00187341"/>
    <w:rsid w:val="001873E7"/>
    <w:rsid w:val="001873ED"/>
    <w:rsid w:val="00187407"/>
    <w:rsid w:val="00187427"/>
    <w:rsid w:val="001874C1"/>
    <w:rsid w:val="001874DA"/>
    <w:rsid w:val="001874E5"/>
    <w:rsid w:val="00187582"/>
    <w:rsid w:val="00187597"/>
    <w:rsid w:val="001875FC"/>
    <w:rsid w:val="00187632"/>
    <w:rsid w:val="00187656"/>
    <w:rsid w:val="0018768C"/>
    <w:rsid w:val="00187765"/>
    <w:rsid w:val="001877EF"/>
    <w:rsid w:val="00187938"/>
    <w:rsid w:val="0018798E"/>
    <w:rsid w:val="001879AA"/>
    <w:rsid w:val="001879C0"/>
    <w:rsid w:val="00187AB0"/>
    <w:rsid w:val="00187BE6"/>
    <w:rsid w:val="00187CC5"/>
    <w:rsid w:val="00187CDF"/>
    <w:rsid w:val="00187D93"/>
    <w:rsid w:val="00187DBC"/>
    <w:rsid w:val="00187DE4"/>
    <w:rsid w:val="00187DED"/>
    <w:rsid w:val="00187ECC"/>
    <w:rsid w:val="00187F93"/>
    <w:rsid w:val="001900DB"/>
    <w:rsid w:val="001902B0"/>
    <w:rsid w:val="00190309"/>
    <w:rsid w:val="00190340"/>
    <w:rsid w:val="00190347"/>
    <w:rsid w:val="001903D3"/>
    <w:rsid w:val="001904BB"/>
    <w:rsid w:val="00190580"/>
    <w:rsid w:val="0019068A"/>
    <w:rsid w:val="0019074A"/>
    <w:rsid w:val="0019074E"/>
    <w:rsid w:val="0019077A"/>
    <w:rsid w:val="001907D6"/>
    <w:rsid w:val="0019085B"/>
    <w:rsid w:val="001908E6"/>
    <w:rsid w:val="001909D4"/>
    <w:rsid w:val="001909ED"/>
    <w:rsid w:val="00190A24"/>
    <w:rsid w:val="00190A5C"/>
    <w:rsid w:val="00190A64"/>
    <w:rsid w:val="00190AA5"/>
    <w:rsid w:val="00190AC3"/>
    <w:rsid w:val="00190AE7"/>
    <w:rsid w:val="00190B65"/>
    <w:rsid w:val="00190B94"/>
    <w:rsid w:val="00190BFB"/>
    <w:rsid w:val="00190C17"/>
    <w:rsid w:val="00190C47"/>
    <w:rsid w:val="00190C9F"/>
    <w:rsid w:val="00190D3B"/>
    <w:rsid w:val="00190DAC"/>
    <w:rsid w:val="00190EAB"/>
    <w:rsid w:val="00190FDD"/>
    <w:rsid w:val="00191071"/>
    <w:rsid w:val="00191089"/>
    <w:rsid w:val="0019108D"/>
    <w:rsid w:val="0019121C"/>
    <w:rsid w:val="0019128E"/>
    <w:rsid w:val="0019131E"/>
    <w:rsid w:val="001913BE"/>
    <w:rsid w:val="001914FA"/>
    <w:rsid w:val="0019153A"/>
    <w:rsid w:val="00191573"/>
    <w:rsid w:val="0019162B"/>
    <w:rsid w:val="00191647"/>
    <w:rsid w:val="0019165F"/>
    <w:rsid w:val="00191683"/>
    <w:rsid w:val="001916A5"/>
    <w:rsid w:val="001916DF"/>
    <w:rsid w:val="0019172F"/>
    <w:rsid w:val="001917D1"/>
    <w:rsid w:val="001918D7"/>
    <w:rsid w:val="0019192B"/>
    <w:rsid w:val="00191B8C"/>
    <w:rsid w:val="00191C15"/>
    <w:rsid w:val="00191C25"/>
    <w:rsid w:val="00191C32"/>
    <w:rsid w:val="00191D5A"/>
    <w:rsid w:val="00191DAF"/>
    <w:rsid w:val="00191E13"/>
    <w:rsid w:val="00191E5B"/>
    <w:rsid w:val="00191EA0"/>
    <w:rsid w:val="00191EC5"/>
    <w:rsid w:val="00191EEF"/>
    <w:rsid w:val="00191F5E"/>
    <w:rsid w:val="0019211A"/>
    <w:rsid w:val="00192285"/>
    <w:rsid w:val="001924BA"/>
    <w:rsid w:val="00192536"/>
    <w:rsid w:val="00192574"/>
    <w:rsid w:val="001925FA"/>
    <w:rsid w:val="00192651"/>
    <w:rsid w:val="001926E4"/>
    <w:rsid w:val="0019279F"/>
    <w:rsid w:val="0019288C"/>
    <w:rsid w:val="001929CA"/>
    <w:rsid w:val="00192A24"/>
    <w:rsid w:val="00192A45"/>
    <w:rsid w:val="00192B3B"/>
    <w:rsid w:val="00192BA0"/>
    <w:rsid w:val="00192BEE"/>
    <w:rsid w:val="00192C0E"/>
    <w:rsid w:val="00192C25"/>
    <w:rsid w:val="00192CA4"/>
    <w:rsid w:val="00192CDF"/>
    <w:rsid w:val="00192DBD"/>
    <w:rsid w:val="00192DF2"/>
    <w:rsid w:val="001930A8"/>
    <w:rsid w:val="00193114"/>
    <w:rsid w:val="0019312E"/>
    <w:rsid w:val="00193137"/>
    <w:rsid w:val="00193182"/>
    <w:rsid w:val="00193209"/>
    <w:rsid w:val="00193227"/>
    <w:rsid w:val="0019342D"/>
    <w:rsid w:val="001934BD"/>
    <w:rsid w:val="0019352D"/>
    <w:rsid w:val="001935A5"/>
    <w:rsid w:val="0019363C"/>
    <w:rsid w:val="001937A8"/>
    <w:rsid w:val="0019381E"/>
    <w:rsid w:val="00193831"/>
    <w:rsid w:val="0019387E"/>
    <w:rsid w:val="001938B1"/>
    <w:rsid w:val="001938B6"/>
    <w:rsid w:val="001938BD"/>
    <w:rsid w:val="001939C4"/>
    <w:rsid w:val="001939FB"/>
    <w:rsid w:val="00193BE0"/>
    <w:rsid w:val="00193BF9"/>
    <w:rsid w:val="00193C18"/>
    <w:rsid w:val="00193C1A"/>
    <w:rsid w:val="00193C3C"/>
    <w:rsid w:val="00193C96"/>
    <w:rsid w:val="00193CAB"/>
    <w:rsid w:val="00193D87"/>
    <w:rsid w:val="00193E3A"/>
    <w:rsid w:val="00193E7E"/>
    <w:rsid w:val="00193E81"/>
    <w:rsid w:val="00193F3E"/>
    <w:rsid w:val="00194002"/>
    <w:rsid w:val="0019402D"/>
    <w:rsid w:val="0019402E"/>
    <w:rsid w:val="00194203"/>
    <w:rsid w:val="00194226"/>
    <w:rsid w:val="00194240"/>
    <w:rsid w:val="00194280"/>
    <w:rsid w:val="001943A1"/>
    <w:rsid w:val="001943E2"/>
    <w:rsid w:val="00194443"/>
    <w:rsid w:val="001944D5"/>
    <w:rsid w:val="00194550"/>
    <w:rsid w:val="00194567"/>
    <w:rsid w:val="00194594"/>
    <w:rsid w:val="001945B8"/>
    <w:rsid w:val="001945DA"/>
    <w:rsid w:val="001945E5"/>
    <w:rsid w:val="00194638"/>
    <w:rsid w:val="0019469C"/>
    <w:rsid w:val="00194780"/>
    <w:rsid w:val="00194789"/>
    <w:rsid w:val="001947F0"/>
    <w:rsid w:val="00194894"/>
    <w:rsid w:val="00194899"/>
    <w:rsid w:val="001948A0"/>
    <w:rsid w:val="001949CF"/>
    <w:rsid w:val="00194A0C"/>
    <w:rsid w:val="00194A51"/>
    <w:rsid w:val="00194AAE"/>
    <w:rsid w:val="00194B97"/>
    <w:rsid w:val="00194BC1"/>
    <w:rsid w:val="00194BE3"/>
    <w:rsid w:val="00194C1A"/>
    <w:rsid w:val="00194CCE"/>
    <w:rsid w:val="00194CD8"/>
    <w:rsid w:val="00194D0D"/>
    <w:rsid w:val="00194D2F"/>
    <w:rsid w:val="00194E26"/>
    <w:rsid w:val="00194E85"/>
    <w:rsid w:val="00194F50"/>
    <w:rsid w:val="00194F60"/>
    <w:rsid w:val="00194FB9"/>
    <w:rsid w:val="00195099"/>
    <w:rsid w:val="00195151"/>
    <w:rsid w:val="001951DD"/>
    <w:rsid w:val="00195229"/>
    <w:rsid w:val="00195310"/>
    <w:rsid w:val="00195372"/>
    <w:rsid w:val="001953A0"/>
    <w:rsid w:val="001953F1"/>
    <w:rsid w:val="00195439"/>
    <w:rsid w:val="00195442"/>
    <w:rsid w:val="0019544B"/>
    <w:rsid w:val="001954C6"/>
    <w:rsid w:val="00195544"/>
    <w:rsid w:val="001955A8"/>
    <w:rsid w:val="001956B9"/>
    <w:rsid w:val="001956EC"/>
    <w:rsid w:val="0019571D"/>
    <w:rsid w:val="0019573B"/>
    <w:rsid w:val="001957DA"/>
    <w:rsid w:val="001959D5"/>
    <w:rsid w:val="00195BEE"/>
    <w:rsid w:val="00195C43"/>
    <w:rsid w:val="00195C6E"/>
    <w:rsid w:val="00195C74"/>
    <w:rsid w:val="00195D15"/>
    <w:rsid w:val="00195D93"/>
    <w:rsid w:val="00195DF8"/>
    <w:rsid w:val="00195E01"/>
    <w:rsid w:val="00195E09"/>
    <w:rsid w:val="00195E91"/>
    <w:rsid w:val="00195EA9"/>
    <w:rsid w:val="00195ED3"/>
    <w:rsid w:val="00195EDB"/>
    <w:rsid w:val="00195EF7"/>
    <w:rsid w:val="00195F6E"/>
    <w:rsid w:val="00195FCB"/>
    <w:rsid w:val="00196048"/>
    <w:rsid w:val="001960A3"/>
    <w:rsid w:val="001960AB"/>
    <w:rsid w:val="00196102"/>
    <w:rsid w:val="00196186"/>
    <w:rsid w:val="0019622D"/>
    <w:rsid w:val="00196247"/>
    <w:rsid w:val="001962B1"/>
    <w:rsid w:val="00196316"/>
    <w:rsid w:val="00196335"/>
    <w:rsid w:val="00196393"/>
    <w:rsid w:val="00196433"/>
    <w:rsid w:val="00196458"/>
    <w:rsid w:val="001964E9"/>
    <w:rsid w:val="001965F1"/>
    <w:rsid w:val="00196623"/>
    <w:rsid w:val="001967E1"/>
    <w:rsid w:val="00196B1E"/>
    <w:rsid w:val="00196BCD"/>
    <w:rsid w:val="00196BDA"/>
    <w:rsid w:val="00196BFB"/>
    <w:rsid w:val="00196C22"/>
    <w:rsid w:val="00196C33"/>
    <w:rsid w:val="00196C83"/>
    <w:rsid w:val="00196CAD"/>
    <w:rsid w:val="00196D1B"/>
    <w:rsid w:val="00196DB1"/>
    <w:rsid w:val="00196E43"/>
    <w:rsid w:val="00196FE1"/>
    <w:rsid w:val="0019705A"/>
    <w:rsid w:val="0019709D"/>
    <w:rsid w:val="00197140"/>
    <w:rsid w:val="0019714C"/>
    <w:rsid w:val="0019718A"/>
    <w:rsid w:val="0019718D"/>
    <w:rsid w:val="0019720F"/>
    <w:rsid w:val="0019722C"/>
    <w:rsid w:val="0019722E"/>
    <w:rsid w:val="001972BD"/>
    <w:rsid w:val="00197303"/>
    <w:rsid w:val="0019731D"/>
    <w:rsid w:val="001973B1"/>
    <w:rsid w:val="001973E3"/>
    <w:rsid w:val="00197425"/>
    <w:rsid w:val="00197437"/>
    <w:rsid w:val="001974AD"/>
    <w:rsid w:val="001974E9"/>
    <w:rsid w:val="0019753E"/>
    <w:rsid w:val="00197543"/>
    <w:rsid w:val="00197673"/>
    <w:rsid w:val="0019767A"/>
    <w:rsid w:val="001976A3"/>
    <w:rsid w:val="00197725"/>
    <w:rsid w:val="0019773A"/>
    <w:rsid w:val="0019773B"/>
    <w:rsid w:val="001977D6"/>
    <w:rsid w:val="001977E7"/>
    <w:rsid w:val="00197815"/>
    <w:rsid w:val="00197892"/>
    <w:rsid w:val="00197906"/>
    <w:rsid w:val="0019797F"/>
    <w:rsid w:val="00197A41"/>
    <w:rsid w:val="00197A6D"/>
    <w:rsid w:val="00197A91"/>
    <w:rsid w:val="00197A9E"/>
    <w:rsid w:val="00197BB1"/>
    <w:rsid w:val="00197CC1"/>
    <w:rsid w:val="00197CFF"/>
    <w:rsid w:val="00197D9C"/>
    <w:rsid w:val="00197E46"/>
    <w:rsid w:val="00197EEE"/>
    <w:rsid w:val="00197EFA"/>
    <w:rsid w:val="00197F5B"/>
    <w:rsid w:val="001A002D"/>
    <w:rsid w:val="001A008C"/>
    <w:rsid w:val="001A01A1"/>
    <w:rsid w:val="001A01A2"/>
    <w:rsid w:val="001A01DD"/>
    <w:rsid w:val="001A0290"/>
    <w:rsid w:val="001A0360"/>
    <w:rsid w:val="001A0369"/>
    <w:rsid w:val="001A03BF"/>
    <w:rsid w:val="001A03D7"/>
    <w:rsid w:val="001A04FC"/>
    <w:rsid w:val="001A05A8"/>
    <w:rsid w:val="001A05F1"/>
    <w:rsid w:val="001A0765"/>
    <w:rsid w:val="001A07F9"/>
    <w:rsid w:val="001A0812"/>
    <w:rsid w:val="001A0821"/>
    <w:rsid w:val="001A08E0"/>
    <w:rsid w:val="001A08FF"/>
    <w:rsid w:val="001A0971"/>
    <w:rsid w:val="001A09FF"/>
    <w:rsid w:val="001A0AAC"/>
    <w:rsid w:val="001A0B0A"/>
    <w:rsid w:val="001A0B97"/>
    <w:rsid w:val="001A0BA3"/>
    <w:rsid w:val="001A0C7B"/>
    <w:rsid w:val="001A0C91"/>
    <w:rsid w:val="001A0C97"/>
    <w:rsid w:val="001A0CCA"/>
    <w:rsid w:val="001A0D0F"/>
    <w:rsid w:val="001A0D85"/>
    <w:rsid w:val="001A0DC7"/>
    <w:rsid w:val="001A0E13"/>
    <w:rsid w:val="001A0E97"/>
    <w:rsid w:val="001A0FBB"/>
    <w:rsid w:val="001A1025"/>
    <w:rsid w:val="001A1086"/>
    <w:rsid w:val="001A109D"/>
    <w:rsid w:val="001A10F9"/>
    <w:rsid w:val="001A1121"/>
    <w:rsid w:val="001A1166"/>
    <w:rsid w:val="001A119B"/>
    <w:rsid w:val="001A11DA"/>
    <w:rsid w:val="001A1284"/>
    <w:rsid w:val="001A12C1"/>
    <w:rsid w:val="001A1354"/>
    <w:rsid w:val="001A13CA"/>
    <w:rsid w:val="001A1454"/>
    <w:rsid w:val="001A1559"/>
    <w:rsid w:val="001A15F5"/>
    <w:rsid w:val="001A1728"/>
    <w:rsid w:val="001A177C"/>
    <w:rsid w:val="001A1792"/>
    <w:rsid w:val="001A17CB"/>
    <w:rsid w:val="001A17EA"/>
    <w:rsid w:val="001A183E"/>
    <w:rsid w:val="001A1890"/>
    <w:rsid w:val="001A18FA"/>
    <w:rsid w:val="001A1956"/>
    <w:rsid w:val="001A19A8"/>
    <w:rsid w:val="001A19BA"/>
    <w:rsid w:val="001A1A0B"/>
    <w:rsid w:val="001A1A18"/>
    <w:rsid w:val="001A1ADC"/>
    <w:rsid w:val="001A1D14"/>
    <w:rsid w:val="001A1D17"/>
    <w:rsid w:val="001A1D6F"/>
    <w:rsid w:val="001A1DB0"/>
    <w:rsid w:val="001A1E32"/>
    <w:rsid w:val="001A1EB2"/>
    <w:rsid w:val="001A1F8A"/>
    <w:rsid w:val="001A20DD"/>
    <w:rsid w:val="001A2156"/>
    <w:rsid w:val="001A2173"/>
    <w:rsid w:val="001A2180"/>
    <w:rsid w:val="001A21A1"/>
    <w:rsid w:val="001A220B"/>
    <w:rsid w:val="001A22AA"/>
    <w:rsid w:val="001A2305"/>
    <w:rsid w:val="001A231D"/>
    <w:rsid w:val="001A2366"/>
    <w:rsid w:val="001A23B1"/>
    <w:rsid w:val="001A23C9"/>
    <w:rsid w:val="001A24EA"/>
    <w:rsid w:val="001A2532"/>
    <w:rsid w:val="001A260E"/>
    <w:rsid w:val="001A2626"/>
    <w:rsid w:val="001A2667"/>
    <w:rsid w:val="001A26D8"/>
    <w:rsid w:val="001A2783"/>
    <w:rsid w:val="001A286F"/>
    <w:rsid w:val="001A28B4"/>
    <w:rsid w:val="001A2A29"/>
    <w:rsid w:val="001A2A32"/>
    <w:rsid w:val="001A2A3C"/>
    <w:rsid w:val="001A2A56"/>
    <w:rsid w:val="001A2CB0"/>
    <w:rsid w:val="001A2CDE"/>
    <w:rsid w:val="001A2CEC"/>
    <w:rsid w:val="001A2D11"/>
    <w:rsid w:val="001A2D8D"/>
    <w:rsid w:val="001A2E41"/>
    <w:rsid w:val="001A2E67"/>
    <w:rsid w:val="001A2F2F"/>
    <w:rsid w:val="001A2FD3"/>
    <w:rsid w:val="001A2FDB"/>
    <w:rsid w:val="001A3032"/>
    <w:rsid w:val="001A3158"/>
    <w:rsid w:val="001A3210"/>
    <w:rsid w:val="001A321C"/>
    <w:rsid w:val="001A3278"/>
    <w:rsid w:val="001A3285"/>
    <w:rsid w:val="001A32AA"/>
    <w:rsid w:val="001A3336"/>
    <w:rsid w:val="001A3346"/>
    <w:rsid w:val="001A3384"/>
    <w:rsid w:val="001A3455"/>
    <w:rsid w:val="001A34A0"/>
    <w:rsid w:val="001A34BE"/>
    <w:rsid w:val="001A35C9"/>
    <w:rsid w:val="001A35DF"/>
    <w:rsid w:val="001A3614"/>
    <w:rsid w:val="001A3654"/>
    <w:rsid w:val="001A365E"/>
    <w:rsid w:val="001A380B"/>
    <w:rsid w:val="001A386D"/>
    <w:rsid w:val="001A3956"/>
    <w:rsid w:val="001A3996"/>
    <w:rsid w:val="001A39A1"/>
    <w:rsid w:val="001A39A8"/>
    <w:rsid w:val="001A39EC"/>
    <w:rsid w:val="001A3B0B"/>
    <w:rsid w:val="001A3BA3"/>
    <w:rsid w:val="001A3D32"/>
    <w:rsid w:val="001A3DF9"/>
    <w:rsid w:val="001A3F35"/>
    <w:rsid w:val="001A3F5F"/>
    <w:rsid w:val="001A402B"/>
    <w:rsid w:val="001A4032"/>
    <w:rsid w:val="001A4034"/>
    <w:rsid w:val="001A40E4"/>
    <w:rsid w:val="001A40F1"/>
    <w:rsid w:val="001A41C7"/>
    <w:rsid w:val="001A41F2"/>
    <w:rsid w:val="001A426F"/>
    <w:rsid w:val="001A4373"/>
    <w:rsid w:val="001A43DE"/>
    <w:rsid w:val="001A442D"/>
    <w:rsid w:val="001A4504"/>
    <w:rsid w:val="001A4570"/>
    <w:rsid w:val="001A45BA"/>
    <w:rsid w:val="001A4620"/>
    <w:rsid w:val="001A463B"/>
    <w:rsid w:val="001A46E2"/>
    <w:rsid w:val="001A4791"/>
    <w:rsid w:val="001A487C"/>
    <w:rsid w:val="001A48A5"/>
    <w:rsid w:val="001A4971"/>
    <w:rsid w:val="001A4A8C"/>
    <w:rsid w:val="001A4B9E"/>
    <w:rsid w:val="001A4C4F"/>
    <w:rsid w:val="001A4C81"/>
    <w:rsid w:val="001A4C82"/>
    <w:rsid w:val="001A4CF9"/>
    <w:rsid w:val="001A4CFA"/>
    <w:rsid w:val="001A4DB8"/>
    <w:rsid w:val="001A4DBE"/>
    <w:rsid w:val="001A4DD9"/>
    <w:rsid w:val="001A4E81"/>
    <w:rsid w:val="001A4F83"/>
    <w:rsid w:val="001A4FD3"/>
    <w:rsid w:val="001A5110"/>
    <w:rsid w:val="001A5148"/>
    <w:rsid w:val="001A5240"/>
    <w:rsid w:val="001A52E3"/>
    <w:rsid w:val="001A53AA"/>
    <w:rsid w:val="001A53D6"/>
    <w:rsid w:val="001A5515"/>
    <w:rsid w:val="001A558E"/>
    <w:rsid w:val="001A55BC"/>
    <w:rsid w:val="001A55BE"/>
    <w:rsid w:val="001A5613"/>
    <w:rsid w:val="001A565D"/>
    <w:rsid w:val="001A566B"/>
    <w:rsid w:val="001A567C"/>
    <w:rsid w:val="001A570A"/>
    <w:rsid w:val="001A577E"/>
    <w:rsid w:val="001A583B"/>
    <w:rsid w:val="001A5844"/>
    <w:rsid w:val="001A58A3"/>
    <w:rsid w:val="001A58C7"/>
    <w:rsid w:val="001A5913"/>
    <w:rsid w:val="001A59D0"/>
    <w:rsid w:val="001A59EE"/>
    <w:rsid w:val="001A5A8E"/>
    <w:rsid w:val="001A5AA3"/>
    <w:rsid w:val="001A5AC6"/>
    <w:rsid w:val="001A5AEF"/>
    <w:rsid w:val="001A5B9E"/>
    <w:rsid w:val="001A5BA1"/>
    <w:rsid w:val="001A5CB6"/>
    <w:rsid w:val="001A5CBE"/>
    <w:rsid w:val="001A5D1C"/>
    <w:rsid w:val="001A5D8D"/>
    <w:rsid w:val="001A5E9A"/>
    <w:rsid w:val="001A5F49"/>
    <w:rsid w:val="001A5FA2"/>
    <w:rsid w:val="001A6055"/>
    <w:rsid w:val="001A60FC"/>
    <w:rsid w:val="001A61A2"/>
    <w:rsid w:val="001A61E8"/>
    <w:rsid w:val="001A625D"/>
    <w:rsid w:val="001A6296"/>
    <w:rsid w:val="001A63B2"/>
    <w:rsid w:val="001A645B"/>
    <w:rsid w:val="001A663D"/>
    <w:rsid w:val="001A669E"/>
    <w:rsid w:val="001A66A4"/>
    <w:rsid w:val="001A6754"/>
    <w:rsid w:val="001A6A05"/>
    <w:rsid w:val="001A6A2D"/>
    <w:rsid w:val="001A6A8C"/>
    <w:rsid w:val="001A6AAC"/>
    <w:rsid w:val="001A6AC5"/>
    <w:rsid w:val="001A6B47"/>
    <w:rsid w:val="001A6BAF"/>
    <w:rsid w:val="001A6CE0"/>
    <w:rsid w:val="001A6D4D"/>
    <w:rsid w:val="001A6E1D"/>
    <w:rsid w:val="001A6F1B"/>
    <w:rsid w:val="001A6F29"/>
    <w:rsid w:val="001A7037"/>
    <w:rsid w:val="001A7126"/>
    <w:rsid w:val="001A716E"/>
    <w:rsid w:val="001A7189"/>
    <w:rsid w:val="001A71B3"/>
    <w:rsid w:val="001A7242"/>
    <w:rsid w:val="001A728F"/>
    <w:rsid w:val="001A72F8"/>
    <w:rsid w:val="001A7369"/>
    <w:rsid w:val="001A7378"/>
    <w:rsid w:val="001A7397"/>
    <w:rsid w:val="001A7450"/>
    <w:rsid w:val="001A7485"/>
    <w:rsid w:val="001A74B6"/>
    <w:rsid w:val="001A74E6"/>
    <w:rsid w:val="001A74EB"/>
    <w:rsid w:val="001A75C5"/>
    <w:rsid w:val="001A769B"/>
    <w:rsid w:val="001A76A7"/>
    <w:rsid w:val="001A76EB"/>
    <w:rsid w:val="001A77ED"/>
    <w:rsid w:val="001A77F5"/>
    <w:rsid w:val="001A78AA"/>
    <w:rsid w:val="001A78EF"/>
    <w:rsid w:val="001A7908"/>
    <w:rsid w:val="001A79B3"/>
    <w:rsid w:val="001A79CC"/>
    <w:rsid w:val="001A7A18"/>
    <w:rsid w:val="001A7A30"/>
    <w:rsid w:val="001A7A74"/>
    <w:rsid w:val="001A7AB6"/>
    <w:rsid w:val="001A7B2B"/>
    <w:rsid w:val="001A7C32"/>
    <w:rsid w:val="001A7C6A"/>
    <w:rsid w:val="001A7E64"/>
    <w:rsid w:val="001A7E79"/>
    <w:rsid w:val="001A7E89"/>
    <w:rsid w:val="001A7E96"/>
    <w:rsid w:val="001A7EA8"/>
    <w:rsid w:val="001A7EF8"/>
    <w:rsid w:val="001A7F9B"/>
    <w:rsid w:val="001A7FA1"/>
    <w:rsid w:val="001A7FB8"/>
    <w:rsid w:val="001B0009"/>
    <w:rsid w:val="001B001C"/>
    <w:rsid w:val="001B0043"/>
    <w:rsid w:val="001B0049"/>
    <w:rsid w:val="001B01B2"/>
    <w:rsid w:val="001B01C2"/>
    <w:rsid w:val="001B01E7"/>
    <w:rsid w:val="001B01EA"/>
    <w:rsid w:val="001B0202"/>
    <w:rsid w:val="001B023D"/>
    <w:rsid w:val="001B02F1"/>
    <w:rsid w:val="001B0306"/>
    <w:rsid w:val="001B03A2"/>
    <w:rsid w:val="001B03F5"/>
    <w:rsid w:val="001B0459"/>
    <w:rsid w:val="001B0487"/>
    <w:rsid w:val="001B04AC"/>
    <w:rsid w:val="001B04F9"/>
    <w:rsid w:val="001B0531"/>
    <w:rsid w:val="001B0586"/>
    <w:rsid w:val="001B05AA"/>
    <w:rsid w:val="001B05EE"/>
    <w:rsid w:val="001B072B"/>
    <w:rsid w:val="001B07D8"/>
    <w:rsid w:val="001B0880"/>
    <w:rsid w:val="001B0883"/>
    <w:rsid w:val="001B08C9"/>
    <w:rsid w:val="001B08E5"/>
    <w:rsid w:val="001B0946"/>
    <w:rsid w:val="001B0989"/>
    <w:rsid w:val="001B0AE6"/>
    <w:rsid w:val="001B0B49"/>
    <w:rsid w:val="001B0B53"/>
    <w:rsid w:val="001B0C0C"/>
    <w:rsid w:val="001B0DB6"/>
    <w:rsid w:val="001B0EA6"/>
    <w:rsid w:val="001B0EAE"/>
    <w:rsid w:val="001B0F81"/>
    <w:rsid w:val="001B0FC6"/>
    <w:rsid w:val="001B112C"/>
    <w:rsid w:val="001B117C"/>
    <w:rsid w:val="001B11A9"/>
    <w:rsid w:val="001B1462"/>
    <w:rsid w:val="001B14F4"/>
    <w:rsid w:val="001B1550"/>
    <w:rsid w:val="001B1565"/>
    <w:rsid w:val="001B1578"/>
    <w:rsid w:val="001B15C9"/>
    <w:rsid w:val="001B166D"/>
    <w:rsid w:val="001B1677"/>
    <w:rsid w:val="001B171B"/>
    <w:rsid w:val="001B17E0"/>
    <w:rsid w:val="001B1815"/>
    <w:rsid w:val="001B1874"/>
    <w:rsid w:val="001B1A02"/>
    <w:rsid w:val="001B1A07"/>
    <w:rsid w:val="001B1B09"/>
    <w:rsid w:val="001B1C17"/>
    <w:rsid w:val="001B1C2E"/>
    <w:rsid w:val="001B1D19"/>
    <w:rsid w:val="001B1D96"/>
    <w:rsid w:val="001B1DF1"/>
    <w:rsid w:val="001B1E6E"/>
    <w:rsid w:val="001B2017"/>
    <w:rsid w:val="001B210A"/>
    <w:rsid w:val="001B215D"/>
    <w:rsid w:val="001B21E3"/>
    <w:rsid w:val="001B21F5"/>
    <w:rsid w:val="001B2259"/>
    <w:rsid w:val="001B2357"/>
    <w:rsid w:val="001B235C"/>
    <w:rsid w:val="001B236C"/>
    <w:rsid w:val="001B2396"/>
    <w:rsid w:val="001B23F5"/>
    <w:rsid w:val="001B2403"/>
    <w:rsid w:val="001B2413"/>
    <w:rsid w:val="001B2676"/>
    <w:rsid w:val="001B268F"/>
    <w:rsid w:val="001B27E7"/>
    <w:rsid w:val="001B27EC"/>
    <w:rsid w:val="001B28B5"/>
    <w:rsid w:val="001B2903"/>
    <w:rsid w:val="001B2904"/>
    <w:rsid w:val="001B2935"/>
    <w:rsid w:val="001B2975"/>
    <w:rsid w:val="001B29AC"/>
    <w:rsid w:val="001B29DE"/>
    <w:rsid w:val="001B2A16"/>
    <w:rsid w:val="001B2A38"/>
    <w:rsid w:val="001B2A62"/>
    <w:rsid w:val="001B2BE2"/>
    <w:rsid w:val="001B2BE3"/>
    <w:rsid w:val="001B2C27"/>
    <w:rsid w:val="001B2D75"/>
    <w:rsid w:val="001B2E55"/>
    <w:rsid w:val="001B2EEA"/>
    <w:rsid w:val="001B2F92"/>
    <w:rsid w:val="001B2FBB"/>
    <w:rsid w:val="001B30B1"/>
    <w:rsid w:val="001B30B3"/>
    <w:rsid w:val="001B316E"/>
    <w:rsid w:val="001B319B"/>
    <w:rsid w:val="001B31D6"/>
    <w:rsid w:val="001B324D"/>
    <w:rsid w:val="001B3345"/>
    <w:rsid w:val="001B3398"/>
    <w:rsid w:val="001B34A5"/>
    <w:rsid w:val="001B34E5"/>
    <w:rsid w:val="001B354F"/>
    <w:rsid w:val="001B3626"/>
    <w:rsid w:val="001B3633"/>
    <w:rsid w:val="001B3678"/>
    <w:rsid w:val="001B369D"/>
    <w:rsid w:val="001B377C"/>
    <w:rsid w:val="001B379A"/>
    <w:rsid w:val="001B3806"/>
    <w:rsid w:val="001B3866"/>
    <w:rsid w:val="001B3935"/>
    <w:rsid w:val="001B3A95"/>
    <w:rsid w:val="001B3ADB"/>
    <w:rsid w:val="001B3BEA"/>
    <w:rsid w:val="001B3C52"/>
    <w:rsid w:val="001B3CF0"/>
    <w:rsid w:val="001B3D41"/>
    <w:rsid w:val="001B3DDD"/>
    <w:rsid w:val="001B3DE8"/>
    <w:rsid w:val="001B3E16"/>
    <w:rsid w:val="001B3E20"/>
    <w:rsid w:val="001B3E28"/>
    <w:rsid w:val="001B3E33"/>
    <w:rsid w:val="001B3F5D"/>
    <w:rsid w:val="001B4015"/>
    <w:rsid w:val="001B401D"/>
    <w:rsid w:val="001B403A"/>
    <w:rsid w:val="001B4060"/>
    <w:rsid w:val="001B4286"/>
    <w:rsid w:val="001B428D"/>
    <w:rsid w:val="001B42FF"/>
    <w:rsid w:val="001B4352"/>
    <w:rsid w:val="001B43E2"/>
    <w:rsid w:val="001B43F5"/>
    <w:rsid w:val="001B4511"/>
    <w:rsid w:val="001B4533"/>
    <w:rsid w:val="001B453E"/>
    <w:rsid w:val="001B45BF"/>
    <w:rsid w:val="001B46A8"/>
    <w:rsid w:val="001B480D"/>
    <w:rsid w:val="001B4849"/>
    <w:rsid w:val="001B48D2"/>
    <w:rsid w:val="001B493B"/>
    <w:rsid w:val="001B49C1"/>
    <w:rsid w:val="001B49CE"/>
    <w:rsid w:val="001B4A19"/>
    <w:rsid w:val="001B4AD5"/>
    <w:rsid w:val="001B4B0C"/>
    <w:rsid w:val="001B4B4F"/>
    <w:rsid w:val="001B4B6E"/>
    <w:rsid w:val="001B4C3D"/>
    <w:rsid w:val="001B4D12"/>
    <w:rsid w:val="001B4D5A"/>
    <w:rsid w:val="001B4DA1"/>
    <w:rsid w:val="001B4F6E"/>
    <w:rsid w:val="001B4F81"/>
    <w:rsid w:val="001B4F84"/>
    <w:rsid w:val="001B5059"/>
    <w:rsid w:val="001B50AA"/>
    <w:rsid w:val="001B5126"/>
    <w:rsid w:val="001B5181"/>
    <w:rsid w:val="001B52F3"/>
    <w:rsid w:val="001B5397"/>
    <w:rsid w:val="001B549C"/>
    <w:rsid w:val="001B5522"/>
    <w:rsid w:val="001B55D7"/>
    <w:rsid w:val="001B5649"/>
    <w:rsid w:val="001B569E"/>
    <w:rsid w:val="001B5789"/>
    <w:rsid w:val="001B57BF"/>
    <w:rsid w:val="001B5899"/>
    <w:rsid w:val="001B58D0"/>
    <w:rsid w:val="001B5915"/>
    <w:rsid w:val="001B5928"/>
    <w:rsid w:val="001B59C0"/>
    <w:rsid w:val="001B5B56"/>
    <w:rsid w:val="001B5B9E"/>
    <w:rsid w:val="001B5BFA"/>
    <w:rsid w:val="001B5C4A"/>
    <w:rsid w:val="001B5C81"/>
    <w:rsid w:val="001B5D3C"/>
    <w:rsid w:val="001B5DA9"/>
    <w:rsid w:val="001B5E16"/>
    <w:rsid w:val="001B5E6B"/>
    <w:rsid w:val="001B5F13"/>
    <w:rsid w:val="001B5F35"/>
    <w:rsid w:val="001B5F58"/>
    <w:rsid w:val="001B5FD8"/>
    <w:rsid w:val="001B6003"/>
    <w:rsid w:val="001B60A4"/>
    <w:rsid w:val="001B6109"/>
    <w:rsid w:val="001B615A"/>
    <w:rsid w:val="001B617C"/>
    <w:rsid w:val="001B6193"/>
    <w:rsid w:val="001B6234"/>
    <w:rsid w:val="001B628A"/>
    <w:rsid w:val="001B629A"/>
    <w:rsid w:val="001B6333"/>
    <w:rsid w:val="001B6337"/>
    <w:rsid w:val="001B633D"/>
    <w:rsid w:val="001B6398"/>
    <w:rsid w:val="001B63E6"/>
    <w:rsid w:val="001B63EC"/>
    <w:rsid w:val="001B656D"/>
    <w:rsid w:val="001B657F"/>
    <w:rsid w:val="001B6636"/>
    <w:rsid w:val="001B66B6"/>
    <w:rsid w:val="001B66EE"/>
    <w:rsid w:val="001B6713"/>
    <w:rsid w:val="001B682D"/>
    <w:rsid w:val="001B68C3"/>
    <w:rsid w:val="001B6951"/>
    <w:rsid w:val="001B698B"/>
    <w:rsid w:val="001B699A"/>
    <w:rsid w:val="001B699E"/>
    <w:rsid w:val="001B6A05"/>
    <w:rsid w:val="001B6A98"/>
    <w:rsid w:val="001B6AF1"/>
    <w:rsid w:val="001B6B2B"/>
    <w:rsid w:val="001B6B46"/>
    <w:rsid w:val="001B6B82"/>
    <w:rsid w:val="001B6C7E"/>
    <w:rsid w:val="001B6D22"/>
    <w:rsid w:val="001B6D8A"/>
    <w:rsid w:val="001B6DC8"/>
    <w:rsid w:val="001B6E14"/>
    <w:rsid w:val="001B6E63"/>
    <w:rsid w:val="001B6EC2"/>
    <w:rsid w:val="001B6FA1"/>
    <w:rsid w:val="001B704F"/>
    <w:rsid w:val="001B705A"/>
    <w:rsid w:val="001B7095"/>
    <w:rsid w:val="001B71B5"/>
    <w:rsid w:val="001B72B3"/>
    <w:rsid w:val="001B7384"/>
    <w:rsid w:val="001B738C"/>
    <w:rsid w:val="001B73A4"/>
    <w:rsid w:val="001B73A6"/>
    <w:rsid w:val="001B7410"/>
    <w:rsid w:val="001B7623"/>
    <w:rsid w:val="001B763B"/>
    <w:rsid w:val="001B76A1"/>
    <w:rsid w:val="001B7711"/>
    <w:rsid w:val="001B7776"/>
    <w:rsid w:val="001B77D2"/>
    <w:rsid w:val="001B7894"/>
    <w:rsid w:val="001B78F7"/>
    <w:rsid w:val="001B7A4F"/>
    <w:rsid w:val="001B7A99"/>
    <w:rsid w:val="001B7AFD"/>
    <w:rsid w:val="001B7B71"/>
    <w:rsid w:val="001B7BC7"/>
    <w:rsid w:val="001B7C99"/>
    <w:rsid w:val="001B7DB6"/>
    <w:rsid w:val="001B7DFF"/>
    <w:rsid w:val="001B7E1E"/>
    <w:rsid w:val="001B7E6E"/>
    <w:rsid w:val="001B7F88"/>
    <w:rsid w:val="001B7FCE"/>
    <w:rsid w:val="001B7FE3"/>
    <w:rsid w:val="001C00DB"/>
    <w:rsid w:val="001C00FC"/>
    <w:rsid w:val="001C017C"/>
    <w:rsid w:val="001C0231"/>
    <w:rsid w:val="001C029F"/>
    <w:rsid w:val="001C02A2"/>
    <w:rsid w:val="001C02C9"/>
    <w:rsid w:val="001C02E6"/>
    <w:rsid w:val="001C03DF"/>
    <w:rsid w:val="001C03F9"/>
    <w:rsid w:val="001C0411"/>
    <w:rsid w:val="001C04AA"/>
    <w:rsid w:val="001C04C0"/>
    <w:rsid w:val="001C0529"/>
    <w:rsid w:val="001C0593"/>
    <w:rsid w:val="001C0660"/>
    <w:rsid w:val="001C08A9"/>
    <w:rsid w:val="001C094B"/>
    <w:rsid w:val="001C0984"/>
    <w:rsid w:val="001C0A45"/>
    <w:rsid w:val="001C0A9A"/>
    <w:rsid w:val="001C0AC4"/>
    <w:rsid w:val="001C0AED"/>
    <w:rsid w:val="001C0CCC"/>
    <w:rsid w:val="001C0CE2"/>
    <w:rsid w:val="001C0CE5"/>
    <w:rsid w:val="001C0D0F"/>
    <w:rsid w:val="001C0D3A"/>
    <w:rsid w:val="001C0D8B"/>
    <w:rsid w:val="001C0E31"/>
    <w:rsid w:val="001C0F34"/>
    <w:rsid w:val="001C0F79"/>
    <w:rsid w:val="001C0FF8"/>
    <w:rsid w:val="001C0FFE"/>
    <w:rsid w:val="001C1073"/>
    <w:rsid w:val="001C10E1"/>
    <w:rsid w:val="001C1169"/>
    <w:rsid w:val="001C118B"/>
    <w:rsid w:val="001C11C3"/>
    <w:rsid w:val="001C11C9"/>
    <w:rsid w:val="001C122D"/>
    <w:rsid w:val="001C124A"/>
    <w:rsid w:val="001C125E"/>
    <w:rsid w:val="001C12E8"/>
    <w:rsid w:val="001C1324"/>
    <w:rsid w:val="001C14B7"/>
    <w:rsid w:val="001C159D"/>
    <w:rsid w:val="001C15F6"/>
    <w:rsid w:val="001C168E"/>
    <w:rsid w:val="001C16E7"/>
    <w:rsid w:val="001C17CA"/>
    <w:rsid w:val="001C17D2"/>
    <w:rsid w:val="001C19F0"/>
    <w:rsid w:val="001C1A6B"/>
    <w:rsid w:val="001C1B09"/>
    <w:rsid w:val="001C1B51"/>
    <w:rsid w:val="001C1BF1"/>
    <w:rsid w:val="001C1CE5"/>
    <w:rsid w:val="001C1D13"/>
    <w:rsid w:val="001C1D2F"/>
    <w:rsid w:val="001C1D49"/>
    <w:rsid w:val="001C1D9B"/>
    <w:rsid w:val="001C1DDE"/>
    <w:rsid w:val="001C1EA8"/>
    <w:rsid w:val="001C1F3E"/>
    <w:rsid w:val="001C1F8A"/>
    <w:rsid w:val="001C2004"/>
    <w:rsid w:val="001C206F"/>
    <w:rsid w:val="001C20D7"/>
    <w:rsid w:val="001C21B8"/>
    <w:rsid w:val="001C22B9"/>
    <w:rsid w:val="001C235B"/>
    <w:rsid w:val="001C23A6"/>
    <w:rsid w:val="001C23AC"/>
    <w:rsid w:val="001C24A4"/>
    <w:rsid w:val="001C24B3"/>
    <w:rsid w:val="001C24F9"/>
    <w:rsid w:val="001C25E5"/>
    <w:rsid w:val="001C2792"/>
    <w:rsid w:val="001C280B"/>
    <w:rsid w:val="001C284F"/>
    <w:rsid w:val="001C285B"/>
    <w:rsid w:val="001C286D"/>
    <w:rsid w:val="001C28B0"/>
    <w:rsid w:val="001C2939"/>
    <w:rsid w:val="001C29CE"/>
    <w:rsid w:val="001C2A56"/>
    <w:rsid w:val="001C2A60"/>
    <w:rsid w:val="001C2B45"/>
    <w:rsid w:val="001C2B64"/>
    <w:rsid w:val="001C2BA4"/>
    <w:rsid w:val="001C2BB3"/>
    <w:rsid w:val="001C2BCD"/>
    <w:rsid w:val="001C2C04"/>
    <w:rsid w:val="001C2C32"/>
    <w:rsid w:val="001C2C40"/>
    <w:rsid w:val="001C2C5B"/>
    <w:rsid w:val="001C2CAB"/>
    <w:rsid w:val="001C2E13"/>
    <w:rsid w:val="001C2EAA"/>
    <w:rsid w:val="001C2ED8"/>
    <w:rsid w:val="001C2F3E"/>
    <w:rsid w:val="001C2F87"/>
    <w:rsid w:val="001C301A"/>
    <w:rsid w:val="001C3035"/>
    <w:rsid w:val="001C3053"/>
    <w:rsid w:val="001C3174"/>
    <w:rsid w:val="001C3195"/>
    <w:rsid w:val="001C320D"/>
    <w:rsid w:val="001C3221"/>
    <w:rsid w:val="001C327C"/>
    <w:rsid w:val="001C32A1"/>
    <w:rsid w:val="001C32C2"/>
    <w:rsid w:val="001C334A"/>
    <w:rsid w:val="001C3382"/>
    <w:rsid w:val="001C3393"/>
    <w:rsid w:val="001C3421"/>
    <w:rsid w:val="001C3457"/>
    <w:rsid w:val="001C347E"/>
    <w:rsid w:val="001C3560"/>
    <w:rsid w:val="001C35B2"/>
    <w:rsid w:val="001C3666"/>
    <w:rsid w:val="001C37A9"/>
    <w:rsid w:val="001C383D"/>
    <w:rsid w:val="001C389A"/>
    <w:rsid w:val="001C38B2"/>
    <w:rsid w:val="001C38FA"/>
    <w:rsid w:val="001C3A27"/>
    <w:rsid w:val="001C3ACE"/>
    <w:rsid w:val="001C3AE4"/>
    <w:rsid w:val="001C3B71"/>
    <w:rsid w:val="001C3BC0"/>
    <w:rsid w:val="001C3BC1"/>
    <w:rsid w:val="001C3BEC"/>
    <w:rsid w:val="001C3CA3"/>
    <w:rsid w:val="001C3E3A"/>
    <w:rsid w:val="001C3ECF"/>
    <w:rsid w:val="001C3F46"/>
    <w:rsid w:val="001C3F47"/>
    <w:rsid w:val="001C4065"/>
    <w:rsid w:val="001C41B7"/>
    <w:rsid w:val="001C41F7"/>
    <w:rsid w:val="001C4219"/>
    <w:rsid w:val="001C42EB"/>
    <w:rsid w:val="001C431F"/>
    <w:rsid w:val="001C4376"/>
    <w:rsid w:val="001C4401"/>
    <w:rsid w:val="001C4496"/>
    <w:rsid w:val="001C44CA"/>
    <w:rsid w:val="001C4510"/>
    <w:rsid w:val="001C4574"/>
    <w:rsid w:val="001C45A6"/>
    <w:rsid w:val="001C467C"/>
    <w:rsid w:val="001C46BB"/>
    <w:rsid w:val="001C46E0"/>
    <w:rsid w:val="001C473D"/>
    <w:rsid w:val="001C4794"/>
    <w:rsid w:val="001C47D7"/>
    <w:rsid w:val="001C485C"/>
    <w:rsid w:val="001C4A2B"/>
    <w:rsid w:val="001C4AAC"/>
    <w:rsid w:val="001C4B1E"/>
    <w:rsid w:val="001C4BDC"/>
    <w:rsid w:val="001C4DB5"/>
    <w:rsid w:val="001C4DF7"/>
    <w:rsid w:val="001C4E14"/>
    <w:rsid w:val="001C4F5E"/>
    <w:rsid w:val="001C4FE0"/>
    <w:rsid w:val="001C501B"/>
    <w:rsid w:val="001C510F"/>
    <w:rsid w:val="001C513A"/>
    <w:rsid w:val="001C516F"/>
    <w:rsid w:val="001C51AE"/>
    <w:rsid w:val="001C51CD"/>
    <w:rsid w:val="001C52D4"/>
    <w:rsid w:val="001C52D9"/>
    <w:rsid w:val="001C54E9"/>
    <w:rsid w:val="001C54F0"/>
    <w:rsid w:val="001C555A"/>
    <w:rsid w:val="001C55B6"/>
    <w:rsid w:val="001C564B"/>
    <w:rsid w:val="001C5741"/>
    <w:rsid w:val="001C5755"/>
    <w:rsid w:val="001C584C"/>
    <w:rsid w:val="001C585E"/>
    <w:rsid w:val="001C5898"/>
    <w:rsid w:val="001C58CC"/>
    <w:rsid w:val="001C591B"/>
    <w:rsid w:val="001C591D"/>
    <w:rsid w:val="001C59F0"/>
    <w:rsid w:val="001C59F1"/>
    <w:rsid w:val="001C5A21"/>
    <w:rsid w:val="001C5A3C"/>
    <w:rsid w:val="001C5A7C"/>
    <w:rsid w:val="001C5C78"/>
    <w:rsid w:val="001C5CDD"/>
    <w:rsid w:val="001C5D54"/>
    <w:rsid w:val="001C5D5F"/>
    <w:rsid w:val="001C5DCD"/>
    <w:rsid w:val="001C5DD7"/>
    <w:rsid w:val="001C5E82"/>
    <w:rsid w:val="001C5EB8"/>
    <w:rsid w:val="001C5F23"/>
    <w:rsid w:val="001C5FC1"/>
    <w:rsid w:val="001C6089"/>
    <w:rsid w:val="001C609B"/>
    <w:rsid w:val="001C60A0"/>
    <w:rsid w:val="001C6114"/>
    <w:rsid w:val="001C6159"/>
    <w:rsid w:val="001C6232"/>
    <w:rsid w:val="001C6374"/>
    <w:rsid w:val="001C639F"/>
    <w:rsid w:val="001C63D6"/>
    <w:rsid w:val="001C63E6"/>
    <w:rsid w:val="001C647B"/>
    <w:rsid w:val="001C647E"/>
    <w:rsid w:val="001C64A2"/>
    <w:rsid w:val="001C65CC"/>
    <w:rsid w:val="001C65EC"/>
    <w:rsid w:val="001C662B"/>
    <w:rsid w:val="001C6657"/>
    <w:rsid w:val="001C66CE"/>
    <w:rsid w:val="001C66D7"/>
    <w:rsid w:val="001C67BA"/>
    <w:rsid w:val="001C6824"/>
    <w:rsid w:val="001C6842"/>
    <w:rsid w:val="001C6849"/>
    <w:rsid w:val="001C6866"/>
    <w:rsid w:val="001C68A8"/>
    <w:rsid w:val="001C68ED"/>
    <w:rsid w:val="001C6933"/>
    <w:rsid w:val="001C6CEA"/>
    <w:rsid w:val="001C6CF6"/>
    <w:rsid w:val="001C6D47"/>
    <w:rsid w:val="001C6D55"/>
    <w:rsid w:val="001C6DF6"/>
    <w:rsid w:val="001C6DFD"/>
    <w:rsid w:val="001C6E2A"/>
    <w:rsid w:val="001C6EE2"/>
    <w:rsid w:val="001C6F12"/>
    <w:rsid w:val="001C6F50"/>
    <w:rsid w:val="001C6F6D"/>
    <w:rsid w:val="001C6FEB"/>
    <w:rsid w:val="001C70D3"/>
    <w:rsid w:val="001C70EE"/>
    <w:rsid w:val="001C7172"/>
    <w:rsid w:val="001C717E"/>
    <w:rsid w:val="001C71E6"/>
    <w:rsid w:val="001C72BD"/>
    <w:rsid w:val="001C72CC"/>
    <w:rsid w:val="001C72DC"/>
    <w:rsid w:val="001C73D0"/>
    <w:rsid w:val="001C7440"/>
    <w:rsid w:val="001C761B"/>
    <w:rsid w:val="001C764C"/>
    <w:rsid w:val="001C7664"/>
    <w:rsid w:val="001C771D"/>
    <w:rsid w:val="001C7726"/>
    <w:rsid w:val="001C774E"/>
    <w:rsid w:val="001C77A9"/>
    <w:rsid w:val="001C77C4"/>
    <w:rsid w:val="001C77DC"/>
    <w:rsid w:val="001C784A"/>
    <w:rsid w:val="001C78C8"/>
    <w:rsid w:val="001C79A0"/>
    <w:rsid w:val="001C79E6"/>
    <w:rsid w:val="001C79FB"/>
    <w:rsid w:val="001C7A59"/>
    <w:rsid w:val="001C7A71"/>
    <w:rsid w:val="001C7A9D"/>
    <w:rsid w:val="001C7B13"/>
    <w:rsid w:val="001C7BB8"/>
    <w:rsid w:val="001C7BD0"/>
    <w:rsid w:val="001C7C48"/>
    <w:rsid w:val="001C7CBB"/>
    <w:rsid w:val="001C7D9D"/>
    <w:rsid w:val="001C7F1D"/>
    <w:rsid w:val="001C7FA0"/>
    <w:rsid w:val="001D0051"/>
    <w:rsid w:val="001D0083"/>
    <w:rsid w:val="001D015D"/>
    <w:rsid w:val="001D0208"/>
    <w:rsid w:val="001D0238"/>
    <w:rsid w:val="001D0268"/>
    <w:rsid w:val="001D029B"/>
    <w:rsid w:val="001D02CE"/>
    <w:rsid w:val="001D0374"/>
    <w:rsid w:val="001D03A0"/>
    <w:rsid w:val="001D03FD"/>
    <w:rsid w:val="001D04DE"/>
    <w:rsid w:val="001D053D"/>
    <w:rsid w:val="001D05D1"/>
    <w:rsid w:val="001D062E"/>
    <w:rsid w:val="001D06AA"/>
    <w:rsid w:val="001D0762"/>
    <w:rsid w:val="001D0766"/>
    <w:rsid w:val="001D07AB"/>
    <w:rsid w:val="001D07D7"/>
    <w:rsid w:val="001D0833"/>
    <w:rsid w:val="001D0882"/>
    <w:rsid w:val="001D08D4"/>
    <w:rsid w:val="001D0971"/>
    <w:rsid w:val="001D0975"/>
    <w:rsid w:val="001D09AA"/>
    <w:rsid w:val="001D09B0"/>
    <w:rsid w:val="001D0A50"/>
    <w:rsid w:val="001D0A52"/>
    <w:rsid w:val="001D0AAB"/>
    <w:rsid w:val="001D0B02"/>
    <w:rsid w:val="001D0BEF"/>
    <w:rsid w:val="001D0CE4"/>
    <w:rsid w:val="001D0D76"/>
    <w:rsid w:val="001D0D8E"/>
    <w:rsid w:val="001D0DF0"/>
    <w:rsid w:val="001D0E56"/>
    <w:rsid w:val="001D0E5C"/>
    <w:rsid w:val="001D0E76"/>
    <w:rsid w:val="001D0F3B"/>
    <w:rsid w:val="001D0F3E"/>
    <w:rsid w:val="001D0FB9"/>
    <w:rsid w:val="001D1102"/>
    <w:rsid w:val="001D1164"/>
    <w:rsid w:val="001D119D"/>
    <w:rsid w:val="001D11BD"/>
    <w:rsid w:val="001D11BE"/>
    <w:rsid w:val="001D1304"/>
    <w:rsid w:val="001D137F"/>
    <w:rsid w:val="001D13DE"/>
    <w:rsid w:val="001D13F6"/>
    <w:rsid w:val="001D1525"/>
    <w:rsid w:val="001D1578"/>
    <w:rsid w:val="001D1678"/>
    <w:rsid w:val="001D170F"/>
    <w:rsid w:val="001D1796"/>
    <w:rsid w:val="001D180F"/>
    <w:rsid w:val="001D1A2A"/>
    <w:rsid w:val="001D1AD0"/>
    <w:rsid w:val="001D1B3D"/>
    <w:rsid w:val="001D1B3E"/>
    <w:rsid w:val="001D1B6B"/>
    <w:rsid w:val="001D1BAA"/>
    <w:rsid w:val="001D1BB1"/>
    <w:rsid w:val="001D1BE2"/>
    <w:rsid w:val="001D1C04"/>
    <w:rsid w:val="001D1CB3"/>
    <w:rsid w:val="001D1CFF"/>
    <w:rsid w:val="001D1D70"/>
    <w:rsid w:val="001D1D85"/>
    <w:rsid w:val="001D1DB2"/>
    <w:rsid w:val="001D1F27"/>
    <w:rsid w:val="001D207B"/>
    <w:rsid w:val="001D2141"/>
    <w:rsid w:val="001D216E"/>
    <w:rsid w:val="001D21AE"/>
    <w:rsid w:val="001D227F"/>
    <w:rsid w:val="001D2292"/>
    <w:rsid w:val="001D2328"/>
    <w:rsid w:val="001D241B"/>
    <w:rsid w:val="001D242E"/>
    <w:rsid w:val="001D2495"/>
    <w:rsid w:val="001D24D8"/>
    <w:rsid w:val="001D25C6"/>
    <w:rsid w:val="001D25FD"/>
    <w:rsid w:val="001D2611"/>
    <w:rsid w:val="001D2613"/>
    <w:rsid w:val="001D2797"/>
    <w:rsid w:val="001D279D"/>
    <w:rsid w:val="001D2A2D"/>
    <w:rsid w:val="001D2A82"/>
    <w:rsid w:val="001D2AB9"/>
    <w:rsid w:val="001D2AE6"/>
    <w:rsid w:val="001D2B44"/>
    <w:rsid w:val="001D2B9B"/>
    <w:rsid w:val="001D2C92"/>
    <w:rsid w:val="001D2DAE"/>
    <w:rsid w:val="001D2E32"/>
    <w:rsid w:val="001D2F93"/>
    <w:rsid w:val="001D3060"/>
    <w:rsid w:val="001D3098"/>
    <w:rsid w:val="001D31C1"/>
    <w:rsid w:val="001D33D8"/>
    <w:rsid w:val="001D341B"/>
    <w:rsid w:val="001D352D"/>
    <w:rsid w:val="001D3531"/>
    <w:rsid w:val="001D354B"/>
    <w:rsid w:val="001D359E"/>
    <w:rsid w:val="001D35AA"/>
    <w:rsid w:val="001D35FB"/>
    <w:rsid w:val="001D36AB"/>
    <w:rsid w:val="001D36FA"/>
    <w:rsid w:val="001D3864"/>
    <w:rsid w:val="001D3945"/>
    <w:rsid w:val="001D39AC"/>
    <w:rsid w:val="001D3A3B"/>
    <w:rsid w:val="001D3A8E"/>
    <w:rsid w:val="001D3AF9"/>
    <w:rsid w:val="001D3BB1"/>
    <w:rsid w:val="001D3C26"/>
    <w:rsid w:val="001D3C28"/>
    <w:rsid w:val="001D3C43"/>
    <w:rsid w:val="001D3C4C"/>
    <w:rsid w:val="001D3C89"/>
    <w:rsid w:val="001D3CB8"/>
    <w:rsid w:val="001D3CD5"/>
    <w:rsid w:val="001D3D3A"/>
    <w:rsid w:val="001D3E4C"/>
    <w:rsid w:val="001D3E8B"/>
    <w:rsid w:val="001D3F48"/>
    <w:rsid w:val="001D3F90"/>
    <w:rsid w:val="001D3FB8"/>
    <w:rsid w:val="001D3FC6"/>
    <w:rsid w:val="001D3FFD"/>
    <w:rsid w:val="001D411E"/>
    <w:rsid w:val="001D420D"/>
    <w:rsid w:val="001D4243"/>
    <w:rsid w:val="001D42E9"/>
    <w:rsid w:val="001D431E"/>
    <w:rsid w:val="001D4359"/>
    <w:rsid w:val="001D44C6"/>
    <w:rsid w:val="001D44F9"/>
    <w:rsid w:val="001D4502"/>
    <w:rsid w:val="001D4512"/>
    <w:rsid w:val="001D459F"/>
    <w:rsid w:val="001D45B9"/>
    <w:rsid w:val="001D45FF"/>
    <w:rsid w:val="001D466B"/>
    <w:rsid w:val="001D46E7"/>
    <w:rsid w:val="001D46EE"/>
    <w:rsid w:val="001D4729"/>
    <w:rsid w:val="001D4815"/>
    <w:rsid w:val="001D4852"/>
    <w:rsid w:val="001D48E4"/>
    <w:rsid w:val="001D4988"/>
    <w:rsid w:val="001D49CE"/>
    <w:rsid w:val="001D4A1E"/>
    <w:rsid w:val="001D4A83"/>
    <w:rsid w:val="001D4B0E"/>
    <w:rsid w:val="001D4B33"/>
    <w:rsid w:val="001D4BBC"/>
    <w:rsid w:val="001D4BEA"/>
    <w:rsid w:val="001D4BF3"/>
    <w:rsid w:val="001D4C51"/>
    <w:rsid w:val="001D4DA1"/>
    <w:rsid w:val="001D4DF2"/>
    <w:rsid w:val="001D4E0E"/>
    <w:rsid w:val="001D4E5E"/>
    <w:rsid w:val="001D4F58"/>
    <w:rsid w:val="001D5105"/>
    <w:rsid w:val="001D5191"/>
    <w:rsid w:val="001D5192"/>
    <w:rsid w:val="001D5203"/>
    <w:rsid w:val="001D5288"/>
    <w:rsid w:val="001D52C8"/>
    <w:rsid w:val="001D52D7"/>
    <w:rsid w:val="001D531D"/>
    <w:rsid w:val="001D5358"/>
    <w:rsid w:val="001D535A"/>
    <w:rsid w:val="001D5381"/>
    <w:rsid w:val="001D542F"/>
    <w:rsid w:val="001D5580"/>
    <w:rsid w:val="001D5631"/>
    <w:rsid w:val="001D5668"/>
    <w:rsid w:val="001D569B"/>
    <w:rsid w:val="001D56D7"/>
    <w:rsid w:val="001D57A3"/>
    <w:rsid w:val="001D5957"/>
    <w:rsid w:val="001D5A21"/>
    <w:rsid w:val="001D5AD9"/>
    <w:rsid w:val="001D5B15"/>
    <w:rsid w:val="001D5B99"/>
    <w:rsid w:val="001D5C4E"/>
    <w:rsid w:val="001D5C91"/>
    <w:rsid w:val="001D5C9A"/>
    <w:rsid w:val="001D5CFE"/>
    <w:rsid w:val="001D5DC3"/>
    <w:rsid w:val="001D5E11"/>
    <w:rsid w:val="001D5E85"/>
    <w:rsid w:val="001D5ECA"/>
    <w:rsid w:val="001D5F6C"/>
    <w:rsid w:val="001D5FA8"/>
    <w:rsid w:val="001D605B"/>
    <w:rsid w:val="001D60AD"/>
    <w:rsid w:val="001D6157"/>
    <w:rsid w:val="001D630B"/>
    <w:rsid w:val="001D6364"/>
    <w:rsid w:val="001D6367"/>
    <w:rsid w:val="001D63B7"/>
    <w:rsid w:val="001D63EC"/>
    <w:rsid w:val="001D6539"/>
    <w:rsid w:val="001D6584"/>
    <w:rsid w:val="001D65D1"/>
    <w:rsid w:val="001D65F7"/>
    <w:rsid w:val="001D6642"/>
    <w:rsid w:val="001D666A"/>
    <w:rsid w:val="001D674A"/>
    <w:rsid w:val="001D6855"/>
    <w:rsid w:val="001D687F"/>
    <w:rsid w:val="001D691E"/>
    <w:rsid w:val="001D6990"/>
    <w:rsid w:val="001D69A0"/>
    <w:rsid w:val="001D69E5"/>
    <w:rsid w:val="001D6A9F"/>
    <w:rsid w:val="001D6AD5"/>
    <w:rsid w:val="001D6B70"/>
    <w:rsid w:val="001D6BFF"/>
    <w:rsid w:val="001D6C5E"/>
    <w:rsid w:val="001D6CC4"/>
    <w:rsid w:val="001D6CD4"/>
    <w:rsid w:val="001D6EB3"/>
    <w:rsid w:val="001D6EF9"/>
    <w:rsid w:val="001D6F1F"/>
    <w:rsid w:val="001D6FB4"/>
    <w:rsid w:val="001D6FC5"/>
    <w:rsid w:val="001D703E"/>
    <w:rsid w:val="001D705F"/>
    <w:rsid w:val="001D7069"/>
    <w:rsid w:val="001D70E6"/>
    <w:rsid w:val="001D717A"/>
    <w:rsid w:val="001D7188"/>
    <w:rsid w:val="001D7357"/>
    <w:rsid w:val="001D744C"/>
    <w:rsid w:val="001D7485"/>
    <w:rsid w:val="001D761F"/>
    <w:rsid w:val="001D7624"/>
    <w:rsid w:val="001D769C"/>
    <w:rsid w:val="001D77EF"/>
    <w:rsid w:val="001D79B2"/>
    <w:rsid w:val="001D79E4"/>
    <w:rsid w:val="001D7B3C"/>
    <w:rsid w:val="001D7B8E"/>
    <w:rsid w:val="001D7C4B"/>
    <w:rsid w:val="001D7CB6"/>
    <w:rsid w:val="001D7E79"/>
    <w:rsid w:val="001D7EAC"/>
    <w:rsid w:val="001D7F3B"/>
    <w:rsid w:val="001D7FB6"/>
    <w:rsid w:val="001E004C"/>
    <w:rsid w:val="001E00FA"/>
    <w:rsid w:val="001E01C0"/>
    <w:rsid w:val="001E027D"/>
    <w:rsid w:val="001E0295"/>
    <w:rsid w:val="001E02C5"/>
    <w:rsid w:val="001E0359"/>
    <w:rsid w:val="001E0439"/>
    <w:rsid w:val="001E04C9"/>
    <w:rsid w:val="001E053F"/>
    <w:rsid w:val="001E061F"/>
    <w:rsid w:val="001E0626"/>
    <w:rsid w:val="001E0642"/>
    <w:rsid w:val="001E0666"/>
    <w:rsid w:val="001E067D"/>
    <w:rsid w:val="001E070F"/>
    <w:rsid w:val="001E071D"/>
    <w:rsid w:val="001E079A"/>
    <w:rsid w:val="001E07C0"/>
    <w:rsid w:val="001E07D6"/>
    <w:rsid w:val="001E0862"/>
    <w:rsid w:val="001E094D"/>
    <w:rsid w:val="001E09AA"/>
    <w:rsid w:val="001E0A07"/>
    <w:rsid w:val="001E0A7F"/>
    <w:rsid w:val="001E0AEE"/>
    <w:rsid w:val="001E0B6F"/>
    <w:rsid w:val="001E0B8C"/>
    <w:rsid w:val="001E0BC4"/>
    <w:rsid w:val="001E0C41"/>
    <w:rsid w:val="001E0D6C"/>
    <w:rsid w:val="001E0E1A"/>
    <w:rsid w:val="001E0E53"/>
    <w:rsid w:val="001E0E8B"/>
    <w:rsid w:val="001E0EA3"/>
    <w:rsid w:val="001E0F72"/>
    <w:rsid w:val="001E0FE8"/>
    <w:rsid w:val="001E10B0"/>
    <w:rsid w:val="001E10BF"/>
    <w:rsid w:val="001E1130"/>
    <w:rsid w:val="001E1139"/>
    <w:rsid w:val="001E11EF"/>
    <w:rsid w:val="001E11F8"/>
    <w:rsid w:val="001E121C"/>
    <w:rsid w:val="001E123E"/>
    <w:rsid w:val="001E1307"/>
    <w:rsid w:val="001E1322"/>
    <w:rsid w:val="001E1399"/>
    <w:rsid w:val="001E15DC"/>
    <w:rsid w:val="001E17AB"/>
    <w:rsid w:val="001E17C6"/>
    <w:rsid w:val="001E17E9"/>
    <w:rsid w:val="001E1871"/>
    <w:rsid w:val="001E1949"/>
    <w:rsid w:val="001E1AA6"/>
    <w:rsid w:val="001E1AED"/>
    <w:rsid w:val="001E1B20"/>
    <w:rsid w:val="001E1B36"/>
    <w:rsid w:val="001E1BD8"/>
    <w:rsid w:val="001E1BDF"/>
    <w:rsid w:val="001E1E1D"/>
    <w:rsid w:val="001E1E5D"/>
    <w:rsid w:val="001E1E89"/>
    <w:rsid w:val="001E1FA5"/>
    <w:rsid w:val="001E1FD0"/>
    <w:rsid w:val="001E2091"/>
    <w:rsid w:val="001E20E9"/>
    <w:rsid w:val="001E2296"/>
    <w:rsid w:val="001E2326"/>
    <w:rsid w:val="001E2359"/>
    <w:rsid w:val="001E2468"/>
    <w:rsid w:val="001E24B7"/>
    <w:rsid w:val="001E24DA"/>
    <w:rsid w:val="001E24FB"/>
    <w:rsid w:val="001E2569"/>
    <w:rsid w:val="001E25CC"/>
    <w:rsid w:val="001E2643"/>
    <w:rsid w:val="001E2747"/>
    <w:rsid w:val="001E275D"/>
    <w:rsid w:val="001E2792"/>
    <w:rsid w:val="001E27A0"/>
    <w:rsid w:val="001E27CB"/>
    <w:rsid w:val="001E28A3"/>
    <w:rsid w:val="001E28BD"/>
    <w:rsid w:val="001E297B"/>
    <w:rsid w:val="001E29DD"/>
    <w:rsid w:val="001E2A07"/>
    <w:rsid w:val="001E2A30"/>
    <w:rsid w:val="001E2C0F"/>
    <w:rsid w:val="001E2CBF"/>
    <w:rsid w:val="001E2CF6"/>
    <w:rsid w:val="001E2D3A"/>
    <w:rsid w:val="001E2D83"/>
    <w:rsid w:val="001E2E65"/>
    <w:rsid w:val="001E2E69"/>
    <w:rsid w:val="001E2FEA"/>
    <w:rsid w:val="001E3143"/>
    <w:rsid w:val="001E327C"/>
    <w:rsid w:val="001E334A"/>
    <w:rsid w:val="001E346E"/>
    <w:rsid w:val="001E35D1"/>
    <w:rsid w:val="001E35D5"/>
    <w:rsid w:val="001E36C9"/>
    <w:rsid w:val="001E36D3"/>
    <w:rsid w:val="001E36E1"/>
    <w:rsid w:val="001E3703"/>
    <w:rsid w:val="001E38D0"/>
    <w:rsid w:val="001E3936"/>
    <w:rsid w:val="001E3939"/>
    <w:rsid w:val="001E3B29"/>
    <w:rsid w:val="001E3B64"/>
    <w:rsid w:val="001E3C02"/>
    <w:rsid w:val="001E3DE9"/>
    <w:rsid w:val="001E3E5E"/>
    <w:rsid w:val="001E3E94"/>
    <w:rsid w:val="001E3ECD"/>
    <w:rsid w:val="001E3EDB"/>
    <w:rsid w:val="001E3EF6"/>
    <w:rsid w:val="001E3FAA"/>
    <w:rsid w:val="001E40B8"/>
    <w:rsid w:val="001E4127"/>
    <w:rsid w:val="001E4170"/>
    <w:rsid w:val="001E418D"/>
    <w:rsid w:val="001E4336"/>
    <w:rsid w:val="001E4366"/>
    <w:rsid w:val="001E4434"/>
    <w:rsid w:val="001E4477"/>
    <w:rsid w:val="001E469C"/>
    <w:rsid w:val="001E471E"/>
    <w:rsid w:val="001E475B"/>
    <w:rsid w:val="001E485B"/>
    <w:rsid w:val="001E4941"/>
    <w:rsid w:val="001E495F"/>
    <w:rsid w:val="001E4984"/>
    <w:rsid w:val="001E4995"/>
    <w:rsid w:val="001E4A5F"/>
    <w:rsid w:val="001E4BA9"/>
    <w:rsid w:val="001E4BEA"/>
    <w:rsid w:val="001E4DC4"/>
    <w:rsid w:val="001E4DCD"/>
    <w:rsid w:val="001E4E67"/>
    <w:rsid w:val="001E4E82"/>
    <w:rsid w:val="001E4EB1"/>
    <w:rsid w:val="001E4F5F"/>
    <w:rsid w:val="001E4FD0"/>
    <w:rsid w:val="001E505D"/>
    <w:rsid w:val="001E5099"/>
    <w:rsid w:val="001E50A0"/>
    <w:rsid w:val="001E5131"/>
    <w:rsid w:val="001E520F"/>
    <w:rsid w:val="001E52F1"/>
    <w:rsid w:val="001E54E0"/>
    <w:rsid w:val="001E550B"/>
    <w:rsid w:val="001E55C9"/>
    <w:rsid w:val="001E55CF"/>
    <w:rsid w:val="001E5618"/>
    <w:rsid w:val="001E5626"/>
    <w:rsid w:val="001E567B"/>
    <w:rsid w:val="001E5707"/>
    <w:rsid w:val="001E5719"/>
    <w:rsid w:val="001E57BC"/>
    <w:rsid w:val="001E5904"/>
    <w:rsid w:val="001E5A67"/>
    <w:rsid w:val="001E5AA4"/>
    <w:rsid w:val="001E5C37"/>
    <w:rsid w:val="001E5C67"/>
    <w:rsid w:val="001E5DB2"/>
    <w:rsid w:val="001E5DF4"/>
    <w:rsid w:val="001E5E88"/>
    <w:rsid w:val="001E5EB8"/>
    <w:rsid w:val="001E5F1A"/>
    <w:rsid w:val="001E5FD8"/>
    <w:rsid w:val="001E5FF0"/>
    <w:rsid w:val="001E60D3"/>
    <w:rsid w:val="001E611B"/>
    <w:rsid w:val="001E622D"/>
    <w:rsid w:val="001E6307"/>
    <w:rsid w:val="001E633C"/>
    <w:rsid w:val="001E635D"/>
    <w:rsid w:val="001E6376"/>
    <w:rsid w:val="001E63D8"/>
    <w:rsid w:val="001E640A"/>
    <w:rsid w:val="001E6435"/>
    <w:rsid w:val="001E6463"/>
    <w:rsid w:val="001E647D"/>
    <w:rsid w:val="001E64C9"/>
    <w:rsid w:val="001E64CE"/>
    <w:rsid w:val="001E65E4"/>
    <w:rsid w:val="001E6612"/>
    <w:rsid w:val="001E6642"/>
    <w:rsid w:val="001E6645"/>
    <w:rsid w:val="001E6691"/>
    <w:rsid w:val="001E66B9"/>
    <w:rsid w:val="001E67E4"/>
    <w:rsid w:val="001E6803"/>
    <w:rsid w:val="001E68DD"/>
    <w:rsid w:val="001E691E"/>
    <w:rsid w:val="001E695E"/>
    <w:rsid w:val="001E69AF"/>
    <w:rsid w:val="001E69D2"/>
    <w:rsid w:val="001E6A06"/>
    <w:rsid w:val="001E6A5C"/>
    <w:rsid w:val="001E6AC8"/>
    <w:rsid w:val="001E6AF7"/>
    <w:rsid w:val="001E6B16"/>
    <w:rsid w:val="001E6B21"/>
    <w:rsid w:val="001E6C43"/>
    <w:rsid w:val="001E6C78"/>
    <w:rsid w:val="001E6CC4"/>
    <w:rsid w:val="001E6CF1"/>
    <w:rsid w:val="001E6D6A"/>
    <w:rsid w:val="001E6DA0"/>
    <w:rsid w:val="001E6E28"/>
    <w:rsid w:val="001E6E37"/>
    <w:rsid w:val="001E6E8F"/>
    <w:rsid w:val="001E6EAC"/>
    <w:rsid w:val="001E6F7C"/>
    <w:rsid w:val="001E6F9C"/>
    <w:rsid w:val="001E7053"/>
    <w:rsid w:val="001E7162"/>
    <w:rsid w:val="001E71BB"/>
    <w:rsid w:val="001E71E3"/>
    <w:rsid w:val="001E7283"/>
    <w:rsid w:val="001E72A3"/>
    <w:rsid w:val="001E7334"/>
    <w:rsid w:val="001E73A2"/>
    <w:rsid w:val="001E73B0"/>
    <w:rsid w:val="001E7471"/>
    <w:rsid w:val="001E75B2"/>
    <w:rsid w:val="001E75B9"/>
    <w:rsid w:val="001E75D7"/>
    <w:rsid w:val="001E765F"/>
    <w:rsid w:val="001E7688"/>
    <w:rsid w:val="001E76B0"/>
    <w:rsid w:val="001E773E"/>
    <w:rsid w:val="001E77A5"/>
    <w:rsid w:val="001E78E1"/>
    <w:rsid w:val="001E795F"/>
    <w:rsid w:val="001E796B"/>
    <w:rsid w:val="001E79F4"/>
    <w:rsid w:val="001E7A42"/>
    <w:rsid w:val="001E7A68"/>
    <w:rsid w:val="001E7AD1"/>
    <w:rsid w:val="001E7B41"/>
    <w:rsid w:val="001E7B67"/>
    <w:rsid w:val="001E7CA5"/>
    <w:rsid w:val="001E7CA7"/>
    <w:rsid w:val="001E7CB9"/>
    <w:rsid w:val="001E7CD3"/>
    <w:rsid w:val="001E7CEE"/>
    <w:rsid w:val="001E7DA5"/>
    <w:rsid w:val="001E7E7F"/>
    <w:rsid w:val="001E7F05"/>
    <w:rsid w:val="001E7F26"/>
    <w:rsid w:val="001E7F5A"/>
    <w:rsid w:val="001E7F72"/>
    <w:rsid w:val="001E7F78"/>
    <w:rsid w:val="001E7F7E"/>
    <w:rsid w:val="001F0031"/>
    <w:rsid w:val="001F02AE"/>
    <w:rsid w:val="001F0400"/>
    <w:rsid w:val="001F0453"/>
    <w:rsid w:val="001F0491"/>
    <w:rsid w:val="001F0503"/>
    <w:rsid w:val="001F0520"/>
    <w:rsid w:val="001F0534"/>
    <w:rsid w:val="001F055C"/>
    <w:rsid w:val="001F05E1"/>
    <w:rsid w:val="001F066B"/>
    <w:rsid w:val="001F0738"/>
    <w:rsid w:val="001F075F"/>
    <w:rsid w:val="001F07C0"/>
    <w:rsid w:val="001F09B5"/>
    <w:rsid w:val="001F09DC"/>
    <w:rsid w:val="001F09F9"/>
    <w:rsid w:val="001F0A05"/>
    <w:rsid w:val="001F0A3A"/>
    <w:rsid w:val="001F0A86"/>
    <w:rsid w:val="001F0A93"/>
    <w:rsid w:val="001F0AC5"/>
    <w:rsid w:val="001F0B01"/>
    <w:rsid w:val="001F0B0E"/>
    <w:rsid w:val="001F0B2D"/>
    <w:rsid w:val="001F0B9D"/>
    <w:rsid w:val="001F0BCF"/>
    <w:rsid w:val="001F0C82"/>
    <w:rsid w:val="001F0CE9"/>
    <w:rsid w:val="001F0DF6"/>
    <w:rsid w:val="001F0E06"/>
    <w:rsid w:val="001F0E29"/>
    <w:rsid w:val="001F0E90"/>
    <w:rsid w:val="001F0EC1"/>
    <w:rsid w:val="001F0F05"/>
    <w:rsid w:val="001F0F6F"/>
    <w:rsid w:val="001F100D"/>
    <w:rsid w:val="001F105D"/>
    <w:rsid w:val="001F11D3"/>
    <w:rsid w:val="001F1230"/>
    <w:rsid w:val="001F128F"/>
    <w:rsid w:val="001F129D"/>
    <w:rsid w:val="001F1301"/>
    <w:rsid w:val="001F135A"/>
    <w:rsid w:val="001F141C"/>
    <w:rsid w:val="001F147D"/>
    <w:rsid w:val="001F161B"/>
    <w:rsid w:val="001F1654"/>
    <w:rsid w:val="001F1691"/>
    <w:rsid w:val="001F169A"/>
    <w:rsid w:val="001F1776"/>
    <w:rsid w:val="001F17C1"/>
    <w:rsid w:val="001F1952"/>
    <w:rsid w:val="001F195F"/>
    <w:rsid w:val="001F1A55"/>
    <w:rsid w:val="001F1B78"/>
    <w:rsid w:val="001F1B8C"/>
    <w:rsid w:val="001F1CD0"/>
    <w:rsid w:val="001F1CFB"/>
    <w:rsid w:val="001F1D34"/>
    <w:rsid w:val="001F1D45"/>
    <w:rsid w:val="001F1D74"/>
    <w:rsid w:val="001F1D9D"/>
    <w:rsid w:val="001F1DB7"/>
    <w:rsid w:val="001F1E80"/>
    <w:rsid w:val="001F1E87"/>
    <w:rsid w:val="001F1E98"/>
    <w:rsid w:val="001F1EF2"/>
    <w:rsid w:val="001F1F3F"/>
    <w:rsid w:val="001F1F9F"/>
    <w:rsid w:val="001F205D"/>
    <w:rsid w:val="001F20A2"/>
    <w:rsid w:val="001F20DA"/>
    <w:rsid w:val="001F2183"/>
    <w:rsid w:val="001F21EE"/>
    <w:rsid w:val="001F2261"/>
    <w:rsid w:val="001F2334"/>
    <w:rsid w:val="001F2366"/>
    <w:rsid w:val="001F24B4"/>
    <w:rsid w:val="001F24EF"/>
    <w:rsid w:val="001F254C"/>
    <w:rsid w:val="001F25A6"/>
    <w:rsid w:val="001F25E5"/>
    <w:rsid w:val="001F2671"/>
    <w:rsid w:val="001F279E"/>
    <w:rsid w:val="001F27A3"/>
    <w:rsid w:val="001F2800"/>
    <w:rsid w:val="001F2953"/>
    <w:rsid w:val="001F29B0"/>
    <w:rsid w:val="001F2A30"/>
    <w:rsid w:val="001F2B50"/>
    <w:rsid w:val="001F2BC5"/>
    <w:rsid w:val="001F2BCD"/>
    <w:rsid w:val="001F2BFA"/>
    <w:rsid w:val="001F2CD0"/>
    <w:rsid w:val="001F2D72"/>
    <w:rsid w:val="001F2EE7"/>
    <w:rsid w:val="001F2EE8"/>
    <w:rsid w:val="001F2FEB"/>
    <w:rsid w:val="001F3035"/>
    <w:rsid w:val="001F30C6"/>
    <w:rsid w:val="001F3133"/>
    <w:rsid w:val="001F316E"/>
    <w:rsid w:val="001F31C8"/>
    <w:rsid w:val="001F327A"/>
    <w:rsid w:val="001F32D4"/>
    <w:rsid w:val="001F3300"/>
    <w:rsid w:val="001F3399"/>
    <w:rsid w:val="001F3479"/>
    <w:rsid w:val="001F34D1"/>
    <w:rsid w:val="001F34EB"/>
    <w:rsid w:val="001F34F7"/>
    <w:rsid w:val="001F358D"/>
    <w:rsid w:val="001F3602"/>
    <w:rsid w:val="001F37DB"/>
    <w:rsid w:val="001F3823"/>
    <w:rsid w:val="001F382D"/>
    <w:rsid w:val="001F38B4"/>
    <w:rsid w:val="001F398C"/>
    <w:rsid w:val="001F39A5"/>
    <w:rsid w:val="001F3B04"/>
    <w:rsid w:val="001F3B6F"/>
    <w:rsid w:val="001F3BE5"/>
    <w:rsid w:val="001F3C7A"/>
    <w:rsid w:val="001F3C83"/>
    <w:rsid w:val="001F3FC3"/>
    <w:rsid w:val="001F4002"/>
    <w:rsid w:val="001F406C"/>
    <w:rsid w:val="001F40DA"/>
    <w:rsid w:val="001F4115"/>
    <w:rsid w:val="001F416F"/>
    <w:rsid w:val="001F4244"/>
    <w:rsid w:val="001F4270"/>
    <w:rsid w:val="001F4272"/>
    <w:rsid w:val="001F42B0"/>
    <w:rsid w:val="001F42FC"/>
    <w:rsid w:val="001F4300"/>
    <w:rsid w:val="001F439E"/>
    <w:rsid w:val="001F43E6"/>
    <w:rsid w:val="001F4409"/>
    <w:rsid w:val="001F4433"/>
    <w:rsid w:val="001F4457"/>
    <w:rsid w:val="001F4471"/>
    <w:rsid w:val="001F44A6"/>
    <w:rsid w:val="001F44BF"/>
    <w:rsid w:val="001F4590"/>
    <w:rsid w:val="001F45B7"/>
    <w:rsid w:val="001F45F0"/>
    <w:rsid w:val="001F4634"/>
    <w:rsid w:val="001F4759"/>
    <w:rsid w:val="001F47AA"/>
    <w:rsid w:val="001F47CC"/>
    <w:rsid w:val="001F480D"/>
    <w:rsid w:val="001F4841"/>
    <w:rsid w:val="001F4871"/>
    <w:rsid w:val="001F4972"/>
    <w:rsid w:val="001F4993"/>
    <w:rsid w:val="001F4A0E"/>
    <w:rsid w:val="001F4A8B"/>
    <w:rsid w:val="001F4A8E"/>
    <w:rsid w:val="001F4AE7"/>
    <w:rsid w:val="001F4B59"/>
    <w:rsid w:val="001F4BA5"/>
    <w:rsid w:val="001F4CAF"/>
    <w:rsid w:val="001F4CB4"/>
    <w:rsid w:val="001F4D50"/>
    <w:rsid w:val="001F4F07"/>
    <w:rsid w:val="001F4FEF"/>
    <w:rsid w:val="001F504F"/>
    <w:rsid w:val="001F50CE"/>
    <w:rsid w:val="001F5113"/>
    <w:rsid w:val="001F5192"/>
    <w:rsid w:val="001F5339"/>
    <w:rsid w:val="001F5399"/>
    <w:rsid w:val="001F53C6"/>
    <w:rsid w:val="001F5471"/>
    <w:rsid w:val="001F5497"/>
    <w:rsid w:val="001F55C8"/>
    <w:rsid w:val="001F55D8"/>
    <w:rsid w:val="001F55FA"/>
    <w:rsid w:val="001F572E"/>
    <w:rsid w:val="001F5747"/>
    <w:rsid w:val="001F576E"/>
    <w:rsid w:val="001F57B7"/>
    <w:rsid w:val="001F57DA"/>
    <w:rsid w:val="001F57F3"/>
    <w:rsid w:val="001F5AAB"/>
    <w:rsid w:val="001F5B96"/>
    <w:rsid w:val="001F5C8A"/>
    <w:rsid w:val="001F5DAF"/>
    <w:rsid w:val="001F5DFE"/>
    <w:rsid w:val="001F5F3B"/>
    <w:rsid w:val="001F5F90"/>
    <w:rsid w:val="001F601F"/>
    <w:rsid w:val="001F604F"/>
    <w:rsid w:val="001F6081"/>
    <w:rsid w:val="001F60B3"/>
    <w:rsid w:val="001F60BE"/>
    <w:rsid w:val="001F61A0"/>
    <w:rsid w:val="001F61C0"/>
    <w:rsid w:val="001F61C8"/>
    <w:rsid w:val="001F61CC"/>
    <w:rsid w:val="001F61DA"/>
    <w:rsid w:val="001F62AA"/>
    <w:rsid w:val="001F62EF"/>
    <w:rsid w:val="001F63C4"/>
    <w:rsid w:val="001F6402"/>
    <w:rsid w:val="001F656E"/>
    <w:rsid w:val="001F65E8"/>
    <w:rsid w:val="001F6612"/>
    <w:rsid w:val="001F667D"/>
    <w:rsid w:val="001F66B0"/>
    <w:rsid w:val="001F66B4"/>
    <w:rsid w:val="001F66DA"/>
    <w:rsid w:val="001F6702"/>
    <w:rsid w:val="001F6861"/>
    <w:rsid w:val="001F68A9"/>
    <w:rsid w:val="001F68D6"/>
    <w:rsid w:val="001F6C54"/>
    <w:rsid w:val="001F6CED"/>
    <w:rsid w:val="001F6D05"/>
    <w:rsid w:val="001F6DD7"/>
    <w:rsid w:val="001F6E2D"/>
    <w:rsid w:val="001F6E56"/>
    <w:rsid w:val="001F6F44"/>
    <w:rsid w:val="001F6FF4"/>
    <w:rsid w:val="001F7081"/>
    <w:rsid w:val="001F70BC"/>
    <w:rsid w:val="001F7117"/>
    <w:rsid w:val="001F716D"/>
    <w:rsid w:val="001F71C1"/>
    <w:rsid w:val="001F71C5"/>
    <w:rsid w:val="001F7326"/>
    <w:rsid w:val="001F7372"/>
    <w:rsid w:val="001F738E"/>
    <w:rsid w:val="001F74BB"/>
    <w:rsid w:val="001F74D6"/>
    <w:rsid w:val="001F759E"/>
    <w:rsid w:val="001F7614"/>
    <w:rsid w:val="001F769F"/>
    <w:rsid w:val="001F76C4"/>
    <w:rsid w:val="001F76D1"/>
    <w:rsid w:val="001F772F"/>
    <w:rsid w:val="001F77C3"/>
    <w:rsid w:val="001F77EC"/>
    <w:rsid w:val="001F7910"/>
    <w:rsid w:val="001F7988"/>
    <w:rsid w:val="001F79B6"/>
    <w:rsid w:val="001F7A67"/>
    <w:rsid w:val="001F7ACA"/>
    <w:rsid w:val="001F7B10"/>
    <w:rsid w:val="001F7B60"/>
    <w:rsid w:val="001F7B69"/>
    <w:rsid w:val="001F7CBF"/>
    <w:rsid w:val="001F7CE9"/>
    <w:rsid w:val="001F7D42"/>
    <w:rsid w:val="001F7D9A"/>
    <w:rsid w:val="001F7DC7"/>
    <w:rsid w:val="001F7DDB"/>
    <w:rsid w:val="001F7E40"/>
    <w:rsid w:val="001F7EE1"/>
    <w:rsid w:val="001F7F79"/>
    <w:rsid w:val="001F7FC7"/>
    <w:rsid w:val="00200011"/>
    <w:rsid w:val="00200018"/>
    <w:rsid w:val="00200048"/>
    <w:rsid w:val="00200147"/>
    <w:rsid w:val="00200193"/>
    <w:rsid w:val="0020025E"/>
    <w:rsid w:val="0020029A"/>
    <w:rsid w:val="0020031E"/>
    <w:rsid w:val="0020039E"/>
    <w:rsid w:val="0020046D"/>
    <w:rsid w:val="002004EE"/>
    <w:rsid w:val="00200518"/>
    <w:rsid w:val="002005A5"/>
    <w:rsid w:val="002005B3"/>
    <w:rsid w:val="00200603"/>
    <w:rsid w:val="00200685"/>
    <w:rsid w:val="002006E7"/>
    <w:rsid w:val="002006F7"/>
    <w:rsid w:val="0020072A"/>
    <w:rsid w:val="0020074C"/>
    <w:rsid w:val="002007DA"/>
    <w:rsid w:val="00200961"/>
    <w:rsid w:val="0020096E"/>
    <w:rsid w:val="00200B00"/>
    <w:rsid w:val="00200C09"/>
    <w:rsid w:val="00200C37"/>
    <w:rsid w:val="00200D12"/>
    <w:rsid w:val="00200D64"/>
    <w:rsid w:val="00200DEF"/>
    <w:rsid w:val="00200FBB"/>
    <w:rsid w:val="002010DE"/>
    <w:rsid w:val="002010E9"/>
    <w:rsid w:val="0020111A"/>
    <w:rsid w:val="0020116D"/>
    <w:rsid w:val="002011F4"/>
    <w:rsid w:val="00201280"/>
    <w:rsid w:val="0020135D"/>
    <w:rsid w:val="002013E2"/>
    <w:rsid w:val="002013F7"/>
    <w:rsid w:val="00201486"/>
    <w:rsid w:val="002015AA"/>
    <w:rsid w:val="002015CB"/>
    <w:rsid w:val="00201602"/>
    <w:rsid w:val="0020163D"/>
    <w:rsid w:val="00201655"/>
    <w:rsid w:val="002017B8"/>
    <w:rsid w:val="002017E3"/>
    <w:rsid w:val="002017E6"/>
    <w:rsid w:val="002018AB"/>
    <w:rsid w:val="002018AE"/>
    <w:rsid w:val="00201920"/>
    <w:rsid w:val="002019CD"/>
    <w:rsid w:val="002019EB"/>
    <w:rsid w:val="00201B10"/>
    <w:rsid w:val="00201B5C"/>
    <w:rsid w:val="00201BD8"/>
    <w:rsid w:val="00201BFE"/>
    <w:rsid w:val="00201CCD"/>
    <w:rsid w:val="00201D5C"/>
    <w:rsid w:val="00201DD2"/>
    <w:rsid w:val="00201DE9"/>
    <w:rsid w:val="00201DFD"/>
    <w:rsid w:val="00201E3C"/>
    <w:rsid w:val="00201F1E"/>
    <w:rsid w:val="00201F4E"/>
    <w:rsid w:val="00201F86"/>
    <w:rsid w:val="00201FDF"/>
    <w:rsid w:val="0020209E"/>
    <w:rsid w:val="002020D3"/>
    <w:rsid w:val="00202204"/>
    <w:rsid w:val="0020226B"/>
    <w:rsid w:val="00202290"/>
    <w:rsid w:val="0020233C"/>
    <w:rsid w:val="002023BA"/>
    <w:rsid w:val="002025A0"/>
    <w:rsid w:val="00202605"/>
    <w:rsid w:val="0020263E"/>
    <w:rsid w:val="0020268D"/>
    <w:rsid w:val="0020269B"/>
    <w:rsid w:val="002026A7"/>
    <w:rsid w:val="002026B8"/>
    <w:rsid w:val="002027D3"/>
    <w:rsid w:val="0020280B"/>
    <w:rsid w:val="0020281A"/>
    <w:rsid w:val="00202830"/>
    <w:rsid w:val="00202886"/>
    <w:rsid w:val="002028C5"/>
    <w:rsid w:val="00202913"/>
    <w:rsid w:val="0020293B"/>
    <w:rsid w:val="002029C0"/>
    <w:rsid w:val="00202A25"/>
    <w:rsid w:val="00202AED"/>
    <w:rsid w:val="00202B9D"/>
    <w:rsid w:val="00202BB2"/>
    <w:rsid w:val="00202BE6"/>
    <w:rsid w:val="00202EC9"/>
    <w:rsid w:val="002030B3"/>
    <w:rsid w:val="00203169"/>
    <w:rsid w:val="0020318D"/>
    <w:rsid w:val="002031C9"/>
    <w:rsid w:val="002031FE"/>
    <w:rsid w:val="002032BD"/>
    <w:rsid w:val="0020343E"/>
    <w:rsid w:val="00203473"/>
    <w:rsid w:val="0020347E"/>
    <w:rsid w:val="0020352B"/>
    <w:rsid w:val="00203542"/>
    <w:rsid w:val="0020355A"/>
    <w:rsid w:val="002035AE"/>
    <w:rsid w:val="00203644"/>
    <w:rsid w:val="00203678"/>
    <w:rsid w:val="0020374F"/>
    <w:rsid w:val="002037A2"/>
    <w:rsid w:val="00203881"/>
    <w:rsid w:val="00203888"/>
    <w:rsid w:val="002038C7"/>
    <w:rsid w:val="0020391D"/>
    <w:rsid w:val="0020398C"/>
    <w:rsid w:val="002039E0"/>
    <w:rsid w:val="00203A2A"/>
    <w:rsid w:val="00203A7F"/>
    <w:rsid w:val="00203B69"/>
    <w:rsid w:val="00203B7F"/>
    <w:rsid w:val="00203BBA"/>
    <w:rsid w:val="00203BEF"/>
    <w:rsid w:val="00203C16"/>
    <w:rsid w:val="00203C19"/>
    <w:rsid w:val="00203C20"/>
    <w:rsid w:val="00203C99"/>
    <w:rsid w:val="00203D39"/>
    <w:rsid w:val="00203DB3"/>
    <w:rsid w:val="00203DEA"/>
    <w:rsid w:val="00203EA1"/>
    <w:rsid w:val="00203EBA"/>
    <w:rsid w:val="00203F3C"/>
    <w:rsid w:val="00203F96"/>
    <w:rsid w:val="002040C8"/>
    <w:rsid w:val="002040EE"/>
    <w:rsid w:val="002040FB"/>
    <w:rsid w:val="0020410C"/>
    <w:rsid w:val="0020412B"/>
    <w:rsid w:val="00204152"/>
    <w:rsid w:val="00204201"/>
    <w:rsid w:val="0020421C"/>
    <w:rsid w:val="0020421F"/>
    <w:rsid w:val="00204242"/>
    <w:rsid w:val="00204260"/>
    <w:rsid w:val="00204267"/>
    <w:rsid w:val="00204311"/>
    <w:rsid w:val="00204322"/>
    <w:rsid w:val="0020438F"/>
    <w:rsid w:val="0020447C"/>
    <w:rsid w:val="002045AC"/>
    <w:rsid w:val="00204661"/>
    <w:rsid w:val="0020467F"/>
    <w:rsid w:val="002046A0"/>
    <w:rsid w:val="0020480A"/>
    <w:rsid w:val="00204849"/>
    <w:rsid w:val="00204866"/>
    <w:rsid w:val="00204899"/>
    <w:rsid w:val="002048BC"/>
    <w:rsid w:val="002048F3"/>
    <w:rsid w:val="00204903"/>
    <w:rsid w:val="0020491F"/>
    <w:rsid w:val="002049DA"/>
    <w:rsid w:val="00204A5D"/>
    <w:rsid w:val="00204A8B"/>
    <w:rsid w:val="00204B24"/>
    <w:rsid w:val="00204B55"/>
    <w:rsid w:val="00204B9D"/>
    <w:rsid w:val="00204C46"/>
    <w:rsid w:val="00204D47"/>
    <w:rsid w:val="00204E08"/>
    <w:rsid w:val="00204E2B"/>
    <w:rsid w:val="00204EC6"/>
    <w:rsid w:val="00204EFA"/>
    <w:rsid w:val="00204FC0"/>
    <w:rsid w:val="00204FFC"/>
    <w:rsid w:val="0020506C"/>
    <w:rsid w:val="00205110"/>
    <w:rsid w:val="00205164"/>
    <w:rsid w:val="00205189"/>
    <w:rsid w:val="0020529E"/>
    <w:rsid w:val="0020533E"/>
    <w:rsid w:val="00205358"/>
    <w:rsid w:val="002053D3"/>
    <w:rsid w:val="0020540E"/>
    <w:rsid w:val="00205597"/>
    <w:rsid w:val="002055BB"/>
    <w:rsid w:val="002055E9"/>
    <w:rsid w:val="002055F2"/>
    <w:rsid w:val="00205690"/>
    <w:rsid w:val="0020577B"/>
    <w:rsid w:val="002057ED"/>
    <w:rsid w:val="0020586A"/>
    <w:rsid w:val="002059C4"/>
    <w:rsid w:val="002059F9"/>
    <w:rsid w:val="00205AEC"/>
    <w:rsid w:val="00205B58"/>
    <w:rsid w:val="00205C24"/>
    <w:rsid w:val="00205C33"/>
    <w:rsid w:val="00205C84"/>
    <w:rsid w:val="00205C8B"/>
    <w:rsid w:val="00205CDE"/>
    <w:rsid w:val="00205DB5"/>
    <w:rsid w:val="00205E41"/>
    <w:rsid w:val="00205EAE"/>
    <w:rsid w:val="00205ED9"/>
    <w:rsid w:val="00205EE9"/>
    <w:rsid w:val="00205FFC"/>
    <w:rsid w:val="002060E0"/>
    <w:rsid w:val="002060E2"/>
    <w:rsid w:val="00206104"/>
    <w:rsid w:val="002062DF"/>
    <w:rsid w:val="002062F5"/>
    <w:rsid w:val="00206314"/>
    <w:rsid w:val="0020632A"/>
    <w:rsid w:val="0020638A"/>
    <w:rsid w:val="002063AF"/>
    <w:rsid w:val="002063BF"/>
    <w:rsid w:val="00206571"/>
    <w:rsid w:val="00206572"/>
    <w:rsid w:val="002065B8"/>
    <w:rsid w:val="0020663A"/>
    <w:rsid w:val="0020664C"/>
    <w:rsid w:val="0020669D"/>
    <w:rsid w:val="002067B1"/>
    <w:rsid w:val="00206817"/>
    <w:rsid w:val="00206876"/>
    <w:rsid w:val="00206894"/>
    <w:rsid w:val="002068B1"/>
    <w:rsid w:val="002069B7"/>
    <w:rsid w:val="00206A62"/>
    <w:rsid w:val="00206AF2"/>
    <w:rsid w:val="00206BE7"/>
    <w:rsid w:val="00206C1B"/>
    <w:rsid w:val="00206D7D"/>
    <w:rsid w:val="00206EAC"/>
    <w:rsid w:val="00206EB3"/>
    <w:rsid w:val="00206EEF"/>
    <w:rsid w:val="00206EFE"/>
    <w:rsid w:val="00206F58"/>
    <w:rsid w:val="00206F60"/>
    <w:rsid w:val="00207089"/>
    <w:rsid w:val="00207114"/>
    <w:rsid w:val="00207158"/>
    <w:rsid w:val="00207544"/>
    <w:rsid w:val="0020757A"/>
    <w:rsid w:val="002075C7"/>
    <w:rsid w:val="002075E9"/>
    <w:rsid w:val="00207723"/>
    <w:rsid w:val="00207799"/>
    <w:rsid w:val="002077A0"/>
    <w:rsid w:val="002077BA"/>
    <w:rsid w:val="002077BB"/>
    <w:rsid w:val="002077D2"/>
    <w:rsid w:val="002077EC"/>
    <w:rsid w:val="002077FE"/>
    <w:rsid w:val="00207842"/>
    <w:rsid w:val="00207899"/>
    <w:rsid w:val="002078A0"/>
    <w:rsid w:val="002078C3"/>
    <w:rsid w:val="002079DE"/>
    <w:rsid w:val="00207AAC"/>
    <w:rsid w:val="00207C0F"/>
    <w:rsid w:val="00207CC4"/>
    <w:rsid w:val="00207E9A"/>
    <w:rsid w:val="00207EE7"/>
    <w:rsid w:val="00207F1B"/>
    <w:rsid w:val="00210110"/>
    <w:rsid w:val="002101E2"/>
    <w:rsid w:val="002101FB"/>
    <w:rsid w:val="0021028A"/>
    <w:rsid w:val="00210360"/>
    <w:rsid w:val="002105D2"/>
    <w:rsid w:val="002105F8"/>
    <w:rsid w:val="00210600"/>
    <w:rsid w:val="00210666"/>
    <w:rsid w:val="00210694"/>
    <w:rsid w:val="00210790"/>
    <w:rsid w:val="002107B7"/>
    <w:rsid w:val="002107F1"/>
    <w:rsid w:val="0021099F"/>
    <w:rsid w:val="002109E3"/>
    <w:rsid w:val="002109E9"/>
    <w:rsid w:val="00210AE5"/>
    <w:rsid w:val="00210B2A"/>
    <w:rsid w:val="00210B40"/>
    <w:rsid w:val="00210BB7"/>
    <w:rsid w:val="00210C32"/>
    <w:rsid w:val="00210C45"/>
    <w:rsid w:val="00210D12"/>
    <w:rsid w:val="00210E15"/>
    <w:rsid w:val="00210EA2"/>
    <w:rsid w:val="00210EE5"/>
    <w:rsid w:val="00210EEF"/>
    <w:rsid w:val="00210F38"/>
    <w:rsid w:val="00210F93"/>
    <w:rsid w:val="00211052"/>
    <w:rsid w:val="002111EC"/>
    <w:rsid w:val="0021120F"/>
    <w:rsid w:val="0021126C"/>
    <w:rsid w:val="0021128C"/>
    <w:rsid w:val="00211321"/>
    <w:rsid w:val="0021138D"/>
    <w:rsid w:val="002113A3"/>
    <w:rsid w:val="002113B8"/>
    <w:rsid w:val="002113D4"/>
    <w:rsid w:val="002113F1"/>
    <w:rsid w:val="00211402"/>
    <w:rsid w:val="00211460"/>
    <w:rsid w:val="0021149E"/>
    <w:rsid w:val="00211548"/>
    <w:rsid w:val="0021154E"/>
    <w:rsid w:val="002115BB"/>
    <w:rsid w:val="002115D0"/>
    <w:rsid w:val="002115D5"/>
    <w:rsid w:val="00211723"/>
    <w:rsid w:val="00211737"/>
    <w:rsid w:val="0021190B"/>
    <w:rsid w:val="00211991"/>
    <w:rsid w:val="002119C1"/>
    <w:rsid w:val="002119CF"/>
    <w:rsid w:val="00211BD7"/>
    <w:rsid w:val="00211C26"/>
    <w:rsid w:val="00211C67"/>
    <w:rsid w:val="00211CA7"/>
    <w:rsid w:val="00211D2C"/>
    <w:rsid w:val="00211D5D"/>
    <w:rsid w:val="00211DB5"/>
    <w:rsid w:val="00211EBB"/>
    <w:rsid w:val="00211EC8"/>
    <w:rsid w:val="00212128"/>
    <w:rsid w:val="002123BF"/>
    <w:rsid w:val="00212404"/>
    <w:rsid w:val="00212448"/>
    <w:rsid w:val="00212488"/>
    <w:rsid w:val="00212537"/>
    <w:rsid w:val="00212555"/>
    <w:rsid w:val="002125A9"/>
    <w:rsid w:val="002125F2"/>
    <w:rsid w:val="00212633"/>
    <w:rsid w:val="00212658"/>
    <w:rsid w:val="0021267E"/>
    <w:rsid w:val="002126FA"/>
    <w:rsid w:val="0021274B"/>
    <w:rsid w:val="0021274D"/>
    <w:rsid w:val="00212757"/>
    <w:rsid w:val="00212851"/>
    <w:rsid w:val="00212953"/>
    <w:rsid w:val="002129FD"/>
    <w:rsid w:val="00212A54"/>
    <w:rsid w:val="00212AC6"/>
    <w:rsid w:val="00212B8A"/>
    <w:rsid w:val="00212BD0"/>
    <w:rsid w:val="00212BF4"/>
    <w:rsid w:val="00212C0D"/>
    <w:rsid w:val="00212CFC"/>
    <w:rsid w:val="00212D99"/>
    <w:rsid w:val="00212DA0"/>
    <w:rsid w:val="00213059"/>
    <w:rsid w:val="002130E8"/>
    <w:rsid w:val="00213162"/>
    <w:rsid w:val="00213170"/>
    <w:rsid w:val="002131C6"/>
    <w:rsid w:val="00213338"/>
    <w:rsid w:val="0021335C"/>
    <w:rsid w:val="0021336B"/>
    <w:rsid w:val="002133E4"/>
    <w:rsid w:val="002133F4"/>
    <w:rsid w:val="002134A0"/>
    <w:rsid w:val="002134EB"/>
    <w:rsid w:val="0021354C"/>
    <w:rsid w:val="00213581"/>
    <w:rsid w:val="00213640"/>
    <w:rsid w:val="00213647"/>
    <w:rsid w:val="00213721"/>
    <w:rsid w:val="00213751"/>
    <w:rsid w:val="00213772"/>
    <w:rsid w:val="0021377E"/>
    <w:rsid w:val="00213806"/>
    <w:rsid w:val="00213845"/>
    <w:rsid w:val="002139B8"/>
    <w:rsid w:val="002139C1"/>
    <w:rsid w:val="00213AA4"/>
    <w:rsid w:val="00213B58"/>
    <w:rsid w:val="00213B78"/>
    <w:rsid w:val="00213BCD"/>
    <w:rsid w:val="00213C2E"/>
    <w:rsid w:val="00213C62"/>
    <w:rsid w:val="00213CEA"/>
    <w:rsid w:val="00213DB4"/>
    <w:rsid w:val="00213DE8"/>
    <w:rsid w:val="00213E47"/>
    <w:rsid w:val="00213EA7"/>
    <w:rsid w:val="00213FCA"/>
    <w:rsid w:val="00213FDC"/>
    <w:rsid w:val="00213FE8"/>
    <w:rsid w:val="00214100"/>
    <w:rsid w:val="002141EC"/>
    <w:rsid w:val="00214270"/>
    <w:rsid w:val="002143C1"/>
    <w:rsid w:val="002143CA"/>
    <w:rsid w:val="002143F4"/>
    <w:rsid w:val="00214452"/>
    <w:rsid w:val="002144B9"/>
    <w:rsid w:val="002144BB"/>
    <w:rsid w:val="00214569"/>
    <w:rsid w:val="002147D3"/>
    <w:rsid w:val="00214889"/>
    <w:rsid w:val="00214937"/>
    <w:rsid w:val="0021493A"/>
    <w:rsid w:val="00214977"/>
    <w:rsid w:val="002149B0"/>
    <w:rsid w:val="00214A07"/>
    <w:rsid w:val="00214A2F"/>
    <w:rsid w:val="00214B27"/>
    <w:rsid w:val="00214B37"/>
    <w:rsid w:val="00214BD0"/>
    <w:rsid w:val="00214C6B"/>
    <w:rsid w:val="00214CE2"/>
    <w:rsid w:val="00214D63"/>
    <w:rsid w:val="00214EA6"/>
    <w:rsid w:val="00214EAF"/>
    <w:rsid w:val="00215036"/>
    <w:rsid w:val="002150CD"/>
    <w:rsid w:val="0021518E"/>
    <w:rsid w:val="002151C5"/>
    <w:rsid w:val="0021525B"/>
    <w:rsid w:val="00215288"/>
    <w:rsid w:val="002152D3"/>
    <w:rsid w:val="002152DF"/>
    <w:rsid w:val="00215304"/>
    <w:rsid w:val="002153B8"/>
    <w:rsid w:val="00215421"/>
    <w:rsid w:val="002154F3"/>
    <w:rsid w:val="002155AB"/>
    <w:rsid w:val="002156FB"/>
    <w:rsid w:val="00215723"/>
    <w:rsid w:val="0021577A"/>
    <w:rsid w:val="00215787"/>
    <w:rsid w:val="0021578C"/>
    <w:rsid w:val="00215A18"/>
    <w:rsid w:val="00215A98"/>
    <w:rsid w:val="00215AE6"/>
    <w:rsid w:val="00215AED"/>
    <w:rsid w:val="00215B05"/>
    <w:rsid w:val="00215B0B"/>
    <w:rsid w:val="00215B2D"/>
    <w:rsid w:val="00215B7A"/>
    <w:rsid w:val="00215D68"/>
    <w:rsid w:val="00215D6F"/>
    <w:rsid w:val="00215DC2"/>
    <w:rsid w:val="00215E28"/>
    <w:rsid w:val="00215EC6"/>
    <w:rsid w:val="00215F36"/>
    <w:rsid w:val="00215F63"/>
    <w:rsid w:val="00215F79"/>
    <w:rsid w:val="00215F81"/>
    <w:rsid w:val="00215FA8"/>
    <w:rsid w:val="00216002"/>
    <w:rsid w:val="00216058"/>
    <w:rsid w:val="00216060"/>
    <w:rsid w:val="00216137"/>
    <w:rsid w:val="0021614E"/>
    <w:rsid w:val="00216171"/>
    <w:rsid w:val="002161E0"/>
    <w:rsid w:val="00216351"/>
    <w:rsid w:val="00216375"/>
    <w:rsid w:val="002163B7"/>
    <w:rsid w:val="002163C4"/>
    <w:rsid w:val="0021640D"/>
    <w:rsid w:val="0021643E"/>
    <w:rsid w:val="00216465"/>
    <w:rsid w:val="0021646F"/>
    <w:rsid w:val="00216593"/>
    <w:rsid w:val="002165C7"/>
    <w:rsid w:val="00216611"/>
    <w:rsid w:val="0021663D"/>
    <w:rsid w:val="002166E6"/>
    <w:rsid w:val="00216722"/>
    <w:rsid w:val="00216887"/>
    <w:rsid w:val="002168A4"/>
    <w:rsid w:val="002168F6"/>
    <w:rsid w:val="002169C0"/>
    <w:rsid w:val="00216A3C"/>
    <w:rsid w:val="00216A9B"/>
    <w:rsid w:val="00216B48"/>
    <w:rsid w:val="00216C55"/>
    <w:rsid w:val="00216CE8"/>
    <w:rsid w:val="00216CF1"/>
    <w:rsid w:val="00216D60"/>
    <w:rsid w:val="00216DF6"/>
    <w:rsid w:val="00216E13"/>
    <w:rsid w:val="00216E75"/>
    <w:rsid w:val="00216EF4"/>
    <w:rsid w:val="00216F56"/>
    <w:rsid w:val="00216FE4"/>
    <w:rsid w:val="00217035"/>
    <w:rsid w:val="0021706A"/>
    <w:rsid w:val="002170F0"/>
    <w:rsid w:val="00217131"/>
    <w:rsid w:val="00217233"/>
    <w:rsid w:val="0021727A"/>
    <w:rsid w:val="002172AA"/>
    <w:rsid w:val="0021738E"/>
    <w:rsid w:val="00217404"/>
    <w:rsid w:val="0021745B"/>
    <w:rsid w:val="00217587"/>
    <w:rsid w:val="00217620"/>
    <w:rsid w:val="0021762D"/>
    <w:rsid w:val="00217695"/>
    <w:rsid w:val="00217808"/>
    <w:rsid w:val="0021794B"/>
    <w:rsid w:val="0021796F"/>
    <w:rsid w:val="002179A3"/>
    <w:rsid w:val="00217A43"/>
    <w:rsid w:val="00217A88"/>
    <w:rsid w:val="00217AF7"/>
    <w:rsid w:val="00217B11"/>
    <w:rsid w:val="00217B12"/>
    <w:rsid w:val="00217B52"/>
    <w:rsid w:val="00217B7A"/>
    <w:rsid w:val="00217B95"/>
    <w:rsid w:val="00217D3D"/>
    <w:rsid w:val="00217D9C"/>
    <w:rsid w:val="00217DBF"/>
    <w:rsid w:val="00217E0C"/>
    <w:rsid w:val="00217E32"/>
    <w:rsid w:val="00217EA0"/>
    <w:rsid w:val="00217EC5"/>
    <w:rsid w:val="00217F5A"/>
    <w:rsid w:val="00217F79"/>
    <w:rsid w:val="002201AB"/>
    <w:rsid w:val="002201BA"/>
    <w:rsid w:val="002201F1"/>
    <w:rsid w:val="002201F4"/>
    <w:rsid w:val="002202B3"/>
    <w:rsid w:val="002202D3"/>
    <w:rsid w:val="00220342"/>
    <w:rsid w:val="00220438"/>
    <w:rsid w:val="00220480"/>
    <w:rsid w:val="00220490"/>
    <w:rsid w:val="002204C7"/>
    <w:rsid w:val="002204CA"/>
    <w:rsid w:val="002204CF"/>
    <w:rsid w:val="002204E1"/>
    <w:rsid w:val="00220534"/>
    <w:rsid w:val="00220571"/>
    <w:rsid w:val="00220599"/>
    <w:rsid w:val="002205A3"/>
    <w:rsid w:val="00220609"/>
    <w:rsid w:val="0022060E"/>
    <w:rsid w:val="002206A8"/>
    <w:rsid w:val="002206CC"/>
    <w:rsid w:val="002206E8"/>
    <w:rsid w:val="002206F7"/>
    <w:rsid w:val="00220700"/>
    <w:rsid w:val="00220749"/>
    <w:rsid w:val="002208AE"/>
    <w:rsid w:val="002208C2"/>
    <w:rsid w:val="002208F9"/>
    <w:rsid w:val="00220900"/>
    <w:rsid w:val="0022094F"/>
    <w:rsid w:val="002209A4"/>
    <w:rsid w:val="00220AB1"/>
    <w:rsid w:val="00220AEC"/>
    <w:rsid w:val="00220C2F"/>
    <w:rsid w:val="00220CB7"/>
    <w:rsid w:val="00220CE4"/>
    <w:rsid w:val="00220D35"/>
    <w:rsid w:val="00220D74"/>
    <w:rsid w:val="00220E90"/>
    <w:rsid w:val="00221018"/>
    <w:rsid w:val="00221036"/>
    <w:rsid w:val="00221048"/>
    <w:rsid w:val="0022106B"/>
    <w:rsid w:val="00221131"/>
    <w:rsid w:val="00221165"/>
    <w:rsid w:val="002211AB"/>
    <w:rsid w:val="002211B5"/>
    <w:rsid w:val="0022120A"/>
    <w:rsid w:val="00221223"/>
    <w:rsid w:val="00221227"/>
    <w:rsid w:val="002212C3"/>
    <w:rsid w:val="002212E3"/>
    <w:rsid w:val="0022134F"/>
    <w:rsid w:val="0022137B"/>
    <w:rsid w:val="002213E6"/>
    <w:rsid w:val="0022145C"/>
    <w:rsid w:val="002214A8"/>
    <w:rsid w:val="002214FD"/>
    <w:rsid w:val="00221595"/>
    <w:rsid w:val="00221609"/>
    <w:rsid w:val="0022168D"/>
    <w:rsid w:val="002216BF"/>
    <w:rsid w:val="00221713"/>
    <w:rsid w:val="00221723"/>
    <w:rsid w:val="0022187F"/>
    <w:rsid w:val="0022193C"/>
    <w:rsid w:val="002219E5"/>
    <w:rsid w:val="00221A1A"/>
    <w:rsid w:val="00221B84"/>
    <w:rsid w:val="00221B97"/>
    <w:rsid w:val="00221BE5"/>
    <w:rsid w:val="00221C05"/>
    <w:rsid w:val="00221C07"/>
    <w:rsid w:val="00221C3F"/>
    <w:rsid w:val="00221CCC"/>
    <w:rsid w:val="00221D00"/>
    <w:rsid w:val="00221DBF"/>
    <w:rsid w:val="00221EB0"/>
    <w:rsid w:val="00221FD0"/>
    <w:rsid w:val="00222013"/>
    <w:rsid w:val="00222082"/>
    <w:rsid w:val="002220EF"/>
    <w:rsid w:val="002222FA"/>
    <w:rsid w:val="00222387"/>
    <w:rsid w:val="0022245B"/>
    <w:rsid w:val="002224AA"/>
    <w:rsid w:val="002224DD"/>
    <w:rsid w:val="002224F9"/>
    <w:rsid w:val="00222541"/>
    <w:rsid w:val="002226BF"/>
    <w:rsid w:val="002227C9"/>
    <w:rsid w:val="0022288C"/>
    <w:rsid w:val="002229E4"/>
    <w:rsid w:val="00222B31"/>
    <w:rsid w:val="00222B4B"/>
    <w:rsid w:val="00222B6E"/>
    <w:rsid w:val="00222BA3"/>
    <w:rsid w:val="00222C10"/>
    <w:rsid w:val="00222D35"/>
    <w:rsid w:val="00222DE8"/>
    <w:rsid w:val="00222EB6"/>
    <w:rsid w:val="00222ECF"/>
    <w:rsid w:val="00222FA1"/>
    <w:rsid w:val="0022305B"/>
    <w:rsid w:val="00223126"/>
    <w:rsid w:val="002231F4"/>
    <w:rsid w:val="002233C3"/>
    <w:rsid w:val="00223435"/>
    <w:rsid w:val="00223500"/>
    <w:rsid w:val="002235EE"/>
    <w:rsid w:val="00223606"/>
    <w:rsid w:val="0022361D"/>
    <w:rsid w:val="00223654"/>
    <w:rsid w:val="00223681"/>
    <w:rsid w:val="002237C0"/>
    <w:rsid w:val="002237D2"/>
    <w:rsid w:val="00223979"/>
    <w:rsid w:val="00223987"/>
    <w:rsid w:val="00223A17"/>
    <w:rsid w:val="00223A50"/>
    <w:rsid w:val="00223B4D"/>
    <w:rsid w:val="00223BEE"/>
    <w:rsid w:val="00223C79"/>
    <w:rsid w:val="00223CCB"/>
    <w:rsid w:val="00223D0C"/>
    <w:rsid w:val="00223D48"/>
    <w:rsid w:val="00223D7F"/>
    <w:rsid w:val="00223F24"/>
    <w:rsid w:val="00223F92"/>
    <w:rsid w:val="00223FB9"/>
    <w:rsid w:val="00223FBC"/>
    <w:rsid w:val="00223FE4"/>
    <w:rsid w:val="00224074"/>
    <w:rsid w:val="002240CE"/>
    <w:rsid w:val="002240DE"/>
    <w:rsid w:val="0022420C"/>
    <w:rsid w:val="00224220"/>
    <w:rsid w:val="0022422C"/>
    <w:rsid w:val="00224246"/>
    <w:rsid w:val="00224286"/>
    <w:rsid w:val="00224348"/>
    <w:rsid w:val="002243CD"/>
    <w:rsid w:val="002243F4"/>
    <w:rsid w:val="00224475"/>
    <w:rsid w:val="00224532"/>
    <w:rsid w:val="0022458B"/>
    <w:rsid w:val="00224698"/>
    <w:rsid w:val="002246C6"/>
    <w:rsid w:val="00224733"/>
    <w:rsid w:val="0022474B"/>
    <w:rsid w:val="0022475D"/>
    <w:rsid w:val="0022477F"/>
    <w:rsid w:val="00224838"/>
    <w:rsid w:val="00224925"/>
    <w:rsid w:val="00224946"/>
    <w:rsid w:val="002249BE"/>
    <w:rsid w:val="00224A16"/>
    <w:rsid w:val="00224A27"/>
    <w:rsid w:val="00224AD5"/>
    <w:rsid w:val="00224AD6"/>
    <w:rsid w:val="00224B6D"/>
    <w:rsid w:val="00224BBD"/>
    <w:rsid w:val="00224BEC"/>
    <w:rsid w:val="00224D2B"/>
    <w:rsid w:val="00224D4C"/>
    <w:rsid w:val="00224D63"/>
    <w:rsid w:val="00224F54"/>
    <w:rsid w:val="00224F7E"/>
    <w:rsid w:val="00225012"/>
    <w:rsid w:val="002250F5"/>
    <w:rsid w:val="00225118"/>
    <w:rsid w:val="00225167"/>
    <w:rsid w:val="0022519A"/>
    <w:rsid w:val="002251C9"/>
    <w:rsid w:val="00225262"/>
    <w:rsid w:val="0022530F"/>
    <w:rsid w:val="0022532E"/>
    <w:rsid w:val="002253C2"/>
    <w:rsid w:val="0022540F"/>
    <w:rsid w:val="002255BB"/>
    <w:rsid w:val="0022565A"/>
    <w:rsid w:val="00225684"/>
    <w:rsid w:val="002256E3"/>
    <w:rsid w:val="00225772"/>
    <w:rsid w:val="00225806"/>
    <w:rsid w:val="002258B4"/>
    <w:rsid w:val="00225984"/>
    <w:rsid w:val="002259A5"/>
    <w:rsid w:val="002259FD"/>
    <w:rsid w:val="00225A12"/>
    <w:rsid w:val="00225A34"/>
    <w:rsid w:val="00225A4B"/>
    <w:rsid w:val="00225AA4"/>
    <w:rsid w:val="00225B64"/>
    <w:rsid w:val="00225CB4"/>
    <w:rsid w:val="00225CC6"/>
    <w:rsid w:val="00225CDF"/>
    <w:rsid w:val="00225E0C"/>
    <w:rsid w:val="00225E16"/>
    <w:rsid w:val="00225E2C"/>
    <w:rsid w:val="00225FAC"/>
    <w:rsid w:val="00226073"/>
    <w:rsid w:val="0022617B"/>
    <w:rsid w:val="002261F4"/>
    <w:rsid w:val="00226205"/>
    <w:rsid w:val="00226236"/>
    <w:rsid w:val="0022625C"/>
    <w:rsid w:val="0022631B"/>
    <w:rsid w:val="0022635B"/>
    <w:rsid w:val="0022636A"/>
    <w:rsid w:val="00226372"/>
    <w:rsid w:val="0022648A"/>
    <w:rsid w:val="00226565"/>
    <w:rsid w:val="00226673"/>
    <w:rsid w:val="002266DB"/>
    <w:rsid w:val="002266F0"/>
    <w:rsid w:val="00226777"/>
    <w:rsid w:val="002267AD"/>
    <w:rsid w:val="002267E4"/>
    <w:rsid w:val="002267F5"/>
    <w:rsid w:val="0022689E"/>
    <w:rsid w:val="002268FF"/>
    <w:rsid w:val="00226AB3"/>
    <w:rsid w:val="00226ACE"/>
    <w:rsid w:val="00226AF0"/>
    <w:rsid w:val="00226B2F"/>
    <w:rsid w:val="00226B5D"/>
    <w:rsid w:val="00226BF3"/>
    <w:rsid w:val="00226C86"/>
    <w:rsid w:val="00226CAA"/>
    <w:rsid w:val="00226CFF"/>
    <w:rsid w:val="00226D06"/>
    <w:rsid w:val="00226D86"/>
    <w:rsid w:val="00226DC0"/>
    <w:rsid w:val="00226DF1"/>
    <w:rsid w:val="00226FC0"/>
    <w:rsid w:val="0022701D"/>
    <w:rsid w:val="0022702E"/>
    <w:rsid w:val="0022709A"/>
    <w:rsid w:val="00227131"/>
    <w:rsid w:val="00227174"/>
    <w:rsid w:val="00227179"/>
    <w:rsid w:val="002271ED"/>
    <w:rsid w:val="0022722D"/>
    <w:rsid w:val="0022724E"/>
    <w:rsid w:val="0022726C"/>
    <w:rsid w:val="00227288"/>
    <w:rsid w:val="002272A1"/>
    <w:rsid w:val="002273D5"/>
    <w:rsid w:val="002273F3"/>
    <w:rsid w:val="002274F6"/>
    <w:rsid w:val="002275EA"/>
    <w:rsid w:val="00227704"/>
    <w:rsid w:val="0022771F"/>
    <w:rsid w:val="002277CC"/>
    <w:rsid w:val="002277CE"/>
    <w:rsid w:val="002277E0"/>
    <w:rsid w:val="0022787F"/>
    <w:rsid w:val="002278D8"/>
    <w:rsid w:val="00227A06"/>
    <w:rsid w:val="00227AE3"/>
    <w:rsid w:val="00227B0B"/>
    <w:rsid w:val="00227B5D"/>
    <w:rsid w:val="00227BA7"/>
    <w:rsid w:val="00227C38"/>
    <w:rsid w:val="00227C7A"/>
    <w:rsid w:val="00227CE8"/>
    <w:rsid w:val="00227E5B"/>
    <w:rsid w:val="00227E7F"/>
    <w:rsid w:val="00227EAA"/>
    <w:rsid w:val="00227F20"/>
    <w:rsid w:val="002301A2"/>
    <w:rsid w:val="00230240"/>
    <w:rsid w:val="002303AD"/>
    <w:rsid w:val="002303C3"/>
    <w:rsid w:val="002304C1"/>
    <w:rsid w:val="00230500"/>
    <w:rsid w:val="002305D1"/>
    <w:rsid w:val="00230630"/>
    <w:rsid w:val="00230658"/>
    <w:rsid w:val="00230666"/>
    <w:rsid w:val="002306BA"/>
    <w:rsid w:val="00230701"/>
    <w:rsid w:val="002307B2"/>
    <w:rsid w:val="002307EB"/>
    <w:rsid w:val="00230882"/>
    <w:rsid w:val="002308C0"/>
    <w:rsid w:val="002308D4"/>
    <w:rsid w:val="0023092A"/>
    <w:rsid w:val="0023095F"/>
    <w:rsid w:val="00230AD4"/>
    <w:rsid w:val="00230AD8"/>
    <w:rsid w:val="00230BB8"/>
    <w:rsid w:val="00230BBA"/>
    <w:rsid w:val="00230CD0"/>
    <w:rsid w:val="00230D4C"/>
    <w:rsid w:val="00230D52"/>
    <w:rsid w:val="00230E6E"/>
    <w:rsid w:val="00230EFE"/>
    <w:rsid w:val="00230F75"/>
    <w:rsid w:val="00230FBD"/>
    <w:rsid w:val="0023105F"/>
    <w:rsid w:val="002310E1"/>
    <w:rsid w:val="002310FC"/>
    <w:rsid w:val="002310FF"/>
    <w:rsid w:val="0023112C"/>
    <w:rsid w:val="00231153"/>
    <w:rsid w:val="002311D6"/>
    <w:rsid w:val="0023153C"/>
    <w:rsid w:val="0023153E"/>
    <w:rsid w:val="002315C9"/>
    <w:rsid w:val="0023169D"/>
    <w:rsid w:val="00231701"/>
    <w:rsid w:val="0023170F"/>
    <w:rsid w:val="002317DE"/>
    <w:rsid w:val="00231812"/>
    <w:rsid w:val="002318E3"/>
    <w:rsid w:val="00231920"/>
    <w:rsid w:val="0023198E"/>
    <w:rsid w:val="00231A63"/>
    <w:rsid w:val="00231AD8"/>
    <w:rsid w:val="00231C1E"/>
    <w:rsid w:val="00231C37"/>
    <w:rsid w:val="00231DB1"/>
    <w:rsid w:val="00231DFC"/>
    <w:rsid w:val="00231E32"/>
    <w:rsid w:val="00231EAB"/>
    <w:rsid w:val="00231F45"/>
    <w:rsid w:val="00231F79"/>
    <w:rsid w:val="00232008"/>
    <w:rsid w:val="0023203D"/>
    <w:rsid w:val="002320B4"/>
    <w:rsid w:val="00232427"/>
    <w:rsid w:val="002324CA"/>
    <w:rsid w:val="0023252E"/>
    <w:rsid w:val="00232617"/>
    <w:rsid w:val="00232717"/>
    <w:rsid w:val="002327E5"/>
    <w:rsid w:val="00232866"/>
    <w:rsid w:val="0023286C"/>
    <w:rsid w:val="002328CE"/>
    <w:rsid w:val="00232904"/>
    <w:rsid w:val="002329A6"/>
    <w:rsid w:val="002329D9"/>
    <w:rsid w:val="00232B26"/>
    <w:rsid w:val="00232B68"/>
    <w:rsid w:val="00232B71"/>
    <w:rsid w:val="00232BE2"/>
    <w:rsid w:val="00232C94"/>
    <w:rsid w:val="00232CE5"/>
    <w:rsid w:val="00232D78"/>
    <w:rsid w:val="00232D8D"/>
    <w:rsid w:val="00232DF1"/>
    <w:rsid w:val="00232EE2"/>
    <w:rsid w:val="00232F4C"/>
    <w:rsid w:val="00232F82"/>
    <w:rsid w:val="00233053"/>
    <w:rsid w:val="002330CA"/>
    <w:rsid w:val="0023318B"/>
    <w:rsid w:val="0023320F"/>
    <w:rsid w:val="00233244"/>
    <w:rsid w:val="00233471"/>
    <w:rsid w:val="002334AD"/>
    <w:rsid w:val="002334D8"/>
    <w:rsid w:val="00233547"/>
    <w:rsid w:val="00233574"/>
    <w:rsid w:val="00233593"/>
    <w:rsid w:val="00233644"/>
    <w:rsid w:val="00233691"/>
    <w:rsid w:val="00233712"/>
    <w:rsid w:val="0023371B"/>
    <w:rsid w:val="00233833"/>
    <w:rsid w:val="00233854"/>
    <w:rsid w:val="00233914"/>
    <w:rsid w:val="00233924"/>
    <w:rsid w:val="0023397B"/>
    <w:rsid w:val="00233A43"/>
    <w:rsid w:val="00233A69"/>
    <w:rsid w:val="00233AAA"/>
    <w:rsid w:val="00233AC9"/>
    <w:rsid w:val="00233AD9"/>
    <w:rsid w:val="00233B85"/>
    <w:rsid w:val="00233C6D"/>
    <w:rsid w:val="00233DF9"/>
    <w:rsid w:val="00233E75"/>
    <w:rsid w:val="00234032"/>
    <w:rsid w:val="00234080"/>
    <w:rsid w:val="0023415D"/>
    <w:rsid w:val="00234282"/>
    <w:rsid w:val="002342E8"/>
    <w:rsid w:val="00234339"/>
    <w:rsid w:val="002343A0"/>
    <w:rsid w:val="002343F9"/>
    <w:rsid w:val="002346BD"/>
    <w:rsid w:val="002346D5"/>
    <w:rsid w:val="00234702"/>
    <w:rsid w:val="0023477F"/>
    <w:rsid w:val="0023484F"/>
    <w:rsid w:val="00234940"/>
    <w:rsid w:val="0023499F"/>
    <w:rsid w:val="00234ABD"/>
    <w:rsid w:val="00234B6B"/>
    <w:rsid w:val="00234C0B"/>
    <w:rsid w:val="00234C15"/>
    <w:rsid w:val="00234D0C"/>
    <w:rsid w:val="00234D1B"/>
    <w:rsid w:val="00234D2A"/>
    <w:rsid w:val="00234D9D"/>
    <w:rsid w:val="00234DAE"/>
    <w:rsid w:val="00234DE5"/>
    <w:rsid w:val="00234DF4"/>
    <w:rsid w:val="00234E17"/>
    <w:rsid w:val="00234E9F"/>
    <w:rsid w:val="00234ECE"/>
    <w:rsid w:val="00234F2A"/>
    <w:rsid w:val="00234F63"/>
    <w:rsid w:val="00234FBD"/>
    <w:rsid w:val="00235013"/>
    <w:rsid w:val="00235062"/>
    <w:rsid w:val="002351DF"/>
    <w:rsid w:val="0023524C"/>
    <w:rsid w:val="0023526A"/>
    <w:rsid w:val="00235282"/>
    <w:rsid w:val="00235307"/>
    <w:rsid w:val="0023541B"/>
    <w:rsid w:val="0023546E"/>
    <w:rsid w:val="002354C0"/>
    <w:rsid w:val="002354DC"/>
    <w:rsid w:val="002354E5"/>
    <w:rsid w:val="00235516"/>
    <w:rsid w:val="00235531"/>
    <w:rsid w:val="002355E7"/>
    <w:rsid w:val="0023560A"/>
    <w:rsid w:val="0023567F"/>
    <w:rsid w:val="002358C2"/>
    <w:rsid w:val="002358F0"/>
    <w:rsid w:val="00235900"/>
    <w:rsid w:val="00235B35"/>
    <w:rsid w:val="00235B8F"/>
    <w:rsid w:val="00235D06"/>
    <w:rsid w:val="00235D9A"/>
    <w:rsid w:val="00235DE9"/>
    <w:rsid w:val="00235DF4"/>
    <w:rsid w:val="00235E5E"/>
    <w:rsid w:val="00235FC4"/>
    <w:rsid w:val="00236017"/>
    <w:rsid w:val="00236068"/>
    <w:rsid w:val="0023608D"/>
    <w:rsid w:val="00236143"/>
    <w:rsid w:val="00236145"/>
    <w:rsid w:val="00236207"/>
    <w:rsid w:val="0023637B"/>
    <w:rsid w:val="002363B5"/>
    <w:rsid w:val="0023648A"/>
    <w:rsid w:val="002364BE"/>
    <w:rsid w:val="002364D6"/>
    <w:rsid w:val="00236536"/>
    <w:rsid w:val="00236646"/>
    <w:rsid w:val="002367E5"/>
    <w:rsid w:val="002367F5"/>
    <w:rsid w:val="00236898"/>
    <w:rsid w:val="002368A1"/>
    <w:rsid w:val="002368CE"/>
    <w:rsid w:val="002368ED"/>
    <w:rsid w:val="002369E7"/>
    <w:rsid w:val="00236BAA"/>
    <w:rsid w:val="00236BD6"/>
    <w:rsid w:val="00236C6F"/>
    <w:rsid w:val="00236CAB"/>
    <w:rsid w:val="00236D59"/>
    <w:rsid w:val="00236E32"/>
    <w:rsid w:val="00236E4F"/>
    <w:rsid w:val="00236EBD"/>
    <w:rsid w:val="00236F30"/>
    <w:rsid w:val="00236F6A"/>
    <w:rsid w:val="00237086"/>
    <w:rsid w:val="002371DB"/>
    <w:rsid w:val="002371DF"/>
    <w:rsid w:val="0023722B"/>
    <w:rsid w:val="00237286"/>
    <w:rsid w:val="002372C6"/>
    <w:rsid w:val="002372CC"/>
    <w:rsid w:val="002373A0"/>
    <w:rsid w:val="002374A2"/>
    <w:rsid w:val="002374D8"/>
    <w:rsid w:val="002374DE"/>
    <w:rsid w:val="002374FF"/>
    <w:rsid w:val="00237528"/>
    <w:rsid w:val="00237542"/>
    <w:rsid w:val="00237598"/>
    <w:rsid w:val="002375A8"/>
    <w:rsid w:val="00237602"/>
    <w:rsid w:val="00237685"/>
    <w:rsid w:val="00237759"/>
    <w:rsid w:val="00237783"/>
    <w:rsid w:val="0023781E"/>
    <w:rsid w:val="00237844"/>
    <w:rsid w:val="00237855"/>
    <w:rsid w:val="00237915"/>
    <w:rsid w:val="00237A3B"/>
    <w:rsid w:val="00237B63"/>
    <w:rsid w:val="00237BBF"/>
    <w:rsid w:val="00237C18"/>
    <w:rsid w:val="00237CCF"/>
    <w:rsid w:val="00237E1D"/>
    <w:rsid w:val="00237EF9"/>
    <w:rsid w:val="00237F30"/>
    <w:rsid w:val="00237F81"/>
    <w:rsid w:val="00237FCB"/>
    <w:rsid w:val="00240061"/>
    <w:rsid w:val="002400AD"/>
    <w:rsid w:val="0024010F"/>
    <w:rsid w:val="0024012B"/>
    <w:rsid w:val="002401A0"/>
    <w:rsid w:val="002401FA"/>
    <w:rsid w:val="00240219"/>
    <w:rsid w:val="002402A1"/>
    <w:rsid w:val="00240321"/>
    <w:rsid w:val="002403BA"/>
    <w:rsid w:val="002404F6"/>
    <w:rsid w:val="00240556"/>
    <w:rsid w:val="00240640"/>
    <w:rsid w:val="0024078F"/>
    <w:rsid w:val="002407B8"/>
    <w:rsid w:val="00240803"/>
    <w:rsid w:val="0024083E"/>
    <w:rsid w:val="002408AD"/>
    <w:rsid w:val="0024096F"/>
    <w:rsid w:val="002409D6"/>
    <w:rsid w:val="002409FA"/>
    <w:rsid w:val="00240A56"/>
    <w:rsid w:val="00240AFB"/>
    <w:rsid w:val="00240BD0"/>
    <w:rsid w:val="00240C0A"/>
    <w:rsid w:val="00240C5A"/>
    <w:rsid w:val="00240C9E"/>
    <w:rsid w:val="00240CA8"/>
    <w:rsid w:val="00240CE0"/>
    <w:rsid w:val="00240CE2"/>
    <w:rsid w:val="00240D25"/>
    <w:rsid w:val="00240D2C"/>
    <w:rsid w:val="00240D92"/>
    <w:rsid w:val="00240E4D"/>
    <w:rsid w:val="00240EF4"/>
    <w:rsid w:val="00240F7B"/>
    <w:rsid w:val="00240F88"/>
    <w:rsid w:val="00241152"/>
    <w:rsid w:val="00241198"/>
    <w:rsid w:val="002411AE"/>
    <w:rsid w:val="002411B5"/>
    <w:rsid w:val="00241256"/>
    <w:rsid w:val="0024139B"/>
    <w:rsid w:val="002413E9"/>
    <w:rsid w:val="002413F7"/>
    <w:rsid w:val="0024143C"/>
    <w:rsid w:val="0024147A"/>
    <w:rsid w:val="00241519"/>
    <w:rsid w:val="0024157A"/>
    <w:rsid w:val="00241582"/>
    <w:rsid w:val="00241600"/>
    <w:rsid w:val="00241608"/>
    <w:rsid w:val="0024165E"/>
    <w:rsid w:val="00241715"/>
    <w:rsid w:val="0024171A"/>
    <w:rsid w:val="0024173B"/>
    <w:rsid w:val="002417C7"/>
    <w:rsid w:val="0024188B"/>
    <w:rsid w:val="002418A2"/>
    <w:rsid w:val="00241936"/>
    <w:rsid w:val="00241951"/>
    <w:rsid w:val="002419F7"/>
    <w:rsid w:val="00241A43"/>
    <w:rsid w:val="00241A68"/>
    <w:rsid w:val="00241AF3"/>
    <w:rsid w:val="00241B65"/>
    <w:rsid w:val="00241BFB"/>
    <w:rsid w:val="00241C12"/>
    <w:rsid w:val="00241C29"/>
    <w:rsid w:val="00241C31"/>
    <w:rsid w:val="00241CBD"/>
    <w:rsid w:val="00241D14"/>
    <w:rsid w:val="00241D2A"/>
    <w:rsid w:val="00241DC0"/>
    <w:rsid w:val="00241F00"/>
    <w:rsid w:val="00241F2C"/>
    <w:rsid w:val="00241F68"/>
    <w:rsid w:val="00242086"/>
    <w:rsid w:val="00242090"/>
    <w:rsid w:val="002420B3"/>
    <w:rsid w:val="002420DD"/>
    <w:rsid w:val="002420F3"/>
    <w:rsid w:val="002421F5"/>
    <w:rsid w:val="002422CF"/>
    <w:rsid w:val="002422D5"/>
    <w:rsid w:val="002422EF"/>
    <w:rsid w:val="002423A6"/>
    <w:rsid w:val="002423BE"/>
    <w:rsid w:val="002423F2"/>
    <w:rsid w:val="00242416"/>
    <w:rsid w:val="002424E5"/>
    <w:rsid w:val="00242551"/>
    <w:rsid w:val="00242556"/>
    <w:rsid w:val="002425E7"/>
    <w:rsid w:val="0024264A"/>
    <w:rsid w:val="002426DF"/>
    <w:rsid w:val="0024274A"/>
    <w:rsid w:val="00242794"/>
    <w:rsid w:val="002427A3"/>
    <w:rsid w:val="002427FB"/>
    <w:rsid w:val="00242868"/>
    <w:rsid w:val="0024291B"/>
    <w:rsid w:val="002429D9"/>
    <w:rsid w:val="002429E9"/>
    <w:rsid w:val="00242A26"/>
    <w:rsid w:val="00242BE3"/>
    <w:rsid w:val="00242EAF"/>
    <w:rsid w:val="00242EEE"/>
    <w:rsid w:val="00242F88"/>
    <w:rsid w:val="00243042"/>
    <w:rsid w:val="00243090"/>
    <w:rsid w:val="002430D0"/>
    <w:rsid w:val="002430EB"/>
    <w:rsid w:val="00243324"/>
    <w:rsid w:val="00243367"/>
    <w:rsid w:val="002434DA"/>
    <w:rsid w:val="00243558"/>
    <w:rsid w:val="0024375E"/>
    <w:rsid w:val="002437C8"/>
    <w:rsid w:val="002437FA"/>
    <w:rsid w:val="0024389A"/>
    <w:rsid w:val="002438EF"/>
    <w:rsid w:val="00243978"/>
    <w:rsid w:val="002439A0"/>
    <w:rsid w:val="00243A5B"/>
    <w:rsid w:val="00243B08"/>
    <w:rsid w:val="00243BB5"/>
    <w:rsid w:val="00243C1B"/>
    <w:rsid w:val="00243CF8"/>
    <w:rsid w:val="00243D25"/>
    <w:rsid w:val="00243E61"/>
    <w:rsid w:val="00243E63"/>
    <w:rsid w:val="00243E94"/>
    <w:rsid w:val="00243EC0"/>
    <w:rsid w:val="00243EE0"/>
    <w:rsid w:val="00243F4B"/>
    <w:rsid w:val="00243F90"/>
    <w:rsid w:val="00243FA1"/>
    <w:rsid w:val="00244083"/>
    <w:rsid w:val="00244108"/>
    <w:rsid w:val="00244179"/>
    <w:rsid w:val="00244190"/>
    <w:rsid w:val="00244199"/>
    <w:rsid w:val="002441A0"/>
    <w:rsid w:val="002441AD"/>
    <w:rsid w:val="00244217"/>
    <w:rsid w:val="00244268"/>
    <w:rsid w:val="002442F1"/>
    <w:rsid w:val="00244361"/>
    <w:rsid w:val="00244377"/>
    <w:rsid w:val="00244386"/>
    <w:rsid w:val="002443EB"/>
    <w:rsid w:val="00244420"/>
    <w:rsid w:val="0024451B"/>
    <w:rsid w:val="00244521"/>
    <w:rsid w:val="00244672"/>
    <w:rsid w:val="002446B4"/>
    <w:rsid w:val="002446BD"/>
    <w:rsid w:val="00244795"/>
    <w:rsid w:val="002447B9"/>
    <w:rsid w:val="002447E7"/>
    <w:rsid w:val="002447FF"/>
    <w:rsid w:val="00244887"/>
    <w:rsid w:val="00244947"/>
    <w:rsid w:val="00244958"/>
    <w:rsid w:val="002449C2"/>
    <w:rsid w:val="00244A01"/>
    <w:rsid w:val="00244A51"/>
    <w:rsid w:val="00244AB0"/>
    <w:rsid w:val="00244AF9"/>
    <w:rsid w:val="00244B06"/>
    <w:rsid w:val="00244B31"/>
    <w:rsid w:val="00244B44"/>
    <w:rsid w:val="00244B5D"/>
    <w:rsid w:val="00244B62"/>
    <w:rsid w:val="00244BCF"/>
    <w:rsid w:val="00244BF5"/>
    <w:rsid w:val="00244BFD"/>
    <w:rsid w:val="00244C02"/>
    <w:rsid w:val="00244C2D"/>
    <w:rsid w:val="00244C54"/>
    <w:rsid w:val="00244C7D"/>
    <w:rsid w:val="00244DBC"/>
    <w:rsid w:val="00244DE2"/>
    <w:rsid w:val="00244E5A"/>
    <w:rsid w:val="00244EF8"/>
    <w:rsid w:val="00244F4A"/>
    <w:rsid w:val="00244F6A"/>
    <w:rsid w:val="0024504E"/>
    <w:rsid w:val="0024512D"/>
    <w:rsid w:val="00245170"/>
    <w:rsid w:val="002451C1"/>
    <w:rsid w:val="00245282"/>
    <w:rsid w:val="002452A2"/>
    <w:rsid w:val="002452BA"/>
    <w:rsid w:val="00245303"/>
    <w:rsid w:val="00245377"/>
    <w:rsid w:val="00245425"/>
    <w:rsid w:val="00245492"/>
    <w:rsid w:val="002455E6"/>
    <w:rsid w:val="002455F2"/>
    <w:rsid w:val="00245605"/>
    <w:rsid w:val="00245748"/>
    <w:rsid w:val="0024580B"/>
    <w:rsid w:val="00245822"/>
    <w:rsid w:val="00245859"/>
    <w:rsid w:val="00245A5B"/>
    <w:rsid w:val="00245A5F"/>
    <w:rsid w:val="00245A61"/>
    <w:rsid w:val="00245AE6"/>
    <w:rsid w:val="00245B3E"/>
    <w:rsid w:val="00245BD4"/>
    <w:rsid w:val="00245C44"/>
    <w:rsid w:val="00245CB2"/>
    <w:rsid w:val="00245DB7"/>
    <w:rsid w:val="00245DD0"/>
    <w:rsid w:val="00245E68"/>
    <w:rsid w:val="00245E6F"/>
    <w:rsid w:val="00245E9A"/>
    <w:rsid w:val="00245EF6"/>
    <w:rsid w:val="00245F01"/>
    <w:rsid w:val="00245F82"/>
    <w:rsid w:val="00245F98"/>
    <w:rsid w:val="00245FAE"/>
    <w:rsid w:val="00245FBB"/>
    <w:rsid w:val="0024603E"/>
    <w:rsid w:val="0024607E"/>
    <w:rsid w:val="00246080"/>
    <w:rsid w:val="0024608E"/>
    <w:rsid w:val="002460E4"/>
    <w:rsid w:val="00246182"/>
    <w:rsid w:val="00246245"/>
    <w:rsid w:val="002462A9"/>
    <w:rsid w:val="00246337"/>
    <w:rsid w:val="00246396"/>
    <w:rsid w:val="00246479"/>
    <w:rsid w:val="00246593"/>
    <w:rsid w:val="002465DB"/>
    <w:rsid w:val="00246603"/>
    <w:rsid w:val="00246779"/>
    <w:rsid w:val="002467AE"/>
    <w:rsid w:val="002467F8"/>
    <w:rsid w:val="002468BB"/>
    <w:rsid w:val="00246920"/>
    <w:rsid w:val="002469C1"/>
    <w:rsid w:val="002469E0"/>
    <w:rsid w:val="00246AB1"/>
    <w:rsid w:val="00246C9B"/>
    <w:rsid w:val="00246E83"/>
    <w:rsid w:val="00246EAF"/>
    <w:rsid w:val="00246FBE"/>
    <w:rsid w:val="00246FE7"/>
    <w:rsid w:val="002470E7"/>
    <w:rsid w:val="00247145"/>
    <w:rsid w:val="00247154"/>
    <w:rsid w:val="0024715D"/>
    <w:rsid w:val="00247179"/>
    <w:rsid w:val="002473C8"/>
    <w:rsid w:val="00247551"/>
    <w:rsid w:val="002475C7"/>
    <w:rsid w:val="00247638"/>
    <w:rsid w:val="00247654"/>
    <w:rsid w:val="00247690"/>
    <w:rsid w:val="0024778E"/>
    <w:rsid w:val="00247868"/>
    <w:rsid w:val="00247890"/>
    <w:rsid w:val="002478CB"/>
    <w:rsid w:val="002478D7"/>
    <w:rsid w:val="00247AB9"/>
    <w:rsid w:val="00247AFC"/>
    <w:rsid w:val="00247B0F"/>
    <w:rsid w:val="00247BAE"/>
    <w:rsid w:val="00247BBC"/>
    <w:rsid w:val="00247BF5"/>
    <w:rsid w:val="00247C2A"/>
    <w:rsid w:val="00247C76"/>
    <w:rsid w:val="00247CFA"/>
    <w:rsid w:val="00247D02"/>
    <w:rsid w:val="00247D2B"/>
    <w:rsid w:val="00247D2D"/>
    <w:rsid w:val="00247D8D"/>
    <w:rsid w:val="00247E62"/>
    <w:rsid w:val="00247EA1"/>
    <w:rsid w:val="00247EF6"/>
    <w:rsid w:val="00247F2A"/>
    <w:rsid w:val="00250071"/>
    <w:rsid w:val="002500C8"/>
    <w:rsid w:val="00250131"/>
    <w:rsid w:val="0025017C"/>
    <w:rsid w:val="002501F2"/>
    <w:rsid w:val="0025033A"/>
    <w:rsid w:val="00250363"/>
    <w:rsid w:val="00250367"/>
    <w:rsid w:val="00250382"/>
    <w:rsid w:val="0025040E"/>
    <w:rsid w:val="00250412"/>
    <w:rsid w:val="00250478"/>
    <w:rsid w:val="00250649"/>
    <w:rsid w:val="00250680"/>
    <w:rsid w:val="002506B2"/>
    <w:rsid w:val="0025074D"/>
    <w:rsid w:val="002507E7"/>
    <w:rsid w:val="00250804"/>
    <w:rsid w:val="00250862"/>
    <w:rsid w:val="00250882"/>
    <w:rsid w:val="002508A7"/>
    <w:rsid w:val="002508AC"/>
    <w:rsid w:val="00250996"/>
    <w:rsid w:val="002509A9"/>
    <w:rsid w:val="00250A21"/>
    <w:rsid w:val="00250A32"/>
    <w:rsid w:val="00250AF8"/>
    <w:rsid w:val="00250B1C"/>
    <w:rsid w:val="00250B51"/>
    <w:rsid w:val="00250B7A"/>
    <w:rsid w:val="00250C8F"/>
    <w:rsid w:val="00250D70"/>
    <w:rsid w:val="00250DAE"/>
    <w:rsid w:val="00250DD5"/>
    <w:rsid w:val="00250DE2"/>
    <w:rsid w:val="00250E99"/>
    <w:rsid w:val="00250FD4"/>
    <w:rsid w:val="00250FE8"/>
    <w:rsid w:val="00251240"/>
    <w:rsid w:val="00251257"/>
    <w:rsid w:val="002512C7"/>
    <w:rsid w:val="00251360"/>
    <w:rsid w:val="002513DB"/>
    <w:rsid w:val="00251419"/>
    <w:rsid w:val="00251488"/>
    <w:rsid w:val="0025149E"/>
    <w:rsid w:val="00251530"/>
    <w:rsid w:val="002515D3"/>
    <w:rsid w:val="00251691"/>
    <w:rsid w:val="00251709"/>
    <w:rsid w:val="002517CB"/>
    <w:rsid w:val="002517CC"/>
    <w:rsid w:val="0025180E"/>
    <w:rsid w:val="00251835"/>
    <w:rsid w:val="002518AF"/>
    <w:rsid w:val="002519D1"/>
    <w:rsid w:val="00251A45"/>
    <w:rsid w:val="00251A85"/>
    <w:rsid w:val="00251AED"/>
    <w:rsid w:val="00251B76"/>
    <w:rsid w:val="00251BD1"/>
    <w:rsid w:val="00251C0D"/>
    <w:rsid w:val="00251D11"/>
    <w:rsid w:val="00251D9F"/>
    <w:rsid w:val="00251FD5"/>
    <w:rsid w:val="00252139"/>
    <w:rsid w:val="002521F6"/>
    <w:rsid w:val="0025221B"/>
    <w:rsid w:val="002522AE"/>
    <w:rsid w:val="002522DA"/>
    <w:rsid w:val="00252320"/>
    <w:rsid w:val="00252468"/>
    <w:rsid w:val="00252497"/>
    <w:rsid w:val="002524FC"/>
    <w:rsid w:val="00252502"/>
    <w:rsid w:val="00252612"/>
    <w:rsid w:val="00252690"/>
    <w:rsid w:val="002526BE"/>
    <w:rsid w:val="0025274C"/>
    <w:rsid w:val="002527B8"/>
    <w:rsid w:val="00252831"/>
    <w:rsid w:val="0025285D"/>
    <w:rsid w:val="0025292B"/>
    <w:rsid w:val="00252994"/>
    <w:rsid w:val="00252A06"/>
    <w:rsid w:val="00252A13"/>
    <w:rsid w:val="00252A5B"/>
    <w:rsid w:val="00252B61"/>
    <w:rsid w:val="00252BA2"/>
    <w:rsid w:val="00252BAA"/>
    <w:rsid w:val="00252C1F"/>
    <w:rsid w:val="00252C91"/>
    <w:rsid w:val="00252E06"/>
    <w:rsid w:val="00252E88"/>
    <w:rsid w:val="00252E9A"/>
    <w:rsid w:val="00252ED0"/>
    <w:rsid w:val="00252FA8"/>
    <w:rsid w:val="0025312A"/>
    <w:rsid w:val="0025315C"/>
    <w:rsid w:val="0025316D"/>
    <w:rsid w:val="0025317B"/>
    <w:rsid w:val="0025329D"/>
    <w:rsid w:val="002532DC"/>
    <w:rsid w:val="002532E0"/>
    <w:rsid w:val="002532E5"/>
    <w:rsid w:val="00253496"/>
    <w:rsid w:val="0025353A"/>
    <w:rsid w:val="00253627"/>
    <w:rsid w:val="00253665"/>
    <w:rsid w:val="002536A4"/>
    <w:rsid w:val="0025370C"/>
    <w:rsid w:val="0025380E"/>
    <w:rsid w:val="00253871"/>
    <w:rsid w:val="00253967"/>
    <w:rsid w:val="00253A50"/>
    <w:rsid w:val="00253B8A"/>
    <w:rsid w:val="00253C31"/>
    <w:rsid w:val="00253C75"/>
    <w:rsid w:val="00253D03"/>
    <w:rsid w:val="00253D1D"/>
    <w:rsid w:val="00253D8C"/>
    <w:rsid w:val="00253D98"/>
    <w:rsid w:val="00253DE1"/>
    <w:rsid w:val="00253DEB"/>
    <w:rsid w:val="00253E33"/>
    <w:rsid w:val="00253EEE"/>
    <w:rsid w:val="00253F45"/>
    <w:rsid w:val="00253FA9"/>
    <w:rsid w:val="00253FC3"/>
    <w:rsid w:val="00254177"/>
    <w:rsid w:val="00254313"/>
    <w:rsid w:val="00254338"/>
    <w:rsid w:val="00254352"/>
    <w:rsid w:val="002543C7"/>
    <w:rsid w:val="002543F1"/>
    <w:rsid w:val="00254402"/>
    <w:rsid w:val="0025443F"/>
    <w:rsid w:val="0025452C"/>
    <w:rsid w:val="00254596"/>
    <w:rsid w:val="002545DE"/>
    <w:rsid w:val="002545EE"/>
    <w:rsid w:val="00254646"/>
    <w:rsid w:val="00254654"/>
    <w:rsid w:val="0025473E"/>
    <w:rsid w:val="00254796"/>
    <w:rsid w:val="0025485E"/>
    <w:rsid w:val="00254870"/>
    <w:rsid w:val="002548A4"/>
    <w:rsid w:val="00254928"/>
    <w:rsid w:val="00254969"/>
    <w:rsid w:val="00254A27"/>
    <w:rsid w:val="00254A6A"/>
    <w:rsid w:val="00254A83"/>
    <w:rsid w:val="00254AE4"/>
    <w:rsid w:val="00254B05"/>
    <w:rsid w:val="00254C3D"/>
    <w:rsid w:val="00254C8F"/>
    <w:rsid w:val="00254CA4"/>
    <w:rsid w:val="00254DD6"/>
    <w:rsid w:val="00254E21"/>
    <w:rsid w:val="00254E77"/>
    <w:rsid w:val="00254EA9"/>
    <w:rsid w:val="00254F13"/>
    <w:rsid w:val="00254FFD"/>
    <w:rsid w:val="00255001"/>
    <w:rsid w:val="0025500C"/>
    <w:rsid w:val="0025513E"/>
    <w:rsid w:val="0025513F"/>
    <w:rsid w:val="0025526A"/>
    <w:rsid w:val="002552C9"/>
    <w:rsid w:val="0025533A"/>
    <w:rsid w:val="00255341"/>
    <w:rsid w:val="0025535E"/>
    <w:rsid w:val="00255456"/>
    <w:rsid w:val="00255551"/>
    <w:rsid w:val="00255616"/>
    <w:rsid w:val="0025561F"/>
    <w:rsid w:val="0025563E"/>
    <w:rsid w:val="00255687"/>
    <w:rsid w:val="002556AA"/>
    <w:rsid w:val="002556B1"/>
    <w:rsid w:val="00255809"/>
    <w:rsid w:val="00255886"/>
    <w:rsid w:val="002558A1"/>
    <w:rsid w:val="00255902"/>
    <w:rsid w:val="002559B8"/>
    <w:rsid w:val="00255A00"/>
    <w:rsid w:val="00255ACC"/>
    <w:rsid w:val="00255B03"/>
    <w:rsid w:val="00255B11"/>
    <w:rsid w:val="00255BDE"/>
    <w:rsid w:val="00255C0E"/>
    <w:rsid w:val="00255C91"/>
    <w:rsid w:val="00255C9A"/>
    <w:rsid w:val="00255CD9"/>
    <w:rsid w:val="00255D58"/>
    <w:rsid w:val="00255D82"/>
    <w:rsid w:val="00255D97"/>
    <w:rsid w:val="00255E08"/>
    <w:rsid w:val="00255E95"/>
    <w:rsid w:val="00255F12"/>
    <w:rsid w:val="00255FAA"/>
    <w:rsid w:val="00256016"/>
    <w:rsid w:val="00256032"/>
    <w:rsid w:val="002560A7"/>
    <w:rsid w:val="002560CA"/>
    <w:rsid w:val="00256129"/>
    <w:rsid w:val="002561EB"/>
    <w:rsid w:val="00256227"/>
    <w:rsid w:val="0025642F"/>
    <w:rsid w:val="00256445"/>
    <w:rsid w:val="0025644A"/>
    <w:rsid w:val="002564B9"/>
    <w:rsid w:val="002564C5"/>
    <w:rsid w:val="00256592"/>
    <w:rsid w:val="002565A2"/>
    <w:rsid w:val="002565E5"/>
    <w:rsid w:val="002565F6"/>
    <w:rsid w:val="0025660E"/>
    <w:rsid w:val="00256632"/>
    <w:rsid w:val="002566BC"/>
    <w:rsid w:val="002566CF"/>
    <w:rsid w:val="0025672A"/>
    <w:rsid w:val="002567AE"/>
    <w:rsid w:val="002567BF"/>
    <w:rsid w:val="002567D3"/>
    <w:rsid w:val="00256807"/>
    <w:rsid w:val="0025691B"/>
    <w:rsid w:val="00256AFB"/>
    <w:rsid w:val="00256B79"/>
    <w:rsid w:val="00256B7B"/>
    <w:rsid w:val="00256BA8"/>
    <w:rsid w:val="00256C00"/>
    <w:rsid w:val="00256C86"/>
    <w:rsid w:val="00256CB3"/>
    <w:rsid w:val="00256E49"/>
    <w:rsid w:val="00256E59"/>
    <w:rsid w:val="00256E5F"/>
    <w:rsid w:val="00256E7C"/>
    <w:rsid w:val="00256ED7"/>
    <w:rsid w:val="00256FD1"/>
    <w:rsid w:val="00256FFB"/>
    <w:rsid w:val="0025702F"/>
    <w:rsid w:val="00257048"/>
    <w:rsid w:val="0025706B"/>
    <w:rsid w:val="00257172"/>
    <w:rsid w:val="002571A3"/>
    <w:rsid w:val="002571D0"/>
    <w:rsid w:val="002571EB"/>
    <w:rsid w:val="0025728A"/>
    <w:rsid w:val="002572AF"/>
    <w:rsid w:val="00257358"/>
    <w:rsid w:val="00257370"/>
    <w:rsid w:val="002573CB"/>
    <w:rsid w:val="0025745A"/>
    <w:rsid w:val="00257504"/>
    <w:rsid w:val="002575AD"/>
    <w:rsid w:val="002575F8"/>
    <w:rsid w:val="00257613"/>
    <w:rsid w:val="00257660"/>
    <w:rsid w:val="0025767E"/>
    <w:rsid w:val="002576D3"/>
    <w:rsid w:val="00257789"/>
    <w:rsid w:val="00257807"/>
    <w:rsid w:val="0025784D"/>
    <w:rsid w:val="00257882"/>
    <w:rsid w:val="002578D5"/>
    <w:rsid w:val="0025791B"/>
    <w:rsid w:val="00257929"/>
    <w:rsid w:val="0025797C"/>
    <w:rsid w:val="002579BF"/>
    <w:rsid w:val="00257A27"/>
    <w:rsid w:val="00257B0D"/>
    <w:rsid w:val="00257BDC"/>
    <w:rsid w:val="00257C12"/>
    <w:rsid w:val="00257CDE"/>
    <w:rsid w:val="00257D38"/>
    <w:rsid w:val="00257D3E"/>
    <w:rsid w:val="00257DDC"/>
    <w:rsid w:val="00257DDF"/>
    <w:rsid w:val="00257DF2"/>
    <w:rsid w:val="00257E7E"/>
    <w:rsid w:val="00257EA0"/>
    <w:rsid w:val="00257EFF"/>
    <w:rsid w:val="00257F28"/>
    <w:rsid w:val="00257F38"/>
    <w:rsid w:val="00257FE5"/>
    <w:rsid w:val="00260022"/>
    <w:rsid w:val="00260096"/>
    <w:rsid w:val="002601AD"/>
    <w:rsid w:val="0026021F"/>
    <w:rsid w:val="00260230"/>
    <w:rsid w:val="00260270"/>
    <w:rsid w:val="00260286"/>
    <w:rsid w:val="002602E0"/>
    <w:rsid w:val="002602E1"/>
    <w:rsid w:val="0026032D"/>
    <w:rsid w:val="00260380"/>
    <w:rsid w:val="002603B9"/>
    <w:rsid w:val="0026057B"/>
    <w:rsid w:val="00260583"/>
    <w:rsid w:val="002605C5"/>
    <w:rsid w:val="002606F1"/>
    <w:rsid w:val="0026076C"/>
    <w:rsid w:val="00260841"/>
    <w:rsid w:val="0026086B"/>
    <w:rsid w:val="002608FA"/>
    <w:rsid w:val="00260A17"/>
    <w:rsid w:val="00260AD3"/>
    <w:rsid w:val="00260B97"/>
    <w:rsid w:val="00260D30"/>
    <w:rsid w:val="00260D9B"/>
    <w:rsid w:val="00260DCA"/>
    <w:rsid w:val="00260DD0"/>
    <w:rsid w:val="00260F28"/>
    <w:rsid w:val="00260F8D"/>
    <w:rsid w:val="00261029"/>
    <w:rsid w:val="0026108E"/>
    <w:rsid w:val="00261096"/>
    <w:rsid w:val="002610D9"/>
    <w:rsid w:val="00261199"/>
    <w:rsid w:val="002611A6"/>
    <w:rsid w:val="00261244"/>
    <w:rsid w:val="00261258"/>
    <w:rsid w:val="00261269"/>
    <w:rsid w:val="0026126C"/>
    <w:rsid w:val="002612CF"/>
    <w:rsid w:val="002612F0"/>
    <w:rsid w:val="00261304"/>
    <w:rsid w:val="0026134A"/>
    <w:rsid w:val="00261366"/>
    <w:rsid w:val="0026141B"/>
    <w:rsid w:val="0026143C"/>
    <w:rsid w:val="00261476"/>
    <w:rsid w:val="002614BD"/>
    <w:rsid w:val="00261500"/>
    <w:rsid w:val="00261530"/>
    <w:rsid w:val="002615E4"/>
    <w:rsid w:val="0026175D"/>
    <w:rsid w:val="00261766"/>
    <w:rsid w:val="0026176D"/>
    <w:rsid w:val="00261799"/>
    <w:rsid w:val="002617F7"/>
    <w:rsid w:val="002618D5"/>
    <w:rsid w:val="002618FE"/>
    <w:rsid w:val="0026193E"/>
    <w:rsid w:val="002619D9"/>
    <w:rsid w:val="002619F5"/>
    <w:rsid w:val="00261AAE"/>
    <w:rsid w:val="00261D2F"/>
    <w:rsid w:val="00261D38"/>
    <w:rsid w:val="00261D40"/>
    <w:rsid w:val="00261DE3"/>
    <w:rsid w:val="00261DF1"/>
    <w:rsid w:val="00261F16"/>
    <w:rsid w:val="00261F21"/>
    <w:rsid w:val="00261F96"/>
    <w:rsid w:val="002620ED"/>
    <w:rsid w:val="002621AD"/>
    <w:rsid w:val="0026221E"/>
    <w:rsid w:val="00262237"/>
    <w:rsid w:val="0026225B"/>
    <w:rsid w:val="002622A0"/>
    <w:rsid w:val="002622BE"/>
    <w:rsid w:val="00262312"/>
    <w:rsid w:val="00262433"/>
    <w:rsid w:val="0026244D"/>
    <w:rsid w:val="0026255B"/>
    <w:rsid w:val="0026269F"/>
    <w:rsid w:val="002626F0"/>
    <w:rsid w:val="0026270D"/>
    <w:rsid w:val="00262749"/>
    <w:rsid w:val="0026276B"/>
    <w:rsid w:val="002627BE"/>
    <w:rsid w:val="002627FD"/>
    <w:rsid w:val="00262811"/>
    <w:rsid w:val="00262830"/>
    <w:rsid w:val="002628C1"/>
    <w:rsid w:val="002628CD"/>
    <w:rsid w:val="002628E2"/>
    <w:rsid w:val="002628EC"/>
    <w:rsid w:val="00262912"/>
    <w:rsid w:val="00262936"/>
    <w:rsid w:val="00262A2D"/>
    <w:rsid w:val="00262A59"/>
    <w:rsid w:val="00262AB6"/>
    <w:rsid w:val="00262AC4"/>
    <w:rsid w:val="00262BF2"/>
    <w:rsid w:val="00262CB4"/>
    <w:rsid w:val="00262CE8"/>
    <w:rsid w:val="00262D44"/>
    <w:rsid w:val="00262DCF"/>
    <w:rsid w:val="00262E65"/>
    <w:rsid w:val="00262E6C"/>
    <w:rsid w:val="00262F49"/>
    <w:rsid w:val="00262F7E"/>
    <w:rsid w:val="00262FC3"/>
    <w:rsid w:val="0026309B"/>
    <w:rsid w:val="002630EC"/>
    <w:rsid w:val="00263278"/>
    <w:rsid w:val="002632EE"/>
    <w:rsid w:val="00263351"/>
    <w:rsid w:val="002633C4"/>
    <w:rsid w:val="002633E4"/>
    <w:rsid w:val="00263459"/>
    <w:rsid w:val="00263569"/>
    <w:rsid w:val="002635D5"/>
    <w:rsid w:val="0026367C"/>
    <w:rsid w:val="002636E1"/>
    <w:rsid w:val="00263749"/>
    <w:rsid w:val="00263792"/>
    <w:rsid w:val="002637DE"/>
    <w:rsid w:val="0026382B"/>
    <w:rsid w:val="002638F8"/>
    <w:rsid w:val="002639C7"/>
    <w:rsid w:val="002639D3"/>
    <w:rsid w:val="002639D5"/>
    <w:rsid w:val="00263A3B"/>
    <w:rsid w:val="00263A57"/>
    <w:rsid w:val="00263B3E"/>
    <w:rsid w:val="00263B8F"/>
    <w:rsid w:val="00263C64"/>
    <w:rsid w:val="00263C8A"/>
    <w:rsid w:val="00263CFF"/>
    <w:rsid w:val="00263D45"/>
    <w:rsid w:val="00263DD9"/>
    <w:rsid w:val="00263DF3"/>
    <w:rsid w:val="00263E25"/>
    <w:rsid w:val="00263E29"/>
    <w:rsid w:val="00264029"/>
    <w:rsid w:val="002640C6"/>
    <w:rsid w:val="002640E8"/>
    <w:rsid w:val="00264232"/>
    <w:rsid w:val="0026436B"/>
    <w:rsid w:val="00264370"/>
    <w:rsid w:val="0026444B"/>
    <w:rsid w:val="00264484"/>
    <w:rsid w:val="00264494"/>
    <w:rsid w:val="002644CF"/>
    <w:rsid w:val="0026450A"/>
    <w:rsid w:val="0026458B"/>
    <w:rsid w:val="002645BC"/>
    <w:rsid w:val="002645FB"/>
    <w:rsid w:val="00264623"/>
    <w:rsid w:val="00264750"/>
    <w:rsid w:val="00264779"/>
    <w:rsid w:val="002647C8"/>
    <w:rsid w:val="00264838"/>
    <w:rsid w:val="0026483E"/>
    <w:rsid w:val="0026483F"/>
    <w:rsid w:val="0026487E"/>
    <w:rsid w:val="00264931"/>
    <w:rsid w:val="0026494F"/>
    <w:rsid w:val="00264A24"/>
    <w:rsid w:val="00264A82"/>
    <w:rsid w:val="00264AA2"/>
    <w:rsid w:val="00264AAC"/>
    <w:rsid w:val="00264D4D"/>
    <w:rsid w:val="00264D6B"/>
    <w:rsid w:val="00264D9F"/>
    <w:rsid w:val="00264E93"/>
    <w:rsid w:val="00264EB3"/>
    <w:rsid w:val="00264ED4"/>
    <w:rsid w:val="00264F5E"/>
    <w:rsid w:val="00264F78"/>
    <w:rsid w:val="00264F96"/>
    <w:rsid w:val="00264FC7"/>
    <w:rsid w:val="00264FFA"/>
    <w:rsid w:val="0026523B"/>
    <w:rsid w:val="002652B2"/>
    <w:rsid w:val="002652C2"/>
    <w:rsid w:val="002652F0"/>
    <w:rsid w:val="0026540F"/>
    <w:rsid w:val="0026547A"/>
    <w:rsid w:val="00265654"/>
    <w:rsid w:val="00265655"/>
    <w:rsid w:val="002656BB"/>
    <w:rsid w:val="002656F1"/>
    <w:rsid w:val="00265856"/>
    <w:rsid w:val="002658BE"/>
    <w:rsid w:val="002658E6"/>
    <w:rsid w:val="00265900"/>
    <w:rsid w:val="0026593D"/>
    <w:rsid w:val="00265953"/>
    <w:rsid w:val="002659E3"/>
    <w:rsid w:val="00265A03"/>
    <w:rsid w:val="00265ADE"/>
    <w:rsid w:val="00265BE2"/>
    <w:rsid w:val="00265C24"/>
    <w:rsid w:val="00265C44"/>
    <w:rsid w:val="00265C7C"/>
    <w:rsid w:val="00265C7D"/>
    <w:rsid w:val="00265CB0"/>
    <w:rsid w:val="00265D08"/>
    <w:rsid w:val="00265D8B"/>
    <w:rsid w:val="00265DA5"/>
    <w:rsid w:val="00265DCA"/>
    <w:rsid w:val="00265DDA"/>
    <w:rsid w:val="00265E2F"/>
    <w:rsid w:val="00265E36"/>
    <w:rsid w:val="00265EA2"/>
    <w:rsid w:val="00265F05"/>
    <w:rsid w:val="00265F13"/>
    <w:rsid w:val="00265F1F"/>
    <w:rsid w:val="00265F40"/>
    <w:rsid w:val="00265F5C"/>
    <w:rsid w:val="00265F80"/>
    <w:rsid w:val="00265FA6"/>
    <w:rsid w:val="00265FD7"/>
    <w:rsid w:val="00265FD9"/>
    <w:rsid w:val="00266030"/>
    <w:rsid w:val="00266089"/>
    <w:rsid w:val="002660A1"/>
    <w:rsid w:val="002660CB"/>
    <w:rsid w:val="002660DF"/>
    <w:rsid w:val="002661E0"/>
    <w:rsid w:val="00266201"/>
    <w:rsid w:val="0026624B"/>
    <w:rsid w:val="0026627D"/>
    <w:rsid w:val="0026633F"/>
    <w:rsid w:val="002663F2"/>
    <w:rsid w:val="00266502"/>
    <w:rsid w:val="002665D5"/>
    <w:rsid w:val="00266624"/>
    <w:rsid w:val="0026668C"/>
    <w:rsid w:val="00266758"/>
    <w:rsid w:val="0026677D"/>
    <w:rsid w:val="0026685A"/>
    <w:rsid w:val="002668D8"/>
    <w:rsid w:val="00266911"/>
    <w:rsid w:val="00266922"/>
    <w:rsid w:val="0026698A"/>
    <w:rsid w:val="002669AE"/>
    <w:rsid w:val="002669D4"/>
    <w:rsid w:val="00266A1A"/>
    <w:rsid w:val="00266A89"/>
    <w:rsid w:val="00266A97"/>
    <w:rsid w:val="00266AE2"/>
    <w:rsid w:val="00266B31"/>
    <w:rsid w:val="00266BAA"/>
    <w:rsid w:val="00266C82"/>
    <w:rsid w:val="00266D1E"/>
    <w:rsid w:val="00266EA6"/>
    <w:rsid w:val="00266FAD"/>
    <w:rsid w:val="00267014"/>
    <w:rsid w:val="002670C9"/>
    <w:rsid w:val="00267173"/>
    <w:rsid w:val="00267204"/>
    <w:rsid w:val="00267234"/>
    <w:rsid w:val="00267324"/>
    <w:rsid w:val="002673AD"/>
    <w:rsid w:val="00267469"/>
    <w:rsid w:val="00267577"/>
    <w:rsid w:val="0026758C"/>
    <w:rsid w:val="00267596"/>
    <w:rsid w:val="002675C9"/>
    <w:rsid w:val="002675FA"/>
    <w:rsid w:val="002675FB"/>
    <w:rsid w:val="00267763"/>
    <w:rsid w:val="00267828"/>
    <w:rsid w:val="0026792C"/>
    <w:rsid w:val="002679A7"/>
    <w:rsid w:val="002679D5"/>
    <w:rsid w:val="00267AFF"/>
    <w:rsid w:val="00267B1E"/>
    <w:rsid w:val="00267CB7"/>
    <w:rsid w:val="00267D60"/>
    <w:rsid w:val="00267EBF"/>
    <w:rsid w:val="00267F05"/>
    <w:rsid w:val="00267F74"/>
    <w:rsid w:val="00267FE0"/>
    <w:rsid w:val="00267FEE"/>
    <w:rsid w:val="00270036"/>
    <w:rsid w:val="00270081"/>
    <w:rsid w:val="002700D3"/>
    <w:rsid w:val="00270201"/>
    <w:rsid w:val="00270304"/>
    <w:rsid w:val="002703E3"/>
    <w:rsid w:val="002703E5"/>
    <w:rsid w:val="00270410"/>
    <w:rsid w:val="00270571"/>
    <w:rsid w:val="002705AD"/>
    <w:rsid w:val="00270648"/>
    <w:rsid w:val="00270678"/>
    <w:rsid w:val="00270679"/>
    <w:rsid w:val="00270681"/>
    <w:rsid w:val="00270712"/>
    <w:rsid w:val="002707E0"/>
    <w:rsid w:val="00270800"/>
    <w:rsid w:val="002708AF"/>
    <w:rsid w:val="002708C5"/>
    <w:rsid w:val="002709EC"/>
    <w:rsid w:val="002709F2"/>
    <w:rsid w:val="00270A06"/>
    <w:rsid w:val="00270A75"/>
    <w:rsid w:val="00270A9E"/>
    <w:rsid w:val="00270B04"/>
    <w:rsid w:val="00270B14"/>
    <w:rsid w:val="00270B67"/>
    <w:rsid w:val="00270B95"/>
    <w:rsid w:val="00270BA4"/>
    <w:rsid w:val="00270C5F"/>
    <w:rsid w:val="00270C97"/>
    <w:rsid w:val="00270CAB"/>
    <w:rsid w:val="00270CDA"/>
    <w:rsid w:val="00270D92"/>
    <w:rsid w:val="00270DA1"/>
    <w:rsid w:val="00270DA8"/>
    <w:rsid w:val="00270DC8"/>
    <w:rsid w:val="00271045"/>
    <w:rsid w:val="002710B3"/>
    <w:rsid w:val="002710C1"/>
    <w:rsid w:val="00271160"/>
    <w:rsid w:val="002711B0"/>
    <w:rsid w:val="00271242"/>
    <w:rsid w:val="0027124D"/>
    <w:rsid w:val="00271358"/>
    <w:rsid w:val="002713E5"/>
    <w:rsid w:val="00271440"/>
    <w:rsid w:val="002714FD"/>
    <w:rsid w:val="0027154C"/>
    <w:rsid w:val="00271578"/>
    <w:rsid w:val="00271741"/>
    <w:rsid w:val="002717D0"/>
    <w:rsid w:val="002718CB"/>
    <w:rsid w:val="00271914"/>
    <w:rsid w:val="0027195A"/>
    <w:rsid w:val="0027195B"/>
    <w:rsid w:val="002719DB"/>
    <w:rsid w:val="00271A22"/>
    <w:rsid w:val="00271A8C"/>
    <w:rsid w:val="00271AFA"/>
    <w:rsid w:val="00271B06"/>
    <w:rsid w:val="00271C01"/>
    <w:rsid w:val="00271C59"/>
    <w:rsid w:val="00271C73"/>
    <w:rsid w:val="00271D7A"/>
    <w:rsid w:val="00271EA5"/>
    <w:rsid w:val="00271EAC"/>
    <w:rsid w:val="00271F37"/>
    <w:rsid w:val="00271F54"/>
    <w:rsid w:val="00271F6F"/>
    <w:rsid w:val="00272057"/>
    <w:rsid w:val="002720FA"/>
    <w:rsid w:val="00272145"/>
    <w:rsid w:val="0027215F"/>
    <w:rsid w:val="00272179"/>
    <w:rsid w:val="00272206"/>
    <w:rsid w:val="00272209"/>
    <w:rsid w:val="00272221"/>
    <w:rsid w:val="00272331"/>
    <w:rsid w:val="00272369"/>
    <w:rsid w:val="002723CE"/>
    <w:rsid w:val="002723D7"/>
    <w:rsid w:val="002723FF"/>
    <w:rsid w:val="00272454"/>
    <w:rsid w:val="0027257A"/>
    <w:rsid w:val="0027258F"/>
    <w:rsid w:val="00272615"/>
    <w:rsid w:val="00272686"/>
    <w:rsid w:val="002726AE"/>
    <w:rsid w:val="002726E7"/>
    <w:rsid w:val="002726F6"/>
    <w:rsid w:val="00272729"/>
    <w:rsid w:val="00272751"/>
    <w:rsid w:val="0027279B"/>
    <w:rsid w:val="00272804"/>
    <w:rsid w:val="00272926"/>
    <w:rsid w:val="00272931"/>
    <w:rsid w:val="00272934"/>
    <w:rsid w:val="002729E6"/>
    <w:rsid w:val="00272A77"/>
    <w:rsid w:val="00272AA7"/>
    <w:rsid w:val="00272B65"/>
    <w:rsid w:val="00272C09"/>
    <w:rsid w:val="00272D17"/>
    <w:rsid w:val="00272DD3"/>
    <w:rsid w:val="00272DF5"/>
    <w:rsid w:val="00272E0F"/>
    <w:rsid w:val="00272E32"/>
    <w:rsid w:val="00272F27"/>
    <w:rsid w:val="00272F4D"/>
    <w:rsid w:val="00272F5E"/>
    <w:rsid w:val="00272FED"/>
    <w:rsid w:val="00273019"/>
    <w:rsid w:val="00273030"/>
    <w:rsid w:val="002731CF"/>
    <w:rsid w:val="00273294"/>
    <w:rsid w:val="002733E1"/>
    <w:rsid w:val="002733F9"/>
    <w:rsid w:val="002734B3"/>
    <w:rsid w:val="00273539"/>
    <w:rsid w:val="002735F5"/>
    <w:rsid w:val="002736E4"/>
    <w:rsid w:val="00273780"/>
    <w:rsid w:val="002737C0"/>
    <w:rsid w:val="0027382F"/>
    <w:rsid w:val="002738A0"/>
    <w:rsid w:val="00273909"/>
    <w:rsid w:val="0027395C"/>
    <w:rsid w:val="002739B8"/>
    <w:rsid w:val="00273B6E"/>
    <w:rsid w:val="00273BB7"/>
    <w:rsid w:val="00273BCD"/>
    <w:rsid w:val="00273BE7"/>
    <w:rsid w:val="00273C3F"/>
    <w:rsid w:val="00273CB6"/>
    <w:rsid w:val="00273D92"/>
    <w:rsid w:val="00273DCE"/>
    <w:rsid w:val="00273E02"/>
    <w:rsid w:val="00273E1F"/>
    <w:rsid w:val="00273F9E"/>
    <w:rsid w:val="002740FC"/>
    <w:rsid w:val="00274116"/>
    <w:rsid w:val="00274119"/>
    <w:rsid w:val="002741BF"/>
    <w:rsid w:val="0027426D"/>
    <w:rsid w:val="00274272"/>
    <w:rsid w:val="0027429D"/>
    <w:rsid w:val="00274329"/>
    <w:rsid w:val="00274425"/>
    <w:rsid w:val="0027443D"/>
    <w:rsid w:val="00274563"/>
    <w:rsid w:val="002745B1"/>
    <w:rsid w:val="0027472F"/>
    <w:rsid w:val="0027473A"/>
    <w:rsid w:val="00274763"/>
    <w:rsid w:val="002747F4"/>
    <w:rsid w:val="00274908"/>
    <w:rsid w:val="00274A14"/>
    <w:rsid w:val="00274A36"/>
    <w:rsid w:val="00274A41"/>
    <w:rsid w:val="00274AE0"/>
    <w:rsid w:val="00274B37"/>
    <w:rsid w:val="00274B6B"/>
    <w:rsid w:val="00274B86"/>
    <w:rsid w:val="00274BCA"/>
    <w:rsid w:val="00274C72"/>
    <w:rsid w:val="00274D4B"/>
    <w:rsid w:val="00274E4C"/>
    <w:rsid w:val="00274E61"/>
    <w:rsid w:val="00274E6A"/>
    <w:rsid w:val="00274E6F"/>
    <w:rsid w:val="00274ED1"/>
    <w:rsid w:val="00274F00"/>
    <w:rsid w:val="00275085"/>
    <w:rsid w:val="002751DC"/>
    <w:rsid w:val="002751DE"/>
    <w:rsid w:val="002752E1"/>
    <w:rsid w:val="0027533D"/>
    <w:rsid w:val="0027549B"/>
    <w:rsid w:val="002755A0"/>
    <w:rsid w:val="002756A0"/>
    <w:rsid w:val="00275774"/>
    <w:rsid w:val="002758E7"/>
    <w:rsid w:val="002758F1"/>
    <w:rsid w:val="00275AA1"/>
    <w:rsid w:val="00275AA4"/>
    <w:rsid w:val="00275ACE"/>
    <w:rsid w:val="00275BB2"/>
    <w:rsid w:val="00275BF0"/>
    <w:rsid w:val="00275C0F"/>
    <w:rsid w:val="00275C87"/>
    <w:rsid w:val="00275E34"/>
    <w:rsid w:val="00275F03"/>
    <w:rsid w:val="00275F24"/>
    <w:rsid w:val="00275F94"/>
    <w:rsid w:val="002760A9"/>
    <w:rsid w:val="002760F1"/>
    <w:rsid w:val="00276179"/>
    <w:rsid w:val="002761AE"/>
    <w:rsid w:val="002761D0"/>
    <w:rsid w:val="0027624D"/>
    <w:rsid w:val="002762E4"/>
    <w:rsid w:val="00276320"/>
    <w:rsid w:val="00276430"/>
    <w:rsid w:val="00276494"/>
    <w:rsid w:val="002764EB"/>
    <w:rsid w:val="00276587"/>
    <w:rsid w:val="00276675"/>
    <w:rsid w:val="002766BE"/>
    <w:rsid w:val="002766D3"/>
    <w:rsid w:val="002766F2"/>
    <w:rsid w:val="00276754"/>
    <w:rsid w:val="0027677E"/>
    <w:rsid w:val="00276920"/>
    <w:rsid w:val="00276932"/>
    <w:rsid w:val="00276969"/>
    <w:rsid w:val="002769A5"/>
    <w:rsid w:val="00276A36"/>
    <w:rsid w:val="00276AB2"/>
    <w:rsid w:val="00276B30"/>
    <w:rsid w:val="00276BB2"/>
    <w:rsid w:val="00276C01"/>
    <w:rsid w:val="00276C5C"/>
    <w:rsid w:val="00276C73"/>
    <w:rsid w:val="00276CD6"/>
    <w:rsid w:val="00276D43"/>
    <w:rsid w:val="00276DBA"/>
    <w:rsid w:val="00276DE7"/>
    <w:rsid w:val="00276E18"/>
    <w:rsid w:val="00276EC7"/>
    <w:rsid w:val="00276FBA"/>
    <w:rsid w:val="00277018"/>
    <w:rsid w:val="00277080"/>
    <w:rsid w:val="00277082"/>
    <w:rsid w:val="0027717C"/>
    <w:rsid w:val="002771C1"/>
    <w:rsid w:val="002772B2"/>
    <w:rsid w:val="002772F0"/>
    <w:rsid w:val="00277380"/>
    <w:rsid w:val="002773C5"/>
    <w:rsid w:val="002773EF"/>
    <w:rsid w:val="0027744A"/>
    <w:rsid w:val="002774A0"/>
    <w:rsid w:val="002774D9"/>
    <w:rsid w:val="00277511"/>
    <w:rsid w:val="00277584"/>
    <w:rsid w:val="00277601"/>
    <w:rsid w:val="0027760E"/>
    <w:rsid w:val="0027764F"/>
    <w:rsid w:val="00277687"/>
    <w:rsid w:val="002777E4"/>
    <w:rsid w:val="00277868"/>
    <w:rsid w:val="00277954"/>
    <w:rsid w:val="00277A3B"/>
    <w:rsid w:val="00277A4D"/>
    <w:rsid w:val="00277ACE"/>
    <w:rsid w:val="00277AE7"/>
    <w:rsid w:val="00277B39"/>
    <w:rsid w:val="00277B43"/>
    <w:rsid w:val="00277B53"/>
    <w:rsid w:val="00277B86"/>
    <w:rsid w:val="00277B9D"/>
    <w:rsid w:val="00277BC3"/>
    <w:rsid w:val="00277C1B"/>
    <w:rsid w:val="00277C26"/>
    <w:rsid w:val="00277C3C"/>
    <w:rsid w:val="00277C7E"/>
    <w:rsid w:val="00277E41"/>
    <w:rsid w:val="00277E42"/>
    <w:rsid w:val="00277E7C"/>
    <w:rsid w:val="00277F03"/>
    <w:rsid w:val="00277F32"/>
    <w:rsid w:val="00277F97"/>
    <w:rsid w:val="00280023"/>
    <w:rsid w:val="00280049"/>
    <w:rsid w:val="00280086"/>
    <w:rsid w:val="0028014E"/>
    <w:rsid w:val="0028016F"/>
    <w:rsid w:val="00280204"/>
    <w:rsid w:val="00280253"/>
    <w:rsid w:val="00280307"/>
    <w:rsid w:val="00280358"/>
    <w:rsid w:val="00280409"/>
    <w:rsid w:val="002804CA"/>
    <w:rsid w:val="0028050E"/>
    <w:rsid w:val="00280510"/>
    <w:rsid w:val="00280571"/>
    <w:rsid w:val="00280593"/>
    <w:rsid w:val="002805F9"/>
    <w:rsid w:val="002806DB"/>
    <w:rsid w:val="00280759"/>
    <w:rsid w:val="002807DC"/>
    <w:rsid w:val="002809C6"/>
    <w:rsid w:val="00280A2D"/>
    <w:rsid w:val="00280A96"/>
    <w:rsid w:val="00280B94"/>
    <w:rsid w:val="00280BEC"/>
    <w:rsid w:val="00280BF7"/>
    <w:rsid w:val="00280C0C"/>
    <w:rsid w:val="00280C17"/>
    <w:rsid w:val="00280C69"/>
    <w:rsid w:val="00280CA0"/>
    <w:rsid w:val="00280D7C"/>
    <w:rsid w:val="00280E32"/>
    <w:rsid w:val="00280E9C"/>
    <w:rsid w:val="00280FDF"/>
    <w:rsid w:val="00281034"/>
    <w:rsid w:val="0028113F"/>
    <w:rsid w:val="002811E3"/>
    <w:rsid w:val="002811ED"/>
    <w:rsid w:val="0028131B"/>
    <w:rsid w:val="002813DB"/>
    <w:rsid w:val="00281431"/>
    <w:rsid w:val="002814DC"/>
    <w:rsid w:val="00281610"/>
    <w:rsid w:val="00281672"/>
    <w:rsid w:val="00281674"/>
    <w:rsid w:val="0028169E"/>
    <w:rsid w:val="00281716"/>
    <w:rsid w:val="0028177F"/>
    <w:rsid w:val="002817BD"/>
    <w:rsid w:val="00281991"/>
    <w:rsid w:val="00281A54"/>
    <w:rsid w:val="00281A69"/>
    <w:rsid w:val="00281B9C"/>
    <w:rsid w:val="00281BAA"/>
    <w:rsid w:val="00281C60"/>
    <w:rsid w:val="00281CEB"/>
    <w:rsid w:val="00281D10"/>
    <w:rsid w:val="00281D4C"/>
    <w:rsid w:val="00281DB5"/>
    <w:rsid w:val="00281EB1"/>
    <w:rsid w:val="00281EBF"/>
    <w:rsid w:val="00281ED7"/>
    <w:rsid w:val="00281F62"/>
    <w:rsid w:val="00281F80"/>
    <w:rsid w:val="0028217E"/>
    <w:rsid w:val="00282324"/>
    <w:rsid w:val="00282325"/>
    <w:rsid w:val="002824C6"/>
    <w:rsid w:val="002824E7"/>
    <w:rsid w:val="002824F4"/>
    <w:rsid w:val="00282512"/>
    <w:rsid w:val="00282569"/>
    <w:rsid w:val="00282571"/>
    <w:rsid w:val="00282573"/>
    <w:rsid w:val="0028258B"/>
    <w:rsid w:val="002825AD"/>
    <w:rsid w:val="002825C9"/>
    <w:rsid w:val="0028271B"/>
    <w:rsid w:val="00282838"/>
    <w:rsid w:val="0028294F"/>
    <w:rsid w:val="002829CA"/>
    <w:rsid w:val="00282AF2"/>
    <w:rsid w:val="00282B0B"/>
    <w:rsid w:val="00282C4A"/>
    <w:rsid w:val="00282CF2"/>
    <w:rsid w:val="00282DC2"/>
    <w:rsid w:val="00282ED8"/>
    <w:rsid w:val="00282F27"/>
    <w:rsid w:val="00282F40"/>
    <w:rsid w:val="00282F8C"/>
    <w:rsid w:val="00282F9D"/>
    <w:rsid w:val="00282FA5"/>
    <w:rsid w:val="00282FD0"/>
    <w:rsid w:val="00282FD5"/>
    <w:rsid w:val="002830B0"/>
    <w:rsid w:val="0028328E"/>
    <w:rsid w:val="002832B6"/>
    <w:rsid w:val="00283387"/>
    <w:rsid w:val="002833C0"/>
    <w:rsid w:val="00283479"/>
    <w:rsid w:val="0028348B"/>
    <w:rsid w:val="002834A4"/>
    <w:rsid w:val="002834B9"/>
    <w:rsid w:val="00283520"/>
    <w:rsid w:val="0028358D"/>
    <w:rsid w:val="002835E2"/>
    <w:rsid w:val="0028367C"/>
    <w:rsid w:val="002836FC"/>
    <w:rsid w:val="00283743"/>
    <w:rsid w:val="00283826"/>
    <w:rsid w:val="0028383F"/>
    <w:rsid w:val="00283921"/>
    <w:rsid w:val="00283936"/>
    <w:rsid w:val="002839E1"/>
    <w:rsid w:val="00283B8E"/>
    <w:rsid w:val="00283BD2"/>
    <w:rsid w:val="00283C6C"/>
    <w:rsid w:val="00283DA5"/>
    <w:rsid w:val="00283E16"/>
    <w:rsid w:val="00283E74"/>
    <w:rsid w:val="00283E83"/>
    <w:rsid w:val="00283EDB"/>
    <w:rsid w:val="00284067"/>
    <w:rsid w:val="00284125"/>
    <w:rsid w:val="0028413D"/>
    <w:rsid w:val="002841A7"/>
    <w:rsid w:val="00284243"/>
    <w:rsid w:val="002843EA"/>
    <w:rsid w:val="002843F3"/>
    <w:rsid w:val="0028448E"/>
    <w:rsid w:val="002844A6"/>
    <w:rsid w:val="0028455B"/>
    <w:rsid w:val="00284634"/>
    <w:rsid w:val="00284667"/>
    <w:rsid w:val="002846B0"/>
    <w:rsid w:val="0028485A"/>
    <w:rsid w:val="0028499C"/>
    <w:rsid w:val="002849C2"/>
    <w:rsid w:val="00284A29"/>
    <w:rsid w:val="00284ADE"/>
    <w:rsid w:val="00284B1B"/>
    <w:rsid w:val="00284C11"/>
    <w:rsid w:val="00284C99"/>
    <w:rsid w:val="00284C9B"/>
    <w:rsid w:val="00284C9D"/>
    <w:rsid w:val="00284D42"/>
    <w:rsid w:val="00284E0F"/>
    <w:rsid w:val="00284F04"/>
    <w:rsid w:val="00284F43"/>
    <w:rsid w:val="00285079"/>
    <w:rsid w:val="002850A5"/>
    <w:rsid w:val="002850E5"/>
    <w:rsid w:val="002851E2"/>
    <w:rsid w:val="002851F3"/>
    <w:rsid w:val="00285220"/>
    <w:rsid w:val="002853C1"/>
    <w:rsid w:val="002854A2"/>
    <w:rsid w:val="0028550E"/>
    <w:rsid w:val="00285581"/>
    <w:rsid w:val="00285615"/>
    <w:rsid w:val="0028568B"/>
    <w:rsid w:val="00285907"/>
    <w:rsid w:val="0028590C"/>
    <w:rsid w:val="00285AC1"/>
    <w:rsid w:val="00285B17"/>
    <w:rsid w:val="00285B58"/>
    <w:rsid w:val="00285B65"/>
    <w:rsid w:val="00285BB9"/>
    <w:rsid w:val="00285C04"/>
    <w:rsid w:val="00285C40"/>
    <w:rsid w:val="00285C56"/>
    <w:rsid w:val="00285CFD"/>
    <w:rsid w:val="00285D2D"/>
    <w:rsid w:val="00285DD4"/>
    <w:rsid w:val="00285F70"/>
    <w:rsid w:val="00285F9F"/>
    <w:rsid w:val="00286050"/>
    <w:rsid w:val="0028608A"/>
    <w:rsid w:val="00286183"/>
    <w:rsid w:val="00286199"/>
    <w:rsid w:val="002861C2"/>
    <w:rsid w:val="00286380"/>
    <w:rsid w:val="00286419"/>
    <w:rsid w:val="002864C5"/>
    <w:rsid w:val="00286554"/>
    <w:rsid w:val="0028656F"/>
    <w:rsid w:val="00286585"/>
    <w:rsid w:val="00286616"/>
    <w:rsid w:val="0028679D"/>
    <w:rsid w:val="00286804"/>
    <w:rsid w:val="0028684B"/>
    <w:rsid w:val="00286863"/>
    <w:rsid w:val="002868DC"/>
    <w:rsid w:val="0028691E"/>
    <w:rsid w:val="00286953"/>
    <w:rsid w:val="002869E9"/>
    <w:rsid w:val="00286A6A"/>
    <w:rsid w:val="00286BC9"/>
    <w:rsid w:val="00286BEE"/>
    <w:rsid w:val="00286C1A"/>
    <w:rsid w:val="00286CB1"/>
    <w:rsid w:val="00286CC2"/>
    <w:rsid w:val="00286E38"/>
    <w:rsid w:val="00286E76"/>
    <w:rsid w:val="00286EC3"/>
    <w:rsid w:val="00286F26"/>
    <w:rsid w:val="00286F9A"/>
    <w:rsid w:val="00286FCE"/>
    <w:rsid w:val="00287051"/>
    <w:rsid w:val="00287075"/>
    <w:rsid w:val="002870C6"/>
    <w:rsid w:val="00287148"/>
    <w:rsid w:val="00287153"/>
    <w:rsid w:val="00287192"/>
    <w:rsid w:val="0028724B"/>
    <w:rsid w:val="00287279"/>
    <w:rsid w:val="00287291"/>
    <w:rsid w:val="002872BB"/>
    <w:rsid w:val="00287347"/>
    <w:rsid w:val="002873E1"/>
    <w:rsid w:val="002873E2"/>
    <w:rsid w:val="0028756D"/>
    <w:rsid w:val="0028759D"/>
    <w:rsid w:val="002876B3"/>
    <w:rsid w:val="002878B5"/>
    <w:rsid w:val="0028791E"/>
    <w:rsid w:val="00287984"/>
    <w:rsid w:val="00287B3C"/>
    <w:rsid w:val="00287B86"/>
    <w:rsid w:val="00287CAB"/>
    <w:rsid w:val="00287DD4"/>
    <w:rsid w:val="00287EB5"/>
    <w:rsid w:val="00287FDF"/>
    <w:rsid w:val="0029004B"/>
    <w:rsid w:val="00290270"/>
    <w:rsid w:val="002902E9"/>
    <w:rsid w:val="00290390"/>
    <w:rsid w:val="00290454"/>
    <w:rsid w:val="00290584"/>
    <w:rsid w:val="002905B7"/>
    <w:rsid w:val="002905F9"/>
    <w:rsid w:val="0029062A"/>
    <w:rsid w:val="00290663"/>
    <w:rsid w:val="002906E9"/>
    <w:rsid w:val="00290722"/>
    <w:rsid w:val="002907C1"/>
    <w:rsid w:val="00290898"/>
    <w:rsid w:val="0029089A"/>
    <w:rsid w:val="002908CB"/>
    <w:rsid w:val="002909D5"/>
    <w:rsid w:val="00290A68"/>
    <w:rsid w:val="00290B4C"/>
    <w:rsid w:val="00290C42"/>
    <w:rsid w:val="00290CAB"/>
    <w:rsid w:val="00290D1B"/>
    <w:rsid w:val="00290E16"/>
    <w:rsid w:val="00290E20"/>
    <w:rsid w:val="00290F2B"/>
    <w:rsid w:val="00290F83"/>
    <w:rsid w:val="00290FB8"/>
    <w:rsid w:val="00290FD3"/>
    <w:rsid w:val="00290FE7"/>
    <w:rsid w:val="00290FFA"/>
    <w:rsid w:val="00291073"/>
    <w:rsid w:val="00291174"/>
    <w:rsid w:val="00291176"/>
    <w:rsid w:val="00291224"/>
    <w:rsid w:val="00291239"/>
    <w:rsid w:val="0029136C"/>
    <w:rsid w:val="002913A8"/>
    <w:rsid w:val="002913D2"/>
    <w:rsid w:val="002913D4"/>
    <w:rsid w:val="00291451"/>
    <w:rsid w:val="00291519"/>
    <w:rsid w:val="00291666"/>
    <w:rsid w:val="002916A4"/>
    <w:rsid w:val="00291771"/>
    <w:rsid w:val="002917BD"/>
    <w:rsid w:val="002917C9"/>
    <w:rsid w:val="00291836"/>
    <w:rsid w:val="002918CB"/>
    <w:rsid w:val="0029195C"/>
    <w:rsid w:val="0029196F"/>
    <w:rsid w:val="00291A4C"/>
    <w:rsid w:val="00291A78"/>
    <w:rsid w:val="00291A90"/>
    <w:rsid w:val="00291ABC"/>
    <w:rsid w:val="00291C31"/>
    <w:rsid w:val="00291CA6"/>
    <w:rsid w:val="00291CEE"/>
    <w:rsid w:val="00291D2C"/>
    <w:rsid w:val="00291DA8"/>
    <w:rsid w:val="00291DC8"/>
    <w:rsid w:val="00291ECA"/>
    <w:rsid w:val="00291F59"/>
    <w:rsid w:val="00291F5A"/>
    <w:rsid w:val="00291FC3"/>
    <w:rsid w:val="00291FDB"/>
    <w:rsid w:val="002920A9"/>
    <w:rsid w:val="002920C0"/>
    <w:rsid w:val="002920E1"/>
    <w:rsid w:val="00292137"/>
    <w:rsid w:val="00292166"/>
    <w:rsid w:val="002921AC"/>
    <w:rsid w:val="002921EF"/>
    <w:rsid w:val="00292252"/>
    <w:rsid w:val="002922DE"/>
    <w:rsid w:val="002924A0"/>
    <w:rsid w:val="002924C6"/>
    <w:rsid w:val="00292583"/>
    <w:rsid w:val="002925A1"/>
    <w:rsid w:val="002925BE"/>
    <w:rsid w:val="002925E1"/>
    <w:rsid w:val="00292627"/>
    <w:rsid w:val="00292635"/>
    <w:rsid w:val="0029265E"/>
    <w:rsid w:val="002926F4"/>
    <w:rsid w:val="002927DE"/>
    <w:rsid w:val="00292830"/>
    <w:rsid w:val="00292879"/>
    <w:rsid w:val="002928A5"/>
    <w:rsid w:val="0029298B"/>
    <w:rsid w:val="002929AB"/>
    <w:rsid w:val="00292A05"/>
    <w:rsid w:val="00292A3E"/>
    <w:rsid w:val="00292A6D"/>
    <w:rsid w:val="00292AE1"/>
    <w:rsid w:val="00292B65"/>
    <w:rsid w:val="00292C3A"/>
    <w:rsid w:val="00292D46"/>
    <w:rsid w:val="00292DC5"/>
    <w:rsid w:val="00292F18"/>
    <w:rsid w:val="00292FB9"/>
    <w:rsid w:val="0029309D"/>
    <w:rsid w:val="002930D9"/>
    <w:rsid w:val="002930EB"/>
    <w:rsid w:val="002930F4"/>
    <w:rsid w:val="0029321D"/>
    <w:rsid w:val="0029324D"/>
    <w:rsid w:val="0029325C"/>
    <w:rsid w:val="00293275"/>
    <w:rsid w:val="002932AD"/>
    <w:rsid w:val="002932B1"/>
    <w:rsid w:val="002934A1"/>
    <w:rsid w:val="002935CD"/>
    <w:rsid w:val="002935D7"/>
    <w:rsid w:val="002935F8"/>
    <w:rsid w:val="00293609"/>
    <w:rsid w:val="00293678"/>
    <w:rsid w:val="002936B5"/>
    <w:rsid w:val="0029372B"/>
    <w:rsid w:val="0029375C"/>
    <w:rsid w:val="002937BD"/>
    <w:rsid w:val="00293960"/>
    <w:rsid w:val="002939D4"/>
    <w:rsid w:val="00293A2E"/>
    <w:rsid w:val="00293A8C"/>
    <w:rsid w:val="00293B90"/>
    <w:rsid w:val="00293BA2"/>
    <w:rsid w:val="00293BDC"/>
    <w:rsid w:val="00293BDD"/>
    <w:rsid w:val="00293C27"/>
    <w:rsid w:val="00293C77"/>
    <w:rsid w:val="00293CEF"/>
    <w:rsid w:val="00293CF4"/>
    <w:rsid w:val="00293D0E"/>
    <w:rsid w:val="00293D32"/>
    <w:rsid w:val="00293DE8"/>
    <w:rsid w:val="00293E74"/>
    <w:rsid w:val="002940DC"/>
    <w:rsid w:val="00294150"/>
    <w:rsid w:val="00294188"/>
    <w:rsid w:val="002941AF"/>
    <w:rsid w:val="00294246"/>
    <w:rsid w:val="00294296"/>
    <w:rsid w:val="002942D5"/>
    <w:rsid w:val="002943C5"/>
    <w:rsid w:val="002943EB"/>
    <w:rsid w:val="00294424"/>
    <w:rsid w:val="00294583"/>
    <w:rsid w:val="00294618"/>
    <w:rsid w:val="00294631"/>
    <w:rsid w:val="0029470C"/>
    <w:rsid w:val="00294725"/>
    <w:rsid w:val="00294832"/>
    <w:rsid w:val="0029489C"/>
    <w:rsid w:val="00294900"/>
    <w:rsid w:val="00294947"/>
    <w:rsid w:val="002949A7"/>
    <w:rsid w:val="002949D1"/>
    <w:rsid w:val="00294A3B"/>
    <w:rsid w:val="00294B0B"/>
    <w:rsid w:val="00294B86"/>
    <w:rsid w:val="00294CA6"/>
    <w:rsid w:val="00294CD4"/>
    <w:rsid w:val="00294CEA"/>
    <w:rsid w:val="00294D0A"/>
    <w:rsid w:val="00294E3B"/>
    <w:rsid w:val="00294E73"/>
    <w:rsid w:val="00294EA3"/>
    <w:rsid w:val="00294F3C"/>
    <w:rsid w:val="00294FEE"/>
    <w:rsid w:val="0029502F"/>
    <w:rsid w:val="00295047"/>
    <w:rsid w:val="00295285"/>
    <w:rsid w:val="002953D5"/>
    <w:rsid w:val="00295545"/>
    <w:rsid w:val="002956D3"/>
    <w:rsid w:val="0029571F"/>
    <w:rsid w:val="00295767"/>
    <w:rsid w:val="00295835"/>
    <w:rsid w:val="0029584B"/>
    <w:rsid w:val="00295981"/>
    <w:rsid w:val="0029598F"/>
    <w:rsid w:val="00295A4D"/>
    <w:rsid w:val="00295A6D"/>
    <w:rsid w:val="00295A80"/>
    <w:rsid w:val="00295AA1"/>
    <w:rsid w:val="00295B36"/>
    <w:rsid w:val="00295C38"/>
    <w:rsid w:val="00295C42"/>
    <w:rsid w:val="00295C49"/>
    <w:rsid w:val="00295D57"/>
    <w:rsid w:val="00295DAA"/>
    <w:rsid w:val="00295DDA"/>
    <w:rsid w:val="00295DEB"/>
    <w:rsid w:val="00295E50"/>
    <w:rsid w:val="00295E95"/>
    <w:rsid w:val="00295E9E"/>
    <w:rsid w:val="00295F06"/>
    <w:rsid w:val="00295F4A"/>
    <w:rsid w:val="00295FB1"/>
    <w:rsid w:val="00295FFE"/>
    <w:rsid w:val="002960A3"/>
    <w:rsid w:val="00296149"/>
    <w:rsid w:val="00296186"/>
    <w:rsid w:val="002961CA"/>
    <w:rsid w:val="002961FB"/>
    <w:rsid w:val="002962FF"/>
    <w:rsid w:val="00296304"/>
    <w:rsid w:val="00296307"/>
    <w:rsid w:val="00296392"/>
    <w:rsid w:val="002963F3"/>
    <w:rsid w:val="002964C3"/>
    <w:rsid w:val="002964DA"/>
    <w:rsid w:val="00296528"/>
    <w:rsid w:val="00296537"/>
    <w:rsid w:val="00296688"/>
    <w:rsid w:val="002966B9"/>
    <w:rsid w:val="002966EF"/>
    <w:rsid w:val="00296783"/>
    <w:rsid w:val="0029688E"/>
    <w:rsid w:val="00296922"/>
    <w:rsid w:val="0029692B"/>
    <w:rsid w:val="002969BE"/>
    <w:rsid w:val="002969DE"/>
    <w:rsid w:val="002969F5"/>
    <w:rsid w:val="00296A64"/>
    <w:rsid w:val="00296A88"/>
    <w:rsid w:val="00296B6E"/>
    <w:rsid w:val="00296BB6"/>
    <w:rsid w:val="00296BFB"/>
    <w:rsid w:val="00296EE8"/>
    <w:rsid w:val="00296F06"/>
    <w:rsid w:val="00296F82"/>
    <w:rsid w:val="00296FAD"/>
    <w:rsid w:val="00297007"/>
    <w:rsid w:val="00297055"/>
    <w:rsid w:val="00297093"/>
    <w:rsid w:val="002970BB"/>
    <w:rsid w:val="002971D3"/>
    <w:rsid w:val="0029720F"/>
    <w:rsid w:val="00297305"/>
    <w:rsid w:val="00297363"/>
    <w:rsid w:val="002973EE"/>
    <w:rsid w:val="002973F6"/>
    <w:rsid w:val="002974CD"/>
    <w:rsid w:val="00297588"/>
    <w:rsid w:val="002975AD"/>
    <w:rsid w:val="002975D7"/>
    <w:rsid w:val="002976C2"/>
    <w:rsid w:val="002976EC"/>
    <w:rsid w:val="0029772B"/>
    <w:rsid w:val="002978F7"/>
    <w:rsid w:val="0029792A"/>
    <w:rsid w:val="002979E7"/>
    <w:rsid w:val="002979FB"/>
    <w:rsid w:val="00297A6A"/>
    <w:rsid w:val="00297A82"/>
    <w:rsid w:val="00297ABB"/>
    <w:rsid w:val="00297B0D"/>
    <w:rsid w:val="00297B23"/>
    <w:rsid w:val="00297B96"/>
    <w:rsid w:val="00297C4F"/>
    <w:rsid w:val="00297D79"/>
    <w:rsid w:val="00297E26"/>
    <w:rsid w:val="00297EB5"/>
    <w:rsid w:val="002A008F"/>
    <w:rsid w:val="002A009C"/>
    <w:rsid w:val="002A00C1"/>
    <w:rsid w:val="002A0133"/>
    <w:rsid w:val="002A022C"/>
    <w:rsid w:val="002A023D"/>
    <w:rsid w:val="002A0340"/>
    <w:rsid w:val="002A03AB"/>
    <w:rsid w:val="002A03B3"/>
    <w:rsid w:val="002A044F"/>
    <w:rsid w:val="002A060E"/>
    <w:rsid w:val="002A066D"/>
    <w:rsid w:val="002A06E4"/>
    <w:rsid w:val="002A07A1"/>
    <w:rsid w:val="002A07CC"/>
    <w:rsid w:val="002A07CF"/>
    <w:rsid w:val="002A08EA"/>
    <w:rsid w:val="002A0978"/>
    <w:rsid w:val="002A09FA"/>
    <w:rsid w:val="002A0AA8"/>
    <w:rsid w:val="002A0B07"/>
    <w:rsid w:val="002A0B72"/>
    <w:rsid w:val="002A0BD6"/>
    <w:rsid w:val="002A0C25"/>
    <w:rsid w:val="002A0C87"/>
    <w:rsid w:val="002A0C94"/>
    <w:rsid w:val="002A0D66"/>
    <w:rsid w:val="002A0D99"/>
    <w:rsid w:val="002A0DBB"/>
    <w:rsid w:val="002A0DFA"/>
    <w:rsid w:val="002A0E5F"/>
    <w:rsid w:val="002A0E8C"/>
    <w:rsid w:val="002A0F1D"/>
    <w:rsid w:val="002A0F2E"/>
    <w:rsid w:val="002A0FF5"/>
    <w:rsid w:val="002A102B"/>
    <w:rsid w:val="002A1120"/>
    <w:rsid w:val="002A1352"/>
    <w:rsid w:val="002A13F2"/>
    <w:rsid w:val="002A141B"/>
    <w:rsid w:val="002A1466"/>
    <w:rsid w:val="002A149C"/>
    <w:rsid w:val="002A14D1"/>
    <w:rsid w:val="002A152E"/>
    <w:rsid w:val="002A1545"/>
    <w:rsid w:val="002A1587"/>
    <w:rsid w:val="002A174B"/>
    <w:rsid w:val="002A17AB"/>
    <w:rsid w:val="002A17D8"/>
    <w:rsid w:val="002A18A0"/>
    <w:rsid w:val="002A18C6"/>
    <w:rsid w:val="002A19B7"/>
    <w:rsid w:val="002A1A33"/>
    <w:rsid w:val="002A1A5A"/>
    <w:rsid w:val="002A1A60"/>
    <w:rsid w:val="002A1A8E"/>
    <w:rsid w:val="002A1B64"/>
    <w:rsid w:val="002A1BA3"/>
    <w:rsid w:val="002A1D5C"/>
    <w:rsid w:val="002A1D6A"/>
    <w:rsid w:val="002A1E09"/>
    <w:rsid w:val="002A1E9D"/>
    <w:rsid w:val="002A1F58"/>
    <w:rsid w:val="002A1FE8"/>
    <w:rsid w:val="002A2057"/>
    <w:rsid w:val="002A2067"/>
    <w:rsid w:val="002A20A3"/>
    <w:rsid w:val="002A20AD"/>
    <w:rsid w:val="002A20FA"/>
    <w:rsid w:val="002A219C"/>
    <w:rsid w:val="002A2221"/>
    <w:rsid w:val="002A2241"/>
    <w:rsid w:val="002A229E"/>
    <w:rsid w:val="002A23E5"/>
    <w:rsid w:val="002A23FF"/>
    <w:rsid w:val="002A261B"/>
    <w:rsid w:val="002A261D"/>
    <w:rsid w:val="002A268C"/>
    <w:rsid w:val="002A26B6"/>
    <w:rsid w:val="002A295C"/>
    <w:rsid w:val="002A29F7"/>
    <w:rsid w:val="002A2A32"/>
    <w:rsid w:val="002A2B83"/>
    <w:rsid w:val="002A2C04"/>
    <w:rsid w:val="002A2C3D"/>
    <w:rsid w:val="002A2D25"/>
    <w:rsid w:val="002A2D94"/>
    <w:rsid w:val="002A2DD4"/>
    <w:rsid w:val="002A2E06"/>
    <w:rsid w:val="002A2E23"/>
    <w:rsid w:val="002A2E29"/>
    <w:rsid w:val="002A2EAF"/>
    <w:rsid w:val="002A2EBB"/>
    <w:rsid w:val="002A2F6A"/>
    <w:rsid w:val="002A307F"/>
    <w:rsid w:val="002A3112"/>
    <w:rsid w:val="002A313F"/>
    <w:rsid w:val="002A31A8"/>
    <w:rsid w:val="002A31BA"/>
    <w:rsid w:val="002A323F"/>
    <w:rsid w:val="002A32F5"/>
    <w:rsid w:val="002A336E"/>
    <w:rsid w:val="002A3423"/>
    <w:rsid w:val="002A3487"/>
    <w:rsid w:val="002A3494"/>
    <w:rsid w:val="002A364C"/>
    <w:rsid w:val="002A365B"/>
    <w:rsid w:val="002A3678"/>
    <w:rsid w:val="002A3793"/>
    <w:rsid w:val="002A37C5"/>
    <w:rsid w:val="002A37FF"/>
    <w:rsid w:val="002A3872"/>
    <w:rsid w:val="002A3909"/>
    <w:rsid w:val="002A3944"/>
    <w:rsid w:val="002A3ADC"/>
    <w:rsid w:val="002A3B07"/>
    <w:rsid w:val="002A3B68"/>
    <w:rsid w:val="002A3C8B"/>
    <w:rsid w:val="002A3C8F"/>
    <w:rsid w:val="002A3CAC"/>
    <w:rsid w:val="002A3CC9"/>
    <w:rsid w:val="002A3CF9"/>
    <w:rsid w:val="002A3D60"/>
    <w:rsid w:val="002A3DF7"/>
    <w:rsid w:val="002A3F44"/>
    <w:rsid w:val="002A4149"/>
    <w:rsid w:val="002A4237"/>
    <w:rsid w:val="002A4274"/>
    <w:rsid w:val="002A43E6"/>
    <w:rsid w:val="002A4531"/>
    <w:rsid w:val="002A4537"/>
    <w:rsid w:val="002A4563"/>
    <w:rsid w:val="002A45C8"/>
    <w:rsid w:val="002A469D"/>
    <w:rsid w:val="002A46B4"/>
    <w:rsid w:val="002A46F8"/>
    <w:rsid w:val="002A4730"/>
    <w:rsid w:val="002A475B"/>
    <w:rsid w:val="002A4786"/>
    <w:rsid w:val="002A47BD"/>
    <w:rsid w:val="002A4888"/>
    <w:rsid w:val="002A48CE"/>
    <w:rsid w:val="002A4926"/>
    <w:rsid w:val="002A495F"/>
    <w:rsid w:val="002A497E"/>
    <w:rsid w:val="002A4BB6"/>
    <w:rsid w:val="002A4BE0"/>
    <w:rsid w:val="002A4CC5"/>
    <w:rsid w:val="002A4D0E"/>
    <w:rsid w:val="002A4E00"/>
    <w:rsid w:val="002A4E73"/>
    <w:rsid w:val="002A4EE2"/>
    <w:rsid w:val="002A4F06"/>
    <w:rsid w:val="002A4F69"/>
    <w:rsid w:val="002A500D"/>
    <w:rsid w:val="002A5141"/>
    <w:rsid w:val="002A5195"/>
    <w:rsid w:val="002A51A1"/>
    <w:rsid w:val="002A51FF"/>
    <w:rsid w:val="002A5200"/>
    <w:rsid w:val="002A522D"/>
    <w:rsid w:val="002A5285"/>
    <w:rsid w:val="002A529B"/>
    <w:rsid w:val="002A52B4"/>
    <w:rsid w:val="002A52FD"/>
    <w:rsid w:val="002A532F"/>
    <w:rsid w:val="002A538E"/>
    <w:rsid w:val="002A5655"/>
    <w:rsid w:val="002A5737"/>
    <w:rsid w:val="002A582B"/>
    <w:rsid w:val="002A5850"/>
    <w:rsid w:val="002A588F"/>
    <w:rsid w:val="002A595E"/>
    <w:rsid w:val="002A59A7"/>
    <w:rsid w:val="002A5A04"/>
    <w:rsid w:val="002A5A6C"/>
    <w:rsid w:val="002A5AA2"/>
    <w:rsid w:val="002A5AAA"/>
    <w:rsid w:val="002A5B3B"/>
    <w:rsid w:val="002A5C3F"/>
    <w:rsid w:val="002A5C4C"/>
    <w:rsid w:val="002A5CAE"/>
    <w:rsid w:val="002A5CB3"/>
    <w:rsid w:val="002A5E20"/>
    <w:rsid w:val="002A5E24"/>
    <w:rsid w:val="002A5E26"/>
    <w:rsid w:val="002A5E45"/>
    <w:rsid w:val="002A5E52"/>
    <w:rsid w:val="002A5E69"/>
    <w:rsid w:val="002A5E71"/>
    <w:rsid w:val="002A5EC0"/>
    <w:rsid w:val="002A5FA1"/>
    <w:rsid w:val="002A6024"/>
    <w:rsid w:val="002A60AF"/>
    <w:rsid w:val="002A6107"/>
    <w:rsid w:val="002A6122"/>
    <w:rsid w:val="002A614D"/>
    <w:rsid w:val="002A6343"/>
    <w:rsid w:val="002A6374"/>
    <w:rsid w:val="002A6391"/>
    <w:rsid w:val="002A644A"/>
    <w:rsid w:val="002A6509"/>
    <w:rsid w:val="002A65CD"/>
    <w:rsid w:val="002A6609"/>
    <w:rsid w:val="002A6651"/>
    <w:rsid w:val="002A6654"/>
    <w:rsid w:val="002A66EE"/>
    <w:rsid w:val="002A678B"/>
    <w:rsid w:val="002A679E"/>
    <w:rsid w:val="002A67F9"/>
    <w:rsid w:val="002A6832"/>
    <w:rsid w:val="002A6850"/>
    <w:rsid w:val="002A68B0"/>
    <w:rsid w:val="002A68D2"/>
    <w:rsid w:val="002A6939"/>
    <w:rsid w:val="002A69DB"/>
    <w:rsid w:val="002A6A1D"/>
    <w:rsid w:val="002A6A4E"/>
    <w:rsid w:val="002A6B1B"/>
    <w:rsid w:val="002A6D65"/>
    <w:rsid w:val="002A6D78"/>
    <w:rsid w:val="002A6D9A"/>
    <w:rsid w:val="002A6DBC"/>
    <w:rsid w:val="002A6EB7"/>
    <w:rsid w:val="002A6F80"/>
    <w:rsid w:val="002A6FB9"/>
    <w:rsid w:val="002A7049"/>
    <w:rsid w:val="002A707A"/>
    <w:rsid w:val="002A7159"/>
    <w:rsid w:val="002A71C0"/>
    <w:rsid w:val="002A7209"/>
    <w:rsid w:val="002A72C6"/>
    <w:rsid w:val="002A72EF"/>
    <w:rsid w:val="002A7315"/>
    <w:rsid w:val="002A7376"/>
    <w:rsid w:val="002A73DC"/>
    <w:rsid w:val="002A742B"/>
    <w:rsid w:val="002A7557"/>
    <w:rsid w:val="002A76DF"/>
    <w:rsid w:val="002A7717"/>
    <w:rsid w:val="002A772F"/>
    <w:rsid w:val="002A7768"/>
    <w:rsid w:val="002A783D"/>
    <w:rsid w:val="002A78DF"/>
    <w:rsid w:val="002A7913"/>
    <w:rsid w:val="002A7956"/>
    <w:rsid w:val="002A79C7"/>
    <w:rsid w:val="002A7A1B"/>
    <w:rsid w:val="002A7C57"/>
    <w:rsid w:val="002A7C5C"/>
    <w:rsid w:val="002A7DBE"/>
    <w:rsid w:val="002A7E55"/>
    <w:rsid w:val="002A7EB6"/>
    <w:rsid w:val="002A7FE9"/>
    <w:rsid w:val="002B0029"/>
    <w:rsid w:val="002B0067"/>
    <w:rsid w:val="002B00ED"/>
    <w:rsid w:val="002B0112"/>
    <w:rsid w:val="002B015C"/>
    <w:rsid w:val="002B01AD"/>
    <w:rsid w:val="002B01D1"/>
    <w:rsid w:val="002B029D"/>
    <w:rsid w:val="002B02AE"/>
    <w:rsid w:val="002B041F"/>
    <w:rsid w:val="002B042A"/>
    <w:rsid w:val="002B0502"/>
    <w:rsid w:val="002B0520"/>
    <w:rsid w:val="002B0541"/>
    <w:rsid w:val="002B058D"/>
    <w:rsid w:val="002B05A3"/>
    <w:rsid w:val="002B05E2"/>
    <w:rsid w:val="002B06A7"/>
    <w:rsid w:val="002B06F4"/>
    <w:rsid w:val="002B0743"/>
    <w:rsid w:val="002B07C0"/>
    <w:rsid w:val="002B0808"/>
    <w:rsid w:val="002B084B"/>
    <w:rsid w:val="002B0858"/>
    <w:rsid w:val="002B0866"/>
    <w:rsid w:val="002B08FC"/>
    <w:rsid w:val="002B091E"/>
    <w:rsid w:val="002B0A1B"/>
    <w:rsid w:val="002B0A9D"/>
    <w:rsid w:val="002B0BA5"/>
    <w:rsid w:val="002B0C8D"/>
    <w:rsid w:val="002B0CB0"/>
    <w:rsid w:val="002B0D39"/>
    <w:rsid w:val="002B0D4E"/>
    <w:rsid w:val="002B0D6F"/>
    <w:rsid w:val="002B0DAC"/>
    <w:rsid w:val="002B0E1E"/>
    <w:rsid w:val="002B0EA2"/>
    <w:rsid w:val="002B0F98"/>
    <w:rsid w:val="002B1027"/>
    <w:rsid w:val="002B124B"/>
    <w:rsid w:val="002B12BE"/>
    <w:rsid w:val="002B12DA"/>
    <w:rsid w:val="002B139B"/>
    <w:rsid w:val="002B1454"/>
    <w:rsid w:val="002B14B8"/>
    <w:rsid w:val="002B14C7"/>
    <w:rsid w:val="002B1579"/>
    <w:rsid w:val="002B1629"/>
    <w:rsid w:val="002B1658"/>
    <w:rsid w:val="002B1698"/>
    <w:rsid w:val="002B16F1"/>
    <w:rsid w:val="002B1743"/>
    <w:rsid w:val="002B1746"/>
    <w:rsid w:val="002B1749"/>
    <w:rsid w:val="002B175E"/>
    <w:rsid w:val="002B1796"/>
    <w:rsid w:val="002B17DE"/>
    <w:rsid w:val="002B17F4"/>
    <w:rsid w:val="002B17FC"/>
    <w:rsid w:val="002B1871"/>
    <w:rsid w:val="002B191D"/>
    <w:rsid w:val="002B1946"/>
    <w:rsid w:val="002B19BD"/>
    <w:rsid w:val="002B19E1"/>
    <w:rsid w:val="002B1A45"/>
    <w:rsid w:val="002B1B01"/>
    <w:rsid w:val="002B1C81"/>
    <w:rsid w:val="002B1C8F"/>
    <w:rsid w:val="002B1CD1"/>
    <w:rsid w:val="002B1D22"/>
    <w:rsid w:val="002B1E26"/>
    <w:rsid w:val="002B1E67"/>
    <w:rsid w:val="002B1F98"/>
    <w:rsid w:val="002B1FED"/>
    <w:rsid w:val="002B2016"/>
    <w:rsid w:val="002B209B"/>
    <w:rsid w:val="002B2136"/>
    <w:rsid w:val="002B21E0"/>
    <w:rsid w:val="002B2300"/>
    <w:rsid w:val="002B231D"/>
    <w:rsid w:val="002B2379"/>
    <w:rsid w:val="002B23AA"/>
    <w:rsid w:val="002B23CD"/>
    <w:rsid w:val="002B23EE"/>
    <w:rsid w:val="002B2449"/>
    <w:rsid w:val="002B24D3"/>
    <w:rsid w:val="002B2530"/>
    <w:rsid w:val="002B25A1"/>
    <w:rsid w:val="002B2622"/>
    <w:rsid w:val="002B2686"/>
    <w:rsid w:val="002B269E"/>
    <w:rsid w:val="002B26AD"/>
    <w:rsid w:val="002B2711"/>
    <w:rsid w:val="002B271E"/>
    <w:rsid w:val="002B277F"/>
    <w:rsid w:val="002B27C3"/>
    <w:rsid w:val="002B27E0"/>
    <w:rsid w:val="002B27E4"/>
    <w:rsid w:val="002B282B"/>
    <w:rsid w:val="002B2844"/>
    <w:rsid w:val="002B2879"/>
    <w:rsid w:val="002B2953"/>
    <w:rsid w:val="002B2972"/>
    <w:rsid w:val="002B29EE"/>
    <w:rsid w:val="002B2A81"/>
    <w:rsid w:val="002B2ABB"/>
    <w:rsid w:val="002B2B45"/>
    <w:rsid w:val="002B2C56"/>
    <w:rsid w:val="002B2CEC"/>
    <w:rsid w:val="002B2D52"/>
    <w:rsid w:val="002B2D76"/>
    <w:rsid w:val="002B2DF3"/>
    <w:rsid w:val="002B2E0F"/>
    <w:rsid w:val="002B2F6F"/>
    <w:rsid w:val="002B300E"/>
    <w:rsid w:val="002B3059"/>
    <w:rsid w:val="002B306E"/>
    <w:rsid w:val="002B312C"/>
    <w:rsid w:val="002B333A"/>
    <w:rsid w:val="002B348E"/>
    <w:rsid w:val="002B34B6"/>
    <w:rsid w:val="002B34CA"/>
    <w:rsid w:val="002B3679"/>
    <w:rsid w:val="002B3734"/>
    <w:rsid w:val="002B3772"/>
    <w:rsid w:val="002B3796"/>
    <w:rsid w:val="002B37AF"/>
    <w:rsid w:val="002B37E1"/>
    <w:rsid w:val="002B3801"/>
    <w:rsid w:val="002B39FD"/>
    <w:rsid w:val="002B3A4F"/>
    <w:rsid w:val="002B3B77"/>
    <w:rsid w:val="002B3CD8"/>
    <w:rsid w:val="002B3D71"/>
    <w:rsid w:val="002B3D99"/>
    <w:rsid w:val="002B3DB1"/>
    <w:rsid w:val="002B3ED4"/>
    <w:rsid w:val="002B3EF1"/>
    <w:rsid w:val="002B3EFD"/>
    <w:rsid w:val="002B3FB7"/>
    <w:rsid w:val="002B3FF4"/>
    <w:rsid w:val="002B401F"/>
    <w:rsid w:val="002B40D2"/>
    <w:rsid w:val="002B419B"/>
    <w:rsid w:val="002B4263"/>
    <w:rsid w:val="002B4307"/>
    <w:rsid w:val="002B4407"/>
    <w:rsid w:val="002B4491"/>
    <w:rsid w:val="002B449A"/>
    <w:rsid w:val="002B45FB"/>
    <w:rsid w:val="002B46B5"/>
    <w:rsid w:val="002B4720"/>
    <w:rsid w:val="002B4734"/>
    <w:rsid w:val="002B47D2"/>
    <w:rsid w:val="002B47E3"/>
    <w:rsid w:val="002B4822"/>
    <w:rsid w:val="002B48DF"/>
    <w:rsid w:val="002B48E6"/>
    <w:rsid w:val="002B48EE"/>
    <w:rsid w:val="002B4915"/>
    <w:rsid w:val="002B4924"/>
    <w:rsid w:val="002B4961"/>
    <w:rsid w:val="002B4995"/>
    <w:rsid w:val="002B4A12"/>
    <w:rsid w:val="002B4A4B"/>
    <w:rsid w:val="002B4A9F"/>
    <w:rsid w:val="002B4B24"/>
    <w:rsid w:val="002B4B5F"/>
    <w:rsid w:val="002B4B77"/>
    <w:rsid w:val="002B4B7C"/>
    <w:rsid w:val="002B4BCA"/>
    <w:rsid w:val="002B4C29"/>
    <w:rsid w:val="002B4D84"/>
    <w:rsid w:val="002B4E5A"/>
    <w:rsid w:val="002B4F13"/>
    <w:rsid w:val="002B51A3"/>
    <w:rsid w:val="002B51BA"/>
    <w:rsid w:val="002B5280"/>
    <w:rsid w:val="002B53C1"/>
    <w:rsid w:val="002B5419"/>
    <w:rsid w:val="002B548B"/>
    <w:rsid w:val="002B5543"/>
    <w:rsid w:val="002B558A"/>
    <w:rsid w:val="002B55C8"/>
    <w:rsid w:val="002B55CB"/>
    <w:rsid w:val="002B55E4"/>
    <w:rsid w:val="002B56E5"/>
    <w:rsid w:val="002B570A"/>
    <w:rsid w:val="002B5757"/>
    <w:rsid w:val="002B57BA"/>
    <w:rsid w:val="002B58B8"/>
    <w:rsid w:val="002B5931"/>
    <w:rsid w:val="002B5980"/>
    <w:rsid w:val="002B5989"/>
    <w:rsid w:val="002B59E8"/>
    <w:rsid w:val="002B5A82"/>
    <w:rsid w:val="002B5A85"/>
    <w:rsid w:val="002B5B9F"/>
    <w:rsid w:val="002B5BCA"/>
    <w:rsid w:val="002B5BDF"/>
    <w:rsid w:val="002B5C02"/>
    <w:rsid w:val="002B5CC4"/>
    <w:rsid w:val="002B5CC8"/>
    <w:rsid w:val="002B5D82"/>
    <w:rsid w:val="002B5D94"/>
    <w:rsid w:val="002B5E40"/>
    <w:rsid w:val="002B5E67"/>
    <w:rsid w:val="002B5E98"/>
    <w:rsid w:val="002B5F4D"/>
    <w:rsid w:val="002B60A7"/>
    <w:rsid w:val="002B6123"/>
    <w:rsid w:val="002B626A"/>
    <w:rsid w:val="002B6306"/>
    <w:rsid w:val="002B6376"/>
    <w:rsid w:val="002B63A7"/>
    <w:rsid w:val="002B641C"/>
    <w:rsid w:val="002B6494"/>
    <w:rsid w:val="002B64E1"/>
    <w:rsid w:val="002B64E5"/>
    <w:rsid w:val="002B650B"/>
    <w:rsid w:val="002B6714"/>
    <w:rsid w:val="002B6765"/>
    <w:rsid w:val="002B678E"/>
    <w:rsid w:val="002B67FA"/>
    <w:rsid w:val="002B6870"/>
    <w:rsid w:val="002B695C"/>
    <w:rsid w:val="002B6A86"/>
    <w:rsid w:val="002B6AD1"/>
    <w:rsid w:val="002B6AD2"/>
    <w:rsid w:val="002B6C06"/>
    <w:rsid w:val="002B6C94"/>
    <w:rsid w:val="002B6D76"/>
    <w:rsid w:val="002B6E0D"/>
    <w:rsid w:val="002B6E81"/>
    <w:rsid w:val="002B6F38"/>
    <w:rsid w:val="002B6F70"/>
    <w:rsid w:val="002B6FF5"/>
    <w:rsid w:val="002B6FFB"/>
    <w:rsid w:val="002B7115"/>
    <w:rsid w:val="002B713C"/>
    <w:rsid w:val="002B716B"/>
    <w:rsid w:val="002B71D1"/>
    <w:rsid w:val="002B7255"/>
    <w:rsid w:val="002B7284"/>
    <w:rsid w:val="002B74E5"/>
    <w:rsid w:val="002B751A"/>
    <w:rsid w:val="002B756B"/>
    <w:rsid w:val="002B75BB"/>
    <w:rsid w:val="002B75FE"/>
    <w:rsid w:val="002B76ED"/>
    <w:rsid w:val="002B773C"/>
    <w:rsid w:val="002B775D"/>
    <w:rsid w:val="002B777C"/>
    <w:rsid w:val="002B779D"/>
    <w:rsid w:val="002B77F4"/>
    <w:rsid w:val="002B7806"/>
    <w:rsid w:val="002B7827"/>
    <w:rsid w:val="002B78E1"/>
    <w:rsid w:val="002B79F6"/>
    <w:rsid w:val="002B79F7"/>
    <w:rsid w:val="002B7A02"/>
    <w:rsid w:val="002B7A03"/>
    <w:rsid w:val="002B7A42"/>
    <w:rsid w:val="002B7A9B"/>
    <w:rsid w:val="002B7AFD"/>
    <w:rsid w:val="002B7BCC"/>
    <w:rsid w:val="002B7BDD"/>
    <w:rsid w:val="002B7CC2"/>
    <w:rsid w:val="002B7DE1"/>
    <w:rsid w:val="002B7ED0"/>
    <w:rsid w:val="002B7F44"/>
    <w:rsid w:val="002B7FBE"/>
    <w:rsid w:val="002C000E"/>
    <w:rsid w:val="002C00A0"/>
    <w:rsid w:val="002C00A3"/>
    <w:rsid w:val="002C012F"/>
    <w:rsid w:val="002C016A"/>
    <w:rsid w:val="002C01BE"/>
    <w:rsid w:val="002C01FC"/>
    <w:rsid w:val="002C0219"/>
    <w:rsid w:val="002C0457"/>
    <w:rsid w:val="002C0465"/>
    <w:rsid w:val="002C04FB"/>
    <w:rsid w:val="002C056B"/>
    <w:rsid w:val="002C05B7"/>
    <w:rsid w:val="002C05EC"/>
    <w:rsid w:val="002C0637"/>
    <w:rsid w:val="002C068E"/>
    <w:rsid w:val="002C06AF"/>
    <w:rsid w:val="002C06D4"/>
    <w:rsid w:val="002C0745"/>
    <w:rsid w:val="002C0898"/>
    <w:rsid w:val="002C089B"/>
    <w:rsid w:val="002C08C4"/>
    <w:rsid w:val="002C08C6"/>
    <w:rsid w:val="002C091A"/>
    <w:rsid w:val="002C0A70"/>
    <w:rsid w:val="002C0A7C"/>
    <w:rsid w:val="002C0B49"/>
    <w:rsid w:val="002C0B82"/>
    <w:rsid w:val="002C0BA5"/>
    <w:rsid w:val="002C0BE8"/>
    <w:rsid w:val="002C0C44"/>
    <w:rsid w:val="002C0CE8"/>
    <w:rsid w:val="002C0D08"/>
    <w:rsid w:val="002C0D8D"/>
    <w:rsid w:val="002C0E1B"/>
    <w:rsid w:val="002C0E71"/>
    <w:rsid w:val="002C0EC2"/>
    <w:rsid w:val="002C0FB3"/>
    <w:rsid w:val="002C0FBB"/>
    <w:rsid w:val="002C0FC1"/>
    <w:rsid w:val="002C0FDB"/>
    <w:rsid w:val="002C100C"/>
    <w:rsid w:val="002C106D"/>
    <w:rsid w:val="002C10E7"/>
    <w:rsid w:val="002C10FA"/>
    <w:rsid w:val="002C116F"/>
    <w:rsid w:val="002C1235"/>
    <w:rsid w:val="002C12DF"/>
    <w:rsid w:val="002C12E8"/>
    <w:rsid w:val="002C1394"/>
    <w:rsid w:val="002C13FE"/>
    <w:rsid w:val="002C162C"/>
    <w:rsid w:val="002C1678"/>
    <w:rsid w:val="002C1793"/>
    <w:rsid w:val="002C1838"/>
    <w:rsid w:val="002C18E0"/>
    <w:rsid w:val="002C18E9"/>
    <w:rsid w:val="002C1A0F"/>
    <w:rsid w:val="002C1AA6"/>
    <w:rsid w:val="002C1AD8"/>
    <w:rsid w:val="002C1B6D"/>
    <w:rsid w:val="002C1C17"/>
    <w:rsid w:val="002C1DB1"/>
    <w:rsid w:val="002C1DD4"/>
    <w:rsid w:val="002C1F28"/>
    <w:rsid w:val="002C1FB9"/>
    <w:rsid w:val="002C1FD2"/>
    <w:rsid w:val="002C2001"/>
    <w:rsid w:val="002C2038"/>
    <w:rsid w:val="002C2090"/>
    <w:rsid w:val="002C20C7"/>
    <w:rsid w:val="002C224F"/>
    <w:rsid w:val="002C22E6"/>
    <w:rsid w:val="002C2465"/>
    <w:rsid w:val="002C24FD"/>
    <w:rsid w:val="002C2583"/>
    <w:rsid w:val="002C2588"/>
    <w:rsid w:val="002C26C7"/>
    <w:rsid w:val="002C26E7"/>
    <w:rsid w:val="002C270F"/>
    <w:rsid w:val="002C276A"/>
    <w:rsid w:val="002C2822"/>
    <w:rsid w:val="002C288D"/>
    <w:rsid w:val="002C2916"/>
    <w:rsid w:val="002C29A6"/>
    <w:rsid w:val="002C29AF"/>
    <w:rsid w:val="002C2AAB"/>
    <w:rsid w:val="002C2AD9"/>
    <w:rsid w:val="002C2AF1"/>
    <w:rsid w:val="002C2B17"/>
    <w:rsid w:val="002C2B6E"/>
    <w:rsid w:val="002C2B75"/>
    <w:rsid w:val="002C2BE5"/>
    <w:rsid w:val="002C2BF2"/>
    <w:rsid w:val="002C2E23"/>
    <w:rsid w:val="002C2F16"/>
    <w:rsid w:val="002C2F22"/>
    <w:rsid w:val="002C2F66"/>
    <w:rsid w:val="002C2F69"/>
    <w:rsid w:val="002C2FC2"/>
    <w:rsid w:val="002C305F"/>
    <w:rsid w:val="002C30A2"/>
    <w:rsid w:val="002C30ED"/>
    <w:rsid w:val="002C31E5"/>
    <w:rsid w:val="002C3228"/>
    <w:rsid w:val="002C348B"/>
    <w:rsid w:val="002C34DD"/>
    <w:rsid w:val="002C361D"/>
    <w:rsid w:val="002C3643"/>
    <w:rsid w:val="002C371F"/>
    <w:rsid w:val="002C3776"/>
    <w:rsid w:val="002C3796"/>
    <w:rsid w:val="002C3853"/>
    <w:rsid w:val="002C3891"/>
    <w:rsid w:val="002C394B"/>
    <w:rsid w:val="002C39CC"/>
    <w:rsid w:val="002C3A8A"/>
    <w:rsid w:val="002C3B5A"/>
    <w:rsid w:val="002C3BBB"/>
    <w:rsid w:val="002C3BCA"/>
    <w:rsid w:val="002C3BFB"/>
    <w:rsid w:val="002C3C2A"/>
    <w:rsid w:val="002C3CA0"/>
    <w:rsid w:val="002C3CD5"/>
    <w:rsid w:val="002C3F6F"/>
    <w:rsid w:val="002C3F79"/>
    <w:rsid w:val="002C4082"/>
    <w:rsid w:val="002C408D"/>
    <w:rsid w:val="002C40FD"/>
    <w:rsid w:val="002C410E"/>
    <w:rsid w:val="002C41BA"/>
    <w:rsid w:val="002C41EC"/>
    <w:rsid w:val="002C424F"/>
    <w:rsid w:val="002C42B2"/>
    <w:rsid w:val="002C42BA"/>
    <w:rsid w:val="002C42E2"/>
    <w:rsid w:val="002C431D"/>
    <w:rsid w:val="002C4320"/>
    <w:rsid w:val="002C4338"/>
    <w:rsid w:val="002C435B"/>
    <w:rsid w:val="002C43C7"/>
    <w:rsid w:val="002C440C"/>
    <w:rsid w:val="002C447E"/>
    <w:rsid w:val="002C44C1"/>
    <w:rsid w:val="002C4576"/>
    <w:rsid w:val="002C4685"/>
    <w:rsid w:val="002C46C2"/>
    <w:rsid w:val="002C4788"/>
    <w:rsid w:val="002C47C2"/>
    <w:rsid w:val="002C4805"/>
    <w:rsid w:val="002C482A"/>
    <w:rsid w:val="002C49D0"/>
    <w:rsid w:val="002C49EE"/>
    <w:rsid w:val="002C4A2D"/>
    <w:rsid w:val="002C4B75"/>
    <w:rsid w:val="002C4CA9"/>
    <w:rsid w:val="002C4CDE"/>
    <w:rsid w:val="002C4DE1"/>
    <w:rsid w:val="002C4EF0"/>
    <w:rsid w:val="002C4F0B"/>
    <w:rsid w:val="002C4F2B"/>
    <w:rsid w:val="002C4F50"/>
    <w:rsid w:val="002C4FEF"/>
    <w:rsid w:val="002C504D"/>
    <w:rsid w:val="002C508C"/>
    <w:rsid w:val="002C51E7"/>
    <w:rsid w:val="002C542B"/>
    <w:rsid w:val="002C54BD"/>
    <w:rsid w:val="002C54C3"/>
    <w:rsid w:val="002C54C7"/>
    <w:rsid w:val="002C5500"/>
    <w:rsid w:val="002C5543"/>
    <w:rsid w:val="002C55A1"/>
    <w:rsid w:val="002C565A"/>
    <w:rsid w:val="002C567E"/>
    <w:rsid w:val="002C580B"/>
    <w:rsid w:val="002C589D"/>
    <w:rsid w:val="002C5A5A"/>
    <w:rsid w:val="002C5AB2"/>
    <w:rsid w:val="002C5ACE"/>
    <w:rsid w:val="002C5AE0"/>
    <w:rsid w:val="002C5B01"/>
    <w:rsid w:val="002C5B9A"/>
    <w:rsid w:val="002C5CDE"/>
    <w:rsid w:val="002C5DBC"/>
    <w:rsid w:val="002C5DD4"/>
    <w:rsid w:val="002C5E51"/>
    <w:rsid w:val="002C5E7B"/>
    <w:rsid w:val="002C5F3E"/>
    <w:rsid w:val="002C5F6B"/>
    <w:rsid w:val="002C5FC3"/>
    <w:rsid w:val="002C606C"/>
    <w:rsid w:val="002C6183"/>
    <w:rsid w:val="002C61DB"/>
    <w:rsid w:val="002C62A0"/>
    <w:rsid w:val="002C62D7"/>
    <w:rsid w:val="002C634D"/>
    <w:rsid w:val="002C635A"/>
    <w:rsid w:val="002C6524"/>
    <w:rsid w:val="002C652A"/>
    <w:rsid w:val="002C654F"/>
    <w:rsid w:val="002C65FC"/>
    <w:rsid w:val="002C6719"/>
    <w:rsid w:val="002C674C"/>
    <w:rsid w:val="002C684A"/>
    <w:rsid w:val="002C68DD"/>
    <w:rsid w:val="002C698C"/>
    <w:rsid w:val="002C6A07"/>
    <w:rsid w:val="002C6BAB"/>
    <w:rsid w:val="002C6C9E"/>
    <w:rsid w:val="002C6CE8"/>
    <w:rsid w:val="002C6E05"/>
    <w:rsid w:val="002C6E0F"/>
    <w:rsid w:val="002C6E83"/>
    <w:rsid w:val="002C6EDF"/>
    <w:rsid w:val="002C6F2A"/>
    <w:rsid w:val="002C6FAB"/>
    <w:rsid w:val="002C7122"/>
    <w:rsid w:val="002C7167"/>
    <w:rsid w:val="002C7202"/>
    <w:rsid w:val="002C7239"/>
    <w:rsid w:val="002C728B"/>
    <w:rsid w:val="002C72EA"/>
    <w:rsid w:val="002C738B"/>
    <w:rsid w:val="002C73B6"/>
    <w:rsid w:val="002C73BD"/>
    <w:rsid w:val="002C743E"/>
    <w:rsid w:val="002C772A"/>
    <w:rsid w:val="002C7870"/>
    <w:rsid w:val="002C78E8"/>
    <w:rsid w:val="002C790B"/>
    <w:rsid w:val="002C79FF"/>
    <w:rsid w:val="002C7A31"/>
    <w:rsid w:val="002C7B0C"/>
    <w:rsid w:val="002C7C4E"/>
    <w:rsid w:val="002C7E0A"/>
    <w:rsid w:val="002C7E13"/>
    <w:rsid w:val="002C7E47"/>
    <w:rsid w:val="002C7F76"/>
    <w:rsid w:val="002C7FDE"/>
    <w:rsid w:val="002D001A"/>
    <w:rsid w:val="002D0059"/>
    <w:rsid w:val="002D0229"/>
    <w:rsid w:val="002D033A"/>
    <w:rsid w:val="002D037D"/>
    <w:rsid w:val="002D04E9"/>
    <w:rsid w:val="002D0627"/>
    <w:rsid w:val="002D06CD"/>
    <w:rsid w:val="002D075A"/>
    <w:rsid w:val="002D0930"/>
    <w:rsid w:val="002D095A"/>
    <w:rsid w:val="002D09B7"/>
    <w:rsid w:val="002D09F4"/>
    <w:rsid w:val="002D0A42"/>
    <w:rsid w:val="002D0A43"/>
    <w:rsid w:val="002D0AA4"/>
    <w:rsid w:val="002D0B5D"/>
    <w:rsid w:val="002D0BA3"/>
    <w:rsid w:val="002D0BDD"/>
    <w:rsid w:val="002D0C2F"/>
    <w:rsid w:val="002D0C75"/>
    <w:rsid w:val="002D0D27"/>
    <w:rsid w:val="002D0E39"/>
    <w:rsid w:val="002D0F7F"/>
    <w:rsid w:val="002D1028"/>
    <w:rsid w:val="002D10AB"/>
    <w:rsid w:val="002D1157"/>
    <w:rsid w:val="002D1195"/>
    <w:rsid w:val="002D120D"/>
    <w:rsid w:val="002D13DE"/>
    <w:rsid w:val="002D144A"/>
    <w:rsid w:val="002D14CC"/>
    <w:rsid w:val="002D14EB"/>
    <w:rsid w:val="002D156B"/>
    <w:rsid w:val="002D1680"/>
    <w:rsid w:val="002D1855"/>
    <w:rsid w:val="002D18BB"/>
    <w:rsid w:val="002D18CF"/>
    <w:rsid w:val="002D19C6"/>
    <w:rsid w:val="002D19DA"/>
    <w:rsid w:val="002D1A18"/>
    <w:rsid w:val="002D1A9A"/>
    <w:rsid w:val="002D1B19"/>
    <w:rsid w:val="002D1BA7"/>
    <w:rsid w:val="002D1C16"/>
    <w:rsid w:val="002D1C28"/>
    <w:rsid w:val="002D1C5A"/>
    <w:rsid w:val="002D1C6B"/>
    <w:rsid w:val="002D1D33"/>
    <w:rsid w:val="002D1D4F"/>
    <w:rsid w:val="002D1DC2"/>
    <w:rsid w:val="002D1E71"/>
    <w:rsid w:val="002D1EB3"/>
    <w:rsid w:val="002D1F53"/>
    <w:rsid w:val="002D1F9D"/>
    <w:rsid w:val="002D1FEB"/>
    <w:rsid w:val="002D1FEC"/>
    <w:rsid w:val="002D20DD"/>
    <w:rsid w:val="002D20E8"/>
    <w:rsid w:val="002D220E"/>
    <w:rsid w:val="002D22A7"/>
    <w:rsid w:val="002D22DA"/>
    <w:rsid w:val="002D2485"/>
    <w:rsid w:val="002D249A"/>
    <w:rsid w:val="002D24BF"/>
    <w:rsid w:val="002D252D"/>
    <w:rsid w:val="002D25B3"/>
    <w:rsid w:val="002D269F"/>
    <w:rsid w:val="002D26EA"/>
    <w:rsid w:val="002D26EB"/>
    <w:rsid w:val="002D2771"/>
    <w:rsid w:val="002D277F"/>
    <w:rsid w:val="002D27B7"/>
    <w:rsid w:val="002D27D9"/>
    <w:rsid w:val="002D292C"/>
    <w:rsid w:val="002D2A62"/>
    <w:rsid w:val="002D2CE8"/>
    <w:rsid w:val="002D2D3B"/>
    <w:rsid w:val="002D2D71"/>
    <w:rsid w:val="002D2D7E"/>
    <w:rsid w:val="002D2D8D"/>
    <w:rsid w:val="002D2DA7"/>
    <w:rsid w:val="002D2DAB"/>
    <w:rsid w:val="002D2EB7"/>
    <w:rsid w:val="002D2EEB"/>
    <w:rsid w:val="002D2F20"/>
    <w:rsid w:val="002D2F45"/>
    <w:rsid w:val="002D2F9F"/>
    <w:rsid w:val="002D304D"/>
    <w:rsid w:val="002D30DA"/>
    <w:rsid w:val="002D3119"/>
    <w:rsid w:val="002D311B"/>
    <w:rsid w:val="002D3293"/>
    <w:rsid w:val="002D32C6"/>
    <w:rsid w:val="002D3305"/>
    <w:rsid w:val="002D3578"/>
    <w:rsid w:val="002D35E0"/>
    <w:rsid w:val="002D3808"/>
    <w:rsid w:val="002D3887"/>
    <w:rsid w:val="002D390B"/>
    <w:rsid w:val="002D3962"/>
    <w:rsid w:val="002D399D"/>
    <w:rsid w:val="002D39DF"/>
    <w:rsid w:val="002D39EC"/>
    <w:rsid w:val="002D3AC8"/>
    <w:rsid w:val="002D3B01"/>
    <w:rsid w:val="002D3B6A"/>
    <w:rsid w:val="002D3BC7"/>
    <w:rsid w:val="002D3C74"/>
    <w:rsid w:val="002D3CE6"/>
    <w:rsid w:val="002D3DD2"/>
    <w:rsid w:val="002D3E05"/>
    <w:rsid w:val="002D3E54"/>
    <w:rsid w:val="002D3E65"/>
    <w:rsid w:val="002D3E7F"/>
    <w:rsid w:val="002D3E87"/>
    <w:rsid w:val="002D404C"/>
    <w:rsid w:val="002D4124"/>
    <w:rsid w:val="002D41CC"/>
    <w:rsid w:val="002D42F0"/>
    <w:rsid w:val="002D432C"/>
    <w:rsid w:val="002D4347"/>
    <w:rsid w:val="002D434E"/>
    <w:rsid w:val="002D4369"/>
    <w:rsid w:val="002D4376"/>
    <w:rsid w:val="002D4530"/>
    <w:rsid w:val="002D458A"/>
    <w:rsid w:val="002D4603"/>
    <w:rsid w:val="002D486B"/>
    <w:rsid w:val="002D4894"/>
    <w:rsid w:val="002D499F"/>
    <w:rsid w:val="002D49EE"/>
    <w:rsid w:val="002D49FB"/>
    <w:rsid w:val="002D4A57"/>
    <w:rsid w:val="002D4B78"/>
    <w:rsid w:val="002D4C10"/>
    <w:rsid w:val="002D4D01"/>
    <w:rsid w:val="002D4E48"/>
    <w:rsid w:val="002D4F36"/>
    <w:rsid w:val="002D4F90"/>
    <w:rsid w:val="002D5017"/>
    <w:rsid w:val="002D5058"/>
    <w:rsid w:val="002D5099"/>
    <w:rsid w:val="002D51E6"/>
    <w:rsid w:val="002D525F"/>
    <w:rsid w:val="002D534B"/>
    <w:rsid w:val="002D536B"/>
    <w:rsid w:val="002D5393"/>
    <w:rsid w:val="002D547D"/>
    <w:rsid w:val="002D54BA"/>
    <w:rsid w:val="002D54DA"/>
    <w:rsid w:val="002D551A"/>
    <w:rsid w:val="002D5560"/>
    <w:rsid w:val="002D557E"/>
    <w:rsid w:val="002D562E"/>
    <w:rsid w:val="002D56C0"/>
    <w:rsid w:val="002D56EE"/>
    <w:rsid w:val="002D5731"/>
    <w:rsid w:val="002D5762"/>
    <w:rsid w:val="002D5831"/>
    <w:rsid w:val="002D588A"/>
    <w:rsid w:val="002D58AB"/>
    <w:rsid w:val="002D59C1"/>
    <w:rsid w:val="002D5A9C"/>
    <w:rsid w:val="002D5C15"/>
    <w:rsid w:val="002D5C3E"/>
    <w:rsid w:val="002D5D5F"/>
    <w:rsid w:val="002D5D68"/>
    <w:rsid w:val="002D5D81"/>
    <w:rsid w:val="002D5DC1"/>
    <w:rsid w:val="002D5DE4"/>
    <w:rsid w:val="002D5F13"/>
    <w:rsid w:val="002D60E1"/>
    <w:rsid w:val="002D61B4"/>
    <w:rsid w:val="002D61D7"/>
    <w:rsid w:val="002D638A"/>
    <w:rsid w:val="002D63F5"/>
    <w:rsid w:val="002D6470"/>
    <w:rsid w:val="002D651E"/>
    <w:rsid w:val="002D65E6"/>
    <w:rsid w:val="002D6628"/>
    <w:rsid w:val="002D6683"/>
    <w:rsid w:val="002D66BB"/>
    <w:rsid w:val="002D6828"/>
    <w:rsid w:val="002D6866"/>
    <w:rsid w:val="002D686A"/>
    <w:rsid w:val="002D69B1"/>
    <w:rsid w:val="002D69E8"/>
    <w:rsid w:val="002D6A57"/>
    <w:rsid w:val="002D6AC7"/>
    <w:rsid w:val="002D6B9B"/>
    <w:rsid w:val="002D6BC4"/>
    <w:rsid w:val="002D6C24"/>
    <w:rsid w:val="002D6C3E"/>
    <w:rsid w:val="002D6C42"/>
    <w:rsid w:val="002D6D59"/>
    <w:rsid w:val="002D6D94"/>
    <w:rsid w:val="002D6DFC"/>
    <w:rsid w:val="002D6DFE"/>
    <w:rsid w:val="002D6E02"/>
    <w:rsid w:val="002D6EF1"/>
    <w:rsid w:val="002D6F1E"/>
    <w:rsid w:val="002D6FA6"/>
    <w:rsid w:val="002D708A"/>
    <w:rsid w:val="002D716A"/>
    <w:rsid w:val="002D71AD"/>
    <w:rsid w:val="002D71AF"/>
    <w:rsid w:val="002D71EA"/>
    <w:rsid w:val="002D71EF"/>
    <w:rsid w:val="002D724A"/>
    <w:rsid w:val="002D726B"/>
    <w:rsid w:val="002D7271"/>
    <w:rsid w:val="002D7311"/>
    <w:rsid w:val="002D7332"/>
    <w:rsid w:val="002D7380"/>
    <w:rsid w:val="002D738D"/>
    <w:rsid w:val="002D73A3"/>
    <w:rsid w:val="002D7424"/>
    <w:rsid w:val="002D7436"/>
    <w:rsid w:val="002D74AF"/>
    <w:rsid w:val="002D74C3"/>
    <w:rsid w:val="002D74E0"/>
    <w:rsid w:val="002D7585"/>
    <w:rsid w:val="002D7595"/>
    <w:rsid w:val="002D75DD"/>
    <w:rsid w:val="002D7699"/>
    <w:rsid w:val="002D76D2"/>
    <w:rsid w:val="002D7754"/>
    <w:rsid w:val="002D7979"/>
    <w:rsid w:val="002D7A41"/>
    <w:rsid w:val="002D7A7A"/>
    <w:rsid w:val="002D7AE1"/>
    <w:rsid w:val="002D7B65"/>
    <w:rsid w:val="002D7B9E"/>
    <w:rsid w:val="002D7BDF"/>
    <w:rsid w:val="002D7C7F"/>
    <w:rsid w:val="002D7CDD"/>
    <w:rsid w:val="002D7D85"/>
    <w:rsid w:val="002D7E4C"/>
    <w:rsid w:val="002D7E61"/>
    <w:rsid w:val="002D7EC8"/>
    <w:rsid w:val="002D7F8B"/>
    <w:rsid w:val="002D7FD1"/>
    <w:rsid w:val="002E010C"/>
    <w:rsid w:val="002E0129"/>
    <w:rsid w:val="002E0168"/>
    <w:rsid w:val="002E0198"/>
    <w:rsid w:val="002E01E9"/>
    <w:rsid w:val="002E0226"/>
    <w:rsid w:val="002E0313"/>
    <w:rsid w:val="002E0353"/>
    <w:rsid w:val="002E03CD"/>
    <w:rsid w:val="002E040E"/>
    <w:rsid w:val="002E0451"/>
    <w:rsid w:val="002E0466"/>
    <w:rsid w:val="002E0497"/>
    <w:rsid w:val="002E057A"/>
    <w:rsid w:val="002E0585"/>
    <w:rsid w:val="002E0827"/>
    <w:rsid w:val="002E088C"/>
    <w:rsid w:val="002E089C"/>
    <w:rsid w:val="002E099F"/>
    <w:rsid w:val="002E0B0F"/>
    <w:rsid w:val="002E0BB1"/>
    <w:rsid w:val="002E0BDE"/>
    <w:rsid w:val="002E0C88"/>
    <w:rsid w:val="002E0CD1"/>
    <w:rsid w:val="002E0D0C"/>
    <w:rsid w:val="002E0E67"/>
    <w:rsid w:val="002E0ECB"/>
    <w:rsid w:val="002E0FAC"/>
    <w:rsid w:val="002E109D"/>
    <w:rsid w:val="002E10FD"/>
    <w:rsid w:val="002E1150"/>
    <w:rsid w:val="002E117A"/>
    <w:rsid w:val="002E11AE"/>
    <w:rsid w:val="002E1213"/>
    <w:rsid w:val="002E12D8"/>
    <w:rsid w:val="002E12F6"/>
    <w:rsid w:val="002E1364"/>
    <w:rsid w:val="002E14BC"/>
    <w:rsid w:val="002E15C8"/>
    <w:rsid w:val="002E1670"/>
    <w:rsid w:val="002E16E8"/>
    <w:rsid w:val="002E17CA"/>
    <w:rsid w:val="002E1871"/>
    <w:rsid w:val="002E18D1"/>
    <w:rsid w:val="002E18D2"/>
    <w:rsid w:val="002E1916"/>
    <w:rsid w:val="002E1946"/>
    <w:rsid w:val="002E19D8"/>
    <w:rsid w:val="002E1A9D"/>
    <w:rsid w:val="002E1B03"/>
    <w:rsid w:val="002E1C15"/>
    <w:rsid w:val="002E1C43"/>
    <w:rsid w:val="002E1D7C"/>
    <w:rsid w:val="002E1D91"/>
    <w:rsid w:val="002E1DB1"/>
    <w:rsid w:val="002E1DB3"/>
    <w:rsid w:val="002E1E26"/>
    <w:rsid w:val="002E1EBA"/>
    <w:rsid w:val="002E1ED7"/>
    <w:rsid w:val="002E1F83"/>
    <w:rsid w:val="002E1FF5"/>
    <w:rsid w:val="002E211E"/>
    <w:rsid w:val="002E22F9"/>
    <w:rsid w:val="002E2392"/>
    <w:rsid w:val="002E245D"/>
    <w:rsid w:val="002E246B"/>
    <w:rsid w:val="002E2486"/>
    <w:rsid w:val="002E2499"/>
    <w:rsid w:val="002E24DB"/>
    <w:rsid w:val="002E2529"/>
    <w:rsid w:val="002E2588"/>
    <w:rsid w:val="002E262F"/>
    <w:rsid w:val="002E27CC"/>
    <w:rsid w:val="002E281E"/>
    <w:rsid w:val="002E2920"/>
    <w:rsid w:val="002E29C3"/>
    <w:rsid w:val="002E2BC2"/>
    <w:rsid w:val="002E2D04"/>
    <w:rsid w:val="002E2D40"/>
    <w:rsid w:val="002E2D78"/>
    <w:rsid w:val="002E2DBB"/>
    <w:rsid w:val="002E2E50"/>
    <w:rsid w:val="002E2ED6"/>
    <w:rsid w:val="002E2FDE"/>
    <w:rsid w:val="002E3165"/>
    <w:rsid w:val="002E320C"/>
    <w:rsid w:val="002E3270"/>
    <w:rsid w:val="002E3280"/>
    <w:rsid w:val="002E32A4"/>
    <w:rsid w:val="002E3352"/>
    <w:rsid w:val="002E337E"/>
    <w:rsid w:val="002E3411"/>
    <w:rsid w:val="002E342D"/>
    <w:rsid w:val="002E3430"/>
    <w:rsid w:val="002E3617"/>
    <w:rsid w:val="002E37AA"/>
    <w:rsid w:val="002E37C8"/>
    <w:rsid w:val="002E380E"/>
    <w:rsid w:val="002E38A0"/>
    <w:rsid w:val="002E38B2"/>
    <w:rsid w:val="002E38F0"/>
    <w:rsid w:val="002E39FE"/>
    <w:rsid w:val="002E3A7A"/>
    <w:rsid w:val="002E3B39"/>
    <w:rsid w:val="002E3B59"/>
    <w:rsid w:val="002E3B9C"/>
    <w:rsid w:val="002E3BA0"/>
    <w:rsid w:val="002E3C40"/>
    <w:rsid w:val="002E3DB1"/>
    <w:rsid w:val="002E3DCF"/>
    <w:rsid w:val="002E3DDC"/>
    <w:rsid w:val="002E3E1B"/>
    <w:rsid w:val="002E3E45"/>
    <w:rsid w:val="002E3F3F"/>
    <w:rsid w:val="002E3FF2"/>
    <w:rsid w:val="002E4090"/>
    <w:rsid w:val="002E40A4"/>
    <w:rsid w:val="002E410F"/>
    <w:rsid w:val="002E4218"/>
    <w:rsid w:val="002E42AE"/>
    <w:rsid w:val="002E4326"/>
    <w:rsid w:val="002E4356"/>
    <w:rsid w:val="002E4385"/>
    <w:rsid w:val="002E43D1"/>
    <w:rsid w:val="002E43E3"/>
    <w:rsid w:val="002E4418"/>
    <w:rsid w:val="002E442F"/>
    <w:rsid w:val="002E4468"/>
    <w:rsid w:val="002E4483"/>
    <w:rsid w:val="002E449B"/>
    <w:rsid w:val="002E44D3"/>
    <w:rsid w:val="002E4557"/>
    <w:rsid w:val="002E45B5"/>
    <w:rsid w:val="002E4652"/>
    <w:rsid w:val="002E46E4"/>
    <w:rsid w:val="002E4760"/>
    <w:rsid w:val="002E4855"/>
    <w:rsid w:val="002E4868"/>
    <w:rsid w:val="002E4935"/>
    <w:rsid w:val="002E4A10"/>
    <w:rsid w:val="002E4A35"/>
    <w:rsid w:val="002E4A5D"/>
    <w:rsid w:val="002E4AC1"/>
    <w:rsid w:val="002E4B10"/>
    <w:rsid w:val="002E4B16"/>
    <w:rsid w:val="002E4B47"/>
    <w:rsid w:val="002E4BF2"/>
    <w:rsid w:val="002E4C51"/>
    <w:rsid w:val="002E4CED"/>
    <w:rsid w:val="002E4D08"/>
    <w:rsid w:val="002E4DE1"/>
    <w:rsid w:val="002E4DED"/>
    <w:rsid w:val="002E4EC8"/>
    <w:rsid w:val="002E4EE3"/>
    <w:rsid w:val="002E4F40"/>
    <w:rsid w:val="002E4F88"/>
    <w:rsid w:val="002E4FB1"/>
    <w:rsid w:val="002E4FDD"/>
    <w:rsid w:val="002E4FEA"/>
    <w:rsid w:val="002E5061"/>
    <w:rsid w:val="002E509A"/>
    <w:rsid w:val="002E50C3"/>
    <w:rsid w:val="002E51D0"/>
    <w:rsid w:val="002E532B"/>
    <w:rsid w:val="002E544E"/>
    <w:rsid w:val="002E54D0"/>
    <w:rsid w:val="002E550D"/>
    <w:rsid w:val="002E556E"/>
    <w:rsid w:val="002E55AC"/>
    <w:rsid w:val="002E560B"/>
    <w:rsid w:val="002E5667"/>
    <w:rsid w:val="002E5777"/>
    <w:rsid w:val="002E577E"/>
    <w:rsid w:val="002E57EE"/>
    <w:rsid w:val="002E58A3"/>
    <w:rsid w:val="002E58BC"/>
    <w:rsid w:val="002E58C3"/>
    <w:rsid w:val="002E5919"/>
    <w:rsid w:val="002E59DB"/>
    <w:rsid w:val="002E59F1"/>
    <w:rsid w:val="002E5A31"/>
    <w:rsid w:val="002E5AE6"/>
    <w:rsid w:val="002E5B1B"/>
    <w:rsid w:val="002E5B28"/>
    <w:rsid w:val="002E5BB7"/>
    <w:rsid w:val="002E5CB3"/>
    <w:rsid w:val="002E5CC7"/>
    <w:rsid w:val="002E5D0C"/>
    <w:rsid w:val="002E5D40"/>
    <w:rsid w:val="002E5D71"/>
    <w:rsid w:val="002E5DB1"/>
    <w:rsid w:val="002E5DC9"/>
    <w:rsid w:val="002E5E4E"/>
    <w:rsid w:val="002E5E8E"/>
    <w:rsid w:val="002E5F0F"/>
    <w:rsid w:val="002E5FB7"/>
    <w:rsid w:val="002E601C"/>
    <w:rsid w:val="002E6095"/>
    <w:rsid w:val="002E60E2"/>
    <w:rsid w:val="002E6159"/>
    <w:rsid w:val="002E61DA"/>
    <w:rsid w:val="002E6232"/>
    <w:rsid w:val="002E6278"/>
    <w:rsid w:val="002E62BA"/>
    <w:rsid w:val="002E63D5"/>
    <w:rsid w:val="002E63EB"/>
    <w:rsid w:val="002E6413"/>
    <w:rsid w:val="002E64C1"/>
    <w:rsid w:val="002E6552"/>
    <w:rsid w:val="002E6554"/>
    <w:rsid w:val="002E664D"/>
    <w:rsid w:val="002E666F"/>
    <w:rsid w:val="002E67BF"/>
    <w:rsid w:val="002E6817"/>
    <w:rsid w:val="002E6898"/>
    <w:rsid w:val="002E68F9"/>
    <w:rsid w:val="002E6941"/>
    <w:rsid w:val="002E696B"/>
    <w:rsid w:val="002E698B"/>
    <w:rsid w:val="002E6A36"/>
    <w:rsid w:val="002E6A42"/>
    <w:rsid w:val="002E6B4E"/>
    <w:rsid w:val="002E6B5F"/>
    <w:rsid w:val="002E6B73"/>
    <w:rsid w:val="002E6BC9"/>
    <w:rsid w:val="002E6BD5"/>
    <w:rsid w:val="002E6BE3"/>
    <w:rsid w:val="002E6C59"/>
    <w:rsid w:val="002E6CA2"/>
    <w:rsid w:val="002E6D67"/>
    <w:rsid w:val="002E6D7E"/>
    <w:rsid w:val="002E6D88"/>
    <w:rsid w:val="002E6DC6"/>
    <w:rsid w:val="002E6DC9"/>
    <w:rsid w:val="002E6E2D"/>
    <w:rsid w:val="002E6EA9"/>
    <w:rsid w:val="002E6F02"/>
    <w:rsid w:val="002E6F82"/>
    <w:rsid w:val="002E7065"/>
    <w:rsid w:val="002E70AC"/>
    <w:rsid w:val="002E7125"/>
    <w:rsid w:val="002E71E6"/>
    <w:rsid w:val="002E721C"/>
    <w:rsid w:val="002E7229"/>
    <w:rsid w:val="002E7295"/>
    <w:rsid w:val="002E731B"/>
    <w:rsid w:val="002E7376"/>
    <w:rsid w:val="002E73EE"/>
    <w:rsid w:val="002E7406"/>
    <w:rsid w:val="002E74EC"/>
    <w:rsid w:val="002E753F"/>
    <w:rsid w:val="002E7552"/>
    <w:rsid w:val="002E75AE"/>
    <w:rsid w:val="002E75C4"/>
    <w:rsid w:val="002E75C8"/>
    <w:rsid w:val="002E7744"/>
    <w:rsid w:val="002E7750"/>
    <w:rsid w:val="002E786B"/>
    <w:rsid w:val="002E7890"/>
    <w:rsid w:val="002E78BD"/>
    <w:rsid w:val="002E78EB"/>
    <w:rsid w:val="002E78F3"/>
    <w:rsid w:val="002E798D"/>
    <w:rsid w:val="002E79B7"/>
    <w:rsid w:val="002E79DA"/>
    <w:rsid w:val="002E7A12"/>
    <w:rsid w:val="002E7A7D"/>
    <w:rsid w:val="002E7AB3"/>
    <w:rsid w:val="002E7B44"/>
    <w:rsid w:val="002E7B51"/>
    <w:rsid w:val="002E7BB7"/>
    <w:rsid w:val="002E7C0A"/>
    <w:rsid w:val="002E7C47"/>
    <w:rsid w:val="002E7C6A"/>
    <w:rsid w:val="002E7CAB"/>
    <w:rsid w:val="002E7CDA"/>
    <w:rsid w:val="002E7D4B"/>
    <w:rsid w:val="002E7D6D"/>
    <w:rsid w:val="002E7DFB"/>
    <w:rsid w:val="002E7EB2"/>
    <w:rsid w:val="002E7EFE"/>
    <w:rsid w:val="002E7F31"/>
    <w:rsid w:val="002E7F39"/>
    <w:rsid w:val="002E7F7F"/>
    <w:rsid w:val="002F00BD"/>
    <w:rsid w:val="002F01F2"/>
    <w:rsid w:val="002F027A"/>
    <w:rsid w:val="002F0318"/>
    <w:rsid w:val="002F031F"/>
    <w:rsid w:val="002F032D"/>
    <w:rsid w:val="002F0344"/>
    <w:rsid w:val="002F0350"/>
    <w:rsid w:val="002F03B7"/>
    <w:rsid w:val="002F03F4"/>
    <w:rsid w:val="002F0464"/>
    <w:rsid w:val="002F047A"/>
    <w:rsid w:val="002F050A"/>
    <w:rsid w:val="002F053F"/>
    <w:rsid w:val="002F059C"/>
    <w:rsid w:val="002F05A6"/>
    <w:rsid w:val="002F069F"/>
    <w:rsid w:val="002F06C3"/>
    <w:rsid w:val="002F0719"/>
    <w:rsid w:val="002F0765"/>
    <w:rsid w:val="002F0935"/>
    <w:rsid w:val="002F098B"/>
    <w:rsid w:val="002F09BD"/>
    <w:rsid w:val="002F09FA"/>
    <w:rsid w:val="002F0ADA"/>
    <w:rsid w:val="002F0C3D"/>
    <w:rsid w:val="002F0D6F"/>
    <w:rsid w:val="002F0E28"/>
    <w:rsid w:val="002F0E47"/>
    <w:rsid w:val="002F0E57"/>
    <w:rsid w:val="002F0E5D"/>
    <w:rsid w:val="002F104A"/>
    <w:rsid w:val="002F1076"/>
    <w:rsid w:val="002F10B8"/>
    <w:rsid w:val="002F10E5"/>
    <w:rsid w:val="002F111E"/>
    <w:rsid w:val="002F11E1"/>
    <w:rsid w:val="002F12D6"/>
    <w:rsid w:val="002F1355"/>
    <w:rsid w:val="002F1359"/>
    <w:rsid w:val="002F1398"/>
    <w:rsid w:val="002F13F9"/>
    <w:rsid w:val="002F1425"/>
    <w:rsid w:val="002F148F"/>
    <w:rsid w:val="002F14CD"/>
    <w:rsid w:val="002F155B"/>
    <w:rsid w:val="002F187E"/>
    <w:rsid w:val="002F18A1"/>
    <w:rsid w:val="002F18AB"/>
    <w:rsid w:val="002F18C6"/>
    <w:rsid w:val="002F1996"/>
    <w:rsid w:val="002F1A4F"/>
    <w:rsid w:val="002F1B4B"/>
    <w:rsid w:val="002F1D0C"/>
    <w:rsid w:val="002F1D39"/>
    <w:rsid w:val="002F1E8A"/>
    <w:rsid w:val="002F1EDD"/>
    <w:rsid w:val="002F1F34"/>
    <w:rsid w:val="002F1F5B"/>
    <w:rsid w:val="002F1FF6"/>
    <w:rsid w:val="002F1FF7"/>
    <w:rsid w:val="002F20F8"/>
    <w:rsid w:val="002F2156"/>
    <w:rsid w:val="002F2169"/>
    <w:rsid w:val="002F21DF"/>
    <w:rsid w:val="002F21EF"/>
    <w:rsid w:val="002F2200"/>
    <w:rsid w:val="002F2267"/>
    <w:rsid w:val="002F2271"/>
    <w:rsid w:val="002F22CF"/>
    <w:rsid w:val="002F22DC"/>
    <w:rsid w:val="002F22E7"/>
    <w:rsid w:val="002F2336"/>
    <w:rsid w:val="002F2345"/>
    <w:rsid w:val="002F2368"/>
    <w:rsid w:val="002F2373"/>
    <w:rsid w:val="002F2421"/>
    <w:rsid w:val="002F24E0"/>
    <w:rsid w:val="002F24E7"/>
    <w:rsid w:val="002F2502"/>
    <w:rsid w:val="002F2555"/>
    <w:rsid w:val="002F279A"/>
    <w:rsid w:val="002F2847"/>
    <w:rsid w:val="002F28C8"/>
    <w:rsid w:val="002F28E1"/>
    <w:rsid w:val="002F292E"/>
    <w:rsid w:val="002F29E4"/>
    <w:rsid w:val="002F2A78"/>
    <w:rsid w:val="002F2B07"/>
    <w:rsid w:val="002F2B13"/>
    <w:rsid w:val="002F2C05"/>
    <w:rsid w:val="002F2C0B"/>
    <w:rsid w:val="002F2C6B"/>
    <w:rsid w:val="002F2D5E"/>
    <w:rsid w:val="002F2EB5"/>
    <w:rsid w:val="002F2F89"/>
    <w:rsid w:val="002F2F8A"/>
    <w:rsid w:val="002F2FAD"/>
    <w:rsid w:val="002F2FCC"/>
    <w:rsid w:val="002F2FE5"/>
    <w:rsid w:val="002F3082"/>
    <w:rsid w:val="002F30A1"/>
    <w:rsid w:val="002F30C9"/>
    <w:rsid w:val="002F30FE"/>
    <w:rsid w:val="002F3163"/>
    <w:rsid w:val="002F3172"/>
    <w:rsid w:val="002F3185"/>
    <w:rsid w:val="002F32C3"/>
    <w:rsid w:val="002F32C7"/>
    <w:rsid w:val="002F33C9"/>
    <w:rsid w:val="002F3531"/>
    <w:rsid w:val="002F3557"/>
    <w:rsid w:val="002F365F"/>
    <w:rsid w:val="002F3703"/>
    <w:rsid w:val="002F378D"/>
    <w:rsid w:val="002F37B0"/>
    <w:rsid w:val="002F389B"/>
    <w:rsid w:val="002F38B9"/>
    <w:rsid w:val="002F399C"/>
    <w:rsid w:val="002F39AE"/>
    <w:rsid w:val="002F39E3"/>
    <w:rsid w:val="002F3BA5"/>
    <w:rsid w:val="002F3C2C"/>
    <w:rsid w:val="002F3CFF"/>
    <w:rsid w:val="002F3D22"/>
    <w:rsid w:val="002F3DB1"/>
    <w:rsid w:val="002F3E26"/>
    <w:rsid w:val="002F4024"/>
    <w:rsid w:val="002F4105"/>
    <w:rsid w:val="002F449B"/>
    <w:rsid w:val="002F45BC"/>
    <w:rsid w:val="002F462D"/>
    <w:rsid w:val="002F468F"/>
    <w:rsid w:val="002F4691"/>
    <w:rsid w:val="002F46C8"/>
    <w:rsid w:val="002F46D9"/>
    <w:rsid w:val="002F471D"/>
    <w:rsid w:val="002F4761"/>
    <w:rsid w:val="002F4795"/>
    <w:rsid w:val="002F485C"/>
    <w:rsid w:val="002F49EE"/>
    <w:rsid w:val="002F4A00"/>
    <w:rsid w:val="002F4A60"/>
    <w:rsid w:val="002F4A67"/>
    <w:rsid w:val="002F4AAD"/>
    <w:rsid w:val="002F4C36"/>
    <w:rsid w:val="002F4CBC"/>
    <w:rsid w:val="002F4D86"/>
    <w:rsid w:val="002F4DC0"/>
    <w:rsid w:val="002F4DCF"/>
    <w:rsid w:val="002F4DF8"/>
    <w:rsid w:val="002F4E4F"/>
    <w:rsid w:val="002F4F40"/>
    <w:rsid w:val="002F4F79"/>
    <w:rsid w:val="002F4F97"/>
    <w:rsid w:val="002F4FF0"/>
    <w:rsid w:val="002F5016"/>
    <w:rsid w:val="002F50FD"/>
    <w:rsid w:val="002F5126"/>
    <w:rsid w:val="002F5132"/>
    <w:rsid w:val="002F52AD"/>
    <w:rsid w:val="002F52B2"/>
    <w:rsid w:val="002F52C4"/>
    <w:rsid w:val="002F52C9"/>
    <w:rsid w:val="002F52DE"/>
    <w:rsid w:val="002F52E7"/>
    <w:rsid w:val="002F540E"/>
    <w:rsid w:val="002F54C6"/>
    <w:rsid w:val="002F54DC"/>
    <w:rsid w:val="002F5524"/>
    <w:rsid w:val="002F5574"/>
    <w:rsid w:val="002F55BF"/>
    <w:rsid w:val="002F5600"/>
    <w:rsid w:val="002F5609"/>
    <w:rsid w:val="002F570B"/>
    <w:rsid w:val="002F571C"/>
    <w:rsid w:val="002F57DE"/>
    <w:rsid w:val="002F57F5"/>
    <w:rsid w:val="002F5852"/>
    <w:rsid w:val="002F587E"/>
    <w:rsid w:val="002F588F"/>
    <w:rsid w:val="002F5899"/>
    <w:rsid w:val="002F597D"/>
    <w:rsid w:val="002F59F5"/>
    <w:rsid w:val="002F5A59"/>
    <w:rsid w:val="002F5A71"/>
    <w:rsid w:val="002F5AAF"/>
    <w:rsid w:val="002F5B82"/>
    <w:rsid w:val="002F5BA3"/>
    <w:rsid w:val="002F5BB8"/>
    <w:rsid w:val="002F5C3B"/>
    <w:rsid w:val="002F5C69"/>
    <w:rsid w:val="002F5C87"/>
    <w:rsid w:val="002F5CE3"/>
    <w:rsid w:val="002F5D69"/>
    <w:rsid w:val="002F5DC0"/>
    <w:rsid w:val="002F5EDD"/>
    <w:rsid w:val="002F5F91"/>
    <w:rsid w:val="002F5F9B"/>
    <w:rsid w:val="002F6151"/>
    <w:rsid w:val="002F619B"/>
    <w:rsid w:val="002F62C3"/>
    <w:rsid w:val="002F62D1"/>
    <w:rsid w:val="002F634C"/>
    <w:rsid w:val="002F63AE"/>
    <w:rsid w:val="002F642E"/>
    <w:rsid w:val="002F64F1"/>
    <w:rsid w:val="002F66D4"/>
    <w:rsid w:val="002F6753"/>
    <w:rsid w:val="002F67A2"/>
    <w:rsid w:val="002F67AD"/>
    <w:rsid w:val="002F67E3"/>
    <w:rsid w:val="002F68C4"/>
    <w:rsid w:val="002F6963"/>
    <w:rsid w:val="002F6A08"/>
    <w:rsid w:val="002F6A88"/>
    <w:rsid w:val="002F6A95"/>
    <w:rsid w:val="002F6B21"/>
    <w:rsid w:val="002F6BA6"/>
    <w:rsid w:val="002F6C47"/>
    <w:rsid w:val="002F6E03"/>
    <w:rsid w:val="002F6E3D"/>
    <w:rsid w:val="002F6EDC"/>
    <w:rsid w:val="002F6FA0"/>
    <w:rsid w:val="002F7038"/>
    <w:rsid w:val="002F7065"/>
    <w:rsid w:val="002F7190"/>
    <w:rsid w:val="002F7237"/>
    <w:rsid w:val="002F7414"/>
    <w:rsid w:val="002F7453"/>
    <w:rsid w:val="002F748F"/>
    <w:rsid w:val="002F74B9"/>
    <w:rsid w:val="002F74D1"/>
    <w:rsid w:val="002F75F5"/>
    <w:rsid w:val="002F7692"/>
    <w:rsid w:val="002F76A8"/>
    <w:rsid w:val="002F7890"/>
    <w:rsid w:val="002F7905"/>
    <w:rsid w:val="002F7954"/>
    <w:rsid w:val="002F79A2"/>
    <w:rsid w:val="002F79A9"/>
    <w:rsid w:val="002F79B8"/>
    <w:rsid w:val="002F7A33"/>
    <w:rsid w:val="002F7B14"/>
    <w:rsid w:val="002F7B30"/>
    <w:rsid w:val="002F7C77"/>
    <w:rsid w:val="002F7CE9"/>
    <w:rsid w:val="002F7DC0"/>
    <w:rsid w:val="002F7DC3"/>
    <w:rsid w:val="002F7DFC"/>
    <w:rsid w:val="002F7E15"/>
    <w:rsid w:val="002F7E2B"/>
    <w:rsid w:val="002F7E71"/>
    <w:rsid w:val="002F7E86"/>
    <w:rsid w:val="002F7EB1"/>
    <w:rsid w:val="002F7F01"/>
    <w:rsid w:val="002F7F31"/>
    <w:rsid w:val="002F7FF3"/>
    <w:rsid w:val="00300017"/>
    <w:rsid w:val="003000A9"/>
    <w:rsid w:val="003000BA"/>
    <w:rsid w:val="003000F7"/>
    <w:rsid w:val="003002EF"/>
    <w:rsid w:val="00300344"/>
    <w:rsid w:val="0030038A"/>
    <w:rsid w:val="003003F4"/>
    <w:rsid w:val="00300474"/>
    <w:rsid w:val="003005F3"/>
    <w:rsid w:val="00300605"/>
    <w:rsid w:val="003006CD"/>
    <w:rsid w:val="003006F8"/>
    <w:rsid w:val="00300806"/>
    <w:rsid w:val="00300812"/>
    <w:rsid w:val="0030089B"/>
    <w:rsid w:val="003009B0"/>
    <w:rsid w:val="003009D8"/>
    <w:rsid w:val="003009FD"/>
    <w:rsid w:val="00300A38"/>
    <w:rsid w:val="00300A3D"/>
    <w:rsid w:val="00300AE7"/>
    <w:rsid w:val="00300C2A"/>
    <w:rsid w:val="00300C38"/>
    <w:rsid w:val="00300CA2"/>
    <w:rsid w:val="00300CB3"/>
    <w:rsid w:val="00300F59"/>
    <w:rsid w:val="00300F6D"/>
    <w:rsid w:val="00300F9B"/>
    <w:rsid w:val="00301063"/>
    <w:rsid w:val="00301176"/>
    <w:rsid w:val="003012BC"/>
    <w:rsid w:val="00301408"/>
    <w:rsid w:val="0030144E"/>
    <w:rsid w:val="0030153C"/>
    <w:rsid w:val="00301558"/>
    <w:rsid w:val="00301559"/>
    <w:rsid w:val="003015CC"/>
    <w:rsid w:val="003015D7"/>
    <w:rsid w:val="003016A8"/>
    <w:rsid w:val="003017D3"/>
    <w:rsid w:val="003017DD"/>
    <w:rsid w:val="003017FD"/>
    <w:rsid w:val="003018D2"/>
    <w:rsid w:val="00301980"/>
    <w:rsid w:val="003019AC"/>
    <w:rsid w:val="00301AC2"/>
    <w:rsid w:val="00301C53"/>
    <w:rsid w:val="00301D0A"/>
    <w:rsid w:val="00301D4B"/>
    <w:rsid w:val="00301E9E"/>
    <w:rsid w:val="00301F03"/>
    <w:rsid w:val="00301FD0"/>
    <w:rsid w:val="00302077"/>
    <w:rsid w:val="003021A4"/>
    <w:rsid w:val="00302201"/>
    <w:rsid w:val="00302255"/>
    <w:rsid w:val="00302258"/>
    <w:rsid w:val="00302296"/>
    <w:rsid w:val="003022D1"/>
    <w:rsid w:val="0030230A"/>
    <w:rsid w:val="00302322"/>
    <w:rsid w:val="00302335"/>
    <w:rsid w:val="00302342"/>
    <w:rsid w:val="00302453"/>
    <w:rsid w:val="00302575"/>
    <w:rsid w:val="00302614"/>
    <w:rsid w:val="003026AE"/>
    <w:rsid w:val="00302767"/>
    <w:rsid w:val="00302885"/>
    <w:rsid w:val="003028AA"/>
    <w:rsid w:val="0030299E"/>
    <w:rsid w:val="00302A1F"/>
    <w:rsid w:val="00302A20"/>
    <w:rsid w:val="00302A5C"/>
    <w:rsid w:val="00302AC7"/>
    <w:rsid w:val="00302B40"/>
    <w:rsid w:val="00302BA8"/>
    <w:rsid w:val="00302C79"/>
    <w:rsid w:val="00302CE4"/>
    <w:rsid w:val="00302D58"/>
    <w:rsid w:val="00302E2E"/>
    <w:rsid w:val="00302EDE"/>
    <w:rsid w:val="00302F08"/>
    <w:rsid w:val="00302F17"/>
    <w:rsid w:val="00303155"/>
    <w:rsid w:val="003031D3"/>
    <w:rsid w:val="0030322A"/>
    <w:rsid w:val="0030327E"/>
    <w:rsid w:val="003032D0"/>
    <w:rsid w:val="00303343"/>
    <w:rsid w:val="00303440"/>
    <w:rsid w:val="003034C3"/>
    <w:rsid w:val="003034CB"/>
    <w:rsid w:val="0030354B"/>
    <w:rsid w:val="003035E7"/>
    <w:rsid w:val="00303611"/>
    <w:rsid w:val="00303631"/>
    <w:rsid w:val="003036BD"/>
    <w:rsid w:val="0030373B"/>
    <w:rsid w:val="00303783"/>
    <w:rsid w:val="00303863"/>
    <w:rsid w:val="00303868"/>
    <w:rsid w:val="0030389F"/>
    <w:rsid w:val="003038CB"/>
    <w:rsid w:val="00303927"/>
    <w:rsid w:val="0030393E"/>
    <w:rsid w:val="0030394B"/>
    <w:rsid w:val="0030395F"/>
    <w:rsid w:val="0030397F"/>
    <w:rsid w:val="003039ED"/>
    <w:rsid w:val="003039F9"/>
    <w:rsid w:val="00303A34"/>
    <w:rsid w:val="00303A42"/>
    <w:rsid w:val="00303A46"/>
    <w:rsid w:val="00303A53"/>
    <w:rsid w:val="00303ACC"/>
    <w:rsid w:val="00303B09"/>
    <w:rsid w:val="00303B3B"/>
    <w:rsid w:val="00303BDE"/>
    <w:rsid w:val="00303C33"/>
    <w:rsid w:val="00303C51"/>
    <w:rsid w:val="00303D1C"/>
    <w:rsid w:val="00303DB3"/>
    <w:rsid w:val="00303E34"/>
    <w:rsid w:val="00303E5D"/>
    <w:rsid w:val="00303EA7"/>
    <w:rsid w:val="00303EBB"/>
    <w:rsid w:val="00303EFA"/>
    <w:rsid w:val="00304025"/>
    <w:rsid w:val="00304110"/>
    <w:rsid w:val="003041D8"/>
    <w:rsid w:val="003041E0"/>
    <w:rsid w:val="0030423E"/>
    <w:rsid w:val="0030427A"/>
    <w:rsid w:val="00304337"/>
    <w:rsid w:val="003043A5"/>
    <w:rsid w:val="003044C6"/>
    <w:rsid w:val="003044D4"/>
    <w:rsid w:val="003044E5"/>
    <w:rsid w:val="003045E7"/>
    <w:rsid w:val="00304609"/>
    <w:rsid w:val="00304611"/>
    <w:rsid w:val="00304633"/>
    <w:rsid w:val="003046AC"/>
    <w:rsid w:val="003046E9"/>
    <w:rsid w:val="00304747"/>
    <w:rsid w:val="003047C7"/>
    <w:rsid w:val="00304800"/>
    <w:rsid w:val="0030488F"/>
    <w:rsid w:val="003048EB"/>
    <w:rsid w:val="0030493A"/>
    <w:rsid w:val="00304954"/>
    <w:rsid w:val="00304996"/>
    <w:rsid w:val="00304A23"/>
    <w:rsid w:val="00304A40"/>
    <w:rsid w:val="00304A5B"/>
    <w:rsid w:val="00304B12"/>
    <w:rsid w:val="00304B2E"/>
    <w:rsid w:val="00304B8E"/>
    <w:rsid w:val="00304D4E"/>
    <w:rsid w:val="00304D8C"/>
    <w:rsid w:val="00304E0F"/>
    <w:rsid w:val="00304ECB"/>
    <w:rsid w:val="00304F0F"/>
    <w:rsid w:val="00304F59"/>
    <w:rsid w:val="0030502B"/>
    <w:rsid w:val="00305048"/>
    <w:rsid w:val="0030509F"/>
    <w:rsid w:val="003050F4"/>
    <w:rsid w:val="003051ED"/>
    <w:rsid w:val="00305251"/>
    <w:rsid w:val="0030527B"/>
    <w:rsid w:val="00305300"/>
    <w:rsid w:val="0030537D"/>
    <w:rsid w:val="003054B1"/>
    <w:rsid w:val="003054C9"/>
    <w:rsid w:val="003054CF"/>
    <w:rsid w:val="003054D1"/>
    <w:rsid w:val="00305599"/>
    <w:rsid w:val="0030563F"/>
    <w:rsid w:val="00305675"/>
    <w:rsid w:val="00305681"/>
    <w:rsid w:val="0030575D"/>
    <w:rsid w:val="00305763"/>
    <w:rsid w:val="0030579C"/>
    <w:rsid w:val="003057ED"/>
    <w:rsid w:val="003057FB"/>
    <w:rsid w:val="0030587E"/>
    <w:rsid w:val="0030592D"/>
    <w:rsid w:val="00305957"/>
    <w:rsid w:val="00305978"/>
    <w:rsid w:val="00305A02"/>
    <w:rsid w:val="00305A0B"/>
    <w:rsid w:val="00305AAF"/>
    <w:rsid w:val="00305B09"/>
    <w:rsid w:val="00305B8E"/>
    <w:rsid w:val="00305C51"/>
    <w:rsid w:val="00305C94"/>
    <w:rsid w:val="00305CC5"/>
    <w:rsid w:val="00305CED"/>
    <w:rsid w:val="00305DBA"/>
    <w:rsid w:val="00305EFE"/>
    <w:rsid w:val="00305F0C"/>
    <w:rsid w:val="00306037"/>
    <w:rsid w:val="00306086"/>
    <w:rsid w:val="0030613B"/>
    <w:rsid w:val="0030619C"/>
    <w:rsid w:val="003062DC"/>
    <w:rsid w:val="003063EA"/>
    <w:rsid w:val="00306462"/>
    <w:rsid w:val="003064CE"/>
    <w:rsid w:val="0030656B"/>
    <w:rsid w:val="003065FE"/>
    <w:rsid w:val="003066A5"/>
    <w:rsid w:val="003066D6"/>
    <w:rsid w:val="003067A5"/>
    <w:rsid w:val="003067F6"/>
    <w:rsid w:val="003068F7"/>
    <w:rsid w:val="00306AC4"/>
    <w:rsid w:val="00306CC0"/>
    <w:rsid w:val="00306D29"/>
    <w:rsid w:val="00306DBE"/>
    <w:rsid w:val="00306F7D"/>
    <w:rsid w:val="00306F82"/>
    <w:rsid w:val="0030703E"/>
    <w:rsid w:val="003070BF"/>
    <w:rsid w:val="00307113"/>
    <w:rsid w:val="00307117"/>
    <w:rsid w:val="0030719F"/>
    <w:rsid w:val="003071E7"/>
    <w:rsid w:val="00307263"/>
    <w:rsid w:val="0030729B"/>
    <w:rsid w:val="003072A7"/>
    <w:rsid w:val="003072B5"/>
    <w:rsid w:val="003072B6"/>
    <w:rsid w:val="003072C6"/>
    <w:rsid w:val="00307451"/>
    <w:rsid w:val="00307486"/>
    <w:rsid w:val="0030751B"/>
    <w:rsid w:val="0030751E"/>
    <w:rsid w:val="003075A3"/>
    <w:rsid w:val="003075F8"/>
    <w:rsid w:val="00307639"/>
    <w:rsid w:val="0030765C"/>
    <w:rsid w:val="003076E8"/>
    <w:rsid w:val="00307725"/>
    <w:rsid w:val="00307757"/>
    <w:rsid w:val="003077BB"/>
    <w:rsid w:val="003077D4"/>
    <w:rsid w:val="003078E9"/>
    <w:rsid w:val="0030795D"/>
    <w:rsid w:val="003079A9"/>
    <w:rsid w:val="003079B1"/>
    <w:rsid w:val="00307A06"/>
    <w:rsid w:val="00307A0A"/>
    <w:rsid w:val="00307A7D"/>
    <w:rsid w:val="00307B95"/>
    <w:rsid w:val="00307BED"/>
    <w:rsid w:val="00307CD9"/>
    <w:rsid w:val="00307CF4"/>
    <w:rsid w:val="00307E55"/>
    <w:rsid w:val="00307EA6"/>
    <w:rsid w:val="00307EF5"/>
    <w:rsid w:val="00307F31"/>
    <w:rsid w:val="00307F4C"/>
    <w:rsid w:val="00307F7C"/>
    <w:rsid w:val="00307FA6"/>
    <w:rsid w:val="00307FB0"/>
    <w:rsid w:val="0031005F"/>
    <w:rsid w:val="0031007B"/>
    <w:rsid w:val="003100D2"/>
    <w:rsid w:val="003100DC"/>
    <w:rsid w:val="00310159"/>
    <w:rsid w:val="00310181"/>
    <w:rsid w:val="0031031E"/>
    <w:rsid w:val="0031036B"/>
    <w:rsid w:val="00310498"/>
    <w:rsid w:val="003104EE"/>
    <w:rsid w:val="003105EB"/>
    <w:rsid w:val="003106AA"/>
    <w:rsid w:val="00310713"/>
    <w:rsid w:val="00310793"/>
    <w:rsid w:val="00310883"/>
    <w:rsid w:val="0031090D"/>
    <w:rsid w:val="0031097C"/>
    <w:rsid w:val="003109AB"/>
    <w:rsid w:val="003109D6"/>
    <w:rsid w:val="003109DC"/>
    <w:rsid w:val="00310A5B"/>
    <w:rsid w:val="00310ADC"/>
    <w:rsid w:val="00310AE8"/>
    <w:rsid w:val="00310B20"/>
    <w:rsid w:val="00310B57"/>
    <w:rsid w:val="00310B6E"/>
    <w:rsid w:val="00310D78"/>
    <w:rsid w:val="00310D8E"/>
    <w:rsid w:val="00310E52"/>
    <w:rsid w:val="00310EEC"/>
    <w:rsid w:val="00310F18"/>
    <w:rsid w:val="00310F2B"/>
    <w:rsid w:val="00310F7F"/>
    <w:rsid w:val="0031102E"/>
    <w:rsid w:val="00311173"/>
    <w:rsid w:val="00311255"/>
    <w:rsid w:val="00311271"/>
    <w:rsid w:val="003113A0"/>
    <w:rsid w:val="003113D5"/>
    <w:rsid w:val="00311400"/>
    <w:rsid w:val="00311435"/>
    <w:rsid w:val="00311458"/>
    <w:rsid w:val="003114A7"/>
    <w:rsid w:val="00311513"/>
    <w:rsid w:val="003115C3"/>
    <w:rsid w:val="003115D4"/>
    <w:rsid w:val="0031162A"/>
    <w:rsid w:val="003116AA"/>
    <w:rsid w:val="003116C1"/>
    <w:rsid w:val="003116F5"/>
    <w:rsid w:val="0031174B"/>
    <w:rsid w:val="003117D6"/>
    <w:rsid w:val="00311804"/>
    <w:rsid w:val="00311822"/>
    <w:rsid w:val="0031186A"/>
    <w:rsid w:val="0031189E"/>
    <w:rsid w:val="003118B4"/>
    <w:rsid w:val="003118C2"/>
    <w:rsid w:val="003118E2"/>
    <w:rsid w:val="0031198C"/>
    <w:rsid w:val="0031199F"/>
    <w:rsid w:val="003119CD"/>
    <w:rsid w:val="003119F7"/>
    <w:rsid w:val="00311BC9"/>
    <w:rsid w:val="00311C4F"/>
    <w:rsid w:val="00311D7E"/>
    <w:rsid w:val="00311DEB"/>
    <w:rsid w:val="00311E72"/>
    <w:rsid w:val="00311E89"/>
    <w:rsid w:val="00312074"/>
    <w:rsid w:val="00312075"/>
    <w:rsid w:val="003121DF"/>
    <w:rsid w:val="00312403"/>
    <w:rsid w:val="00312427"/>
    <w:rsid w:val="00312754"/>
    <w:rsid w:val="00312785"/>
    <w:rsid w:val="003127FC"/>
    <w:rsid w:val="003128A5"/>
    <w:rsid w:val="003129FB"/>
    <w:rsid w:val="00312A12"/>
    <w:rsid w:val="00312AAD"/>
    <w:rsid w:val="00312AD1"/>
    <w:rsid w:val="00312BAE"/>
    <w:rsid w:val="00312BC8"/>
    <w:rsid w:val="00312BCC"/>
    <w:rsid w:val="00312C89"/>
    <w:rsid w:val="00312CA3"/>
    <w:rsid w:val="00312CE3"/>
    <w:rsid w:val="00312D33"/>
    <w:rsid w:val="00312E1F"/>
    <w:rsid w:val="00312E22"/>
    <w:rsid w:val="00312E39"/>
    <w:rsid w:val="00312E7F"/>
    <w:rsid w:val="00312E84"/>
    <w:rsid w:val="00312EA1"/>
    <w:rsid w:val="00313172"/>
    <w:rsid w:val="003131AA"/>
    <w:rsid w:val="0031328E"/>
    <w:rsid w:val="003132F2"/>
    <w:rsid w:val="00313312"/>
    <w:rsid w:val="00313325"/>
    <w:rsid w:val="00313382"/>
    <w:rsid w:val="00313405"/>
    <w:rsid w:val="0031344A"/>
    <w:rsid w:val="00313451"/>
    <w:rsid w:val="00313453"/>
    <w:rsid w:val="003134C7"/>
    <w:rsid w:val="0031351B"/>
    <w:rsid w:val="003135A5"/>
    <w:rsid w:val="003135D9"/>
    <w:rsid w:val="0031362F"/>
    <w:rsid w:val="003137DB"/>
    <w:rsid w:val="00313842"/>
    <w:rsid w:val="00313858"/>
    <w:rsid w:val="0031390E"/>
    <w:rsid w:val="00313A75"/>
    <w:rsid w:val="00313CB5"/>
    <w:rsid w:val="00313CE3"/>
    <w:rsid w:val="00313E31"/>
    <w:rsid w:val="00313F27"/>
    <w:rsid w:val="00313F8A"/>
    <w:rsid w:val="00313FC9"/>
    <w:rsid w:val="00314105"/>
    <w:rsid w:val="003141B9"/>
    <w:rsid w:val="00314297"/>
    <w:rsid w:val="003143E1"/>
    <w:rsid w:val="00314445"/>
    <w:rsid w:val="0031446E"/>
    <w:rsid w:val="00314487"/>
    <w:rsid w:val="00314520"/>
    <w:rsid w:val="0031453D"/>
    <w:rsid w:val="003145C3"/>
    <w:rsid w:val="0031469D"/>
    <w:rsid w:val="003146AF"/>
    <w:rsid w:val="003146C9"/>
    <w:rsid w:val="00314783"/>
    <w:rsid w:val="003147B6"/>
    <w:rsid w:val="003147F4"/>
    <w:rsid w:val="0031481B"/>
    <w:rsid w:val="0031489A"/>
    <w:rsid w:val="003148F7"/>
    <w:rsid w:val="00314910"/>
    <w:rsid w:val="00314ABE"/>
    <w:rsid w:val="00314AF2"/>
    <w:rsid w:val="00314B42"/>
    <w:rsid w:val="00314B70"/>
    <w:rsid w:val="00314BF9"/>
    <w:rsid w:val="00314C2D"/>
    <w:rsid w:val="00314D05"/>
    <w:rsid w:val="00314D14"/>
    <w:rsid w:val="00314E33"/>
    <w:rsid w:val="00314E65"/>
    <w:rsid w:val="00314F37"/>
    <w:rsid w:val="00314F52"/>
    <w:rsid w:val="00314FD9"/>
    <w:rsid w:val="0031500F"/>
    <w:rsid w:val="00315109"/>
    <w:rsid w:val="00315153"/>
    <w:rsid w:val="00315214"/>
    <w:rsid w:val="00315261"/>
    <w:rsid w:val="003152A0"/>
    <w:rsid w:val="0031544A"/>
    <w:rsid w:val="003154A0"/>
    <w:rsid w:val="0031553C"/>
    <w:rsid w:val="0031569A"/>
    <w:rsid w:val="003157B4"/>
    <w:rsid w:val="0031586D"/>
    <w:rsid w:val="003158E0"/>
    <w:rsid w:val="00315947"/>
    <w:rsid w:val="0031594F"/>
    <w:rsid w:val="00315954"/>
    <w:rsid w:val="003159D4"/>
    <w:rsid w:val="00315A6C"/>
    <w:rsid w:val="00315AA4"/>
    <w:rsid w:val="00315BBD"/>
    <w:rsid w:val="00315BDA"/>
    <w:rsid w:val="00315BE9"/>
    <w:rsid w:val="00315BF5"/>
    <w:rsid w:val="00315C08"/>
    <w:rsid w:val="00315D1E"/>
    <w:rsid w:val="00315D38"/>
    <w:rsid w:val="00315D63"/>
    <w:rsid w:val="00315EA2"/>
    <w:rsid w:val="00315EBF"/>
    <w:rsid w:val="00315FD1"/>
    <w:rsid w:val="0031617E"/>
    <w:rsid w:val="003162C8"/>
    <w:rsid w:val="003162DA"/>
    <w:rsid w:val="0031649F"/>
    <w:rsid w:val="00316747"/>
    <w:rsid w:val="0031679B"/>
    <w:rsid w:val="00316863"/>
    <w:rsid w:val="00316881"/>
    <w:rsid w:val="003169BB"/>
    <w:rsid w:val="003169C1"/>
    <w:rsid w:val="00316A45"/>
    <w:rsid w:val="00316A9A"/>
    <w:rsid w:val="00316AB8"/>
    <w:rsid w:val="00316B77"/>
    <w:rsid w:val="00316C20"/>
    <w:rsid w:val="00316CB3"/>
    <w:rsid w:val="00316DF9"/>
    <w:rsid w:val="00316E79"/>
    <w:rsid w:val="00316ED9"/>
    <w:rsid w:val="00316F43"/>
    <w:rsid w:val="00316FFA"/>
    <w:rsid w:val="00317006"/>
    <w:rsid w:val="00317009"/>
    <w:rsid w:val="00317041"/>
    <w:rsid w:val="00317116"/>
    <w:rsid w:val="003171DC"/>
    <w:rsid w:val="003172C2"/>
    <w:rsid w:val="00317407"/>
    <w:rsid w:val="00317478"/>
    <w:rsid w:val="00317505"/>
    <w:rsid w:val="00317513"/>
    <w:rsid w:val="0031753A"/>
    <w:rsid w:val="0031760D"/>
    <w:rsid w:val="003176AF"/>
    <w:rsid w:val="0031771B"/>
    <w:rsid w:val="0031772E"/>
    <w:rsid w:val="003177CA"/>
    <w:rsid w:val="00317807"/>
    <w:rsid w:val="00317B37"/>
    <w:rsid w:val="00317B40"/>
    <w:rsid w:val="00317B75"/>
    <w:rsid w:val="00317C24"/>
    <w:rsid w:val="00317C3D"/>
    <w:rsid w:val="00317CEC"/>
    <w:rsid w:val="00317D08"/>
    <w:rsid w:val="00317D47"/>
    <w:rsid w:val="00317F07"/>
    <w:rsid w:val="00317F56"/>
    <w:rsid w:val="00317F8D"/>
    <w:rsid w:val="00317F96"/>
    <w:rsid w:val="00320069"/>
    <w:rsid w:val="003200BF"/>
    <w:rsid w:val="00320122"/>
    <w:rsid w:val="003201A1"/>
    <w:rsid w:val="003201DA"/>
    <w:rsid w:val="00320243"/>
    <w:rsid w:val="0032024F"/>
    <w:rsid w:val="00320250"/>
    <w:rsid w:val="00320293"/>
    <w:rsid w:val="003204D3"/>
    <w:rsid w:val="0032077E"/>
    <w:rsid w:val="003207A1"/>
    <w:rsid w:val="0032086F"/>
    <w:rsid w:val="00320978"/>
    <w:rsid w:val="00320A2B"/>
    <w:rsid w:val="00320BE1"/>
    <w:rsid w:val="00320C64"/>
    <w:rsid w:val="00320CA1"/>
    <w:rsid w:val="00320DA3"/>
    <w:rsid w:val="00320DED"/>
    <w:rsid w:val="00320E7F"/>
    <w:rsid w:val="00320EF3"/>
    <w:rsid w:val="00320F39"/>
    <w:rsid w:val="00320F3F"/>
    <w:rsid w:val="00320F60"/>
    <w:rsid w:val="00320FCB"/>
    <w:rsid w:val="0032100F"/>
    <w:rsid w:val="003211A4"/>
    <w:rsid w:val="003211B0"/>
    <w:rsid w:val="003211CE"/>
    <w:rsid w:val="00321235"/>
    <w:rsid w:val="0032127B"/>
    <w:rsid w:val="003212A9"/>
    <w:rsid w:val="003212AE"/>
    <w:rsid w:val="00321325"/>
    <w:rsid w:val="003213E1"/>
    <w:rsid w:val="00321408"/>
    <w:rsid w:val="0032142D"/>
    <w:rsid w:val="003215BA"/>
    <w:rsid w:val="00321600"/>
    <w:rsid w:val="00321688"/>
    <w:rsid w:val="00321689"/>
    <w:rsid w:val="003216DB"/>
    <w:rsid w:val="0032175B"/>
    <w:rsid w:val="00321772"/>
    <w:rsid w:val="00321801"/>
    <w:rsid w:val="00321998"/>
    <w:rsid w:val="003219B7"/>
    <w:rsid w:val="00321A15"/>
    <w:rsid w:val="00321AC6"/>
    <w:rsid w:val="00321C12"/>
    <w:rsid w:val="00321CA4"/>
    <w:rsid w:val="00321DCB"/>
    <w:rsid w:val="00321E57"/>
    <w:rsid w:val="00321E5E"/>
    <w:rsid w:val="00321F30"/>
    <w:rsid w:val="00321FA3"/>
    <w:rsid w:val="00322082"/>
    <w:rsid w:val="00322125"/>
    <w:rsid w:val="0032219C"/>
    <w:rsid w:val="003221C8"/>
    <w:rsid w:val="0032228C"/>
    <w:rsid w:val="003222B1"/>
    <w:rsid w:val="003222B8"/>
    <w:rsid w:val="00322306"/>
    <w:rsid w:val="00322410"/>
    <w:rsid w:val="00322571"/>
    <w:rsid w:val="00322582"/>
    <w:rsid w:val="00322584"/>
    <w:rsid w:val="003227D2"/>
    <w:rsid w:val="003227FC"/>
    <w:rsid w:val="00322808"/>
    <w:rsid w:val="0032289C"/>
    <w:rsid w:val="00322930"/>
    <w:rsid w:val="00322960"/>
    <w:rsid w:val="003229E9"/>
    <w:rsid w:val="00322A5F"/>
    <w:rsid w:val="00322A78"/>
    <w:rsid w:val="00322B0A"/>
    <w:rsid w:val="00322C19"/>
    <w:rsid w:val="00322C26"/>
    <w:rsid w:val="00322C3B"/>
    <w:rsid w:val="00322CC2"/>
    <w:rsid w:val="00322D4F"/>
    <w:rsid w:val="00322D79"/>
    <w:rsid w:val="00322DF0"/>
    <w:rsid w:val="00322E6F"/>
    <w:rsid w:val="00322E7B"/>
    <w:rsid w:val="00322F81"/>
    <w:rsid w:val="00322FED"/>
    <w:rsid w:val="00322FF6"/>
    <w:rsid w:val="00323110"/>
    <w:rsid w:val="00323111"/>
    <w:rsid w:val="00323172"/>
    <w:rsid w:val="00323181"/>
    <w:rsid w:val="003231ED"/>
    <w:rsid w:val="00323312"/>
    <w:rsid w:val="0032331D"/>
    <w:rsid w:val="0032331E"/>
    <w:rsid w:val="00323427"/>
    <w:rsid w:val="003234C9"/>
    <w:rsid w:val="003234FE"/>
    <w:rsid w:val="00323504"/>
    <w:rsid w:val="00323535"/>
    <w:rsid w:val="0032353D"/>
    <w:rsid w:val="0032358F"/>
    <w:rsid w:val="00323725"/>
    <w:rsid w:val="00323769"/>
    <w:rsid w:val="0032378E"/>
    <w:rsid w:val="003237D5"/>
    <w:rsid w:val="00323807"/>
    <w:rsid w:val="00323891"/>
    <w:rsid w:val="003238A9"/>
    <w:rsid w:val="003238E1"/>
    <w:rsid w:val="0032399C"/>
    <w:rsid w:val="003239B4"/>
    <w:rsid w:val="003239FB"/>
    <w:rsid w:val="00323A4B"/>
    <w:rsid w:val="00323B54"/>
    <w:rsid w:val="00323C59"/>
    <w:rsid w:val="00323C77"/>
    <w:rsid w:val="00323CCA"/>
    <w:rsid w:val="00323CD6"/>
    <w:rsid w:val="00323D1F"/>
    <w:rsid w:val="00323D9D"/>
    <w:rsid w:val="00323DCF"/>
    <w:rsid w:val="00323E21"/>
    <w:rsid w:val="00323E99"/>
    <w:rsid w:val="00323EA1"/>
    <w:rsid w:val="00323F7E"/>
    <w:rsid w:val="0032407D"/>
    <w:rsid w:val="00324086"/>
    <w:rsid w:val="003240A2"/>
    <w:rsid w:val="003240F9"/>
    <w:rsid w:val="0032415D"/>
    <w:rsid w:val="003241BF"/>
    <w:rsid w:val="003241CB"/>
    <w:rsid w:val="003241FE"/>
    <w:rsid w:val="003242BB"/>
    <w:rsid w:val="00324419"/>
    <w:rsid w:val="00324486"/>
    <w:rsid w:val="00324543"/>
    <w:rsid w:val="00324548"/>
    <w:rsid w:val="00324565"/>
    <w:rsid w:val="00324593"/>
    <w:rsid w:val="00324597"/>
    <w:rsid w:val="003245B1"/>
    <w:rsid w:val="003245B8"/>
    <w:rsid w:val="00324683"/>
    <w:rsid w:val="003246BA"/>
    <w:rsid w:val="003247A1"/>
    <w:rsid w:val="0032488C"/>
    <w:rsid w:val="003248CA"/>
    <w:rsid w:val="003248F8"/>
    <w:rsid w:val="00324995"/>
    <w:rsid w:val="003249F3"/>
    <w:rsid w:val="00324A10"/>
    <w:rsid w:val="00324A8B"/>
    <w:rsid w:val="00324AB9"/>
    <w:rsid w:val="00324B29"/>
    <w:rsid w:val="00324BCA"/>
    <w:rsid w:val="00324CA9"/>
    <w:rsid w:val="00324CEC"/>
    <w:rsid w:val="00324D53"/>
    <w:rsid w:val="00324DC2"/>
    <w:rsid w:val="00324DFB"/>
    <w:rsid w:val="00324EDD"/>
    <w:rsid w:val="00324FA8"/>
    <w:rsid w:val="00324FCD"/>
    <w:rsid w:val="00324FDD"/>
    <w:rsid w:val="00325032"/>
    <w:rsid w:val="00325122"/>
    <w:rsid w:val="0032514E"/>
    <w:rsid w:val="0032515E"/>
    <w:rsid w:val="003251CB"/>
    <w:rsid w:val="003253A8"/>
    <w:rsid w:val="003253AA"/>
    <w:rsid w:val="00325499"/>
    <w:rsid w:val="003254AF"/>
    <w:rsid w:val="0032555E"/>
    <w:rsid w:val="00325595"/>
    <w:rsid w:val="0032564E"/>
    <w:rsid w:val="00325662"/>
    <w:rsid w:val="00325699"/>
    <w:rsid w:val="003256BC"/>
    <w:rsid w:val="003257BB"/>
    <w:rsid w:val="00325820"/>
    <w:rsid w:val="0032583B"/>
    <w:rsid w:val="003258CC"/>
    <w:rsid w:val="00325905"/>
    <w:rsid w:val="0032595D"/>
    <w:rsid w:val="0032596B"/>
    <w:rsid w:val="00325A1E"/>
    <w:rsid w:val="00325A43"/>
    <w:rsid w:val="00325ACE"/>
    <w:rsid w:val="00325B0E"/>
    <w:rsid w:val="00325C8A"/>
    <w:rsid w:val="00325D58"/>
    <w:rsid w:val="00325D63"/>
    <w:rsid w:val="00325DA0"/>
    <w:rsid w:val="00325E4B"/>
    <w:rsid w:val="00325E5D"/>
    <w:rsid w:val="00325F59"/>
    <w:rsid w:val="00326020"/>
    <w:rsid w:val="0032607C"/>
    <w:rsid w:val="00326198"/>
    <w:rsid w:val="0032629D"/>
    <w:rsid w:val="00326327"/>
    <w:rsid w:val="00326387"/>
    <w:rsid w:val="003263B3"/>
    <w:rsid w:val="0032642E"/>
    <w:rsid w:val="0032644A"/>
    <w:rsid w:val="003264D0"/>
    <w:rsid w:val="003265C0"/>
    <w:rsid w:val="00326611"/>
    <w:rsid w:val="00326686"/>
    <w:rsid w:val="00326697"/>
    <w:rsid w:val="003266AC"/>
    <w:rsid w:val="00326779"/>
    <w:rsid w:val="003268E0"/>
    <w:rsid w:val="00326911"/>
    <w:rsid w:val="00326929"/>
    <w:rsid w:val="00326941"/>
    <w:rsid w:val="00326998"/>
    <w:rsid w:val="00326A63"/>
    <w:rsid w:val="00326A85"/>
    <w:rsid w:val="00326A93"/>
    <w:rsid w:val="00326AB5"/>
    <w:rsid w:val="00326ABE"/>
    <w:rsid w:val="00326B18"/>
    <w:rsid w:val="00326B2C"/>
    <w:rsid w:val="00326B56"/>
    <w:rsid w:val="00326C1E"/>
    <w:rsid w:val="00326C27"/>
    <w:rsid w:val="00326CCB"/>
    <w:rsid w:val="00326D82"/>
    <w:rsid w:val="00326D98"/>
    <w:rsid w:val="00326DB3"/>
    <w:rsid w:val="00326DC9"/>
    <w:rsid w:val="00326E32"/>
    <w:rsid w:val="00326E77"/>
    <w:rsid w:val="003270C8"/>
    <w:rsid w:val="003271DC"/>
    <w:rsid w:val="0032722F"/>
    <w:rsid w:val="00327271"/>
    <w:rsid w:val="00327287"/>
    <w:rsid w:val="003272A0"/>
    <w:rsid w:val="00327329"/>
    <w:rsid w:val="003273F5"/>
    <w:rsid w:val="003273FC"/>
    <w:rsid w:val="00327448"/>
    <w:rsid w:val="003274CC"/>
    <w:rsid w:val="00327507"/>
    <w:rsid w:val="00327525"/>
    <w:rsid w:val="0032757C"/>
    <w:rsid w:val="003275B4"/>
    <w:rsid w:val="003275DB"/>
    <w:rsid w:val="0032761F"/>
    <w:rsid w:val="0032767D"/>
    <w:rsid w:val="00327699"/>
    <w:rsid w:val="00327748"/>
    <w:rsid w:val="0032783E"/>
    <w:rsid w:val="00327938"/>
    <w:rsid w:val="00327944"/>
    <w:rsid w:val="003279C1"/>
    <w:rsid w:val="003279FA"/>
    <w:rsid w:val="00327A73"/>
    <w:rsid w:val="00327C7D"/>
    <w:rsid w:val="00327CBA"/>
    <w:rsid w:val="00327CF0"/>
    <w:rsid w:val="00327D1E"/>
    <w:rsid w:val="00327E50"/>
    <w:rsid w:val="00327ED2"/>
    <w:rsid w:val="00327F7A"/>
    <w:rsid w:val="00327FEC"/>
    <w:rsid w:val="003300AB"/>
    <w:rsid w:val="0033012B"/>
    <w:rsid w:val="0033015A"/>
    <w:rsid w:val="00330169"/>
    <w:rsid w:val="003301B3"/>
    <w:rsid w:val="00330321"/>
    <w:rsid w:val="00330385"/>
    <w:rsid w:val="00330391"/>
    <w:rsid w:val="003303A2"/>
    <w:rsid w:val="00330454"/>
    <w:rsid w:val="00330620"/>
    <w:rsid w:val="00330674"/>
    <w:rsid w:val="00330697"/>
    <w:rsid w:val="003306A7"/>
    <w:rsid w:val="003307D0"/>
    <w:rsid w:val="003307D5"/>
    <w:rsid w:val="0033088D"/>
    <w:rsid w:val="003309A7"/>
    <w:rsid w:val="003309B4"/>
    <w:rsid w:val="003309DE"/>
    <w:rsid w:val="00330A63"/>
    <w:rsid w:val="00330A64"/>
    <w:rsid w:val="00330A68"/>
    <w:rsid w:val="00330AB7"/>
    <w:rsid w:val="00330C63"/>
    <w:rsid w:val="00330CB0"/>
    <w:rsid w:val="00330D87"/>
    <w:rsid w:val="00330D99"/>
    <w:rsid w:val="00330E09"/>
    <w:rsid w:val="00330E16"/>
    <w:rsid w:val="00330EC5"/>
    <w:rsid w:val="00330EE6"/>
    <w:rsid w:val="00330F36"/>
    <w:rsid w:val="00330F80"/>
    <w:rsid w:val="0033101B"/>
    <w:rsid w:val="0033103E"/>
    <w:rsid w:val="0033109C"/>
    <w:rsid w:val="003310F0"/>
    <w:rsid w:val="00331100"/>
    <w:rsid w:val="00331101"/>
    <w:rsid w:val="003311D5"/>
    <w:rsid w:val="003312A6"/>
    <w:rsid w:val="003312DB"/>
    <w:rsid w:val="00331335"/>
    <w:rsid w:val="00331350"/>
    <w:rsid w:val="003313E8"/>
    <w:rsid w:val="00331423"/>
    <w:rsid w:val="00331471"/>
    <w:rsid w:val="0033155C"/>
    <w:rsid w:val="003315E7"/>
    <w:rsid w:val="00331663"/>
    <w:rsid w:val="003317B0"/>
    <w:rsid w:val="003318B6"/>
    <w:rsid w:val="00331976"/>
    <w:rsid w:val="003319E6"/>
    <w:rsid w:val="00331ADD"/>
    <w:rsid w:val="00331C56"/>
    <w:rsid w:val="00331DA8"/>
    <w:rsid w:val="00331DD3"/>
    <w:rsid w:val="00331E00"/>
    <w:rsid w:val="00331EE2"/>
    <w:rsid w:val="00331FD9"/>
    <w:rsid w:val="00332006"/>
    <w:rsid w:val="00332046"/>
    <w:rsid w:val="003320CE"/>
    <w:rsid w:val="003321A0"/>
    <w:rsid w:val="003321D5"/>
    <w:rsid w:val="003321DD"/>
    <w:rsid w:val="00332223"/>
    <w:rsid w:val="0033231C"/>
    <w:rsid w:val="003323D2"/>
    <w:rsid w:val="00332413"/>
    <w:rsid w:val="00332484"/>
    <w:rsid w:val="00332563"/>
    <w:rsid w:val="003325A7"/>
    <w:rsid w:val="0033260B"/>
    <w:rsid w:val="00332692"/>
    <w:rsid w:val="0033270A"/>
    <w:rsid w:val="0033273B"/>
    <w:rsid w:val="0033279D"/>
    <w:rsid w:val="0033284C"/>
    <w:rsid w:val="0033287B"/>
    <w:rsid w:val="003328AB"/>
    <w:rsid w:val="003328CC"/>
    <w:rsid w:val="003328E2"/>
    <w:rsid w:val="00332B1D"/>
    <w:rsid w:val="00332B53"/>
    <w:rsid w:val="00332BCD"/>
    <w:rsid w:val="00332BDE"/>
    <w:rsid w:val="00332CAB"/>
    <w:rsid w:val="00332CFC"/>
    <w:rsid w:val="00332D2D"/>
    <w:rsid w:val="00332D6A"/>
    <w:rsid w:val="00332FD6"/>
    <w:rsid w:val="0033300E"/>
    <w:rsid w:val="003330B9"/>
    <w:rsid w:val="003330F4"/>
    <w:rsid w:val="00333105"/>
    <w:rsid w:val="00333230"/>
    <w:rsid w:val="00333282"/>
    <w:rsid w:val="003332D8"/>
    <w:rsid w:val="003332DB"/>
    <w:rsid w:val="003333D6"/>
    <w:rsid w:val="003333DF"/>
    <w:rsid w:val="003334AC"/>
    <w:rsid w:val="0033368C"/>
    <w:rsid w:val="003338EE"/>
    <w:rsid w:val="00333A0E"/>
    <w:rsid w:val="00333A3B"/>
    <w:rsid w:val="00333A55"/>
    <w:rsid w:val="00333A66"/>
    <w:rsid w:val="00333AB9"/>
    <w:rsid w:val="00333B6F"/>
    <w:rsid w:val="00333BB0"/>
    <w:rsid w:val="00333C15"/>
    <w:rsid w:val="00333C82"/>
    <w:rsid w:val="00333CA1"/>
    <w:rsid w:val="00333D30"/>
    <w:rsid w:val="00333D48"/>
    <w:rsid w:val="00333E31"/>
    <w:rsid w:val="00333EC6"/>
    <w:rsid w:val="00333F29"/>
    <w:rsid w:val="00333F32"/>
    <w:rsid w:val="0033410C"/>
    <w:rsid w:val="00334121"/>
    <w:rsid w:val="0033413F"/>
    <w:rsid w:val="0033415B"/>
    <w:rsid w:val="003341AD"/>
    <w:rsid w:val="00334266"/>
    <w:rsid w:val="0033427B"/>
    <w:rsid w:val="00334319"/>
    <w:rsid w:val="0033431C"/>
    <w:rsid w:val="00334419"/>
    <w:rsid w:val="00334447"/>
    <w:rsid w:val="00334583"/>
    <w:rsid w:val="003345C7"/>
    <w:rsid w:val="0033463D"/>
    <w:rsid w:val="00334696"/>
    <w:rsid w:val="0033471D"/>
    <w:rsid w:val="003347D8"/>
    <w:rsid w:val="00334805"/>
    <w:rsid w:val="00334896"/>
    <w:rsid w:val="003349AF"/>
    <w:rsid w:val="00334B54"/>
    <w:rsid w:val="00334CD1"/>
    <w:rsid w:val="00334D4E"/>
    <w:rsid w:val="00334E05"/>
    <w:rsid w:val="00334E50"/>
    <w:rsid w:val="00334E8D"/>
    <w:rsid w:val="00334E99"/>
    <w:rsid w:val="00334EE9"/>
    <w:rsid w:val="00334EF7"/>
    <w:rsid w:val="00334F6F"/>
    <w:rsid w:val="0033503B"/>
    <w:rsid w:val="00335045"/>
    <w:rsid w:val="00335122"/>
    <w:rsid w:val="00335151"/>
    <w:rsid w:val="00335203"/>
    <w:rsid w:val="00335251"/>
    <w:rsid w:val="0033528F"/>
    <w:rsid w:val="00335399"/>
    <w:rsid w:val="003353F9"/>
    <w:rsid w:val="00335408"/>
    <w:rsid w:val="00335483"/>
    <w:rsid w:val="00335681"/>
    <w:rsid w:val="003356A5"/>
    <w:rsid w:val="003357F4"/>
    <w:rsid w:val="00335841"/>
    <w:rsid w:val="0033596D"/>
    <w:rsid w:val="00335999"/>
    <w:rsid w:val="0033599A"/>
    <w:rsid w:val="003359A5"/>
    <w:rsid w:val="003359F5"/>
    <w:rsid w:val="003359FB"/>
    <w:rsid w:val="00335A14"/>
    <w:rsid w:val="00335A65"/>
    <w:rsid w:val="00335AD1"/>
    <w:rsid w:val="00335ADE"/>
    <w:rsid w:val="00335AE3"/>
    <w:rsid w:val="00335AFD"/>
    <w:rsid w:val="00335B1A"/>
    <w:rsid w:val="00335C51"/>
    <w:rsid w:val="00335C8E"/>
    <w:rsid w:val="00335D10"/>
    <w:rsid w:val="00335D2D"/>
    <w:rsid w:val="00335D82"/>
    <w:rsid w:val="00335E7C"/>
    <w:rsid w:val="00335EB9"/>
    <w:rsid w:val="00335ED8"/>
    <w:rsid w:val="00335F73"/>
    <w:rsid w:val="0033603D"/>
    <w:rsid w:val="003360E3"/>
    <w:rsid w:val="0033610C"/>
    <w:rsid w:val="003362E1"/>
    <w:rsid w:val="003362EA"/>
    <w:rsid w:val="0033634C"/>
    <w:rsid w:val="00336383"/>
    <w:rsid w:val="0033639D"/>
    <w:rsid w:val="0033644A"/>
    <w:rsid w:val="00336453"/>
    <w:rsid w:val="003364AE"/>
    <w:rsid w:val="003364BD"/>
    <w:rsid w:val="003364CB"/>
    <w:rsid w:val="0033653C"/>
    <w:rsid w:val="00336633"/>
    <w:rsid w:val="00336671"/>
    <w:rsid w:val="00336672"/>
    <w:rsid w:val="00336761"/>
    <w:rsid w:val="003367AF"/>
    <w:rsid w:val="003367C1"/>
    <w:rsid w:val="00336843"/>
    <w:rsid w:val="0033684A"/>
    <w:rsid w:val="003368D3"/>
    <w:rsid w:val="003368E0"/>
    <w:rsid w:val="003368F0"/>
    <w:rsid w:val="003369FE"/>
    <w:rsid w:val="00336A59"/>
    <w:rsid w:val="00336ABC"/>
    <w:rsid w:val="00336AD0"/>
    <w:rsid w:val="00336B00"/>
    <w:rsid w:val="00336B95"/>
    <w:rsid w:val="00336C38"/>
    <w:rsid w:val="00336DE2"/>
    <w:rsid w:val="00336DE6"/>
    <w:rsid w:val="00336E4F"/>
    <w:rsid w:val="00336EA8"/>
    <w:rsid w:val="00336ED1"/>
    <w:rsid w:val="00336F2F"/>
    <w:rsid w:val="00337157"/>
    <w:rsid w:val="0033719D"/>
    <w:rsid w:val="003371C5"/>
    <w:rsid w:val="003371F2"/>
    <w:rsid w:val="00337330"/>
    <w:rsid w:val="00337372"/>
    <w:rsid w:val="00337391"/>
    <w:rsid w:val="0033739E"/>
    <w:rsid w:val="003374AC"/>
    <w:rsid w:val="003374EF"/>
    <w:rsid w:val="003375DA"/>
    <w:rsid w:val="003375E5"/>
    <w:rsid w:val="00337745"/>
    <w:rsid w:val="003377E4"/>
    <w:rsid w:val="003378AE"/>
    <w:rsid w:val="003378EF"/>
    <w:rsid w:val="003379FF"/>
    <w:rsid w:val="00337A17"/>
    <w:rsid w:val="00337AA0"/>
    <w:rsid w:val="00337ACF"/>
    <w:rsid w:val="00337AE3"/>
    <w:rsid w:val="00337B85"/>
    <w:rsid w:val="00337BD3"/>
    <w:rsid w:val="00337CD9"/>
    <w:rsid w:val="00337CED"/>
    <w:rsid w:val="00337D4D"/>
    <w:rsid w:val="00337DCA"/>
    <w:rsid w:val="00337E03"/>
    <w:rsid w:val="00337E3D"/>
    <w:rsid w:val="00337E84"/>
    <w:rsid w:val="00337F9A"/>
    <w:rsid w:val="00340063"/>
    <w:rsid w:val="003400EA"/>
    <w:rsid w:val="00340147"/>
    <w:rsid w:val="003401BE"/>
    <w:rsid w:val="003401EC"/>
    <w:rsid w:val="00340268"/>
    <w:rsid w:val="0034032A"/>
    <w:rsid w:val="00340393"/>
    <w:rsid w:val="003403A7"/>
    <w:rsid w:val="003403D4"/>
    <w:rsid w:val="00340507"/>
    <w:rsid w:val="00340582"/>
    <w:rsid w:val="003406E1"/>
    <w:rsid w:val="0034073A"/>
    <w:rsid w:val="00340752"/>
    <w:rsid w:val="00340783"/>
    <w:rsid w:val="00340804"/>
    <w:rsid w:val="0034084D"/>
    <w:rsid w:val="00340855"/>
    <w:rsid w:val="003408A4"/>
    <w:rsid w:val="003408E7"/>
    <w:rsid w:val="00340934"/>
    <w:rsid w:val="0034094C"/>
    <w:rsid w:val="0034095C"/>
    <w:rsid w:val="003409AB"/>
    <w:rsid w:val="003409BC"/>
    <w:rsid w:val="00340A78"/>
    <w:rsid w:val="00340A9B"/>
    <w:rsid w:val="00340B08"/>
    <w:rsid w:val="00340BCA"/>
    <w:rsid w:val="00340C09"/>
    <w:rsid w:val="00340C60"/>
    <w:rsid w:val="00340D09"/>
    <w:rsid w:val="00340E0F"/>
    <w:rsid w:val="00340ECD"/>
    <w:rsid w:val="00340EF2"/>
    <w:rsid w:val="00341040"/>
    <w:rsid w:val="0034105E"/>
    <w:rsid w:val="003411B4"/>
    <w:rsid w:val="003411DF"/>
    <w:rsid w:val="0034121A"/>
    <w:rsid w:val="0034121F"/>
    <w:rsid w:val="003412B8"/>
    <w:rsid w:val="0034131A"/>
    <w:rsid w:val="0034132D"/>
    <w:rsid w:val="0034147F"/>
    <w:rsid w:val="003415B4"/>
    <w:rsid w:val="00341601"/>
    <w:rsid w:val="003417C2"/>
    <w:rsid w:val="0034180B"/>
    <w:rsid w:val="00341890"/>
    <w:rsid w:val="003418EA"/>
    <w:rsid w:val="003418ED"/>
    <w:rsid w:val="00341971"/>
    <w:rsid w:val="00341A93"/>
    <w:rsid w:val="00341B62"/>
    <w:rsid w:val="00341B77"/>
    <w:rsid w:val="00341C3F"/>
    <w:rsid w:val="00341C44"/>
    <w:rsid w:val="00341C7A"/>
    <w:rsid w:val="00341D91"/>
    <w:rsid w:val="00341E36"/>
    <w:rsid w:val="00341E6D"/>
    <w:rsid w:val="00341ED9"/>
    <w:rsid w:val="00341F1B"/>
    <w:rsid w:val="00341FAB"/>
    <w:rsid w:val="00341FB3"/>
    <w:rsid w:val="00342016"/>
    <w:rsid w:val="003420CB"/>
    <w:rsid w:val="003420FA"/>
    <w:rsid w:val="00342142"/>
    <w:rsid w:val="00342180"/>
    <w:rsid w:val="00342181"/>
    <w:rsid w:val="0034219B"/>
    <w:rsid w:val="0034219C"/>
    <w:rsid w:val="00342228"/>
    <w:rsid w:val="0034222A"/>
    <w:rsid w:val="003422BD"/>
    <w:rsid w:val="003423A7"/>
    <w:rsid w:val="003423F3"/>
    <w:rsid w:val="00342453"/>
    <w:rsid w:val="003424A1"/>
    <w:rsid w:val="00342506"/>
    <w:rsid w:val="00342568"/>
    <w:rsid w:val="003425B3"/>
    <w:rsid w:val="0034261C"/>
    <w:rsid w:val="00342660"/>
    <w:rsid w:val="00342716"/>
    <w:rsid w:val="0034272C"/>
    <w:rsid w:val="00342736"/>
    <w:rsid w:val="0034276E"/>
    <w:rsid w:val="003427EB"/>
    <w:rsid w:val="003427EC"/>
    <w:rsid w:val="003428F9"/>
    <w:rsid w:val="0034297A"/>
    <w:rsid w:val="003429AE"/>
    <w:rsid w:val="00342A11"/>
    <w:rsid w:val="00342A25"/>
    <w:rsid w:val="00342AD9"/>
    <w:rsid w:val="00342AEB"/>
    <w:rsid w:val="00342B35"/>
    <w:rsid w:val="00342B7C"/>
    <w:rsid w:val="00342B7F"/>
    <w:rsid w:val="00342B98"/>
    <w:rsid w:val="00342BE7"/>
    <w:rsid w:val="00342CE2"/>
    <w:rsid w:val="00342DE0"/>
    <w:rsid w:val="00342E1F"/>
    <w:rsid w:val="00342EBD"/>
    <w:rsid w:val="00342ED2"/>
    <w:rsid w:val="00342F8A"/>
    <w:rsid w:val="00342FBE"/>
    <w:rsid w:val="00343193"/>
    <w:rsid w:val="0034319D"/>
    <w:rsid w:val="0034323E"/>
    <w:rsid w:val="003432A8"/>
    <w:rsid w:val="003432FD"/>
    <w:rsid w:val="00343303"/>
    <w:rsid w:val="00343329"/>
    <w:rsid w:val="0034334D"/>
    <w:rsid w:val="00343414"/>
    <w:rsid w:val="0034347F"/>
    <w:rsid w:val="003434B7"/>
    <w:rsid w:val="00343531"/>
    <w:rsid w:val="0034360B"/>
    <w:rsid w:val="0034363F"/>
    <w:rsid w:val="003436CB"/>
    <w:rsid w:val="00343733"/>
    <w:rsid w:val="003437FA"/>
    <w:rsid w:val="003438E0"/>
    <w:rsid w:val="0034393F"/>
    <w:rsid w:val="00343941"/>
    <w:rsid w:val="00343C9B"/>
    <w:rsid w:val="00343CCB"/>
    <w:rsid w:val="00343CE0"/>
    <w:rsid w:val="00343D66"/>
    <w:rsid w:val="00343DA1"/>
    <w:rsid w:val="00343DE4"/>
    <w:rsid w:val="00343DF1"/>
    <w:rsid w:val="00343E01"/>
    <w:rsid w:val="00343EA5"/>
    <w:rsid w:val="00343EA9"/>
    <w:rsid w:val="00343EBB"/>
    <w:rsid w:val="0034401D"/>
    <w:rsid w:val="00344101"/>
    <w:rsid w:val="00344135"/>
    <w:rsid w:val="00344148"/>
    <w:rsid w:val="0034418D"/>
    <w:rsid w:val="0034424C"/>
    <w:rsid w:val="00344291"/>
    <w:rsid w:val="003442C2"/>
    <w:rsid w:val="003442F8"/>
    <w:rsid w:val="0034438F"/>
    <w:rsid w:val="00344479"/>
    <w:rsid w:val="003444FA"/>
    <w:rsid w:val="00344544"/>
    <w:rsid w:val="00344549"/>
    <w:rsid w:val="00344595"/>
    <w:rsid w:val="003445A9"/>
    <w:rsid w:val="00344626"/>
    <w:rsid w:val="003446DD"/>
    <w:rsid w:val="003446F6"/>
    <w:rsid w:val="00344701"/>
    <w:rsid w:val="003447B8"/>
    <w:rsid w:val="003447EE"/>
    <w:rsid w:val="00344810"/>
    <w:rsid w:val="00344812"/>
    <w:rsid w:val="00344854"/>
    <w:rsid w:val="003448E0"/>
    <w:rsid w:val="003449A1"/>
    <w:rsid w:val="00344A95"/>
    <w:rsid w:val="00344AEB"/>
    <w:rsid w:val="00344BAD"/>
    <w:rsid w:val="00344BDC"/>
    <w:rsid w:val="00344C05"/>
    <w:rsid w:val="00344C19"/>
    <w:rsid w:val="00344C58"/>
    <w:rsid w:val="00344CA0"/>
    <w:rsid w:val="00344D27"/>
    <w:rsid w:val="00344D44"/>
    <w:rsid w:val="00344D5F"/>
    <w:rsid w:val="00344D60"/>
    <w:rsid w:val="00344DE5"/>
    <w:rsid w:val="00344EEF"/>
    <w:rsid w:val="00344F24"/>
    <w:rsid w:val="00344FB9"/>
    <w:rsid w:val="00345011"/>
    <w:rsid w:val="0034502E"/>
    <w:rsid w:val="00345030"/>
    <w:rsid w:val="00345095"/>
    <w:rsid w:val="00345117"/>
    <w:rsid w:val="00345177"/>
    <w:rsid w:val="00345242"/>
    <w:rsid w:val="003452C1"/>
    <w:rsid w:val="0034537B"/>
    <w:rsid w:val="003453B9"/>
    <w:rsid w:val="00345409"/>
    <w:rsid w:val="0034541B"/>
    <w:rsid w:val="00345435"/>
    <w:rsid w:val="00345559"/>
    <w:rsid w:val="00345595"/>
    <w:rsid w:val="003455DC"/>
    <w:rsid w:val="003455F6"/>
    <w:rsid w:val="00345631"/>
    <w:rsid w:val="00345681"/>
    <w:rsid w:val="003456A7"/>
    <w:rsid w:val="00345756"/>
    <w:rsid w:val="0034585B"/>
    <w:rsid w:val="003458D0"/>
    <w:rsid w:val="00345908"/>
    <w:rsid w:val="0034598B"/>
    <w:rsid w:val="00345A23"/>
    <w:rsid w:val="00345A8A"/>
    <w:rsid w:val="00345A8B"/>
    <w:rsid w:val="00345A8F"/>
    <w:rsid w:val="00345BBF"/>
    <w:rsid w:val="00345C3B"/>
    <w:rsid w:val="00345C7D"/>
    <w:rsid w:val="00345E23"/>
    <w:rsid w:val="003460C9"/>
    <w:rsid w:val="003460F1"/>
    <w:rsid w:val="003461FB"/>
    <w:rsid w:val="003463B2"/>
    <w:rsid w:val="003463F0"/>
    <w:rsid w:val="00346689"/>
    <w:rsid w:val="003466E5"/>
    <w:rsid w:val="003467DB"/>
    <w:rsid w:val="00346846"/>
    <w:rsid w:val="003468BE"/>
    <w:rsid w:val="00346900"/>
    <w:rsid w:val="00346917"/>
    <w:rsid w:val="0034691F"/>
    <w:rsid w:val="00346ABE"/>
    <w:rsid w:val="00346B86"/>
    <w:rsid w:val="00346C88"/>
    <w:rsid w:val="00346E01"/>
    <w:rsid w:val="00346E99"/>
    <w:rsid w:val="00346F1B"/>
    <w:rsid w:val="00346F47"/>
    <w:rsid w:val="00347020"/>
    <w:rsid w:val="00347125"/>
    <w:rsid w:val="003471AF"/>
    <w:rsid w:val="0034723F"/>
    <w:rsid w:val="0034726E"/>
    <w:rsid w:val="00347325"/>
    <w:rsid w:val="00347396"/>
    <w:rsid w:val="003473CA"/>
    <w:rsid w:val="00347456"/>
    <w:rsid w:val="0034748F"/>
    <w:rsid w:val="0034750D"/>
    <w:rsid w:val="00347571"/>
    <w:rsid w:val="00347580"/>
    <w:rsid w:val="003475DA"/>
    <w:rsid w:val="003475E3"/>
    <w:rsid w:val="003475F5"/>
    <w:rsid w:val="00347668"/>
    <w:rsid w:val="00347733"/>
    <w:rsid w:val="00347798"/>
    <w:rsid w:val="0034784A"/>
    <w:rsid w:val="0034787B"/>
    <w:rsid w:val="00347957"/>
    <w:rsid w:val="003479C3"/>
    <w:rsid w:val="00347A95"/>
    <w:rsid w:val="00347B0F"/>
    <w:rsid w:val="00347BC0"/>
    <w:rsid w:val="00347D06"/>
    <w:rsid w:val="00347D3F"/>
    <w:rsid w:val="00347D53"/>
    <w:rsid w:val="00347D90"/>
    <w:rsid w:val="00347DB2"/>
    <w:rsid w:val="00347F80"/>
    <w:rsid w:val="003500A5"/>
    <w:rsid w:val="003500EF"/>
    <w:rsid w:val="003501D6"/>
    <w:rsid w:val="0035023B"/>
    <w:rsid w:val="003502B7"/>
    <w:rsid w:val="0035036C"/>
    <w:rsid w:val="0035040D"/>
    <w:rsid w:val="0035053E"/>
    <w:rsid w:val="003506B2"/>
    <w:rsid w:val="0035076E"/>
    <w:rsid w:val="0035080A"/>
    <w:rsid w:val="00350936"/>
    <w:rsid w:val="0035095C"/>
    <w:rsid w:val="003509F2"/>
    <w:rsid w:val="00350A60"/>
    <w:rsid w:val="00350A77"/>
    <w:rsid w:val="00350B11"/>
    <w:rsid w:val="00350B6F"/>
    <w:rsid w:val="00350B9B"/>
    <w:rsid w:val="00350C5E"/>
    <w:rsid w:val="00350D06"/>
    <w:rsid w:val="00350D14"/>
    <w:rsid w:val="00350D9F"/>
    <w:rsid w:val="00350DD9"/>
    <w:rsid w:val="00350DF3"/>
    <w:rsid w:val="00350E12"/>
    <w:rsid w:val="00350E18"/>
    <w:rsid w:val="00350E73"/>
    <w:rsid w:val="00350E81"/>
    <w:rsid w:val="00350F31"/>
    <w:rsid w:val="00350F87"/>
    <w:rsid w:val="00350FA5"/>
    <w:rsid w:val="00350FCD"/>
    <w:rsid w:val="003511A7"/>
    <w:rsid w:val="003511C6"/>
    <w:rsid w:val="003512D0"/>
    <w:rsid w:val="0035130B"/>
    <w:rsid w:val="00351327"/>
    <w:rsid w:val="003513E6"/>
    <w:rsid w:val="0035140D"/>
    <w:rsid w:val="00351440"/>
    <w:rsid w:val="0035159F"/>
    <w:rsid w:val="003515B3"/>
    <w:rsid w:val="003515F5"/>
    <w:rsid w:val="00351662"/>
    <w:rsid w:val="00351740"/>
    <w:rsid w:val="0035187E"/>
    <w:rsid w:val="00351925"/>
    <w:rsid w:val="0035193B"/>
    <w:rsid w:val="00351B2C"/>
    <w:rsid w:val="00351BF9"/>
    <w:rsid w:val="00351CD6"/>
    <w:rsid w:val="00351DD5"/>
    <w:rsid w:val="00351ED5"/>
    <w:rsid w:val="00351F10"/>
    <w:rsid w:val="00351F4D"/>
    <w:rsid w:val="00351F6C"/>
    <w:rsid w:val="00351F91"/>
    <w:rsid w:val="00351FD5"/>
    <w:rsid w:val="003520B4"/>
    <w:rsid w:val="003520F7"/>
    <w:rsid w:val="003522E3"/>
    <w:rsid w:val="003522EA"/>
    <w:rsid w:val="0035233A"/>
    <w:rsid w:val="00352558"/>
    <w:rsid w:val="00352581"/>
    <w:rsid w:val="003525E7"/>
    <w:rsid w:val="00352640"/>
    <w:rsid w:val="00352662"/>
    <w:rsid w:val="0035266F"/>
    <w:rsid w:val="0035267A"/>
    <w:rsid w:val="00352680"/>
    <w:rsid w:val="00352683"/>
    <w:rsid w:val="00352688"/>
    <w:rsid w:val="003526B8"/>
    <w:rsid w:val="003526F0"/>
    <w:rsid w:val="0035273B"/>
    <w:rsid w:val="0035275C"/>
    <w:rsid w:val="00352794"/>
    <w:rsid w:val="003527D7"/>
    <w:rsid w:val="0035293B"/>
    <w:rsid w:val="00352958"/>
    <w:rsid w:val="00352991"/>
    <w:rsid w:val="003529CD"/>
    <w:rsid w:val="00352A41"/>
    <w:rsid w:val="00352A8F"/>
    <w:rsid w:val="00352B36"/>
    <w:rsid w:val="00352B74"/>
    <w:rsid w:val="00352BCB"/>
    <w:rsid w:val="00352C15"/>
    <w:rsid w:val="00352C32"/>
    <w:rsid w:val="00352C4C"/>
    <w:rsid w:val="00352CB4"/>
    <w:rsid w:val="00352CD2"/>
    <w:rsid w:val="00352CDE"/>
    <w:rsid w:val="00352D1E"/>
    <w:rsid w:val="00352D2A"/>
    <w:rsid w:val="00352D3A"/>
    <w:rsid w:val="00352DBD"/>
    <w:rsid w:val="00352DFF"/>
    <w:rsid w:val="00352E72"/>
    <w:rsid w:val="00352ED7"/>
    <w:rsid w:val="00352EE2"/>
    <w:rsid w:val="00352FFD"/>
    <w:rsid w:val="00353067"/>
    <w:rsid w:val="00353078"/>
    <w:rsid w:val="00353085"/>
    <w:rsid w:val="00353245"/>
    <w:rsid w:val="003532CF"/>
    <w:rsid w:val="003533E5"/>
    <w:rsid w:val="00353468"/>
    <w:rsid w:val="00353505"/>
    <w:rsid w:val="0035354A"/>
    <w:rsid w:val="00353612"/>
    <w:rsid w:val="0035361B"/>
    <w:rsid w:val="00353636"/>
    <w:rsid w:val="003536CA"/>
    <w:rsid w:val="00353749"/>
    <w:rsid w:val="00353766"/>
    <w:rsid w:val="003537FD"/>
    <w:rsid w:val="00353974"/>
    <w:rsid w:val="003539B2"/>
    <w:rsid w:val="003539BA"/>
    <w:rsid w:val="00353AAD"/>
    <w:rsid w:val="00353ADA"/>
    <w:rsid w:val="00353B27"/>
    <w:rsid w:val="00353C23"/>
    <w:rsid w:val="003540F3"/>
    <w:rsid w:val="003541C8"/>
    <w:rsid w:val="003543C0"/>
    <w:rsid w:val="00354410"/>
    <w:rsid w:val="00354534"/>
    <w:rsid w:val="00354564"/>
    <w:rsid w:val="00354704"/>
    <w:rsid w:val="003547E5"/>
    <w:rsid w:val="00354809"/>
    <w:rsid w:val="00354837"/>
    <w:rsid w:val="00354839"/>
    <w:rsid w:val="0035483C"/>
    <w:rsid w:val="0035487A"/>
    <w:rsid w:val="003548A6"/>
    <w:rsid w:val="003548BB"/>
    <w:rsid w:val="00354942"/>
    <w:rsid w:val="0035497E"/>
    <w:rsid w:val="00354A68"/>
    <w:rsid w:val="00354A86"/>
    <w:rsid w:val="00354A8A"/>
    <w:rsid w:val="00354AB6"/>
    <w:rsid w:val="00354AC6"/>
    <w:rsid w:val="00354AE0"/>
    <w:rsid w:val="00354BCE"/>
    <w:rsid w:val="00354C97"/>
    <w:rsid w:val="00354CBB"/>
    <w:rsid w:val="00354CF1"/>
    <w:rsid w:val="00354D55"/>
    <w:rsid w:val="00354E6B"/>
    <w:rsid w:val="00354F13"/>
    <w:rsid w:val="00355071"/>
    <w:rsid w:val="003550CB"/>
    <w:rsid w:val="00355114"/>
    <w:rsid w:val="0035516C"/>
    <w:rsid w:val="00355192"/>
    <w:rsid w:val="003551CB"/>
    <w:rsid w:val="00355218"/>
    <w:rsid w:val="003552C5"/>
    <w:rsid w:val="00355431"/>
    <w:rsid w:val="00355496"/>
    <w:rsid w:val="003554AD"/>
    <w:rsid w:val="003554DE"/>
    <w:rsid w:val="0035551F"/>
    <w:rsid w:val="003555E0"/>
    <w:rsid w:val="003555F9"/>
    <w:rsid w:val="00355624"/>
    <w:rsid w:val="003557FF"/>
    <w:rsid w:val="00355886"/>
    <w:rsid w:val="003558C8"/>
    <w:rsid w:val="00355900"/>
    <w:rsid w:val="00355999"/>
    <w:rsid w:val="00355B3A"/>
    <w:rsid w:val="00355B3F"/>
    <w:rsid w:val="00355B47"/>
    <w:rsid w:val="00355B52"/>
    <w:rsid w:val="00355C74"/>
    <w:rsid w:val="00355CE4"/>
    <w:rsid w:val="00355D65"/>
    <w:rsid w:val="00355DF1"/>
    <w:rsid w:val="00355EC5"/>
    <w:rsid w:val="00355ED0"/>
    <w:rsid w:val="00355F5D"/>
    <w:rsid w:val="00355FC3"/>
    <w:rsid w:val="00355FE6"/>
    <w:rsid w:val="00356014"/>
    <w:rsid w:val="0035603F"/>
    <w:rsid w:val="00356149"/>
    <w:rsid w:val="0035618C"/>
    <w:rsid w:val="003561EE"/>
    <w:rsid w:val="0035622A"/>
    <w:rsid w:val="0035624D"/>
    <w:rsid w:val="00356252"/>
    <w:rsid w:val="003562E7"/>
    <w:rsid w:val="00356348"/>
    <w:rsid w:val="003563A9"/>
    <w:rsid w:val="00356400"/>
    <w:rsid w:val="0035644E"/>
    <w:rsid w:val="00356576"/>
    <w:rsid w:val="003565A2"/>
    <w:rsid w:val="003565A9"/>
    <w:rsid w:val="0035669C"/>
    <w:rsid w:val="0035669D"/>
    <w:rsid w:val="00356705"/>
    <w:rsid w:val="0035673E"/>
    <w:rsid w:val="00356769"/>
    <w:rsid w:val="003567C8"/>
    <w:rsid w:val="003567EF"/>
    <w:rsid w:val="003567FB"/>
    <w:rsid w:val="00356814"/>
    <w:rsid w:val="0035683A"/>
    <w:rsid w:val="0035686F"/>
    <w:rsid w:val="0035692D"/>
    <w:rsid w:val="0035698B"/>
    <w:rsid w:val="00356C5A"/>
    <w:rsid w:val="00356C6F"/>
    <w:rsid w:val="00356CBF"/>
    <w:rsid w:val="00356E4A"/>
    <w:rsid w:val="00356E69"/>
    <w:rsid w:val="00356E86"/>
    <w:rsid w:val="00356EB6"/>
    <w:rsid w:val="00356F03"/>
    <w:rsid w:val="00356F78"/>
    <w:rsid w:val="00356FFF"/>
    <w:rsid w:val="0035706F"/>
    <w:rsid w:val="003570C2"/>
    <w:rsid w:val="003570C9"/>
    <w:rsid w:val="003570F1"/>
    <w:rsid w:val="0035712A"/>
    <w:rsid w:val="00357222"/>
    <w:rsid w:val="0035728E"/>
    <w:rsid w:val="00357317"/>
    <w:rsid w:val="00357349"/>
    <w:rsid w:val="00357403"/>
    <w:rsid w:val="0035743E"/>
    <w:rsid w:val="00357448"/>
    <w:rsid w:val="0035751C"/>
    <w:rsid w:val="00357646"/>
    <w:rsid w:val="003576A0"/>
    <w:rsid w:val="003576DF"/>
    <w:rsid w:val="003577B9"/>
    <w:rsid w:val="003577EB"/>
    <w:rsid w:val="00357883"/>
    <w:rsid w:val="003579E1"/>
    <w:rsid w:val="003579E7"/>
    <w:rsid w:val="003579EC"/>
    <w:rsid w:val="00357A56"/>
    <w:rsid w:val="00357AA8"/>
    <w:rsid w:val="00357BD5"/>
    <w:rsid w:val="00357BE7"/>
    <w:rsid w:val="00357C00"/>
    <w:rsid w:val="00357C07"/>
    <w:rsid w:val="00357C28"/>
    <w:rsid w:val="00357C8A"/>
    <w:rsid w:val="00357DFF"/>
    <w:rsid w:val="00357E16"/>
    <w:rsid w:val="00357F91"/>
    <w:rsid w:val="00360027"/>
    <w:rsid w:val="0036002D"/>
    <w:rsid w:val="003600E4"/>
    <w:rsid w:val="003601DC"/>
    <w:rsid w:val="003602A4"/>
    <w:rsid w:val="003602DD"/>
    <w:rsid w:val="00360421"/>
    <w:rsid w:val="003604A7"/>
    <w:rsid w:val="0036053D"/>
    <w:rsid w:val="003605DA"/>
    <w:rsid w:val="003605E4"/>
    <w:rsid w:val="003606E3"/>
    <w:rsid w:val="00360741"/>
    <w:rsid w:val="003607BA"/>
    <w:rsid w:val="00360930"/>
    <w:rsid w:val="00360A70"/>
    <w:rsid w:val="00360A77"/>
    <w:rsid w:val="00360A84"/>
    <w:rsid w:val="00360B50"/>
    <w:rsid w:val="00360B95"/>
    <w:rsid w:val="00360DC9"/>
    <w:rsid w:val="00360E7E"/>
    <w:rsid w:val="00360EBE"/>
    <w:rsid w:val="00360F07"/>
    <w:rsid w:val="00360F43"/>
    <w:rsid w:val="00360F7A"/>
    <w:rsid w:val="00361008"/>
    <w:rsid w:val="0036108E"/>
    <w:rsid w:val="003610F6"/>
    <w:rsid w:val="00361105"/>
    <w:rsid w:val="00361122"/>
    <w:rsid w:val="003611D1"/>
    <w:rsid w:val="003611FD"/>
    <w:rsid w:val="0036126D"/>
    <w:rsid w:val="0036133F"/>
    <w:rsid w:val="003613D6"/>
    <w:rsid w:val="00361416"/>
    <w:rsid w:val="00361519"/>
    <w:rsid w:val="00361543"/>
    <w:rsid w:val="00361569"/>
    <w:rsid w:val="003615A7"/>
    <w:rsid w:val="00361675"/>
    <w:rsid w:val="003616AA"/>
    <w:rsid w:val="003616F8"/>
    <w:rsid w:val="0036172B"/>
    <w:rsid w:val="0036179C"/>
    <w:rsid w:val="0036182A"/>
    <w:rsid w:val="0036189A"/>
    <w:rsid w:val="003618AA"/>
    <w:rsid w:val="00361947"/>
    <w:rsid w:val="00361956"/>
    <w:rsid w:val="00361CC2"/>
    <w:rsid w:val="00361D71"/>
    <w:rsid w:val="00361EFB"/>
    <w:rsid w:val="00361F03"/>
    <w:rsid w:val="00361F2E"/>
    <w:rsid w:val="00361F42"/>
    <w:rsid w:val="00361F57"/>
    <w:rsid w:val="00362073"/>
    <w:rsid w:val="00362196"/>
    <w:rsid w:val="003622AA"/>
    <w:rsid w:val="0036234F"/>
    <w:rsid w:val="00362362"/>
    <w:rsid w:val="0036237F"/>
    <w:rsid w:val="003623DE"/>
    <w:rsid w:val="003624BE"/>
    <w:rsid w:val="00362590"/>
    <w:rsid w:val="003625F3"/>
    <w:rsid w:val="003626B1"/>
    <w:rsid w:val="003626CA"/>
    <w:rsid w:val="003626E7"/>
    <w:rsid w:val="003626FE"/>
    <w:rsid w:val="0036281A"/>
    <w:rsid w:val="003628A9"/>
    <w:rsid w:val="003629CF"/>
    <w:rsid w:val="00362A50"/>
    <w:rsid w:val="00362AA7"/>
    <w:rsid w:val="00362AD7"/>
    <w:rsid w:val="00362BA4"/>
    <w:rsid w:val="00362C8B"/>
    <w:rsid w:val="00362CE8"/>
    <w:rsid w:val="00362D78"/>
    <w:rsid w:val="00362DDB"/>
    <w:rsid w:val="00362E24"/>
    <w:rsid w:val="00362EA8"/>
    <w:rsid w:val="00362FF0"/>
    <w:rsid w:val="00363047"/>
    <w:rsid w:val="00363063"/>
    <w:rsid w:val="00363081"/>
    <w:rsid w:val="003630F6"/>
    <w:rsid w:val="003632C0"/>
    <w:rsid w:val="00363362"/>
    <w:rsid w:val="0036346E"/>
    <w:rsid w:val="003634CB"/>
    <w:rsid w:val="00363509"/>
    <w:rsid w:val="003635B1"/>
    <w:rsid w:val="00363631"/>
    <w:rsid w:val="00363636"/>
    <w:rsid w:val="00363675"/>
    <w:rsid w:val="0036367C"/>
    <w:rsid w:val="0036376C"/>
    <w:rsid w:val="003638B2"/>
    <w:rsid w:val="00363925"/>
    <w:rsid w:val="00363999"/>
    <w:rsid w:val="00363A04"/>
    <w:rsid w:val="00363B09"/>
    <w:rsid w:val="00363B1A"/>
    <w:rsid w:val="00363B1F"/>
    <w:rsid w:val="00363BA5"/>
    <w:rsid w:val="00363BED"/>
    <w:rsid w:val="00363D62"/>
    <w:rsid w:val="00363DAF"/>
    <w:rsid w:val="00363DEC"/>
    <w:rsid w:val="00363DF9"/>
    <w:rsid w:val="00363ECD"/>
    <w:rsid w:val="00363EFF"/>
    <w:rsid w:val="00363F23"/>
    <w:rsid w:val="00363F48"/>
    <w:rsid w:val="003640EC"/>
    <w:rsid w:val="0036418E"/>
    <w:rsid w:val="00364246"/>
    <w:rsid w:val="0036424C"/>
    <w:rsid w:val="00364266"/>
    <w:rsid w:val="003643A0"/>
    <w:rsid w:val="0036444B"/>
    <w:rsid w:val="00364481"/>
    <w:rsid w:val="003644AD"/>
    <w:rsid w:val="00364519"/>
    <w:rsid w:val="0036457A"/>
    <w:rsid w:val="0036457F"/>
    <w:rsid w:val="003645C0"/>
    <w:rsid w:val="00364709"/>
    <w:rsid w:val="00364733"/>
    <w:rsid w:val="00364808"/>
    <w:rsid w:val="003648C4"/>
    <w:rsid w:val="003648F8"/>
    <w:rsid w:val="0036495F"/>
    <w:rsid w:val="00364978"/>
    <w:rsid w:val="00364A3B"/>
    <w:rsid w:val="00364A68"/>
    <w:rsid w:val="00364ADF"/>
    <w:rsid w:val="00364AEF"/>
    <w:rsid w:val="00364BE5"/>
    <w:rsid w:val="00364CB6"/>
    <w:rsid w:val="00364CC9"/>
    <w:rsid w:val="00364D3D"/>
    <w:rsid w:val="00364D5A"/>
    <w:rsid w:val="00364D5F"/>
    <w:rsid w:val="00364E84"/>
    <w:rsid w:val="00364FEA"/>
    <w:rsid w:val="0036503C"/>
    <w:rsid w:val="0036516A"/>
    <w:rsid w:val="0036526E"/>
    <w:rsid w:val="00365386"/>
    <w:rsid w:val="003653A0"/>
    <w:rsid w:val="00365435"/>
    <w:rsid w:val="003654C4"/>
    <w:rsid w:val="0036551C"/>
    <w:rsid w:val="003656C6"/>
    <w:rsid w:val="0036571E"/>
    <w:rsid w:val="00365749"/>
    <w:rsid w:val="00365750"/>
    <w:rsid w:val="003657A2"/>
    <w:rsid w:val="003657D8"/>
    <w:rsid w:val="0036584B"/>
    <w:rsid w:val="00365867"/>
    <w:rsid w:val="003658DC"/>
    <w:rsid w:val="0036591F"/>
    <w:rsid w:val="00365A4A"/>
    <w:rsid w:val="00365A4F"/>
    <w:rsid w:val="00365A74"/>
    <w:rsid w:val="00365AFF"/>
    <w:rsid w:val="00365B22"/>
    <w:rsid w:val="00365BE1"/>
    <w:rsid w:val="00365BE6"/>
    <w:rsid w:val="00365C4E"/>
    <w:rsid w:val="00365C7C"/>
    <w:rsid w:val="00365CBD"/>
    <w:rsid w:val="00365CFF"/>
    <w:rsid w:val="00365D2C"/>
    <w:rsid w:val="00365D3D"/>
    <w:rsid w:val="00365E36"/>
    <w:rsid w:val="00365EB4"/>
    <w:rsid w:val="00365EC5"/>
    <w:rsid w:val="00365FFF"/>
    <w:rsid w:val="0036601B"/>
    <w:rsid w:val="0036604C"/>
    <w:rsid w:val="003660FE"/>
    <w:rsid w:val="00366141"/>
    <w:rsid w:val="003661F8"/>
    <w:rsid w:val="0036628F"/>
    <w:rsid w:val="00366355"/>
    <w:rsid w:val="00366385"/>
    <w:rsid w:val="003663A7"/>
    <w:rsid w:val="003663CE"/>
    <w:rsid w:val="003663E2"/>
    <w:rsid w:val="00366418"/>
    <w:rsid w:val="003664CE"/>
    <w:rsid w:val="003665D1"/>
    <w:rsid w:val="003665F5"/>
    <w:rsid w:val="00366680"/>
    <w:rsid w:val="003666E0"/>
    <w:rsid w:val="00366797"/>
    <w:rsid w:val="003667C3"/>
    <w:rsid w:val="003667D4"/>
    <w:rsid w:val="0036689E"/>
    <w:rsid w:val="003668A4"/>
    <w:rsid w:val="0036692D"/>
    <w:rsid w:val="00366B2B"/>
    <w:rsid w:val="00366C0C"/>
    <w:rsid w:val="00366CAE"/>
    <w:rsid w:val="00366CC2"/>
    <w:rsid w:val="00366CDE"/>
    <w:rsid w:val="00366CF6"/>
    <w:rsid w:val="00366D5D"/>
    <w:rsid w:val="00366EE8"/>
    <w:rsid w:val="00366F2A"/>
    <w:rsid w:val="00366FFB"/>
    <w:rsid w:val="0036711A"/>
    <w:rsid w:val="00367144"/>
    <w:rsid w:val="0036717C"/>
    <w:rsid w:val="003671C6"/>
    <w:rsid w:val="003672A2"/>
    <w:rsid w:val="003672B4"/>
    <w:rsid w:val="00367377"/>
    <w:rsid w:val="003673B3"/>
    <w:rsid w:val="003673FA"/>
    <w:rsid w:val="00367403"/>
    <w:rsid w:val="0036745C"/>
    <w:rsid w:val="003674EE"/>
    <w:rsid w:val="0036772D"/>
    <w:rsid w:val="00367776"/>
    <w:rsid w:val="00367786"/>
    <w:rsid w:val="003677F0"/>
    <w:rsid w:val="003677F3"/>
    <w:rsid w:val="0036783D"/>
    <w:rsid w:val="00367A19"/>
    <w:rsid w:val="00367A33"/>
    <w:rsid w:val="00367B1D"/>
    <w:rsid w:val="00367B80"/>
    <w:rsid w:val="00367B95"/>
    <w:rsid w:val="00367C0A"/>
    <w:rsid w:val="00367D0D"/>
    <w:rsid w:val="00367D2D"/>
    <w:rsid w:val="00367D3D"/>
    <w:rsid w:val="00367E39"/>
    <w:rsid w:val="00367E3D"/>
    <w:rsid w:val="00367E73"/>
    <w:rsid w:val="00367EB2"/>
    <w:rsid w:val="00367EEF"/>
    <w:rsid w:val="00367EFD"/>
    <w:rsid w:val="00367F5E"/>
    <w:rsid w:val="00367F62"/>
    <w:rsid w:val="00370115"/>
    <w:rsid w:val="003701AD"/>
    <w:rsid w:val="0037025C"/>
    <w:rsid w:val="003702FA"/>
    <w:rsid w:val="00370442"/>
    <w:rsid w:val="00370491"/>
    <w:rsid w:val="0037052F"/>
    <w:rsid w:val="003705EC"/>
    <w:rsid w:val="00370632"/>
    <w:rsid w:val="0037075D"/>
    <w:rsid w:val="003707A2"/>
    <w:rsid w:val="003707FD"/>
    <w:rsid w:val="0037088E"/>
    <w:rsid w:val="00370966"/>
    <w:rsid w:val="00370972"/>
    <w:rsid w:val="003709A4"/>
    <w:rsid w:val="003709AB"/>
    <w:rsid w:val="00370A7A"/>
    <w:rsid w:val="00370AD9"/>
    <w:rsid w:val="00370AE2"/>
    <w:rsid w:val="00370B46"/>
    <w:rsid w:val="00370B70"/>
    <w:rsid w:val="00370BDE"/>
    <w:rsid w:val="00370CD3"/>
    <w:rsid w:val="00370CDF"/>
    <w:rsid w:val="00370CEE"/>
    <w:rsid w:val="00370D8F"/>
    <w:rsid w:val="00370E28"/>
    <w:rsid w:val="00370ED5"/>
    <w:rsid w:val="00370F01"/>
    <w:rsid w:val="00370F15"/>
    <w:rsid w:val="00370F74"/>
    <w:rsid w:val="00370FAE"/>
    <w:rsid w:val="00370FEF"/>
    <w:rsid w:val="0037100E"/>
    <w:rsid w:val="00371022"/>
    <w:rsid w:val="0037108E"/>
    <w:rsid w:val="00371164"/>
    <w:rsid w:val="003711ED"/>
    <w:rsid w:val="00371252"/>
    <w:rsid w:val="0037133A"/>
    <w:rsid w:val="0037135A"/>
    <w:rsid w:val="0037139B"/>
    <w:rsid w:val="003715A0"/>
    <w:rsid w:val="003715B5"/>
    <w:rsid w:val="003715C9"/>
    <w:rsid w:val="00371667"/>
    <w:rsid w:val="00371709"/>
    <w:rsid w:val="00371734"/>
    <w:rsid w:val="00371753"/>
    <w:rsid w:val="0037179A"/>
    <w:rsid w:val="0037187D"/>
    <w:rsid w:val="003718AD"/>
    <w:rsid w:val="00371979"/>
    <w:rsid w:val="00371A7A"/>
    <w:rsid w:val="00371A89"/>
    <w:rsid w:val="00371AAD"/>
    <w:rsid w:val="00371C6B"/>
    <w:rsid w:val="00371C6C"/>
    <w:rsid w:val="00371CBB"/>
    <w:rsid w:val="00371D22"/>
    <w:rsid w:val="00371D27"/>
    <w:rsid w:val="00371D3B"/>
    <w:rsid w:val="00371D62"/>
    <w:rsid w:val="00371D8C"/>
    <w:rsid w:val="00371DA9"/>
    <w:rsid w:val="00371DC8"/>
    <w:rsid w:val="00371DD3"/>
    <w:rsid w:val="00371E2A"/>
    <w:rsid w:val="00371EA7"/>
    <w:rsid w:val="00371EED"/>
    <w:rsid w:val="00371EEE"/>
    <w:rsid w:val="00371F14"/>
    <w:rsid w:val="00371F57"/>
    <w:rsid w:val="0037208A"/>
    <w:rsid w:val="003722C8"/>
    <w:rsid w:val="00372360"/>
    <w:rsid w:val="00372381"/>
    <w:rsid w:val="003723AB"/>
    <w:rsid w:val="003723DC"/>
    <w:rsid w:val="003723F4"/>
    <w:rsid w:val="003723FB"/>
    <w:rsid w:val="00372498"/>
    <w:rsid w:val="003724A7"/>
    <w:rsid w:val="00372616"/>
    <w:rsid w:val="0037263A"/>
    <w:rsid w:val="003726A0"/>
    <w:rsid w:val="00372739"/>
    <w:rsid w:val="00372741"/>
    <w:rsid w:val="003727D0"/>
    <w:rsid w:val="00372802"/>
    <w:rsid w:val="00372983"/>
    <w:rsid w:val="003729C1"/>
    <w:rsid w:val="003729CA"/>
    <w:rsid w:val="003729D4"/>
    <w:rsid w:val="003729D8"/>
    <w:rsid w:val="003729E3"/>
    <w:rsid w:val="003729F1"/>
    <w:rsid w:val="003729FB"/>
    <w:rsid w:val="00372A30"/>
    <w:rsid w:val="00372A40"/>
    <w:rsid w:val="00372A4D"/>
    <w:rsid w:val="00372B68"/>
    <w:rsid w:val="00372B84"/>
    <w:rsid w:val="00372BC5"/>
    <w:rsid w:val="00372C52"/>
    <w:rsid w:val="00372C83"/>
    <w:rsid w:val="00372CCB"/>
    <w:rsid w:val="00372D0F"/>
    <w:rsid w:val="00372D35"/>
    <w:rsid w:val="00372D3C"/>
    <w:rsid w:val="00372E62"/>
    <w:rsid w:val="00372F62"/>
    <w:rsid w:val="00372F66"/>
    <w:rsid w:val="00372FB6"/>
    <w:rsid w:val="0037300B"/>
    <w:rsid w:val="00373050"/>
    <w:rsid w:val="003730F5"/>
    <w:rsid w:val="00373174"/>
    <w:rsid w:val="003731BD"/>
    <w:rsid w:val="003731F5"/>
    <w:rsid w:val="003732A2"/>
    <w:rsid w:val="0037331C"/>
    <w:rsid w:val="0037346A"/>
    <w:rsid w:val="0037356E"/>
    <w:rsid w:val="003735B7"/>
    <w:rsid w:val="00373625"/>
    <w:rsid w:val="00373661"/>
    <w:rsid w:val="00373685"/>
    <w:rsid w:val="003736B3"/>
    <w:rsid w:val="003736DF"/>
    <w:rsid w:val="003737CC"/>
    <w:rsid w:val="0037390E"/>
    <w:rsid w:val="00373A0D"/>
    <w:rsid w:val="00373A23"/>
    <w:rsid w:val="00373A33"/>
    <w:rsid w:val="00373C4C"/>
    <w:rsid w:val="00373C9D"/>
    <w:rsid w:val="00373CC2"/>
    <w:rsid w:val="00373D2C"/>
    <w:rsid w:val="00373D83"/>
    <w:rsid w:val="00373DF5"/>
    <w:rsid w:val="00373E38"/>
    <w:rsid w:val="00373E6A"/>
    <w:rsid w:val="00373F1E"/>
    <w:rsid w:val="00374007"/>
    <w:rsid w:val="00374062"/>
    <w:rsid w:val="0037416A"/>
    <w:rsid w:val="003741AD"/>
    <w:rsid w:val="00374250"/>
    <w:rsid w:val="0037426F"/>
    <w:rsid w:val="003742AC"/>
    <w:rsid w:val="0037444E"/>
    <w:rsid w:val="003744C2"/>
    <w:rsid w:val="003744D2"/>
    <w:rsid w:val="0037468C"/>
    <w:rsid w:val="003746A3"/>
    <w:rsid w:val="003746A8"/>
    <w:rsid w:val="003746F6"/>
    <w:rsid w:val="00374791"/>
    <w:rsid w:val="003747C1"/>
    <w:rsid w:val="003747C8"/>
    <w:rsid w:val="00374805"/>
    <w:rsid w:val="0037489E"/>
    <w:rsid w:val="00374987"/>
    <w:rsid w:val="003749DD"/>
    <w:rsid w:val="00374A43"/>
    <w:rsid w:val="00374A98"/>
    <w:rsid w:val="00374B94"/>
    <w:rsid w:val="00374CF7"/>
    <w:rsid w:val="00374D25"/>
    <w:rsid w:val="00374D40"/>
    <w:rsid w:val="00374D6B"/>
    <w:rsid w:val="00374DD1"/>
    <w:rsid w:val="00374E2A"/>
    <w:rsid w:val="00374E66"/>
    <w:rsid w:val="00374F2B"/>
    <w:rsid w:val="00374F85"/>
    <w:rsid w:val="00374FD3"/>
    <w:rsid w:val="00374FDD"/>
    <w:rsid w:val="0037510D"/>
    <w:rsid w:val="00375191"/>
    <w:rsid w:val="003751BA"/>
    <w:rsid w:val="003751C4"/>
    <w:rsid w:val="00375221"/>
    <w:rsid w:val="003752EB"/>
    <w:rsid w:val="00375322"/>
    <w:rsid w:val="0037534E"/>
    <w:rsid w:val="003753E6"/>
    <w:rsid w:val="00375414"/>
    <w:rsid w:val="003754ED"/>
    <w:rsid w:val="00375557"/>
    <w:rsid w:val="00375565"/>
    <w:rsid w:val="00375578"/>
    <w:rsid w:val="00375781"/>
    <w:rsid w:val="003758D3"/>
    <w:rsid w:val="003759B9"/>
    <w:rsid w:val="00375A11"/>
    <w:rsid w:val="00375A39"/>
    <w:rsid w:val="00375A72"/>
    <w:rsid w:val="00375B47"/>
    <w:rsid w:val="00375B79"/>
    <w:rsid w:val="00375BD1"/>
    <w:rsid w:val="00375D0B"/>
    <w:rsid w:val="00375E03"/>
    <w:rsid w:val="00375E05"/>
    <w:rsid w:val="00375E36"/>
    <w:rsid w:val="00375E64"/>
    <w:rsid w:val="00375E7F"/>
    <w:rsid w:val="00375E88"/>
    <w:rsid w:val="00375E94"/>
    <w:rsid w:val="00375F39"/>
    <w:rsid w:val="00375F50"/>
    <w:rsid w:val="00375FBD"/>
    <w:rsid w:val="00376121"/>
    <w:rsid w:val="00376172"/>
    <w:rsid w:val="003761AE"/>
    <w:rsid w:val="00376228"/>
    <w:rsid w:val="0037626E"/>
    <w:rsid w:val="0037629A"/>
    <w:rsid w:val="003762C7"/>
    <w:rsid w:val="003762D4"/>
    <w:rsid w:val="00376312"/>
    <w:rsid w:val="00376399"/>
    <w:rsid w:val="003763D6"/>
    <w:rsid w:val="003763DA"/>
    <w:rsid w:val="003763EA"/>
    <w:rsid w:val="00376429"/>
    <w:rsid w:val="00376500"/>
    <w:rsid w:val="0037655F"/>
    <w:rsid w:val="003765B6"/>
    <w:rsid w:val="003765BE"/>
    <w:rsid w:val="0037661D"/>
    <w:rsid w:val="00376756"/>
    <w:rsid w:val="00376791"/>
    <w:rsid w:val="003767AC"/>
    <w:rsid w:val="00376906"/>
    <w:rsid w:val="0037697F"/>
    <w:rsid w:val="003769DD"/>
    <w:rsid w:val="00376A2D"/>
    <w:rsid w:val="00376A57"/>
    <w:rsid w:val="00376B3C"/>
    <w:rsid w:val="00376B67"/>
    <w:rsid w:val="00376C42"/>
    <w:rsid w:val="00376C77"/>
    <w:rsid w:val="00376D45"/>
    <w:rsid w:val="00376E3C"/>
    <w:rsid w:val="00376F0B"/>
    <w:rsid w:val="003770A1"/>
    <w:rsid w:val="003771AD"/>
    <w:rsid w:val="003771B8"/>
    <w:rsid w:val="003771C2"/>
    <w:rsid w:val="003772CC"/>
    <w:rsid w:val="0037732B"/>
    <w:rsid w:val="0037741E"/>
    <w:rsid w:val="00377461"/>
    <w:rsid w:val="00377493"/>
    <w:rsid w:val="003774FB"/>
    <w:rsid w:val="00377535"/>
    <w:rsid w:val="003775A2"/>
    <w:rsid w:val="00377620"/>
    <w:rsid w:val="0037768E"/>
    <w:rsid w:val="003776A4"/>
    <w:rsid w:val="0037777E"/>
    <w:rsid w:val="00377796"/>
    <w:rsid w:val="0037792C"/>
    <w:rsid w:val="003779AE"/>
    <w:rsid w:val="00377A11"/>
    <w:rsid w:val="00377A14"/>
    <w:rsid w:val="00377AE3"/>
    <w:rsid w:val="00377B13"/>
    <w:rsid w:val="00377B58"/>
    <w:rsid w:val="00377B66"/>
    <w:rsid w:val="00377B83"/>
    <w:rsid w:val="00377BB8"/>
    <w:rsid w:val="00377C46"/>
    <w:rsid w:val="00377CAB"/>
    <w:rsid w:val="00377CB4"/>
    <w:rsid w:val="00377CEA"/>
    <w:rsid w:val="00377D2F"/>
    <w:rsid w:val="00377D31"/>
    <w:rsid w:val="00377D80"/>
    <w:rsid w:val="00377D92"/>
    <w:rsid w:val="00377DFA"/>
    <w:rsid w:val="00377E0F"/>
    <w:rsid w:val="00377E1C"/>
    <w:rsid w:val="00377E9B"/>
    <w:rsid w:val="00377EBD"/>
    <w:rsid w:val="00377FF5"/>
    <w:rsid w:val="00380022"/>
    <w:rsid w:val="003800F6"/>
    <w:rsid w:val="00380182"/>
    <w:rsid w:val="0038019F"/>
    <w:rsid w:val="0038021A"/>
    <w:rsid w:val="00380223"/>
    <w:rsid w:val="00380225"/>
    <w:rsid w:val="003802E2"/>
    <w:rsid w:val="00380305"/>
    <w:rsid w:val="003803B5"/>
    <w:rsid w:val="003803D0"/>
    <w:rsid w:val="003803DD"/>
    <w:rsid w:val="003803F4"/>
    <w:rsid w:val="00380420"/>
    <w:rsid w:val="0038044B"/>
    <w:rsid w:val="003804EB"/>
    <w:rsid w:val="0038053E"/>
    <w:rsid w:val="00380558"/>
    <w:rsid w:val="0038055E"/>
    <w:rsid w:val="003805CC"/>
    <w:rsid w:val="00380609"/>
    <w:rsid w:val="00380653"/>
    <w:rsid w:val="00380673"/>
    <w:rsid w:val="00380760"/>
    <w:rsid w:val="003807A4"/>
    <w:rsid w:val="0038081D"/>
    <w:rsid w:val="0038082D"/>
    <w:rsid w:val="0038093A"/>
    <w:rsid w:val="00380A71"/>
    <w:rsid w:val="00380A88"/>
    <w:rsid w:val="00380B22"/>
    <w:rsid w:val="00380D9D"/>
    <w:rsid w:val="00380E27"/>
    <w:rsid w:val="00380E9F"/>
    <w:rsid w:val="00380EB0"/>
    <w:rsid w:val="00380F14"/>
    <w:rsid w:val="00380F18"/>
    <w:rsid w:val="00380F53"/>
    <w:rsid w:val="00380F90"/>
    <w:rsid w:val="00381028"/>
    <w:rsid w:val="00381042"/>
    <w:rsid w:val="00381126"/>
    <w:rsid w:val="00381193"/>
    <w:rsid w:val="003811B2"/>
    <w:rsid w:val="003812A8"/>
    <w:rsid w:val="003812C6"/>
    <w:rsid w:val="00381365"/>
    <w:rsid w:val="00381427"/>
    <w:rsid w:val="0038144E"/>
    <w:rsid w:val="00381469"/>
    <w:rsid w:val="003814A4"/>
    <w:rsid w:val="00381520"/>
    <w:rsid w:val="00381594"/>
    <w:rsid w:val="003815A2"/>
    <w:rsid w:val="0038167C"/>
    <w:rsid w:val="00381689"/>
    <w:rsid w:val="00381703"/>
    <w:rsid w:val="00381758"/>
    <w:rsid w:val="0038183E"/>
    <w:rsid w:val="00381857"/>
    <w:rsid w:val="0038194C"/>
    <w:rsid w:val="00381959"/>
    <w:rsid w:val="00381996"/>
    <w:rsid w:val="003819EE"/>
    <w:rsid w:val="00381A11"/>
    <w:rsid w:val="00381AE3"/>
    <w:rsid w:val="00381BCD"/>
    <w:rsid w:val="00381BD1"/>
    <w:rsid w:val="00381C3B"/>
    <w:rsid w:val="00381C56"/>
    <w:rsid w:val="00381CB1"/>
    <w:rsid w:val="00381DDC"/>
    <w:rsid w:val="00382066"/>
    <w:rsid w:val="00382071"/>
    <w:rsid w:val="0038211B"/>
    <w:rsid w:val="003821B5"/>
    <w:rsid w:val="003821C1"/>
    <w:rsid w:val="003822B5"/>
    <w:rsid w:val="003822CD"/>
    <w:rsid w:val="003822D9"/>
    <w:rsid w:val="00382331"/>
    <w:rsid w:val="00382383"/>
    <w:rsid w:val="003823AE"/>
    <w:rsid w:val="00382402"/>
    <w:rsid w:val="003824BA"/>
    <w:rsid w:val="003824D4"/>
    <w:rsid w:val="003824F3"/>
    <w:rsid w:val="00382504"/>
    <w:rsid w:val="00382608"/>
    <w:rsid w:val="003826CC"/>
    <w:rsid w:val="00382766"/>
    <w:rsid w:val="00382784"/>
    <w:rsid w:val="003827A2"/>
    <w:rsid w:val="003827CA"/>
    <w:rsid w:val="003827D6"/>
    <w:rsid w:val="00382804"/>
    <w:rsid w:val="0038287A"/>
    <w:rsid w:val="00382881"/>
    <w:rsid w:val="003828A7"/>
    <w:rsid w:val="00382923"/>
    <w:rsid w:val="00382935"/>
    <w:rsid w:val="00382A6B"/>
    <w:rsid w:val="00382B75"/>
    <w:rsid w:val="00382C20"/>
    <w:rsid w:val="00382CD3"/>
    <w:rsid w:val="00382D10"/>
    <w:rsid w:val="00382D74"/>
    <w:rsid w:val="00382DAD"/>
    <w:rsid w:val="00382E48"/>
    <w:rsid w:val="00382EBE"/>
    <w:rsid w:val="003830F2"/>
    <w:rsid w:val="0038311D"/>
    <w:rsid w:val="00383165"/>
    <w:rsid w:val="003831DD"/>
    <w:rsid w:val="00383245"/>
    <w:rsid w:val="0038327E"/>
    <w:rsid w:val="00383297"/>
    <w:rsid w:val="003832AF"/>
    <w:rsid w:val="00383335"/>
    <w:rsid w:val="003833AD"/>
    <w:rsid w:val="00383421"/>
    <w:rsid w:val="00383601"/>
    <w:rsid w:val="00383611"/>
    <w:rsid w:val="00383661"/>
    <w:rsid w:val="00383665"/>
    <w:rsid w:val="003836A8"/>
    <w:rsid w:val="003836D4"/>
    <w:rsid w:val="00383886"/>
    <w:rsid w:val="003838BB"/>
    <w:rsid w:val="0038398D"/>
    <w:rsid w:val="00383A2B"/>
    <w:rsid w:val="00383A3E"/>
    <w:rsid w:val="00383A72"/>
    <w:rsid w:val="00383C88"/>
    <w:rsid w:val="00383C94"/>
    <w:rsid w:val="00383CD0"/>
    <w:rsid w:val="00383D4B"/>
    <w:rsid w:val="00383E10"/>
    <w:rsid w:val="00383E39"/>
    <w:rsid w:val="00383EE2"/>
    <w:rsid w:val="00383EF0"/>
    <w:rsid w:val="00383FB0"/>
    <w:rsid w:val="00384075"/>
    <w:rsid w:val="003840BA"/>
    <w:rsid w:val="003840E9"/>
    <w:rsid w:val="0038413F"/>
    <w:rsid w:val="0038421A"/>
    <w:rsid w:val="00384290"/>
    <w:rsid w:val="0038429A"/>
    <w:rsid w:val="003842B2"/>
    <w:rsid w:val="00384331"/>
    <w:rsid w:val="003843CB"/>
    <w:rsid w:val="003843EF"/>
    <w:rsid w:val="0038442D"/>
    <w:rsid w:val="003844A5"/>
    <w:rsid w:val="003844CF"/>
    <w:rsid w:val="003844F2"/>
    <w:rsid w:val="003844F8"/>
    <w:rsid w:val="00384659"/>
    <w:rsid w:val="003846FE"/>
    <w:rsid w:val="00384766"/>
    <w:rsid w:val="003847C8"/>
    <w:rsid w:val="003847FE"/>
    <w:rsid w:val="00384973"/>
    <w:rsid w:val="00384985"/>
    <w:rsid w:val="00384A8B"/>
    <w:rsid w:val="00384AAA"/>
    <w:rsid w:val="00384B36"/>
    <w:rsid w:val="00384BEB"/>
    <w:rsid w:val="00384D30"/>
    <w:rsid w:val="00384D5E"/>
    <w:rsid w:val="00384DF2"/>
    <w:rsid w:val="00385088"/>
    <w:rsid w:val="00385128"/>
    <w:rsid w:val="00385194"/>
    <w:rsid w:val="00385238"/>
    <w:rsid w:val="003852CF"/>
    <w:rsid w:val="003852D2"/>
    <w:rsid w:val="00385312"/>
    <w:rsid w:val="003853A2"/>
    <w:rsid w:val="0038541D"/>
    <w:rsid w:val="0038547F"/>
    <w:rsid w:val="003854A0"/>
    <w:rsid w:val="003855D4"/>
    <w:rsid w:val="00385691"/>
    <w:rsid w:val="00385729"/>
    <w:rsid w:val="00385797"/>
    <w:rsid w:val="003857C7"/>
    <w:rsid w:val="0038581F"/>
    <w:rsid w:val="0038584E"/>
    <w:rsid w:val="003859DE"/>
    <w:rsid w:val="00385A68"/>
    <w:rsid w:val="00385BAE"/>
    <w:rsid w:val="00385BD7"/>
    <w:rsid w:val="00385CA6"/>
    <w:rsid w:val="00385CF1"/>
    <w:rsid w:val="00385D66"/>
    <w:rsid w:val="00385DE1"/>
    <w:rsid w:val="00385EDA"/>
    <w:rsid w:val="00385F3D"/>
    <w:rsid w:val="00386006"/>
    <w:rsid w:val="0038600D"/>
    <w:rsid w:val="0038601D"/>
    <w:rsid w:val="0038609E"/>
    <w:rsid w:val="003860F7"/>
    <w:rsid w:val="00386186"/>
    <w:rsid w:val="003861CD"/>
    <w:rsid w:val="00386264"/>
    <w:rsid w:val="00386270"/>
    <w:rsid w:val="003862F6"/>
    <w:rsid w:val="003863A3"/>
    <w:rsid w:val="00386408"/>
    <w:rsid w:val="00386488"/>
    <w:rsid w:val="00386545"/>
    <w:rsid w:val="0038654F"/>
    <w:rsid w:val="003865BC"/>
    <w:rsid w:val="0038666D"/>
    <w:rsid w:val="00386743"/>
    <w:rsid w:val="00386760"/>
    <w:rsid w:val="003867C6"/>
    <w:rsid w:val="003867CF"/>
    <w:rsid w:val="0038680E"/>
    <w:rsid w:val="0038686D"/>
    <w:rsid w:val="00386880"/>
    <w:rsid w:val="00386948"/>
    <w:rsid w:val="00386978"/>
    <w:rsid w:val="003869F3"/>
    <w:rsid w:val="00386B4C"/>
    <w:rsid w:val="00386C12"/>
    <w:rsid w:val="00386C5B"/>
    <w:rsid w:val="00386C66"/>
    <w:rsid w:val="00386C92"/>
    <w:rsid w:val="00386D28"/>
    <w:rsid w:val="00387056"/>
    <w:rsid w:val="003870C2"/>
    <w:rsid w:val="003870CB"/>
    <w:rsid w:val="00387156"/>
    <w:rsid w:val="0038720C"/>
    <w:rsid w:val="00387248"/>
    <w:rsid w:val="00387302"/>
    <w:rsid w:val="003873D3"/>
    <w:rsid w:val="003874E3"/>
    <w:rsid w:val="00387556"/>
    <w:rsid w:val="003875A3"/>
    <w:rsid w:val="003875A5"/>
    <w:rsid w:val="003875DF"/>
    <w:rsid w:val="003876B8"/>
    <w:rsid w:val="003876FE"/>
    <w:rsid w:val="00387A34"/>
    <w:rsid w:val="00387A7A"/>
    <w:rsid w:val="00387A8C"/>
    <w:rsid w:val="00387B09"/>
    <w:rsid w:val="00387BBE"/>
    <w:rsid w:val="00387C6D"/>
    <w:rsid w:val="00387CD6"/>
    <w:rsid w:val="00387CE7"/>
    <w:rsid w:val="00387D38"/>
    <w:rsid w:val="00387DCE"/>
    <w:rsid w:val="00387EAE"/>
    <w:rsid w:val="00390007"/>
    <w:rsid w:val="0039006B"/>
    <w:rsid w:val="003900D3"/>
    <w:rsid w:val="003901B5"/>
    <w:rsid w:val="00390272"/>
    <w:rsid w:val="00390397"/>
    <w:rsid w:val="003903EA"/>
    <w:rsid w:val="003903FC"/>
    <w:rsid w:val="00390419"/>
    <w:rsid w:val="00390467"/>
    <w:rsid w:val="00390520"/>
    <w:rsid w:val="00390526"/>
    <w:rsid w:val="00390555"/>
    <w:rsid w:val="00390586"/>
    <w:rsid w:val="003905ED"/>
    <w:rsid w:val="003905FC"/>
    <w:rsid w:val="003906A4"/>
    <w:rsid w:val="0039074D"/>
    <w:rsid w:val="00390767"/>
    <w:rsid w:val="003907AB"/>
    <w:rsid w:val="00390896"/>
    <w:rsid w:val="003908F0"/>
    <w:rsid w:val="00390948"/>
    <w:rsid w:val="00390A62"/>
    <w:rsid w:val="00390AF2"/>
    <w:rsid w:val="00390B7E"/>
    <w:rsid w:val="00390C03"/>
    <w:rsid w:val="00390D9D"/>
    <w:rsid w:val="00390E90"/>
    <w:rsid w:val="00390E9B"/>
    <w:rsid w:val="00390F63"/>
    <w:rsid w:val="0039100D"/>
    <w:rsid w:val="00391058"/>
    <w:rsid w:val="003910CC"/>
    <w:rsid w:val="00391160"/>
    <w:rsid w:val="003911C8"/>
    <w:rsid w:val="003911F6"/>
    <w:rsid w:val="003912EE"/>
    <w:rsid w:val="00391324"/>
    <w:rsid w:val="00391335"/>
    <w:rsid w:val="00391338"/>
    <w:rsid w:val="00391370"/>
    <w:rsid w:val="003913ED"/>
    <w:rsid w:val="00391459"/>
    <w:rsid w:val="003915E5"/>
    <w:rsid w:val="003915EE"/>
    <w:rsid w:val="003916B8"/>
    <w:rsid w:val="003916FF"/>
    <w:rsid w:val="0039174B"/>
    <w:rsid w:val="003917C4"/>
    <w:rsid w:val="00391882"/>
    <w:rsid w:val="00391884"/>
    <w:rsid w:val="003918B6"/>
    <w:rsid w:val="0039192C"/>
    <w:rsid w:val="00391932"/>
    <w:rsid w:val="00391960"/>
    <w:rsid w:val="00391A57"/>
    <w:rsid w:val="00391A5B"/>
    <w:rsid w:val="00391AD0"/>
    <w:rsid w:val="00391B04"/>
    <w:rsid w:val="00391B2F"/>
    <w:rsid w:val="00391B4A"/>
    <w:rsid w:val="00391B51"/>
    <w:rsid w:val="00391C7C"/>
    <w:rsid w:val="00391CAA"/>
    <w:rsid w:val="00391CC8"/>
    <w:rsid w:val="00391D2B"/>
    <w:rsid w:val="00391D87"/>
    <w:rsid w:val="00391E28"/>
    <w:rsid w:val="00391F7B"/>
    <w:rsid w:val="00391F97"/>
    <w:rsid w:val="00391FCD"/>
    <w:rsid w:val="00391FD4"/>
    <w:rsid w:val="003920D4"/>
    <w:rsid w:val="003920DE"/>
    <w:rsid w:val="00392131"/>
    <w:rsid w:val="003921CF"/>
    <w:rsid w:val="0039231F"/>
    <w:rsid w:val="00392322"/>
    <w:rsid w:val="003923A9"/>
    <w:rsid w:val="003924AE"/>
    <w:rsid w:val="0039251F"/>
    <w:rsid w:val="00392582"/>
    <w:rsid w:val="003925CD"/>
    <w:rsid w:val="00392803"/>
    <w:rsid w:val="0039282C"/>
    <w:rsid w:val="00392838"/>
    <w:rsid w:val="00392859"/>
    <w:rsid w:val="00392866"/>
    <w:rsid w:val="00392876"/>
    <w:rsid w:val="0039296A"/>
    <w:rsid w:val="00392A85"/>
    <w:rsid w:val="00392ACE"/>
    <w:rsid w:val="00392B52"/>
    <w:rsid w:val="00392B7B"/>
    <w:rsid w:val="00392C03"/>
    <w:rsid w:val="00392C12"/>
    <w:rsid w:val="00392C2A"/>
    <w:rsid w:val="00392CC9"/>
    <w:rsid w:val="00392CDD"/>
    <w:rsid w:val="00392CEC"/>
    <w:rsid w:val="00392D55"/>
    <w:rsid w:val="00392D78"/>
    <w:rsid w:val="00392D9E"/>
    <w:rsid w:val="00392EDA"/>
    <w:rsid w:val="00392EF5"/>
    <w:rsid w:val="00392F28"/>
    <w:rsid w:val="00392F4A"/>
    <w:rsid w:val="00392F61"/>
    <w:rsid w:val="00392F69"/>
    <w:rsid w:val="00392FC4"/>
    <w:rsid w:val="00392FC8"/>
    <w:rsid w:val="003930BA"/>
    <w:rsid w:val="003930C3"/>
    <w:rsid w:val="003931A3"/>
    <w:rsid w:val="003931E5"/>
    <w:rsid w:val="00393207"/>
    <w:rsid w:val="0039324A"/>
    <w:rsid w:val="0039325F"/>
    <w:rsid w:val="003932D3"/>
    <w:rsid w:val="00393410"/>
    <w:rsid w:val="00393490"/>
    <w:rsid w:val="003934CB"/>
    <w:rsid w:val="0039352C"/>
    <w:rsid w:val="003935A3"/>
    <w:rsid w:val="003936D3"/>
    <w:rsid w:val="003936DC"/>
    <w:rsid w:val="0039371F"/>
    <w:rsid w:val="0039376A"/>
    <w:rsid w:val="00393815"/>
    <w:rsid w:val="0039381D"/>
    <w:rsid w:val="00393830"/>
    <w:rsid w:val="0039385B"/>
    <w:rsid w:val="003938B5"/>
    <w:rsid w:val="00393A1E"/>
    <w:rsid w:val="00393C44"/>
    <w:rsid w:val="00393C8C"/>
    <w:rsid w:val="00393D72"/>
    <w:rsid w:val="00393D82"/>
    <w:rsid w:val="00393D8B"/>
    <w:rsid w:val="00393D9E"/>
    <w:rsid w:val="00393DBA"/>
    <w:rsid w:val="00393DC2"/>
    <w:rsid w:val="00393E1F"/>
    <w:rsid w:val="00393FCE"/>
    <w:rsid w:val="00394037"/>
    <w:rsid w:val="0039406D"/>
    <w:rsid w:val="003940BD"/>
    <w:rsid w:val="003940D0"/>
    <w:rsid w:val="003940FB"/>
    <w:rsid w:val="00394194"/>
    <w:rsid w:val="003941DA"/>
    <w:rsid w:val="003941E6"/>
    <w:rsid w:val="003941F8"/>
    <w:rsid w:val="00394211"/>
    <w:rsid w:val="00394250"/>
    <w:rsid w:val="003942C2"/>
    <w:rsid w:val="0039447C"/>
    <w:rsid w:val="003944A1"/>
    <w:rsid w:val="003945E5"/>
    <w:rsid w:val="00394666"/>
    <w:rsid w:val="003946B1"/>
    <w:rsid w:val="003947AF"/>
    <w:rsid w:val="0039483C"/>
    <w:rsid w:val="00394981"/>
    <w:rsid w:val="0039499C"/>
    <w:rsid w:val="003949D3"/>
    <w:rsid w:val="00394B71"/>
    <w:rsid w:val="00394C04"/>
    <w:rsid w:val="00394CFA"/>
    <w:rsid w:val="00394F00"/>
    <w:rsid w:val="00394F06"/>
    <w:rsid w:val="00394F0D"/>
    <w:rsid w:val="00394FFA"/>
    <w:rsid w:val="00395003"/>
    <w:rsid w:val="0039505E"/>
    <w:rsid w:val="003950CE"/>
    <w:rsid w:val="0039512B"/>
    <w:rsid w:val="003951EC"/>
    <w:rsid w:val="00395277"/>
    <w:rsid w:val="003952FA"/>
    <w:rsid w:val="0039538C"/>
    <w:rsid w:val="0039550D"/>
    <w:rsid w:val="0039557D"/>
    <w:rsid w:val="003955F8"/>
    <w:rsid w:val="00395666"/>
    <w:rsid w:val="0039566F"/>
    <w:rsid w:val="003956E9"/>
    <w:rsid w:val="00395745"/>
    <w:rsid w:val="00395765"/>
    <w:rsid w:val="00395791"/>
    <w:rsid w:val="00395878"/>
    <w:rsid w:val="0039587F"/>
    <w:rsid w:val="00395884"/>
    <w:rsid w:val="003958CE"/>
    <w:rsid w:val="003958F7"/>
    <w:rsid w:val="0039595A"/>
    <w:rsid w:val="00395B70"/>
    <w:rsid w:val="00395BA8"/>
    <w:rsid w:val="00395BB0"/>
    <w:rsid w:val="00395C2F"/>
    <w:rsid w:val="00395C3E"/>
    <w:rsid w:val="00395CA5"/>
    <w:rsid w:val="00395D3B"/>
    <w:rsid w:val="00395D89"/>
    <w:rsid w:val="00395DAF"/>
    <w:rsid w:val="00395DFA"/>
    <w:rsid w:val="00395E34"/>
    <w:rsid w:val="00395E74"/>
    <w:rsid w:val="00395F4D"/>
    <w:rsid w:val="00395F4F"/>
    <w:rsid w:val="00395F94"/>
    <w:rsid w:val="00395FBA"/>
    <w:rsid w:val="00396061"/>
    <w:rsid w:val="0039607D"/>
    <w:rsid w:val="00396100"/>
    <w:rsid w:val="00396118"/>
    <w:rsid w:val="0039618A"/>
    <w:rsid w:val="003963E2"/>
    <w:rsid w:val="003965C1"/>
    <w:rsid w:val="00396648"/>
    <w:rsid w:val="0039669F"/>
    <w:rsid w:val="003967A9"/>
    <w:rsid w:val="003968AC"/>
    <w:rsid w:val="003968B5"/>
    <w:rsid w:val="003968C8"/>
    <w:rsid w:val="0039696E"/>
    <w:rsid w:val="00396A05"/>
    <w:rsid w:val="00396A37"/>
    <w:rsid w:val="00396B43"/>
    <w:rsid w:val="00396B8C"/>
    <w:rsid w:val="00396C63"/>
    <w:rsid w:val="00396CA0"/>
    <w:rsid w:val="00396CAD"/>
    <w:rsid w:val="00396D8C"/>
    <w:rsid w:val="00396E92"/>
    <w:rsid w:val="00396ECB"/>
    <w:rsid w:val="00396ED9"/>
    <w:rsid w:val="00396F62"/>
    <w:rsid w:val="00396FBE"/>
    <w:rsid w:val="003970A0"/>
    <w:rsid w:val="0039711F"/>
    <w:rsid w:val="003972EA"/>
    <w:rsid w:val="00397366"/>
    <w:rsid w:val="003973A3"/>
    <w:rsid w:val="0039740E"/>
    <w:rsid w:val="0039748A"/>
    <w:rsid w:val="003975B5"/>
    <w:rsid w:val="00397720"/>
    <w:rsid w:val="003977F4"/>
    <w:rsid w:val="0039780B"/>
    <w:rsid w:val="00397854"/>
    <w:rsid w:val="0039790E"/>
    <w:rsid w:val="00397A53"/>
    <w:rsid w:val="00397B6C"/>
    <w:rsid w:val="00397B83"/>
    <w:rsid w:val="00397BFD"/>
    <w:rsid w:val="00397BFE"/>
    <w:rsid w:val="00397CB5"/>
    <w:rsid w:val="00397D94"/>
    <w:rsid w:val="00397D9E"/>
    <w:rsid w:val="00397E70"/>
    <w:rsid w:val="003A011E"/>
    <w:rsid w:val="003A0210"/>
    <w:rsid w:val="003A03C9"/>
    <w:rsid w:val="003A03FC"/>
    <w:rsid w:val="003A042A"/>
    <w:rsid w:val="003A0436"/>
    <w:rsid w:val="003A049B"/>
    <w:rsid w:val="003A04DF"/>
    <w:rsid w:val="003A0557"/>
    <w:rsid w:val="003A0560"/>
    <w:rsid w:val="003A0567"/>
    <w:rsid w:val="003A05FC"/>
    <w:rsid w:val="003A0617"/>
    <w:rsid w:val="003A06CB"/>
    <w:rsid w:val="003A06E8"/>
    <w:rsid w:val="003A06EC"/>
    <w:rsid w:val="003A0854"/>
    <w:rsid w:val="003A08E1"/>
    <w:rsid w:val="003A0997"/>
    <w:rsid w:val="003A0A57"/>
    <w:rsid w:val="003A0A5D"/>
    <w:rsid w:val="003A0B49"/>
    <w:rsid w:val="003A0B83"/>
    <w:rsid w:val="003A0C44"/>
    <w:rsid w:val="003A0D67"/>
    <w:rsid w:val="003A0F42"/>
    <w:rsid w:val="003A0FB3"/>
    <w:rsid w:val="003A0FB6"/>
    <w:rsid w:val="003A109F"/>
    <w:rsid w:val="003A10C2"/>
    <w:rsid w:val="003A10DE"/>
    <w:rsid w:val="003A10E5"/>
    <w:rsid w:val="003A117B"/>
    <w:rsid w:val="003A124A"/>
    <w:rsid w:val="003A1256"/>
    <w:rsid w:val="003A137C"/>
    <w:rsid w:val="003A13AE"/>
    <w:rsid w:val="003A14BC"/>
    <w:rsid w:val="003A15A2"/>
    <w:rsid w:val="003A1737"/>
    <w:rsid w:val="003A18AC"/>
    <w:rsid w:val="003A1964"/>
    <w:rsid w:val="003A19AD"/>
    <w:rsid w:val="003A1A04"/>
    <w:rsid w:val="003A1A2F"/>
    <w:rsid w:val="003A1A5E"/>
    <w:rsid w:val="003A1A7D"/>
    <w:rsid w:val="003A1AE5"/>
    <w:rsid w:val="003A1B4D"/>
    <w:rsid w:val="003A1B7C"/>
    <w:rsid w:val="003A1B7E"/>
    <w:rsid w:val="003A1BEF"/>
    <w:rsid w:val="003A1BFF"/>
    <w:rsid w:val="003A1C2B"/>
    <w:rsid w:val="003A1C9E"/>
    <w:rsid w:val="003A1EB7"/>
    <w:rsid w:val="003A1EC4"/>
    <w:rsid w:val="003A1ECA"/>
    <w:rsid w:val="003A1EE0"/>
    <w:rsid w:val="003A1F0D"/>
    <w:rsid w:val="003A1F1F"/>
    <w:rsid w:val="003A1FDF"/>
    <w:rsid w:val="003A1FF9"/>
    <w:rsid w:val="003A2084"/>
    <w:rsid w:val="003A20FC"/>
    <w:rsid w:val="003A211E"/>
    <w:rsid w:val="003A2156"/>
    <w:rsid w:val="003A21E7"/>
    <w:rsid w:val="003A2238"/>
    <w:rsid w:val="003A23B5"/>
    <w:rsid w:val="003A2548"/>
    <w:rsid w:val="003A258B"/>
    <w:rsid w:val="003A25BC"/>
    <w:rsid w:val="003A2732"/>
    <w:rsid w:val="003A2799"/>
    <w:rsid w:val="003A2862"/>
    <w:rsid w:val="003A287F"/>
    <w:rsid w:val="003A29D8"/>
    <w:rsid w:val="003A2A25"/>
    <w:rsid w:val="003A2A88"/>
    <w:rsid w:val="003A2ADA"/>
    <w:rsid w:val="003A2B63"/>
    <w:rsid w:val="003A2B75"/>
    <w:rsid w:val="003A2BBC"/>
    <w:rsid w:val="003A2C12"/>
    <w:rsid w:val="003A2C2E"/>
    <w:rsid w:val="003A2D0A"/>
    <w:rsid w:val="003A2DA0"/>
    <w:rsid w:val="003A2E73"/>
    <w:rsid w:val="003A2ECB"/>
    <w:rsid w:val="003A2F25"/>
    <w:rsid w:val="003A2F30"/>
    <w:rsid w:val="003A2FAC"/>
    <w:rsid w:val="003A323E"/>
    <w:rsid w:val="003A324B"/>
    <w:rsid w:val="003A32BC"/>
    <w:rsid w:val="003A3303"/>
    <w:rsid w:val="003A33CA"/>
    <w:rsid w:val="003A33F9"/>
    <w:rsid w:val="003A3435"/>
    <w:rsid w:val="003A347A"/>
    <w:rsid w:val="003A34B6"/>
    <w:rsid w:val="003A35A9"/>
    <w:rsid w:val="003A361A"/>
    <w:rsid w:val="003A36C9"/>
    <w:rsid w:val="003A36F0"/>
    <w:rsid w:val="003A3715"/>
    <w:rsid w:val="003A3828"/>
    <w:rsid w:val="003A389B"/>
    <w:rsid w:val="003A3904"/>
    <w:rsid w:val="003A3A51"/>
    <w:rsid w:val="003A3A79"/>
    <w:rsid w:val="003A3A94"/>
    <w:rsid w:val="003A3AD0"/>
    <w:rsid w:val="003A3B18"/>
    <w:rsid w:val="003A3B42"/>
    <w:rsid w:val="003A3BE4"/>
    <w:rsid w:val="003A3C81"/>
    <w:rsid w:val="003A3D2C"/>
    <w:rsid w:val="003A3D8E"/>
    <w:rsid w:val="003A3DED"/>
    <w:rsid w:val="003A3E26"/>
    <w:rsid w:val="003A3EC8"/>
    <w:rsid w:val="003A3EFA"/>
    <w:rsid w:val="003A3F5D"/>
    <w:rsid w:val="003A4026"/>
    <w:rsid w:val="003A405E"/>
    <w:rsid w:val="003A410E"/>
    <w:rsid w:val="003A4183"/>
    <w:rsid w:val="003A42A9"/>
    <w:rsid w:val="003A436C"/>
    <w:rsid w:val="003A437A"/>
    <w:rsid w:val="003A441A"/>
    <w:rsid w:val="003A445C"/>
    <w:rsid w:val="003A451D"/>
    <w:rsid w:val="003A4554"/>
    <w:rsid w:val="003A45E5"/>
    <w:rsid w:val="003A4694"/>
    <w:rsid w:val="003A46C8"/>
    <w:rsid w:val="003A47AB"/>
    <w:rsid w:val="003A48AF"/>
    <w:rsid w:val="003A48F1"/>
    <w:rsid w:val="003A4917"/>
    <w:rsid w:val="003A4962"/>
    <w:rsid w:val="003A499A"/>
    <w:rsid w:val="003A4ABF"/>
    <w:rsid w:val="003A4B66"/>
    <w:rsid w:val="003A4B7F"/>
    <w:rsid w:val="003A4B85"/>
    <w:rsid w:val="003A4CEE"/>
    <w:rsid w:val="003A4D69"/>
    <w:rsid w:val="003A4E17"/>
    <w:rsid w:val="003A4ED9"/>
    <w:rsid w:val="003A4F9E"/>
    <w:rsid w:val="003A50D8"/>
    <w:rsid w:val="003A5221"/>
    <w:rsid w:val="003A5272"/>
    <w:rsid w:val="003A527A"/>
    <w:rsid w:val="003A53B8"/>
    <w:rsid w:val="003A54A2"/>
    <w:rsid w:val="003A54B0"/>
    <w:rsid w:val="003A54FE"/>
    <w:rsid w:val="003A5536"/>
    <w:rsid w:val="003A557E"/>
    <w:rsid w:val="003A566B"/>
    <w:rsid w:val="003A56B7"/>
    <w:rsid w:val="003A56F1"/>
    <w:rsid w:val="003A5702"/>
    <w:rsid w:val="003A57C1"/>
    <w:rsid w:val="003A57DC"/>
    <w:rsid w:val="003A5846"/>
    <w:rsid w:val="003A5853"/>
    <w:rsid w:val="003A5858"/>
    <w:rsid w:val="003A5922"/>
    <w:rsid w:val="003A5932"/>
    <w:rsid w:val="003A59E3"/>
    <w:rsid w:val="003A5AED"/>
    <w:rsid w:val="003A5BFD"/>
    <w:rsid w:val="003A5CC3"/>
    <w:rsid w:val="003A5D56"/>
    <w:rsid w:val="003A5E20"/>
    <w:rsid w:val="003A5F9C"/>
    <w:rsid w:val="003A6022"/>
    <w:rsid w:val="003A6058"/>
    <w:rsid w:val="003A60A3"/>
    <w:rsid w:val="003A6234"/>
    <w:rsid w:val="003A6304"/>
    <w:rsid w:val="003A63B9"/>
    <w:rsid w:val="003A63DD"/>
    <w:rsid w:val="003A63EB"/>
    <w:rsid w:val="003A642C"/>
    <w:rsid w:val="003A6487"/>
    <w:rsid w:val="003A64BF"/>
    <w:rsid w:val="003A64DE"/>
    <w:rsid w:val="003A650A"/>
    <w:rsid w:val="003A65B7"/>
    <w:rsid w:val="003A65C1"/>
    <w:rsid w:val="003A6604"/>
    <w:rsid w:val="003A6642"/>
    <w:rsid w:val="003A668E"/>
    <w:rsid w:val="003A66BE"/>
    <w:rsid w:val="003A66EB"/>
    <w:rsid w:val="003A67DE"/>
    <w:rsid w:val="003A68C0"/>
    <w:rsid w:val="003A697F"/>
    <w:rsid w:val="003A6AC2"/>
    <w:rsid w:val="003A6AE3"/>
    <w:rsid w:val="003A6B62"/>
    <w:rsid w:val="003A6BE1"/>
    <w:rsid w:val="003A6CAD"/>
    <w:rsid w:val="003A707D"/>
    <w:rsid w:val="003A70CE"/>
    <w:rsid w:val="003A70FD"/>
    <w:rsid w:val="003A714C"/>
    <w:rsid w:val="003A7180"/>
    <w:rsid w:val="003A72CA"/>
    <w:rsid w:val="003A72D8"/>
    <w:rsid w:val="003A7325"/>
    <w:rsid w:val="003A7326"/>
    <w:rsid w:val="003A73D1"/>
    <w:rsid w:val="003A742F"/>
    <w:rsid w:val="003A7510"/>
    <w:rsid w:val="003A75A9"/>
    <w:rsid w:val="003A75BE"/>
    <w:rsid w:val="003A75ED"/>
    <w:rsid w:val="003A75FA"/>
    <w:rsid w:val="003A7612"/>
    <w:rsid w:val="003A768F"/>
    <w:rsid w:val="003A78B2"/>
    <w:rsid w:val="003A78BF"/>
    <w:rsid w:val="003A7942"/>
    <w:rsid w:val="003A7968"/>
    <w:rsid w:val="003A7996"/>
    <w:rsid w:val="003A7A0A"/>
    <w:rsid w:val="003A7A23"/>
    <w:rsid w:val="003A7A2A"/>
    <w:rsid w:val="003A7A52"/>
    <w:rsid w:val="003A7B2B"/>
    <w:rsid w:val="003A7B59"/>
    <w:rsid w:val="003A7B87"/>
    <w:rsid w:val="003A7BCB"/>
    <w:rsid w:val="003A7CC0"/>
    <w:rsid w:val="003A7CC6"/>
    <w:rsid w:val="003A7DA5"/>
    <w:rsid w:val="003A7E7E"/>
    <w:rsid w:val="003A7EE4"/>
    <w:rsid w:val="003A7FA8"/>
    <w:rsid w:val="003A7FBB"/>
    <w:rsid w:val="003B013B"/>
    <w:rsid w:val="003B0147"/>
    <w:rsid w:val="003B0153"/>
    <w:rsid w:val="003B0173"/>
    <w:rsid w:val="003B0235"/>
    <w:rsid w:val="003B0275"/>
    <w:rsid w:val="003B02D3"/>
    <w:rsid w:val="003B02FE"/>
    <w:rsid w:val="003B0376"/>
    <w:rsid w:val="003B049A"/>
    <w:rsid w:val="003B04FD"/>
    <w:rsid w:val="003B05B7"/>
    <w:rsid w:val="003B064F"/>
    <w:rsid w:val="003B06C3"/>
    <w:rsid w:val="003B06D9"/>
    <w:rsid w:val="003B070F"/>
    <w:rsid w:val="003B0798"/>
    <w:rsid w:val="003B07D6"/>
    <w:rsid w:val="003B0884"/>
    <w:rsid w:val="003B08B1"/>
    <w:rsid w:val="003B08F9"/>
    <w:rsid w:val="003B092A"/>
    <w:rsid w:val="003B094E"/>
    <w:rsid w:val="003B0A22"/>
    <w:rsid w:val="003B0A26"/>
    <w:rsid w:val="003B0A2E"/>
    <w:rsid w:val="003B0A33"/>
    <w:rsid w:val="003B0B16"/>
    <w:rsid w:val="003B0BA3"/>
    <w:rsid w:val="003B0BE2"/>
    <w:rsid w:val="003B0C9B"/>
    <w:rsid w:val="003B0D10"/>
    <w:rsid w:val="003B0DFE"/>
    <w:rsid w:val="003B0E54"/>
    <w:rsid w:val="003B0EA7"/>
    <w:rsid w:val="003B0F23"/>
    <w:rsid w:val="003B0F5E"/>
    <w:rsid w:val="003B0FE4"/>
    <w:rsid w:val="003B100F"/>
    <w:rsid w:val="003B1030"/>
    <w:rsid w:val="003B1034"/>
    <w:rsid w:val="003B1058"/>
    <w:rsid w:val="003B117D"/>
    <w:rsid w:val="003B1266"/>
    <w:rsid w:val="003B1392"/>
    <w:rsid w:val="003B13EE"/>
    <w:rsid w:val="003B147A"/>
    <w:rsid w:val="003B1681"/>
    <w:rsid w:val="003B1693"/>
    <w:rsid w:val="003B1698"/>
    <w:rsid w:val="003B16A2"/>
    <w:rsid w:val="003B16E0"/>
    <w:rsid w:val="003B1763"/>
    <w:rsid w:val="003B18B6"/>
    <w:rsid w:val="003B194D"/>
    <w:rsid w:val="003B196B"/>
    <w:rsid w:val="003B19B1"/>
    <w:rsid w:val="003B1AA6"/>
    <w:rsid w:val="003B1B06"/>
    <w:rsid w:val="003B1C0E"/>
    <w:rsid w:val="003B1C24"/>
    <w:rsid w:val="003B1CBF"/>
    <w:rsid w:val="003B1D10"/>
    <w:rsid w:val="003B1D2E"/>
    <w:rsid w:val="003B1E0E"/>
    <w:rsid w:val="003B1E45"/>
    <w:rsid w:val="003B1E74"/>
    <w:rsid w:val="003B1E78"/>
    <w:rsid w:val="003B2045"/>
    <w:rsid w:val="003B207A"/>
    <w:rsid w:val="003B207D"/>
    <w:rsid w:val="003B20A0"/>
    <w:rsid w:val="003B2180"/>
    <w:rsid w:val="003B235D"/>
    <w:rsid w:val="003B2450"/>
    <w:rsid w:val="003B25DE"/>
    <w:rsid w:val="003B2654"/>
    <w:rsid w:val="003B2727"/>
    <w:rsid w:val="003B2797"/>
    <w:rsid w:val="003B27BA"/>
    <w:rsid w:val="003B27F7"/>
    <w:rsid w:val="003B2807"/>
    <w:rsid w:val="003B2893"/>
    <w:rsid w:val="003B28DC"/>
    <w:rsid w:val="003B2945"/>
    <w:rsid w:val="003B29F4"/>
    <w:rsid w:val="003B2A28"/>
    <w:rsid w:val="003B2A45"/>
    <w:rsid w:val="003B2A5C"/>
    <w:rsid w:val="003B2A80"/>
    <w:rsid w:val="003B2ADA"/>
    <w:rsid w:val="003B2AF7"/>
    <w:rsid w:val="003B2B3F"/>
    <w:rsid w:val="003B2C49"/>
    <w:rsid w:val="003B2EA7"/>
    <w:rsid w:val="003B3019"/>
    <w:rsid w:val="003B3033"/>
    <w:rsid w:val="003B304F"/>
    <w:rsid w:val="003B30A2"/>
    <w:rsid w:val="003B30CA"/>
    <w:rsid w:val="003B318A"/>
    <w:rsid w:val="003B3316"/>
    <w:rsid w:val="003B3374"/>
    <w:rsid w:val="003B34D8"/>
    <w:rsid w:val="003B3509"/>
    <w:rsid w:val="003B350D"/>
    <w:rsid w:val="003B353C"/>
    <w:rsid w:val="003B3580"/>
    <w:rsid w:val="003B35B6"/>
    <w:rsid w:val="003B36AB"/>
    <w:rsid w:val="003B36D0"/>
    <w:rsid w:val="003B371B"/>
    <w:rsid w:val="003B375D"/>
    <w:rsid w:val="003B3812"/>
    <w:rsid w:val="003B38C9"/>
    <w:rsid w:val="003B38DC"/>
    <w:rsid w:val="003B3A5F"/>
    <w:rsid w:val="003B3B03"/>
    <w:rsid w:val="003B3B43"/>
    <w:rsid w:val="003B3B71"/>
    <w:rsid w:val="003B3BDF"/>
    <w:rsid w:val="003B3C0C"/>
    <w:rsid w:val="003B3CB9"/>
    <w:rsid w:val="003B3D87"/>
    <w:rsid w:val="003B3E8C"/>
    <w:rsid w:val="003B3EC4"/>
    <w:rsid w:val="003B3F1E"/>
    <w:rsid w:val="003B4011"/>
    <w:rsid w:val="003B40F4"/>
    <w:rsid w:val="003B4184"/>
    <w:rsid w:val="003B41FC"/>
    <w:rsid w:val="003B4281"/>
    <w:rsid w:val="003B428A"/>
    <w:rsid w:val="003B42C1"/>
    <w:rsid w:val="003B4363"/>
    <w:rsid w:val="003B44DF"/>
    <w:rsid w:val="003B45A8"/>
    <w:rsid w:val="003B45C1"/>
    <w:rsid w:val="003B460D"/>
    <w:rsid w:val="003B4633"/>
    <w:rsid w:val="003B474F"/>
    <w:rsid w:val="003B47A3"/>
    <w:rsid w:val="003B47F7"/>
    <w:rsid w:val="003B4829"/>
    <w:rsid w:val="003B4858"/>
    <w:rsid w:val="003B48F1"/>
    <w:rsid w:val="003B4A50"/>
    <w:rsid w:val="003B4B8B"/>
    <w:rsid w:val="003B4B93"/>
    <w:rsid w:val="003B4BDE"/>
    <w:rsid w:val="003B4BE4"/>
    <w:rsid w:val="003B4C02"/>
    <w:rsid w:val="003B4C82"/>
    <w:rsid w:val="003B4D1D"/>
    <w:rsid w:val="003B4E68"/>
    <w:rsid w:val="003B4E85"/>
    <w:rsid w:val="003B4E9C"/>
    <w:rsid w:val="003B4ECE"/>
    <w:rsid w:val="003B4F01"/>
    <w:rsid w:val="003B4FFE"/>
    <w:rsid w:val="003B502F"/>
    <w:rsid w:val="003B520C"/>
    <w:rsid w:val="003B5309"/>
    <w:rsid w:val="003B53D2"/>
    <w:rsid w:val="003B5523"/>
    <w:rsid w:val="003B55D7"/>
    <w:rsid w:val="003B5605"/>
    <w:rsid w:val="003B5654"/>
    <w:rsid w:val="003B56B4"/>
    <w:rsid w:val="003B56EF"/>
    <w:rsid w:val="003B57B2"/>
    <w:rsid w:val="003B57EB"/>
    <w:rsid w:val="003B5857"/>
    <w:rsid w:val="003B58DE"/>
    <w:rsid w:val="003B593F"/>
    <w:rsid w:val="003B5952"/>
    <w:rsid w:val="003B5976"/>
    <w:rsid w:val="003B5A0C"/>
    <w:rsid w:val="003B5ADB"/>
    <w:rsid w:val="003B5B66"/>
    <w:rsid w:val="003B5BBA"/>
    <w:rsid w:val="003B5BBD"/>
    <w:rsid w:val="003B5BE4"/>
    <w:rsid w:val="003B5C19"/>
    <w:rsid w:val="003B5CDB"/>
    <w:rsid w:val="003B5CEE"/>
    <w:rsid w:val="003B5D49"/>
    <w:rsid w:val="003B5D5F"/>
    <w:rsid w:val="003B5D6A"/>
    <w:rsid w:val="003B5DD3"/>
    <w:rsid w:val="003B5E22"/>
    <w:rsid w:val="003B5F2B"/>
    <w:rsid w:val="003B5F73"/>
    <w:rsid w:val="003B6053"/>
    <w:rsid w:val="003B608E"/>
    <w:rsid w:val="003B60CA"/>
    <w:rsid w:val="003B612B"/>
    <w:rsid w:val="003B614E"/>
    <w:rsid w:val="003B6194"/>
    <w:rsid w:val="003B61CE"/>
    <w:rsid w:val="003B62E1"/>
    <w:rsid w:val="003B6519"/>
    <w:rsid w:val="003B6696"/>
    <w:rsid w:val="003B6716"/>
    <w:rsid w:val="003B671F"/>
    <w:rsid w:val="003B6751"/>
    <w:rsid w:val="003B6795"/>
    <w:rsid w:val="003B67C4"/>
    <w:rsid w:val="003B686C"/>
    <w:rsid w:val="003B68CB"/>
    <w:rsid w:val="003B68D9"/>
    <w:rsid w:val="003B6903"/>
    <w:rsid w:val="003B6938"/>
    <w:rsid w:val="003B694C"/>
    <w:rsid w:val="003B69B3"/>
    <w:rsid w:val="003B69B8"/>
    <w:rsid w:val="003B6A3F"/>
    <w:rsid w:val="003B6ABC"/>
    <w:rsid w:val="003B6B5A"/>
    <w:rsid w:val="003B6B97"/>
    <w:rsid w:val="003B6BE9"/>
    <w:rsid w:val="003B6C07"/>
    <w:rsid w:val="003B6C30"/>
    <w:rsid w:val="003B6C98"/>
    <w:rsid w:val="003B6CB1"/>
    <w:rsid w:val="003B6D56"/>
    <w:rsid w:val="003B6DD5"/>
    <w:rsid w:val="003B6E15"/>
    <w:rsid w:val="003B6F32"/>
    <w:rsid w:val="003B6FCE"/>
    <w:rsid w:val="003B6FE4"/>
    <w:rsid w:val="003B714B"/>
    <w:rsid w:val="003B718B"/>
    <w:rsid w:val="003B72FF"/>
    <w:rsid w:val="003B730E"/>
    <w:rsid w:val="003B73B7"/>
    <w:rsid w:val="003B73CF"/>
    <w:rsid w:val="003B74D2"/>
    <w:rsid w:val="003B74F0"/>
    <w:rsid w:val="003B74FA"/>
    <w:rsid w:val="003B750A"/>
    <w:rsid w:val="003B752F"/>
    <w:rsid w:val="003B753A"/>
    <w:rsid w:val="003B75A6"/>
    <w:rsid w:val="003B75F9"/>
    <w:rsid w:val="003B76AC"/>
    <w:rsid w:val="003B773F"/>
    <w:rsid w:val="003B7768"/>
    <w:rsid w:val="003B78FB"/>
    <w:rsid w:val="003B7937"/>
    <w:rsid w:val="003B793E"/>
    <w:rsid w:val="003B79EC"/>
    <w:rsid w:val="003B7A2F"/>
    <w:rsid w:val="003B7A6E"/>
    <w:rsid w:val="003B7AA9"/>
    <w:rsid w:val="003B7AAE"/>
    <w:rsid w:val="003B7AE8"/>
    <w:rsid w:val="003B7D52"/>
    <w:rsid w:val="003B7E1E"/>
    <w:rsid w:val="003B7EDF"/>
    <w:rsid w:val="003B7F3E"/>
    <w:rsid w:val="003B7F44"/>
    <w:rsid w:val="003B7FB5"/>
    <w:rsid w:val="003C0036"/>
    <w:rsid w:val="003C00B1"/>
    <w:rsid w:val="003C00D6"/>
    <w:rsid w:val="003C0106"/>
    <w:rsid w:val="003C012D"/>
    <w:rsid w:val="003C022F"/>
    <w:rsid w:val="003C0259"/>
    <w:rsid w:val="003C033B"/>
    <w:rsid w:val="003C034F"/>
    <w:rsid w:val="003C036C"/>
    <w:rsid w:val="003C038D"/>
    <w:rsid w:val="003C03DC"/>
    <w:rsid w:val="003C04BF"/>
    <w:rsid w:val="003C04FA"/>
    <w:rsid w:val="003C0564"/>
    <w:rsid w:val="003C0595"/>
    <w:rsid w:val="003C05CA"/>
    <w:rsid w:val="003C065F"/>
    <w:rsid w:val="003C074F"/>
    <w:rsid w:val="003C0810"/>
    <w:rsid w:val="003C0812"/>
    <w:rsid w:val="003C0854"/>
    <w:rsid w:val="003C08CB"/>
    <w:rsid w:val="003C0966"/>
    <w:rsid w:val="003C0A18"/>
    <w:rsid w:val="003C0A43"/>
    <w:rsid w:val="003C0A5D"/>
    <w:rsid w:val="003C0B1F"/>
    <w:rsid w:val="003C0B3B"/>
    <w:rsid w:val="003C0BD8"/>
    <w:rsid w:val="003C0CBD"/>
    <w:rsid w:val="003C0D82"/>
    <w:rsid w:val="003C0E4F"/>
    <w:rsid w:val="003C0E6B"/>
    <w:rsid w:val="003C0FC7"/>
    <w:rsid w:val="003C0FE6"/>
    <w:rsid w:val="003C1059"/>
    <w:rsid w:val="003C10A0"/>
    <w:rsid w:val="003C1107"/>
    <w:rsid w:val="003C1244"/>
    <w:rsid w:val="003C12BB"/>
    <w:rsid w:val="003C13A4"/>
    <w:rsid w:val="003C13D8"/>
    <w:rsid w:val="003C1452"/>
    <w:rsid w:val="003C1530"/>
    <w:rsid w:val="003C1574"/>
    <w:rsid w:val="003C159C"/>
    <w:rsid w:val="003C15D1"/>
    <w:rsid w:val="003C160B"/>
    <w:rsid w:val="003C1699"/>
    <w:rsid w:val="003C178C"/>
    <w:rsid w:val="003C1825"/>
    <w:rsid w:val="003C1874"/>
    <w:rsid w:val="003C18C0"/>
    <w:rsid w:val="003C18D6"/>
    <w:rsid w:val="003C19C8"/>
    <w:rsid w:val="003C19D7"/>
    <w:rsid w:val="003C19FC"/>
    <w:rsid w:val="003C1A81"/>
    <w:rsid w:val="003C1B33"/>
    <w:rsid w:val="003C1B78"/>
    <w:rsid w:val="003C1BD3"/>
    <w:rsid w:val="003C1C2A"/>
    <w:rsid w:val="003C1D10"/>
    <w:rsid w:val="003C1D17"/>
    <w:rsid w:val="003C1D20"/>
    <w:rsid w:val="003C1F00"/>
    <w:rsid w:val="003C1F42"/>
    <w:rsid w:val="003C21B3"/>
    <w:rsid w:val="003C221C"/>
    <w:rsid w:val="003C2240"/>
    <w:rsid w:val="003C22A9"/>
    <w:rsid w:val="003C23BE"/>
    <w:rsid w:val="003C244A"/>
    <w:rsid w:val="003C24ED"/>
    <w:rsid w:val="003C24FE"/>
    <w:rsid w:val="003C2617"/>
    <w:rsid w:val="003C26DB"/>
    <w:rsid w:val="003C26E2"/>
    <w:rsid w:val="003C2815"/>
    <w:rsid w:val="003C28AD"/>
    <w:rsid w:val="003C28BA"/>
    <w:rsid w:val="003C2986"/>
    <w:rsid w:val="003C29A0"/>
    <w:rsid w:val="003C29AE"/>
    <w:rsid w:val="003C29BB"/>
    <w:rsid w:val="003C29DC"/>
    <w:rsid w:val="003C2A13"/>
    <w:rsid w:val="003C2B21"/>
    <w:rsid w:val="003C2B43"/>
    <w:rsid w:val="003C2BAE"/>
    <w:rsid w:val="003C2D71"/>
    <w:rsid w:val="003C2DAD"/>
    <w:rsid w:val="003C2E31"/>
    <w:rsid w:val="003C2EF3"/>
    <w:rsid w:val="003C3088"/>
    <w:rsid w:val="003C3093"/>
    <w:rsid w:val="003C3261"/>
    <w:rsid w:val="003C32A3"/>
    <w:rsid w:val="003C32D1"/>
    <w:rsid w:val="003C335C"/>
    <w:rsid w:val="003C339E"/>
    <w:rsid w:val="003C3426"/>
    <w:rsid w:val="003C3443"/>
    <w:rsid w:val="003C3458"/>
    <w:rsid w:val="003C34DC"/>
    <w:rsid w:val="003C34DD"/>
    <w:rsid w:val="003C3538"/>
    <w:rsid w:val="003C35B4"/>
    <w:rsid w:val="003C3625"/>
    <w:rsid w:val="003C3667"/>
    <w:rsid w:val="003C366B"/>
    <w:rsid w:val="003C3691"/>
    <w:rsid w:val="003C3694"/>
    <w:rsid w:val="003C36F9"/>
    <w:rsid w:val="003C3707"/>
    <w:rsid w:val="003C371E"/>
    <w:rsid w:val="003C3778"/>
    <w:rsid w:val="003C37CF"/>
    <w:rsid w:val="003C3844"/>
    <w:rsid w:val="003C394D"/>
    <w:rsid w:val="003C39CB"/>
    <w:rsid w:val="003C3AC5"/>
    <w:rsid w:val="003C3B01"/>
    <w:rsid w:val="003C3B76"/>
    <w:rsid w:val="003C3C03"/>
    <w:rsid w:val="003C3C39"/>
    <w:rsid w:val="003C3CFB"/>
    <w:rsid w:val="003C3E56"/>
    <w:rsid w:val="003C3E94"/>
    <w:rsid w:val="003C3FBB"/>
    <w:rsid w:val="003C3FBC"/>
    <w:rsid w:val="003C3FF4"/>
    <w:rsid w:val="003C4029"/>
    <w:rsid w:val="003C4052"/>
    <w:rsid w:val="003C406E"/>
    <w:rsid w:val="003C411E"/>
    <w:rsid w:val="003C4120"/>
    <w:rsid w:val="003C41BB"/>
    <w:rsid w:val="003C41C7"/>
    <w:rsid w:val="003C41D8"/>
    <w:rsid w:val="003C4215"/>
    <w:rsid w:val="003C4422"/>
    <w:rsid w:val="003C4579"/>
    <w:rsid w:val="003C45A9"/>
    <w:rsid w:val="003C4708"/>
    <w:rsid w:val="003C4811"/>
    <w:rsid w:val="003C48A7"/>
    <w:rsid w:val="003C4907"/>
    <w:rsid w:val="003C4916"/>
    <w:rsid w:val="003C497A"/>
    <w:rsid w:val="003C49EC"/>
    <w:rsid w:val="003C4A14"/>
    <w:rsid w:val="003C4A39"/>
    <w:rsid w:val="003C4ADF"/>
    <w:rsid w:val="003C4B22"/>
    <w:rsid w:val="003C4B88"/>
    <w:rsid w:val="003C4C32"/>
    <w:rsid w:val="003C4C7D"/>
    <w:rsid w:val="003C4CA4"/>
    <w:rsid w:val="003C4D65"/>
    <w:rsid w:val="003C4E8F"/>
    <w:rsid w:val="003C4F6D"/>
    <w:rsid w:val="003C4FC7"/>
    <w:rsid w:val="003C5034"/>
    <w:rsid w:val="003C5132"/>
    <w:rsid w:val="003C5233"/>
    <w:rsid w:val="003C52CF"/>
    <w:rsid w:val="003C53CC"/>
    <w:rsid w:val="003C53ED"/>
    <w:rsid w:val="003C53F3"/>
    <w:rsid w:val="003C5477"/>
    <w:rsid w:val="003C5513"/>
    <w:rsid w:val="003C5543"/>
    <w:rsid w:val="003C55E9"/>
    <w:rsid w:val="003C5623"/>
    <w:rsid w:val="003C56A1"/>
    <w:rsid w:val="003C5716"/>
    <w:rsid w:val="003C5876"/>
    <w:rsid w:val="003C5885"/>
    <w:rsid w:val="003C58CB"/>
    <w:rsid w:val="003C597C"/>
    <w:rsid w:val="003C5BC4"/>
    <w:rsid w:val="003C5BCD"/>
    <w:rsid w:val="003C5BCF"/>
    <w:rsid w:val="003C5C65"/>
    <w:rsid w:val="003C5C7A"/>
    <w:rsid w:val="003C5D4C"/>
    <w:rsid w:val="003C5E49"/>
    <w:rsid w:val="003C5EF1"/>
    <w:rsid w:val="003C5FC8"/>
    <w:rsid w:val="003C6052"/>
    <w:rsid w:val="003C607D"/>
    <w:rsid w:val="003C60CD"/>
    <w:rsid w:val="003C616A"/>
    <w:rsid w:val="003C61FD"/>
    <w:rsid w:val="003C6266"/>
    <w:rsid w:val="003C62AA"/>
    <w:rsid w:val="003C62FA"/>
    <w:rsid w:val="003C63E7"/>
    <w:rsid w:val="003C63E9"/>
    <w:rsid w:val="003C648E"/>
    <w:rsid w:val="003C6499"/>
    <w:rsid w:val="003C64B0"/>
    <w:rsid w:val="003C6507"/>
    <w:rsid w:val="003C653E"/>
    <w:rsid w:val="003C660B"/>
    <w:rsid w:val="003C6616"/>
    <w:rsid w:val="003C66DC"/>
    <w:rsid w:val="003C6712"/>
    <w:rsid w:val="003C6729"/>
    <w:rsid w:val="003C679D"/>
    <w:rsid w:val="003C68A5"/>
    <w:rsid w:val="003C68F2"/>
    <w:rsid w:val="003C697B"/>
    <w:rsid w:val="003C6AFA"/>
    <w:rsid w:val="003C6AFE"/>
    <w:rsid w:val="003C6B07"/>
    <w:rsid w:val="003C6B0C"/>
    <w:rsid w:val="003C6B7E"/>
    <w:rsid w:val="003C6D5F"/>
    <w:rsid w:val="003C6D9B"/>
    <w:rsid w:val="003C6DA4"/>
    <w:rsid w:val="003C6DF7"/>
    <w:rsid w:val="003C6EEA"/>
    <w:rsid w:val="003C6F06"/>
    <w:rsid w:val="003C6F25"/>
    <w:rsid w:val="003C6F33"/>
    <w:rsid w:val="003C6F44"/>
    <w:rsid w:val="003C6F62"/>
    <w:rsid w:val="003C7068"/>
    <w:rsid w:val="003C7084"/>
    <w:rsid w:val="003C715A"/>
    <w:rsid w:val="003C71EB"/>
    <w:rsid w:val="003C735A"/>
    <w:rsid w:val="003C73EE"/>
    <w:rsid w:val="003C740A"/>
    <w:rsid w:val="003C745A"/>
    <w:rsid w:val="003C74A1"/>
    <w:rsid w:val="003C7592"/>
    <w:rsid w:val="003C75A5"/>
    <w:rsid w:val="003C7636"/>
    <w:rsid w:val="003C7726"/>
    <w:rsid w:val="003C7784"/>
    <w:rsid w:val="003C77EA"/>
    <w:rsid w:val="003C7828"/>
    <w:rsid w:val="003C792A"/>
    <w:rsid w:val="003C79EE"/>
    <w:rsid w:val="003C7A2D"/>
    <w:rsid w:val="003C7A5D"/>
    <w:rsid w:val="003C7A71"/>
    <w:rsid w:val="003C7AC1"/>
    <w:rsid w:val="003C7B59"/>
    <w:rsid w:val="003C7B73"/>
    <w:rsid w:val="003C7BB1"/>
    <w:rsid w:val="003C7BBB"/>
    <w:rsid w:val="003C7BC0"/>
    <w:rsid w:val="003C7C70"/>
    <w:rsid w:val="003C7D03"/>
    <w:rsid w:val="003C7D36"/>
    <w:rsid w:val="003C7DB5"/>
    <w:rsid w:val="003C7EB9"/>
    <w:rsid w:val="003C7F12"/>
    <w:rsid w:val="003C7F44"/>
    <w:rsid w:val="003CDB8E"/>
    <w:rsid w:val="003D0025"/>
    <w:rsid w:val="003D006A"/>
    <w:rsid w:val="003D014C"/>
    <w:rsid w:val="003D01BD"/>
    <w:rsid w:val="003D0300"/>
    <w:rsid w:val="003D030F"/>
    <w:rsid w:val="003D032A"/>
    <w:rsid w:val="003D032C"/>
    <w:rsid w:val="003D0383"/>
    <w:rsid w:val="003D042B"/>
    <w:rsid w:val="003D0471"/>
    <w:rsid w:val="003D0482"/>
    <w:rsid w:val="003D0512"/>
    <w:rsid w:val="003D0521"/>
    <w:rsid w:val="003D0596"/>
    <w:rsid w:val="003D059C"/>
    <w:rsid w:val="003D05C3"/>
    <w:rsid w:val="003D061B"/>
    <w:rsid w:val="003D0796"/>
    <w:rsid w:val="003D0902"/>
    <w:rsid w:val="003D0936"/>
    <w:rsid w:val="003D096B"/>
    <w:rsid w:val="003D0A2F"/>
    <w:rsid w:val="003D0A76"/>
    <w:rsid w:val="003D0C77"/>
    <w:rsid w:val="003D0C85"/>
    <w:rsid w:val="003D0E4F"/>
    <w:rsid w:val="003D0F0E"/>
    <w:rsid w:val="003D0F2C"/>
    <w:rsid w:val="003D0F43"/>
    <w:rsid w:val="003D1054"/>
    <w:rsid w:val="003D1072"/>
    <w:rsid w:val="003D10B2"/>
    <w:rsid w:val="003D1111"/>
    <w:rsid w:val="003D114C"/>
    <w:rsid w:val="003D1152"/>
    <w:rsid w:val="003D11EB"/>
    <w:rsid w:val="003D11F3"/>
    <w:rsid w:val="003D1286"/>
    <w:rsid w:val="003D12C5"/>
    <w:rsid w:val="003D12D9"/>
    <w:rsid w:val="003D13B6"/>
    <w:rsid w:val="003D13DF"/>
    <w:rsid w:val="003D141B"/>
    <w:rsid w:val="003D141E"/>
    <w:rsid w:val="003D1438"/>
    <w:rsid w:val="003D1472"/>
    <w:rsid w:val="003D14A0"/>
    <w:rsid w:val="003D159D"/>
    <w:rsid w:val="003D15B8"/>
    <w:rsid w:val="003D1623"/>
    <w:rsid w:val="003D1651"/>
    <w:rsid w:val="003D1655"/>
    <w:rsid w:val="003D1658"/>
    <w:rsid w:val="003D1698"/>
    <w:rsid w:val="003D16C7"/>
    <w:rsid w:val="003D16DF"/>
    <w:rsid w:val="003D1732"/>
    <w:rsid w:val="003D175B"/>
    <w:rsid w:val="003D17A7"/>
    <w:rsid w:val="003D17AE"/>
    <w:rsid w:val="003D17D4"/>
    <w:rsid w:val="003D181F"/>
    <w:rsid w:val="003D1834"/>
    <w:rsid w:val="003D18A6"/>
    <w:rsid w:val="003D18AD"/>
    <w:rsid w:val="003D1A72"/>
    <w:rsid w:val="003D1B39"/>
    <w:rsid w:val="003D1B46"/>
    <w:rsid w:val="003D1BF5"/>
    <w:rsid w:val="003D1C8B"/>
    <w:rsid w:val="003D1DE5"/>
    <w:rsid w:val="003D1E1B"/>
    <w:rsid w:val="003D1F69"/>
    <w:rsid w:val="003D208A"/>
    <w:rsid w:val="003D20CE"/>
    <w:rsid w:val="003D213B"/>
    <w:rsid w:val="003D2160"/>
    <w:rsid w:val="003D2236"/>
    <w:rsid w:val="003D2364"/>
    <w:rsid w:val="003D2372"/>
    <w:rsid w:val="003D2386"/>
    <w:rsid w:val="003D2656"/>
    <w:rsid w:val="003D26DB"/>
    <w:rsid w:val="003D27D0"/>
    <w:rsid w:val="003D2832"/>
    <w:rsid w:val="003D296A"/>
    <w:rsid w:val="003D2988"/>
    <w:rsid w:val="003D2A79"/>
    <w:rsid w:val="003D2B00"/>
    <w:rsid w:val="003D2B22"/>
    <w:rsid w:val="003D2C93"/>
    <w:rsid w:val="003D2D4D"/>
    <w:rsid w:val="003D2DBF"/>
    <w:rsid w:val="003D2E80"/>
    <w:rsid w:val="003D2EC0"/>
    <w:rsid w:val="003D3012"/>
    <w:rsid w:val="003D312E"/>
    <w:rsid w:val="003D3150"/>
    <w:rsid w:val="003D3159"/>
    <w:rsid w:val="003D318E"/>
    <w:rsid w:val="003D31CB"/>
    <w:rsid w:val="003D328D"/>
    <w:rsid w:val="003D32C5"/>
    <w:rsid w:val="003D3368"/>
    <w:rsid w:val="003D33E1"/>
    <w:rsid w:val="003D34F9"/>
    <w:rsid w:val="003D3572"/>
    <w:rsid w:val="003D35C2"/>
    <w:rsid w:val="003D3618"/>
    <w:rsid w:val="003D36AD"/>
    <w:rsid w:val="003D36BE"/>
    <w:rsid w:val="003D36CF"/>
    <w:rsid w:val="003D37F0"/>
    <w:rsid w:val="003D37FA"/>
    <w:rsid w:val="003D3876"/>
    <w:rsid w:val="003D3897"/>
    <w:rsid w:val="003D390E"/>
    <w:rsid w:val="003D391C"/>
    <w:rsid w:val="003D3A13"/>
    <w:rsid w:val="003D3A33"/>
    <w:rsid w:val="003D3C61"/>
    <w:rsid w:val="003D3CBA"/>
    <w:rsid w:val="003D3D3A"/>
    <w:rsid w:val="003D3D8A"/>
    <w:rsid w:val="003D3E06"/>
    <w:rsid w:val="003D3F82"/>
    <w:rsid w:val="003D3FBB"/>
    <w:rsid w:val="003D4039"/>
    <w:rsid w:val="003D408C"/>
    <w:rsid w:val="003D408F"/>
    <w:rsid w:val="003D409E"/>
    <w:rsid w:val="003D40B7"/>
    <w:rsid w:val="003D40F2"/>
    <w:rsid w:val="003D40F6"/>
    <w:rsid w:val="003D41C8"/>
    <w:rsid w:val="003D41DB"/>
    <w:rsid w:val="003D422B"/>
    <w:rsid w:val="003D4239"/>
    <w:rsid w:val="003D4258"/>
    <w:rsid w:val="003D440A"/>
    <w:rsid w:val="003D4521"/>
    <w:rsid w:val="003D45C7"/>
    <w:rsid w:val="003D4616"/>
    <w:rsid w:val="003D46C3"/>
    <w:rsid w:val="003D47A8"/>
    <w:rsid w:val="003D4832"/>
    <w:rsid w:val="003D487C"/>
    <w:rsid w:val="003D48B1"/>
    <w:rsid w:val="003D491D"/>
    <w:rsid w:val="003D494D"/>
    <w:rsid w:val="003D4962"/>
    <w:rsid w:val="003D4965"/>
    <w:rsid w:val="003D4A46"/>
    <w:rsid w:val="003D4B09"/>
    <w:rsid w:val="003D4B2B"/>
    <w:rsid w:val="003D4B8E"/>
    <w:rsid w:val="003D4B93"/>
    <w:rsid w:val="003D4BEA"/>
    <w:rsid w:val="003D4C89"/>
    <w:rsid w:val="003D4CF1"/>
    <w:rsid w:val="003D4DB6"/>
    <w:rsid w:val="003D4DD0"/>
    <w:rsid w:val="003D4DE1"/>
    <w:rsid w:val="003D4E61"/>
    <w:rsid w:val="003D4ED4"/>
    <w:rsid w:val="003D4F5A"/>
    <w:rsid w:val="003D4FCD"/>
    <w:rsid w:val="003D4FFD"/>
    <w:rsid w:val="003D50F5"/>
    <w:rsid w:val="003D5116"/>
    <w:rsid w:val="003D511A"/>
    <w:rsid w:val="003D5152"/>
    <w:rsid w:val="003D5178"/>
    <w:rsid w:val="003D5318"/>
    <w:rsid w:val="003D5345"/>
    <w:rsid w:val="003D54E7"/>
    <w:rsid w:val="003D55E0"/>
    <w:rsid w:val="003D562C"/>
    <w:rsid w:val="003D564A"/>
    <w:rsid w:val="003D56F7"/>
    <w:rsid w:val="003D57CE"/>
    <w:rsid w:val="003D5841"/>
    <w:rsid w:val="003D588B"/>
    <w:rsid w:val="003D58B8"/>
    <w:rsid w:val="003D58C3"/>
    <w:rsid w:val="003D5995"/>
    <w:rsid w:val="003D59BF"/>
    <w:rsid w:val="003D59DC"/>
    <w:rsid w:val="003D5A54"/>
    <w:rsid w:val="003D5A85"/>
    <w:rsid w:val="003D5B43"/>
    <w:rsid w:val="003D5BDD"/>
    <w:rsid w:val="003D5C74"/>
    <w:rsid w:val="003D5CEC"/>
    <w:rsid w:val="003D5CFB"/>
    <w:rsid w:val="003D5D1C"/>
    <w:rsid w:val="003D5E7B"/>
    <w:rsid w:val="003D5E9A"/>
    <w:rsid w:val="003D5EF7"/>
    <w:rsid w:val="003D5F61"/>
    <w:rsid w:val="003D5F87"/>
    <w:rsid w:val="003D5FBD"/>
    <w:rsid w:val="003D5FDB"/>
    <w:rsid w:val="003D5FFB"/>
    <w:rsid w:val="003D6086"/>
    <w:rsid w:val="003D60F4"/>
    <w:rsid w:val="003D6135"/>
    <w:rsid w:val="003D613A"/>
    <w:rsid w:val="003D6202"/>
    <w:rsid w:val="003D638F"/>
    <w:rsid w:val="003D639C"/>
    <w:rsid w:val="003D6433"/>
    <w:rsid w:val="003D6446"/>
    <w:rsid w:val="003D6456"/>
    <w:rsid w:val="003D64DF"/>
    <w:rsid w:val="003D64E6"/>
    <w:rsid w:val="003D6504"/>
    <w:rsid w:val="003D6543"/>
    <w:rsid w:val="003D65A2"/>
    <w:rsid w:val="003D669C"/>
    <w:rsid w:val="003D66A2"/>
    <w:rsid w:val="003D674C"/>
    <w:rsid w:val="003D6795"/>
    <w:rsid w:val="003D681A"/>
    <w:rsid w:val="003D68B3"/>
    <w:rsid w:val="003D69BA"/>
    <w:rsid w:val="003D69FB"/>
    <w:rsid w:val="003D69FC"/>
    <w:rsid w:val="003D6A18"/>
    <w:rsid w:val="003D6A20"/>
    <w:rsid w:val="003D6B55"/>
    <w:rsid w:val="003D6BA2"/>
    <w:rsid w:val="003D6C83"/>
    <w:rsid w:val="003D6CE1"/>
    <w:rsid w:val="003D6D3A"/>
    <w:rsid w:val="003D6DB7"/>
    <w:rsid w:val="003D6DF6"/>
    <w:rsid w:val="003D6E3F"/>
    <w:rsid w:val="003D6EE2"/>
    <w:rsid w:val="003D6FC2"/>
    <w:rsid w:val="003D7088"/>
    <w:rsid w:val="003D70BB"/>
    <w:rsid w:val="003D70F0"/>
    <w:rsid w:val="003D7131"/>
    <w:rsid w:val="003D7220"/>
    <w:rsid w:val="003D72D6"/>
    <w:rsid w:val="003D7300"/>
    <w:rsid w:val="003D7338"/>
    <w:rsid w:val="003D7371"/>
    <w:rsid w:val="003D74A0"/>
    <w:rsid w:val="003D74B3"/>
    <w:rsid w:val="003D74EC"/>
    <w:rsid w:val="003D7636"/>
    <w:rsid w:val="003D7776"/>
    <w:rsid w:val="003D780B"/>
    <w:rsid w:val="003D78C5"/>
    <w:rsid w:val="003D7910"/>
    <w:rsid w:val="003D791A"/>
    <w:rsid w:val="003D7967"/>
    <w:rsid w:val="003D797B"/>
    <w:rsid w:val="003D7A9A"/>
    <w:rsid w:val="003D7B29"/>
    <w:rsid w:val="003D7C54"/>
    <w:rsid w:val="003D7DBE"/>
    <w:rsid w:val="003D7F61"/>
    <w:rsid w:val="003E0003"/>
    <w:rsid w:val="003E0132"/>
    <w:rsid w:val="003E019D"/>
    <w:rsid w:val="003E022D"/>
    <w:rsid w:val="003E023D"/>
    <w:rsid w:val="003E02FE"/>
    <w:rsid w:val="003E03FC"/>
    <w:rsid w:val="003E048F"/>
    <w:rsid w:val="003E0716"/>
    <w:rsid w:val="003E077F"/>
    <w:rsid w:val="003E081D"/>
    <w:rsid w:val="003E0857"/>
    <w:rsid w:val="003E0897"/>
    <w:rsid w:val="003E08B7"/>
    <w:rsid w:val="003E08BD"/>
    <w:rsid w:val="003E0ACC"/>
    <w:rsid w:val="003E0B33"/>
    <w:rsid w:val="003E0B53"/>
    <w:rsid w:val="003E0B9B"/>
    <w:rsid w:val="003E0BCF"/>
    <w:rsid w:val="003E0BDE"/>
    <w:rsid w:val="003E0D32"/>
    <w:rsid w:val="003E0DB1"/>
    <w:rsid w:val="003E0DB4"/>
    <w:rsid w:val="003E0DCC"/>
    <w:rsid w:val="003E0EC1"/>
    <w:rsid w:val="003E0ECA"/>
    <w:rsid w:val="003E0F87"/>
    <w:rsid w:val="003E0FD7"/>
    <w:rsid w:val="003E1027"/>
    <w:rsid w:val="003E10A5"/>
    <w:rsid w:val="003E10D2"/>
    <w:rsid w:val="003E110C"/>
    <w:rsid w:val="003E117C"/>
    <w:rsid w:val="003E1197"/>
    <w:rsid w:val="003E11A1"/>
    <w:rsid w:val="003E11F5"/>
    <w:rsid w:val="003E1242"/>
    <w:rsid w:val="003E12A8"/>
    <w:rsid w:val="003E1347"/>
    <w:rsid w:val="003E135A"/>
    <w:rsid w:val="003E14CD"/>
    <w:rsid w:val="003E1521"/>
    <w:rsid w:val="003E15B4"/>
    <w:rsid w:val="003E15C2"/>
    <w:rsid w:val="003E1623"/>
    <w:rsid w:val="003E168F"/>
    <w:rsid w:val="003E1860"/>
    <w:rsid w:val="003E188E"/>
    <w:rsid w:val="003E18E7"/>
    <w:rsid w:val="003E19BB"/>
    <w:rsid w:val="003E19F0"/>
    <w:rsid w:val="003E19F5"/>
    <w:rsid w:val="003E1A5B"/>
    <w:rsid w:val="003E1B85"/>
    <w:rsid w:val="003E1BC4"/>
    <w:rsid w:val="003E1C05"/>
    <w:rsid w:val="003E1C23"/>
    <w:rsid w:val="003E1DBA"/>
    <w:rsid w:val="003E1E0E"/>
    <w:rsid w:val="003E1E21"/>
    <w:rsid w:val="003E1E5D"/>
    <w:rsid w:val="003E1EAA"/>
    <w:rsid w:val="003E1ED1"/>
    <w:rsid w:val="003E1EFF"/>
    <w:rsid w:val="003E1F57"/>
    <w:rsid w:val="003E1F5C"/>
    <w:rsid w:val="003E1FD6"/>
    <w:rsid w:val="003E200F"/>
    <w:rsid w:val="003E211A"/>
    <w:rsid w:val="003E219A"/>
    <w:rsid w:val="003E21AF"/>
    <w:rsid w:val="003E21C6"/>
    <w:rsid w:val="003E21E9"/>
    <w:rsid w:val="003E2215"/>
    <w:rsid w:val="003E2222"/>
    <w:rsid w:val="003E224D"/>
    <w:rsid w:val="003E239F"/>
    <w:rsid w:val="003E23F0"/>
    <w:rsid w:val="003E2425"/>
    <w:rsid w:val="003E242A"/>
    <w:rsid w:val="003E2451"/>
    <w:rsid w:val="003E248D"/>
    <w:rsid w:val="003E24AF"/>
    <w:rsid w:val="003E250D"/>
    <w:rsid w:val="003E2636"/>
    <w:rsid w:val="003E2670"/>
    <w:rsid w:val="003E269E"/>
    <w:rsid w:val="003E26F5"/>
    <w:rsid w:val="003E288F"/>
    <w:rsid w:val="003E291F"/>
    <w:rsid w:val="003E2921"/>
    <w:rsid w:val="003E2926"/>
    <w:rsid w:val="003E2A2A"/>
    <w:rsid w:val="003E2A77"/>
    <w:rsid w:val="003E2C2E"/>
    <w:rsid w:val="003E2C9A"/>
    <w:rsid w:val="003E2D93"/>
    <w:rsid w:val="003E2DB3"/>
    <w:rsid w:val="003E2E12"/>
    <w:rsid w:val="003E2E28"/>
    <w:rsid w:val="003E2EAB"/>
    <w:rsid w:val="003E2F2F"/>
    <w:rsid w:val="003E2F78"/>
    <w:rsid w:val="003E2FAF"/>
    <w:rsid w:val="003E3106"/>
    <w:rsid w:val="003E311E"/>
    <w:rsid w:val="003E3161"/>
    <w:rsid w:val="003E31DC"/>
    <w:rsid w:val="003E323C"/>
    <w:rsid w:val="003E3250"/>
    <w:rsid w:val="003E32D9"/>
    <w:rsid w:val="003E33DD"/>
    <w:rsid w:val="003E33E3"/>
    <w:rsid w:val="003E348F"/>
    <w:rsid w:val="003E3555"/>
    <w:rsid w:val="003E35B8"/>
    <w:rsid w:val="003E35DD"/>
    <w:rsid w:val="003E35F9"/>
    <w:rsid w:val="003E3611"/>
    <w:rsid w:val="003E372A"/>
    <w:rsid w:val="003E3800"/>
    <w:rsid w:val="003E3826"/>
    <w:rsid w:val="003E3844"/>
    <w:rsid w:val="003E3875"/>
    <w:rsid w:val="003E3894"/>
    <w:rsid w:val="003E389E"/>
    <w:rsid w:val="003E38A3"/>
    <w:rsid w:val="003E393D"/>
    <w:rsid w:val="003E3A4F"/>
    <w:rsid w:val="003E3A92"/>
    <w:rsid w:val="003E3B0C"/>
    <w:rsid w:val="003E3B21"/>
    <w:rsid w:val="003E3DBD"/>
    <w:rsid w:val="003E3E55"/>
    <w:rsid w:val="003E3E5D"/>
    <w:rsid w:val="003E3E6A"/>
    <w:rsid w:val="003E3E75"/>
    <w:rsid w:val="003E3EFE"/>
    <w:rsid w:val="003E4125"/>
    <w:rsid w:val="003E4145"/>
    <w:rsid w:val="003E41BB"/>
    <w:rsid w:val="003E41F2"/>
    <w:rsid w:val="003E4367"/>
    <w:rsid w:val="003E436B"/>
    <w:rsid w:val="003E4442"/>
    <w:rsid w:val="003E4451"/>
    <w:rsid w:val="003E4576"/>
    <w:rsid w:val="003E45DB"/>
    <w:rsid w:val="003E46E7"/>
    <w:rsid w:val="003E4715"/>
    <w:rsid w:val="003E482A"/>
    <w:rsid w:val="003E4880"/>
    <w:rsid w:val="003E4940"/>
    <w:rsid w:val="003E49B0"/>
    <w:rsid w:val="003E49DA"/>
    <w:rsid w:val="003E4A02"/>
    <w:rsid w:val="003E4A2C"/>
    <w:rsid w:val="003E4B27"/>
    <w:rsid w:val="003E4B47"/>
    <w:rsid w:val="003E4BC1"/>
    <w:rsid w:val="003E4BE2"/>
    <w:rsid w:val="003E4C53"/>
    <w:rsid w:val="003E4C5E"/>
    <w:rsid w:val="003E4D51"/>
    <w:rsid w:val="003E4DAA"/>
    <w:rsid w:val="003E4E5B"/>
    <w:rsid w:val="003E4EA0"/>
    <w:rsid w:val="003E4F66"/>
    <w:rsid w:val="003E4FA2"/>
    <w:rsid w:val="003E4FDF"/>
    <w:rsid w:val="003E5005"/>
    <w:rsid w:val="003E502C"/>
    <w:rsid w:val="003E5056"/>
    <w:rsid w:val="003E509A"/>
    <w:rsid w:val="003E50D7"/>
    <w:rsid w:val="003E511E"/>
    <w:rsid w:val="003E5193"/>
    <w:rsid w:val="003E51E4"/>
    <w:rsid w:val="003E51FE"/>
    <w:rsid w:val="003E5221"/>
    <w:rsid w:val="003E5295"/>
    <w:rsid w:val="003E52A6"/>
    <w:rsid w:val="003E52AC"/>
    <w:rsid w:val="003E52DB"/>
    <w:rsid w:val="003E5358"/>
    <w:rsid w:val="003E537E"/>
    <w:rsid w:val="003E5493"/>
    <w:rsid w:val="003E54D5"/>
    <w:rsid w:val="003E55A6"/>
    <w:rsid w:val="003E55B1"/>
    <w:rsid w:val="003E5612"/>
    <w:rsid w:val="003E563C"/>
    <w:rsid w:val="003E567D"/>
    <w:rsid w:val="003E5704"/>
    <w:rsid w:val="003E574D"/>
    <w:rsid w:val="003E57D2"/>
    <w:rsid w:val="003E5861"/>
    <w:rsid w:val="003E58CC"/>
    <w:rsid w:val="003E597A"/>
    <w:rsid w:val="003E59E6"/>
    <w:rsid w:val="003E5A2E"/>
    <w:rsid w:val="003E5A5D"/>
    <w:rsid w:val="003E5B51"/>
    <w:rsid w:val="003E5BB3"/>
    <w:rsid w:val="003E5D28"/>
    <w:rsid w:val="003E5D4F"/>
    <w:rsid w:val="003E5DAE"/>
    <w:rsid w:val="003E5DED"/>
    <w:rsid w:val="003E5E75"/>
    <w:rsid w:val="003E5EC6"/>
    <w:rsid w:val="003E5EFD"/>
    <w:rsid w:val="003E5F1A"/>
    <w:rsid w:val="003E5FE6"/>
    <w:rsid w:val="003E6021"/>
    <w:rsid w:val="003E626E"/>
    <w:rsid w:val="003E6287"/>
    <w:rsid w:val="003E628C"/>
    <w:rsid w:val="003E6370"/>
    <w:rsid w:val="003E637E"/>
    <w:rsid w:val="003E6467"/>
    <w:rsid w:val="003E64D4"/>
    <w:rsid w:val="003E6501"/>
    <w:rsid w:val="003E65EC"/>
    <w:rsid w:val="003E662C"/>
    <w:rsid w:val="003E6644"/>
    <w:rsid w:val="003E668A"/>
    <w:rsid w:val="003E6803"/>
    <w:rsid w:val="003E6837"/>
    <w:rsid w:val="003E6876"/>
    <w:rsid w:val="003E68CD"/>
    <w:rsid w:val="003E6987"/>
    <w:rsid w:val="003E6996"/>
    <w:rsid w:val="003E6A6C"/>
    <w:rsid w:val="003E6B16"/>
    <w:rsid w:val="003E6B43"/>
    <w:rsid w:val="003E6B53"/>
    <w:rsid w:val="003E6BAB"/>
    <w:rsid w:val="003E6C36"/>
    <w:rsid w:val="003E6C97"/>
    <w:rsid w:val="003E6CD1"/>
    <w:rsid w:val="003E6E39"/>
    <w:rsid w:val="003E6E65"/>
    <w:rsid w:val="003E6E88"/>
    <w:rsid w:val="003E6EB8"/>
    <w:rsid w:val="003E6F7A"/>
    <w:rsid w:val="003E6FF2"/>
    <w:rsid w:val="003E7027"/>
    <w:rsid w:val="003E7048"/>
    <w:rsid w:val="003E704B"/>
    <w:rsid w:val="003E70AB"/>
    <w:rsid w:val="003E70D1"/>
    <w:rsid w:val="003E7191"/>
    <w:rsid w:val="003E725D"/>
    <w:rsid w:val="003E7365"/>
    <w:rsid w:val="003E7412"/>
    <w:rsid w:val="003E742F"/>
    <w:rsid w:val="003E747E"/>
    <w:rsid w:val="003E76F0"/>
    <w:rsid w:val="003E7738"/>
    <w:rsid w:val="003E777E"/>
    <w:rsid w:val="003E7789"/>
    <w:rsid w:val="003E7797"/>
    <w:rsid w:val="003E77D9"/>
    <w:rsid w:val="003E7811"/>
    <w:rsid w:val="003E79D3"/>
    <w:rsid w:val="003E7A1A"/>
    <w:rsid w:val="003E7A1F"/>
    <w:rsid w:val="003E7B23"/>
    <w:rsid w:val="003E7C48"/>
    <w:rsid w:val="003E7C91"/>
    <w:rsid w:val="003E7E0F"/>
    <w:rsid w:val="003E7E43"/>
    <w:rsid w:val="003E7E7B"/>
    <w:rsid w:val="003E7E8F"/>
    <w:rsid w:val="003E7EBA"/>
    <w:rsid w:val="003E7F4A"/>
    <w:rsid w:val="003F000E"/>
    <w:rsid w:val="003F00BC"/>
    <w:rsid w:val="003F0131"/>
    <w:rsid w:val="003F01FA"/>
    <w:rsid w:val="003F0207"/>
    <w:rsid w:val="003F02BB"/>
    <w:rsid w:val="003F0363"/>
    <w:rsid w:val="003F03A0"/>
    <w:rsid w:val="003F03CF"/>
    <w:rsid w:val="003F0475"/>
    <w:rsid w:val="003F04A7"/>
    <w:rsid w:val="003F04B9"/>
    <w:rsid w:val="003F053D"/>
    <w:rsid w:val="003F05E0"/>
    <w:rsid w:val="003F064E"/>
    <w:rsid w:val="003F06ED"/>
    <w:rsid w:val="003F06F0"/>
    <w:rsid w:val="003F09C9"/>
    <w:rsid w:val="003F09DA"/>
    <w:rsid w:val="003F0A0C"/>
    <w:rsid w:val="003F0B84"/>
    <w:rsid w:val="003F0B9E"/>
    <w:rsid w:val="003F0BF4"/>
    <w:rsid w:val="003F0C0F"/>
    <w:rsid w:val="003F0C1A"/>
    <w:rsid w:val="003F0C1C"/>
    <w:rsid w:val="003F0C2A"/>
    <w:rsid w:val="003F0D7B"/>
    <w:rsid w:val="003F0F62"/>
    <w:rsid w:val="003F0F63"/>
    <w:rsid w:val="003F0FB0"/>
    <w:rsid w:val="003F1017"/>
    <w:rsid w:val="003F1032"/>
    <w:rsid w:val="003F10F1"/>
    <w:rsid w:val="003F11BF"/>
    <w:rsid w:val="003F11DF"/>
    <w:rsid w:val="003F1235"/>
    <w:rsid w:val="003F12AC"/>
    <w:rsid w:val="003F133D"/>
    <w:rsid w:val="003F1347"/>
    <w:rsid w:val="003F134A"/>
    <w:rsid w:val="003F13B5"/>
    <w:rsid w:val="003F13FD"/>
    <w:rsid w:val="003F1408"/>
    <w:rsid w:val="003F14D3"/>
    <w:rsid w:val="003F154B"/>
    <w:rsid w:val="003F156B"/>
    <w:rsid w:val="003F1582"/>
    <w:rsid w:val="003F15E1"/>
    <w:rsid w:val="003F15F5"/>
    <w:rsid w:val="003F15FB"/>
    <w:rsid w:val="003F161C"/>
    <w:rsid w:val="003F1633"/>
    <w:rsid w:val="003F1713"/>
    <w:rsid w:val="003F1763"/>
    <w:rsid w:val="003F178E"/>
    <w:rsid w:val="003F188E"/>
    <w:rsid w:val="003F199E"/>
    <w:rsid w:val="003F19C9"/>
    <w:rsid w:val="003F1A2C"/>
    <w:rsid w:val="003F1D76"/>
    <w:rsid w:val="003F1E86"/>
    <w:rsid w:val="003F1EA2"/>
    <w:rsid w:val="003F1F1C"/>
    <w:rsid w:val="003F1F33"/>
    <w:rsid w:val="003F1FA7"/>
    <w:rsid w:val="003F2026"/>
    <w:rsid w:val="003F2068"/>
    <w:rsid w:val="003F206B"/>
    <w:rsid w:val="003F20D5"/>
    <w:rsid w:val="003F21F7"/>
    <w:rsid w:val="003F2254"/>
    <w:rsid w:val="003F2336"/>
    <w:rsid w:val="003F23DF"/>
    <w:rsid w:val="003F24D8"/>
    <w:rsid w:val="003F253C"/>
    <w:rsid w:val="003F25D9"/>
    <w:rsid w:val="003F26D4"/>
    <w:rsid w:val="003F2730"/>
    <w:rsid w:val="003F276A"/>
    <w:rsid w:val="003F276B"/>
    <w:rsid w:val="003F2801"/>
    <w:rsid w:val="003F282E"/>
    <w:rsid w:val="003F286A"/>
    <w:rsid w:val="003F28A0"/>
    <w:rsid w:val="003F292D"/>
    <w:rsid w:val="003F2975"/>
    <w:rsid w:val="003F298A"/>
    <w:rsid w:val="003F29DF"/>
    <w:rsid w:val="003F2A7E"/>
    <w:rsid w:val="003F2ADB"/>
    <w:rsid w:val="003F2B01"/>
    <w:rsid w:val="003F2CF2"/>
    <w:rsid w:val="003F2D7B"/>
    <w:rsid w:val="003F2EA9"/>
    <w:rsid w:val="003F2F81"/>
    <w:rsid w:val="003F2FAB"/>
    <w:rsid w:val="003F2FE0"/>
    <w:rsid w:val="003F3018"/>
    <w:rsid w:val="003F303A"/>
    <w:rsid w:val="003F3068"/>
    <w:rsid w:val="003F3077"/>
    <w:rsid w:val="003F308C"/>
    <w:rsid w:val="003F3161"/>
    <w:rsid w:val="003F3167"/>
    <w:rsid w:val="003F317A"/>
    <w:rsid w:val="003F3191"/>
    <w:rsid w:val="003F319B"/>
    <w:rsid w:val="003F321B"/>
    <w:rsid w:val="003F323D"/>
    <w:rsid w:val="003F3318"/>
    <w:rsid w:val="003F347A"/>
    <w:rsid w:val="003F34AB"/>
    <w:rsid w:val="003F34B6"/>
    <w:rsid w:val="003F34F1"/>
    <w:rsid w:val="003F3562"/>
    <w:rsid w:val="003F359E"/>
    <w:rsid w:val="003F369F"/>
    <w:rsid w:val="003F379E"/>
    <w:rsid w:val="003F38D5"/>
    <w:rsid w:val="003F3902"/>
    <w:rsid w:val="003F3953"/>
    <w:rsid w:val="003F3965"/>
    <w:rsid w:val="003F399B"/>
    <w:rsid w:val="003F39CE"/>
    <w:rsid w:val="003F3A00"/>
    <w:rsid w:val="003F3A09"/>
    <w:rsid w:val="003F3A2E"/>
    <w:rsid w:val="003F3A53"/>
    <w:rsid w:val="003F3B77"/>
    <w:rsid w:val="003F3B8F"/>
    <w:rsid w:val="003F3C3D"/>
    <w:rsid w:val="003F3CAA"/>
    <w:rsid w:val="003F3D90"/>
    <w:rsid w:val="003F3DA9"/>
    <w:rsid w:val="003F3DC9"/>
    <w:rsid w:val="003F3E1A"/>
    <w:rsid w:val="003F3E53"/>
    <w:rsid w:val="003F3F1B"/>
    <w:rsid w:val="003F3FE4"/>
    <w:rsid w:val="003F42F9"/>
    <w:rsid w:val="003F4326"/>
    <w:rsid w:val="003F4412"/>
    <w:rsid w:val="003F4507"/>
    <w:rsid w:val="003F454F"/>
    <w:rsid w:val="003F4555"/>
    <w:rsid w:val="003F457D"/>
    <w:rsid w:val="003F4626"/>
    <w:rsid w:val="003F4673"/>
    <w:rsid w:val="003F4689"/>
    <w:rsid w:val="003F46AA"/>
    <w:rsid w:val="003F4738"/>
    <w:rsid w:val="003F47AC"/>
    <w:rsid w:val="003F4828"/>
    <w:rsid w:val="003F48D9"/>
    <w:rsid w:val="003F4908"/>
    <w:rsid w:val="003F4928"/>
    <w:rsid w:val="003F4980"/>
    <w:rsid w:val="003F49B3"/>
    <w:rsid w:val="003F4B8F"/>
    <w:rsid w:val="003F4D23"/>
    <w:rsid w:val="003F4D3C"/>
    <w:rsid w:val="003F4EBC"/>
    <w:rsid w:val="003F4FB1"/>
    <w:rsid w:val="003F50CC"/>
    <w:rsid w:val="003F5105"/>
    <w:rsid w:val="003F5165"/>
    <w:rsid w:val="003F5192"/>
    <w:rsid w:val="003F5228"/>
    <w:rsid w:val="003F5297"/>
    <w:rsid w:val="003F52AC"/>
    <w:rsid w:val="003F53D9"/>
    <w:rsid w:val="003F5441"/>
    <w:rsid w:val="003F544B"/>
    <w:rsid w:val="003F55BD"/>
    <w:rsid w:val="003F55DF"/>
    <w:rsid w:val="003F5669"/>
    <w:rsid w:val="003F5719"/>
    <w:rsid w:val="003F573C"/>
    <w:rsid w:val="003F5746"/>
    <w:rsid w:val="003F58A4"/>
    <w:rsid w:val="003F58AA"/>
    <w:rsid w:val="003F591C"/>
    <w:rsid w:val="003F5977"/>
    <w:rsid w:val="003F5A72"/>
    <w:rsid w:val="003F5A9A"/>
    <w:rsid w:val="003F5A9F"/>
    <w:rsid w:val="003F5B01"/>
    <w:rsid w:val="003F5B05"/>
    <w:rsid w:val="003F5C6E"/>
    <w:rsid w:val="003F5C8C"/>
    <w:rsid w:val="003F5CE1"/>
    <w:rsid w:val="003F5CE5"/>
    <w:rsid w:val="003F5D94"/>
    <w:rsid w:val="003F5DA7"/>
    <w:rsid w:val="003F5E1E"/>
    <w:rsid w:val="003F5EA0"/>
    <w:rsid w:val="003F5F39"/>
    <w:rsid w:val="003F5F96"/>
    <w:rsid w:val="003F601B"/>
    <w:rsid w:val="003F6048"/>
    <w:rsid w:val="003F6049"/>
    <w:rsid w:val="003F604A"/>
    <w:rsid w:val="003F6106"/>
    <w:rsid w:val="003F6181"/>
    <w:rsid w:val="003F61C4"/>
    <w:rsid w:val="003F61E3"/>
    <w:rsid w:val="003F623D"/>
    <w:rsid w:val="003F6317"/>
    <w:rsid w:val="003F63A2"/>
    <w:rsid w:val="003F63EB"/>
    <w:rsid w:val="003F64A5"/>
    <w:rsid w:val="003F64CB"/>
    <w:rsid w:val="003F65BC"/>
    <w:rsid w:val="003F6657"/>
    <w:rsid w:val="003F66C5"/>
    <w:rsid w:val="003F6726"/>
    <w:rsid w:val="003F6729"/>
    <w:rsid w:val="003F677D"/>
    <w:rsid w:val="003F6A48"/>
    <w:rsid w:val="003F6AB7"/>
    <w:rsid w:val="003F6AD6"/>
    <w:rsid w:val="003F6BE4"/>
    <w:rsid w:val="003F6CAB"/>
    <w:rsid w:val="003F6E1B"/>
    <w:rsid w:val="003F6E1D"/>
    <w:rsid w:val="003F6F16"/>
    <w:rsid w:val="003F6F2E"/>
    <w:rsid w:val="003F6F87"/>
    <w:rsid w:val="003F6F89"/>
    <w:rsid w:val="003F7093"/>
    <w:rsid w:val="003F7159"/>
    <w:rsid w:val="003F7174"/>
    <w:rsid w:val="003F71E0"/>
    <w:rsid w:val="003F72B8"/>
    <w:rsid w:val="003F72EE"/>
    <w:rsid w:val="003F72F8"/>
    <w:rsid w:val="003F7304"/>
    <w:rsid w:val="003F730D"/>
    <w:rsid w:val="003F7464"/>
    <w:rsid w:val="003F75FC"/>
    <w:rsid w:val="003F760C"/>
    <w:rsid w:val="003F765F"/>
    <w:rsid w:val="003F772C"/>
    <w:rsid w:val="003F7800"/>
    <w:rsid w:val="003F78E3"/>
    <w:rsid w:val="003F797E"/>
    <w:rsid w:val="003F79B0"/>
    <w:rsid w:val="003F7B08"/>
    <w:rsid w:val="003F7C3C"/>
    <w:rsid w:val="003F7C80"/>
    <w:rsid w:val="003F7CD7"/>
    <w:rsid w:val="003F7E59"/>
    <w:rsid w:val="003F7E73"/>
    <w:rsid w:val="003F7F07"/>
    <w:rsid w:val="003F7F6F"/>
    <w:rsid w:val="003F7F87"/>
    <w:rsid w:val="003F7F8F"/>
    <w:rsid w:val="00400025"/>
    <w:rsid w:val="004001B4"/>
    <w:rsid w:val="004003D2"/>
    <w:rsid w:val="0040041F"/>
    <w:rsid w:val="0040047C"/>
    <w:rsid w:val="004004CF"/>
    <w:rsid w:val="0040053C"/>
    <w:rsid w:val="00400656"/>
    <w:rsid w:val="004006F1"/>
    <w:rsid w:val="0040076E"/>
    <w:rsid w:val="00400780"/>
    <w:rsid w:val="00400785"/>
    <w:rsid w:val="004007C4"/>
    <w:rsid w:val="004007F4"/>
    <w:rsid w:val="00400887"/>
    <w:rsid w:val="00400895"/>
    <w:rsid w:val="00400997"/>
    <w:rsid w:val="004009D2"/>
    <w:rsid w:val="00400A44"/>
    <w:rsid w:val="00400BA3"/>
    <w:rsid w:val="00400BC8"/>
    <w:rsid w:val="00400C16"/>
    <w:rsid w:val="00400D10"/>
    <w:rsid w:val="00400DEB"/>
    <w:rsid w:val="00400E76"/>
    <w:rsid w:val="00400E92"/>
    <w:rsid w:val="00400EE9"/>
    <w:rsid w:val="00400F19"/>
    <w:rsid w:val="00400F4D"/>
    <w:rsid w:val="00400FEB"/>
    <w:rsid w:val="004010B2"/>
    <w:rsid w:val="00401108"/>
    <w:rsid w:val="00401120"/>
    <w:rsid w:val="0040112F"/>
    <w:rsid w:val="00401153"/>
    <w:rsid w:val="00401237"/>
    <w:rsid w:val="00401257"/>
    <w:rsid w:val="00401280"/>
    <w:rsid w:val="004012CA"/>
    <w:rsid w:val="00401302"/>
    <w:rsid w:val="00401391"/>
    <w:rsid w:val="004013AD"/>
    <w:rsid w:val="004013D7"/>
    <w:rsid w:val="00401447"/>
    <w:rsid w:val="00401469"/>
    <w:rsid w:val="00401479"/>
    <w:rsid w:val="004015BD"/>
    <w:rsid w:val="00401646"/>
    <w:rsid w:val="00401673"/>
    <w:rsid w:val="004016CA"/>
    <w:rsid w:val="004017B8"/>
    <w:rsid w:val="004017D0"/>
    <w:rsid w:val="004018AC"/>
    <w:rsid w:val="0040190D"/>
    <w:rsid w:val="0040196A"/>
    <w:rsid w:val="00401A9F"/>
    <w:rsid w:val="00401AB7"/>
    <w:rsid w:val="00401BEF"/>
    <w:rsid w:val="00401BF4"/>
    <w:rsid w:val="00401C76"/>
    <w:rsid w:val="00401C7E"/>
    <w:rsid w:val="00401CE3"/>
    <w:rsid w:val="00401D8E"/>
    <w:rsid w:val="00401DF2"/>
    <w:rsid w:val="00401E20"/>
    <w:rsid w:val="00401EB9"/>
    <w:rsid w:val="00401F51"/>
    <w:rsid w:val="00401F57"/>
    <w:rsid w:val="00401F81"/>
    <w:rsid w:val="00401FE7"/>
    <w:rsid w:val="00401FEE"/>
    <w:rsid w:val="0040200B"/>
    <w:rsid w:val="0040208D"/>
    <w:rsid w:val="00402234"/>
    <w:rsid w:val="0040224F"/>
    <w:rsid w:val="0040228E"/>
    <w:rsid w:val="00402312"/>
    <w:rsid w:val="00402370"/>
    <w:rsid w:val="0040259A"/>
    <w:rsid w:val="004025A4"/>
    <w:rsid w:val="004025E4"/>
    <w:rsid w:val="0040275F"/>
    <w:rsid w:val="0040284A"/>
    <w:rsid w:val="00402898"/>
    <w:rsid w:val="004028D2"/>
    <w:rsid w:val="00402927"/>
    <w:rsid w:val="00402945"/>
    <w:rsid w:val="0040295D"/>
    <w:rsid w:val="00402984"/>
    <w:rsid w:val="004029E3"/>
    <w:rsid w:val="00402AF2"/>
    <w:rsid w:val="00402B32"/>
    <w:rsid w:val="00402B5E"/>
    <w:rsid w:val="00402B85"/>
    <w:rsid w:val="00402BA2"/>
    <w:rsid w:val="00402BC1"/>
    <w:rsid w:val="00402C57"/>
    <w:rsid w:val="00402C71"/>
    <w:rsid w:val="00402CF1"/>
    <w:rsid w:val="00402D91"/>
    <w:rsid w:val="00402DA4"/>
    <w:rsid w:val="00402E10"/>
    <w:rsid w:val="00402E88"/>
    <w:rsid w:val="00402E8F"/>
    <w:rsid w:val="00402EAD"/>
    <w:rsid w:val="00402EDF"/>
    <w:rsid w:val="00402F56"/>
    <w:rsid w:val="00402F5D"/>
    <w:rsid w:val="00402F70"/>
    <w:rsid w:val="00403101"/>
    <w:rsid w:val="00403173"/>
    <w:rsid w:val="004031E0"/>
    <w:rsid w:val="00403269"/>
    <w:rsid w:val="00403305"/>
    <w:rsid w:val="00403331"/>
    <w:rsid w:val="004033CF"/>
    <w:rsid w:val="0040343F"/>
    <w:rsid w:val="0040346D"/>
    <w:rsid w:val="004035C6"/>
    <w:rsid w:val="00403615"/>
    <w:rsid w:val="004038FF"/>
    <w:rsid w:val="004039FC"/>
    <w:rsid w:val="00403A1F"/>
    <w:rsid w:val="00403A23"/>
    <w:rsid w:val="00403A4C"/>
    <w:rsid w:val="00403B39"/>
    <w:rsid w:val="00403BB1"/>
    <w:rsid w:val="00403BC4"/>
    <w:rsid w:val="00403C02"/>
    <w:rsid w:val="00403C08"/>
    <w:rsid w:val="00403C98"/>
    <w:rsid w:val="00403CD6"/>
    <w:rsid w:val="00403D06"/>
    <w:rsid w:val="00403D0C"/>
    <w:rsid w:val="00403D55"/>
    <w:rsid w:val="00403DAF"/>
    <w:rsid w:val="00403DC2"/>
    <w:rsid w:val="00403E56"/>
    <w:rsid w:val="00403EA9"/>
    <w:rsid w:val="00403F7C"/>
    <w:rsid w:val="0040406D"/>
    <w:rsid w:val="00404094"/>
    <w:rsid w:val="004040E5"/>
    <w:rsid w:val="004040F8"/>
    <w:rsid w:val="00404278"/>
    <w:rsid w:val="004042A5"/>
    <w:rsid w:val="0040435E"/>
    <w:rsid w:val="00404364"/>
    <w:rsid w:val="004043BE"/>
    <w:rsid w:val="00404467"/>
    <w:rsid w:val="004044C6"/>
    <w:rsid w:val="004045A6"/>
    <w:rsid w:val="004045BB"/>
    <w:rsid w:val="004045C1"/>
    <w:rsid w:val="0040460D"/>
    <w:rsid w:val="00404650"/>
    <w:rsid w:val="004046F0"/>
    <w:rsid w:val="0040475A"/>
    <w:rsid w:val="004047E9"/>
    <w:rsid w:val="00404832"/>
    <w:rsid w:val="0040488D"/>
    <w:rsid w:val="00404A97"/>
    <w:rsid w:val="00404AE0"/>
    <w:rsid w:val="00404B3A"/>
    <w:rsid w:val="00404B89"/>
    <w:rsid w:val="00404C70"/>
    <w:rsid w:val="00404CD5"/>
    <w:rsid w:val="00404D2A"/>
    <w:rsid w:val="00404DB1"/>
    <w:rsid w:val="00404F43"/>
    <w:rsid w:val="00404FCB"/>
    <w:rsid w:val="0040502B"/>
    <w:rsid w:val="00405167"/>
    <w:rsid w:val="00405191"/>
    <w:rsid w:val="00405201"/>
    <w:rsid w:val="0040522E"/>
    <w:rsid w:val="004052CE"/>
    <w:rsid w:val="00405307"/>
    <w:rsid w:val="00405395"/>
    <w:rsid w:val="0040539B"/>
    <w:rsid w:val="004053C6"/>
    <w:rsid w:val="004053CE"/>
    <w:rsid w:val="00405469"/>
    <w:rsid w:val="00405474"/>
    <w:rsid w:val="0040549F"/>
    <w:rsid w:val="0040560D"/>
    <w:rsid w:val="00405687"/>
    <w:rsid w:val="004056ED"/>
    <w:rsid w:val="004056EF"/>
    <w:rsid w:val="00405705"/>
    <w:rsid w:val="00405738"/>
    <w:rsid w:val="00405831"/>
    <w:rsid w:val="00405847"/>
    <w:rsid w:val="004059C9"/>
    <w:rsid w:val="00405AC1"/>
    <w:rsid w:val="00405B9F"/>
    <w:rsid w:val="00405BE1"/>
    <w:rsid w:val="00405CC2"/>
    <w:rsid w:val="00405CC9"/>
    <w:rsid w:val="00405D35"/>
    <w:rsid w:val="00405D77"/>
    <w:rsid w:val="00405E68"/>
    <w:rsid w:val="00405F14"/>
    <w:rsid w:val="00405F4E"/>
    <w:rsid w:val="00405FF2"/>
    <w:rsid w:val="00406082"/>
    <w:rsid w:val="004060DC"/>
    <w:rsid w:val="0040610E"/>
    <w:rsid w:val="0040611B"/>
    <w:rsid w:val="00406216"/>
    <w:rsid w:val="00406231"/>
    <w:rsid w:val="004062A2"/>
    <w:rsid w:val="00406370"/>
    <w:rsid w:val="004063D2"/>
    <w:rsid w:val="0040647B"/>
    <w:rsid w:val="0040656A"/>
    <w:rsid w:val="004065F9"/>
    <w:rsid w:val="004066B2"/>
    <w:rsid w:val="004066C5"/>
    <w:rsid w:val="00406760"/>
    <w:rsid w:val="0040678E"/>
    <w:rsid w:val="004068D1"/>
    <w:rsid w:val="00406975"/>
    <w:rsid w:val="004069AC"/>
    <w:rsid w:val="00406AF1"/>
    <w:rsid w:val="00406B38"/>
    <w:rsid w:val="00406B47"/>
    <w:rsid w:val="00406B9F"/>
    <w:rsid w:val="00406D86"/>
    <w:rsid w:val="00406E19"/>
    <w:rsid w:val="00406E25"/>
    <w:rsid w:val="00406E55"/>
    <w:rsid w:val="00406E9E"/>
    <w:rsid w:val="00406F2F"/>
    <w:rsid w:val="00406F38"/>
    <w:rsid w:val="00406F63"/>
    <w:rsid w:val="00406FA3"/>
    <w:rsid w:val="00406FB4"/>
    <w:rsid w:val="00407043"/>
    <w:rsid w:val="00407066"/>
    <w:rsid w:val="004070A1"/>
    <w:rsid w:val="00407102"/>
    <w:rsid w:val="00407141"/>
    <w:rsid w:val="00407226"/>
    <w:rsid w:val="004073DB"/>
    <w:rsid w:val="0040741D"/>
    <w:rsid w:val="00407435"/>
    <w:rsid w:val="004074C1"/>
    <w:rsid w:val="004074D5"/>
    <w:rsid w:val="004075C9"/>
    <w:rsid w:val="00407701"/>
    <w:rsid w:val="004077C9"/>
    <w:rsid w:val="0040785E"/>
    <w:rsid w:val="004078ED"/>
    <w:rsid w:val="0040795F"/>
    <w:rsid w:val="00407993"/>
    <w:rsid w:val="00407ABE"/>
    <w:rsid w:val="00407ADA"/>
    <w:rsid w:val="00407B5C"/>
    <w:rsid w:val="00407BA5"/>
    <w:rsid w:val="00407C69"/>
    <w:rsid w:val="00407DC8"/>
    <w:rsid w:val="00407DF2"/>
    <w:rsid w:val="00407F4C"/>
    <w:rsid w:val="00407F74"/>
    <w:rsid w:val="00410044"/>
    <w:rsid w:val="004100F0"/>
    <w:rsid w:val="00410241"/>
    <w:rsid w:val="0041029B"/>
    <w:rsid w:val="00410331"/>
    <w:rsid w:val="0041035B"/>
    <w:rsid w:val="004103E6"/>
    <w:rsid w:val="00410449"/>
    <w:rsid w:val="004104B5"/>
    <w:rsid w:val="004105A3"/>
    <w:rsid w:val="004105DD"/>
    <w:rsid w:val="0041066B"/>
    <w:rsid w:val="0041069A"/>
    <w:rsid w:val="00410703"/>
    <w:rsid w:val="0041070A"/>
    <w:rsid w:val="00410755"/>
    <w:rsid w:val="00410773"/>
    <w:rsid w:val="0041079F"/>
    <w:rsid w:val="004107BC"/>
    <w:rsid w:val="00410821"/>
    <w:rsid w:val="00410888"/>
    <w:rsid w:val="00410924"/>
    <w:rsid w:val="004109BD"/>
    <w:rsid w:val="004109F7"/>
    <w:rsid w:val="00410A30"/>
    <w:rsid w:val="00410ABC"/>
    <w:rsid w:val="00410AFA"/>
    <w:rsid w:val="00410AFD"/>
    <w:rsid w:val="00410B16"/>
    <w:rsid w:val="00410B82"/>
    <w:rsid w:val="00410C67"/>
    <w:rsid w:val="00410D01"/>
    <w:rsid w:val="00410D71"/>
    <w:rsid w:val="00410DC6"/>
    <w:rsid w:val="00410E04"/>
    <w:rsid w:val="00410E88"/>
    <w:rsid w:val="00410FB1"/>
    <w:rsid w:val="0041101C"/>
    <w:rsid w:val="00411265"/>
    <w:rsid w:val="00411267"/>
    <w:rsid w:val="004112B4"/>
    <w:rsid w:val="0041134F"/>
    <w:rsid w:val="0041138B"/>
    <w:rsid w:val="004114D8"/>
    <w:rsid w:val="00411546"/>
    <w:rsid w:val="0041157F"/>
    <w:rsid w:val="0041160F"/>
    <w:rsid w:val="004116B0"/>
    <w:rsid w:val="00411784"/>
    <w:rsid w:val="00411833"/>
    <w:rsid w:val="004118D3"/>
    <w:rsid w:val="0041199F"/>
    <w:rsid w:val="004119CA"/>
    <w:rsid w:val="004119D5"/>
    <w:rsid w:val="00411B24"/>
    <w:rsid w:val="00411B4B"/>
    <w:rsid w:val="00411B90"/>
    <w:rsid w:val="00411BF4"/>
    <w:rsid w:val="00411DE0"/>
    <w:rsid w:val="00411F19"/>
    <w:rsid w:val="00411F43"/>
    <w:rsid w:val="00411F5C"/>
    <w:rsid w:val="00411F70"/>
    <w:rsid w:val="00411FBF"/>
    <w:rsid w:val="00411FF0"/>
    <w:rsid w:val="00412061"/>
    <w:rsid w:val="004120E6"/>
    <w:rsid w:val="00412129"/>
    <w:rsid w:val="004121EC"/>
    <w:rsid w:val="0041222C"/>
    <w:rsid w:val="00412260"/>
    <w:rsid w:val="00412266"/>
    <w:rsid w:val="004122D9"/>
    <w:rsid w:val="00412335"/>
    <w:rsid w:val="004123A9"/>
    <w:rsid w:val="004123DC"/>
    <w:rsid w:val="0041241C"/>
    <w:rsid w:val="004124D7"/>
    <w:rsid w:val="00412619"/>
    <w:rsid w:val="004126C0"/>
    <w:rsid w:val="00412704"/>
    <w:rsid w:val="004127C5"/>
    <w:rsid w:val="004127DF"/>
    <w:rsid w:val="004129C0"/>
    <w:rsid w:val="004129EE"/>
    <w:rsid w:val="00412BA9"/>
    <w:rsid w:val="00412D36"/>
    <w:rsid w:val="00412D52"/>
    <w:rsid w:val="00412D92"/>
    <w:rsid w:val="00412DF7"/>
    <w:rsid w:val="00412DF9"/>
    <w:rsid w:val="00412E38"/>
    <w:rsid w:val="00412EB4"/>
    <w:rsid w:val="00412F64"/>
    <w:rsid w:val="00412FF6"/>
    <w:rsid w:val="004130CA"/>
    <w:rsid w:val="0041310C"/>
    <w:rsid w:val="00413136"/>
    <w:rsid w:val="004132AA"/>
    <w:rsid w:val="004132B0"/>
    <w:rsid w:val="004132DD"/>
    <w:rsid w:val="004132E0"/>
    <w:rsid w:val="00413422"/>
    <w:rsid w:val="0041344D"/>
    <w:rsid w:val="00413473"/>
    <w:rsid w:val="0041352A"/>
    <w:rsid w:val="00413532"/>
    <w:rsid w:val="0041354B"/>
    <w:rsid w:val="004136B6"/>
    <w:rsid w:val="004137C6"/>
    <w:rsid w:val="004137F2"/>
    <w:rsid w:val="004138B9"/>
    <w:rsid w:val="004138FC"/>
    <w:rsid w:val="00413977"/>
    <w:rsid w:val="004139E8"/>
    <w:rsid w:val="00413A33"/>
    <w:rsid w:val="00413C10"/>
    <w:rsid w:val="00413C37"/>
    <w:rsid w:val="00413D9A"/>
    <w:rsid w:val="00413DCD"/>
    <w:rsid w:val="00413E5A"/>
    <w:rsid w:val="00413ED1"/>
    <w:rsid w:val="00414056"/>
    <w:rsid w:val="0041405A"/>
    <w:rsid w:val="00414086"/>
    <w:rsid w:val="0041408B"/>
    <w:rsid w:val="0041416A"/>
    <w:rsid w:val="0041416D"/>
    <w:rsid w:val="004141C2"/>
    <w:rsid w:val="00414332"/>
    <w:rsid w:val="00414394"/>
    <w:rsid w:val="004143E9"/>
    <w:rsid w:val="0041441D"/>
    <w:rsid w:val="00414430"/>
    <w:rsid w:val="00414455"/>
    <w:rsid w:val="004145E2"/>
    <w:rsid w:val="004146B5"/>
    <w:rsid w:val="00414724"/>
    <w:rsid w:val="00414770"/>
    <w:rsid w:val="004147D9"/>
    <w:rsid w:val="004147DF"/>
    <w:rsid w:val="004147EB"/>
    <w:rsid w:val="004148B9"/>
    <w:rsid w:val="0041498B"/>
    <w:rsid w:val="004149AD"/>
    <w:rsid w:val="004149B4"/>
    <w:rsid w:val="004149F6"/>
    <w:rsid w:val="00414AB8"/>
    <w:rsid w:val="00414AC7"/>
    <w:rsid w:val="00414AD8"/>
    <w:rsid w:val="00414B83"/>
    <w:rsid w:val="00414BC0"/>
    <w:rsid w:val="00414CD8"/>
    <w:rsid w:val="00414D9B"/>
    <w:rsid w:val="00414DEA"/>
    <w:rsid w:val="00414DF2"/>
    <w:rsid w:val="00414DFD"/>
    <w:rsid w:val="00414EC7"/>
    <w:rsid w:val="00414ED9"/>
    <w:rsid w:val="00414EE0"/>
    <w:rsid w:val="00414F75"/>
    <w:rsid w:val="00415090"/>
    <w:rsid w:val="004151A6"/>
    <w:rsid w:val="00415224"/>
    <w:rsid w:val="00415258"/>
    <w:rsid w:val="00415267"/>
    <w:rsid w:val="00415273"/>
    <w:rsid w:val="0041527B"/>
    <w:rsid w:val="004152A7"/>
    <w:rsid w:val="004152AF"/>
    <w:rsid w:val="00415320"/>
    <w:rsid w:val="004153B5"/>
    <w:rsid w:val="004153B8"/>
    <w:rsid w:val="004154F2"/>
    <w:rsid w:val="004155A6"/>
    <w:rsid w:val="0041562A"/>
    <w:rsid w:val="00415646"/>
    <w:rsid w:val="00415721"/>
    <w:rsid w:val="00415767"/>
    <w:rsid w:val="004157DB"/>
    <w:rsid w:val="0041581A"/>
    <w:rsid w:val="00415821"/>
    <w:rsid w:val="00415912"/>
    <w:rsid w:val="00415967"/>
    <w:rsid w:val="00415975"/>
    <w:rsid w:val="0041598C"/>
    <w:rsid w:val="00415A13"/>
    <w:rsid w:val="00415A74"/>
    <w:rsid w:val="00415AF4"/>
    <w:rsid w:val="00415C48"/>
    <w:rsid w:val="00415C7B"/>
    <w:rsid w:val="00415C8F"/>
    <w:rsid w:val="00415D8B"/>
    <w:rsid w:val="00415F01"/>
    <w:rsid w:val="00415F11"/>
    <w:rsid w:val="00415F22"/>
    <w:rsid w:val="00415F99"/>
    <w:rsid w:val="0041600F"/>
    <w:rsid w:val="0041605B"/>
    <w:rsid w:val="00416080"/>
    <w:rsid w:val="004162A5"/>
    <w:rsid w:val="0041630C"/>
    <w:rsid w:val="00416355"/>
    <w:rsid w:val="0041638D"/>
    <w:rsid w:val="004163C3"/>
    <w:rsid w:val="004163CB"/>
    <w:rsid w:val="00416471"/>
    <w:rsid w:val="00416532"/>
    <w:rsid w:val="00416637"/>
    <w:rsid w:val="0041678D"/>
    <w:rsid w:val="00416807"/>
    <w:rsid w:val="00416858"/>
    <w:rsid w:val="00416864"/>
    <w:rsid w:val="00416880"/>
    <w:rsid w:val="0041692D"/>
    <w:rsid w:val="0041699F"/>
    <w:rsid w:val="004169D0"/>
    <w:rsid w:val="004169D2"/>
    <w:rsid w:val="00416AF5"/>
    <w:rsid w:val="00416B45"/>
    <w:rsid w:val="00416BE6"/>
    <w:rsid w:val="00416CB4"/>
    <w:rsid w:val="00416D46"/>
    <w:rsid w:val="00416D8B"/>
    <w:rsid w:val="00416D9B"/>
    <w:rsid w:val="00416DBE"/>
    <w:rsid w:val="00416DC4"/>
    <w:rsid w:val="00416E7A"/>
    <w:rsid w:val="00416FC3"/>
    <w:rsid w:val="0041704E"/>
    <w:rsid w:val="0041706F"/>
    <w:rsid w:val="0041708E"/>
    <w:rsid w:val="00417154"/>
    <w:rsid w:val="00417207"/>
    <w:rsid w:val="0041728D"/>
    <w:rsid w:val="004172A0"/>
    <w:rsid w:val="0041731B"/>
    <w:rsid w:val="004173CE"/>
    <w:rsid w:val="00417416"/>
    <w:rsid w:val="00417421"/>
    <w:rsid w:val="004174C3"/>
    <w:rsid w:val="004174C4"/>
    <w:rsid w:val="004174E5"/>
    <w:rsid w:val="00417516"/>
    <w:rsid w:val="00417582"/>
    <w:rsid w:val="004175F5"/>
    <w:rsid w:val="00417649"/>
    <w:rsid w:val="00417775"/>
    <w:rsid w:val="004177DD"/>
    <w:rsid w:val="0041782A"/>
    <w:rsid w:val="0041782E"/>
    <w:rsid w:val="0041788A"/>
    <w:rsid w:val="004178FB"/>
    <w:rsid w:val="00417904"/>
    <w:rsid w:val="00417A43"/>
    <w:rsid w:val="00417A44"/>
    <w:rsid w:val="00417AB4"/>
    <w:rsid w:val="00417B37"/>
    <w:rsid w:val="00417BEB"/>
    <w:rsid w:val="00417C5D"/>
    <w:rsid w:val="00417C67"/>
    <w:rsid w:val="00417CC6"/>
    <w:rsid w:val="00417CF3"/>
    <w:rsid w:val="00417D61"/>
    <w:rsid w:val="00417D8B"/>
    <w:rsid w:val="00417F51"/>
    <w:rsid w:val="00420011"/>
    <w:rsid w:val="00420036"/>
    <w:rsid w:val="00420066"/>
    <w:rsid w:val="00420079"/>
    <w:rsid w:val="00420161"/>
    <w:rsid w:val="00420237"/>
    <w:rsid w:val="004202E9"/>
    <w:rsid w:val="00420366"/>
    <w:rsid w:val="004203C6"/>
    <w:rsid w:val="004203DE"/>
    <w:rsid w:val="004203ED"/>
    <w:rsid w:val="0042044C"/>
    <w:rsid w:val="0042068B"/>
    <w:rsid w:val="004207CE"/>
    <w:rsid w:val="004207EE"/>
    <w:rsid w:val="00420872"/>
    <w:rsid w:val="0042087E"/>
    <w:rsid w:val="00420992"/>
    <w:rsid w:val="004209A9"/>
    <w:rsid w:val="00420A42"/>
    <w:rsid w:val="00420ADF"/>
    <w:rsid w:val="00420AE4"/>
    <w:rsid w:val="00420B43"/>
    <w:rsid w:val="00420B73"/>
    <w:rsid w:val="00420C08"/>
    <w:rsid w:val="00420CCC"/>
    <w:rsid w:val="00420D77"/>
    <w:rsid w:val="00420DB6"/>
    <w:rsid w:val="00420EA8"/>
    <w:rsid w:val="00420F12"/>
    <w:rsid w:val="004210A7"/>
    <w:rsid w:val="00421193"/>
    <w:rsid w:val="00421206"/>
    <w:rsid w:val="0042140E"/>
    <w:rsid w:val="0042152B"/>
    <w:rsid w:val="004215C9"/>
    <w:rsid w:val="004215EE"/>
    <w:rsid w:val="0042160C"/>
    <w:rsid w:val="0042160E"/>
    <w:rsid w:val="00421614"/>
    <w:rsid w:val="00421656"/>
    <w:rsid w:val="00421682"/>
    <w:rsid w:val="004216B9"/>
    <w:rsid w:val="004217CB"/>
    <w:rsid w:val="0042183F"/>
    <w:rsid w:val="00421871"/>
    <w:rsid w:val="00421931"/>
    <w:rsid w:val="00421A12"/>
    <w:rsid w:val="00421ACE"/>
    <w:rsid w:val="00421C60"/>
    <w:rsid w:val="00421C77"/>
    <w:rsid w:val="00421CA2"/>
    <w:rsid w:val="00421CF5"/>
    <w:rsid w:val="00421D20"/>
    <w:rsid w:val="00421D2C"/>
    <w:rsid w:val="00421D40"/>
    <w:rsid w:val="00421D68"/>
    <w:rsid w:val="00421DBC"/>
    <w:rsid w:val="00421DF8"/>
    <w:rsid w:val="00421EE3"/>
    <w:rsid w:val="00421F8A"/>
    <w:rsid w:val="0042206C"/>
    <w:rsid w:val="00422135"/>
    <w:rsid w:val="0042216F"/>
    <w:rsid w:val="00422262"/>
    <w:rsid w:val="00422356"/>
    <w:rsid w:val="0042236A"/>
    <w:rsid w:val="0042238B"/>
    <w:rsid w:val="004223AD"/>
    <w:rsid w:val="004223CA"/>
    <w:rsid w:val="0042251E"/>
    <w:rsid w:val="00422587"/>
    <w:rsid w:val="004225B4"/>
    <w:rsid w:val="004226FA"/>
    <w:rsid w:val="004227DA"/>
    <w:rsid w:val="00422824"/>
    <w:rsid w:val="004229A4"/>
    <w:rsid w:val="004229D8"/>
    <w:rsid w:val="00422A53"/>
    <w:rsid w:val="00422A7D"/>
    <w:rsid w:val="00422AA5"/>
    <w:rsid w:val="00422B87"/>
    <w:rsid w:val="00422BA3"/>
    <w:rsid w:val="00422CF1"/>
    <w:rsid w:val="00422E18"/>
    <w:rsid w:val="00422E6E"/>
    <w:rsid w:val="00422FAA"/>
    <w:rsid w:val="00422FE8"/>
    <w:rsid w:val="00423012"/>
    <w:rsid w:val="0042303A"/>
    <w:rsid w:val="00423042"/>
    <w:rsid w:val="00423048"/>
    <w:rsid w:val="004230AE"/>
    <w:rsid w:val="004230C3"/>
    <w:rsid w:val="00423203"/>
    <w:rsid w:val="00423284"/>
    <w:rsid w:val="00423286"/>
    <w:rsid w:val="004232B3"/>
    <w:rsid w:val="004234B8"/>
    <w:rsid w:val="004234F8"/>
    <w:rsid w:val="00423532"/>
    <w:rsid w:val="00423577"/>
    <w:rsid w:val="0042360E"/>
    <w:rsid w:val="00423660"/>
    <w:rsid w:val="004236A4"/>
    <w:rsid w:val="004236E5"/>
    <w:rsid w:val="00423709"/>
    <w:rsid w:val="00423730"/>
    <w:rsid w:val="00423733"/>
    <w:rsid w:val="004237D6"/>
    <w:rsid w:val="00423887"/>
    <w:rsid w:val="004238F7"/>
    <w:rsid w:val="00423A55"/>
    <w:rsid w:val="00423A8E"/>
    <w:rsid w:val="00423ABC"/>
    <w:rsid w:val="00423AC8"/>
    <w:rsid w:val="00423ACF"/>
    <w:rsid w:val="00423B63"/>
    <w:rsid w:val="00423BFB"/>
    <w:rsid w:val="00423C7D"/>
    <w:rsid w:val="00423CAA"/>
    <w:rsid w:val="00423CE0"/>
    <w:rsid w:val="00423D6A"/>
    <w:rsid w:val="00423DF2"/>
    <w:rsid w:val="00423E06"/>
    <w:rsid w:val="00423E5E"/>
    <w:rsid w:val="00423F1A"/>
    <w:rsid w:val="00423FF4"/>
    <w:rsid w:val="0042400C"/>
    <w:rsid w:val="00424054"/>
    <w:rsid w:val="00424084"/>
    <w:rsid w:val="0042409A"/>
    <w:rsid w:val="00424177"/>
    <w:rsid w:val="004241E3"/>
    <w:rsid w:val="0042424D"/>
    <w:rsid w:val="00424270"/>
    <w:rsid w:val="0042427D"/>
    <w:rsid w:val="00424323"/>
    <w:rsid w:val="00424348"/>
    <w:rsid w:val="004243E4"/>
    <w:rsid w:val="0042443F"/>
    <w:rsid w:val="004244ED"/>
    <w:rsid w:val="0042458E"/>
    <w:rsid w:val="00424635"/>
    <w:rsid w:val="0042465A"/>
    <w:rsid w:val="0042465D"/>
    <w:rsid w:val="004246B1"/>
    <w:rsid w:val="004247B6"/>
    <w:rsid w:val="00424823"/>
    <w:rsid w:val="00424888"/>
    <w:rsid w:val="00424924"/>
    <w:rsid w:val="00424A44"/>
    <w:rsid w:val="00424AD8"/>
    <w:rsid w:val="00424B16"/>
    <w:rsid w:val="00424B5E"/>
    <w:rsid w:val="00424C3E"/>
    <w:rsid w:val="00424E31"/>
    <w:rsid w:val="00424EC8"/>
    <w:rsid w:val="00424F11"/>
    <w:rsid w:val="00425012"/>
    <w:rsid w:val="00425016"/>
    <w:rsid w:val="004250EA"/>
    <w:rsid w:val="0042511D"/>
    <w:rsid w:val="0042513C"/>
    <w:rsid w:val="0042517B"/>
    <w:rsid w:val="004252F9"/>
    <w:rsid w:val="00425330"/>
    <w:rsid w:val="0042551E"/>
    <w:rsid w:val="004255F6"/>
    <w:rsid w:val="0042565A"/>
    <w:rsid w:val="004256B2"/>
    <w:rsid w:val="00425927"/>
    <w:rsid w:val="00425B1B"/>
    <w:rsid w:val="00425BA0"/>
    <w:rsid w:val="00425C1C"/>
    <w:rsid w:val="00425C37"/>
    <w:rsid w:val="00425C9E"/>
    <w:rsid w:val="00425CDF"/>
    <w:rsid w:val="00425D5F"/>
    <w:rsid w:val="00425E32"/>
    <w:rsid w:val="00425FA9"/>
    <w:rsid w:val="00425FB5"/>
    <w:rsid w:val="004260FC"/>
    <w:rsid w:val="00426184"/>
    <w:rsid w:val="00426185"/>
    <w:rsid w:val="004261A0"/>
    <w:rsid w:val="004261D1"/>
    <w:rsid w:val="004261FB"/>
    <w:rsid w:val="0042622A"/>
    <w:rsid w:val="0042625E"/>
    <w:rsid w:val="00426273"/>
    <w:rsid w:val="00426284"/>
    <w:rsid w:val="0042632B"/>
    <w:rsid w:val="00426332"/>
    <w:rsid w:val="00426394"/>
    <w:rsid w:val="004263C3"/>
    <w:rsid w:val="004263F3"/>
    <w:rsid w:val="00426733"/>
    <w:rsid w:val="00426774"/>
    <w:rsid w:val="004267B1"/>
    <w:rsid w:val="004267E0"/>
    <w:rsid w:val="004267E8"/>
    <w:rsid w:val="0042687D"/>
    <w:rsid w:val="00426944"/>
    <w:rsid w:val="004269A8"/>
    <w:rsid w:val="004269EE"/>
    <w:rsid w:val="00426A47"/>
    <w:rsid w:val="00426AF4"/>
    <w:rsid w:val="00426C79"/>
    <w:rsid w:val="00426C84"/>
    <w:rsid w:val="00426CA8"/>
    <w:rsid w:val="00426DA1"/>
    <w:rsid w:val="00426E3D"/>
    <w:rsid w:val="00426E5D"/>
    <w:rsid w:val="00426EA3"/>
    <w:rsid w:val="00426ECC"/>
    <w:rsid w:val="00426F2B"/>
    <w:rsid w:val="00426F35"/>
    <w:rsid w:val="00426F68"/>
    <w:rsid w:val="00426FA7"/>
    <w:rsid w:val="00426FC5"/>
    <w:rsid w:val="00427036"/>
    <w:rsid w:val="00427053"/>
    <w:rsid w:val="004270E3"/>
    <w:rsid w:val="00427129"/>
    <w:rsid w:val="00427169"/>
    <w:rsid w:val="0042738C"/>
    <w:rsid w:val="00427399"/>
    <w:rsid w:val="004273BF"/>
    <w:rsid w:val="004274DF"/>
    <w:rsid w:val="0042750F"/>
    <w:rsid w:val="004275E6"/>
    <w:rsid w:val="004275F1"/>
    <w:rsid w:val="00427620"/>
    <w:rsid w:val="00427623"/>
    <w:rsid w:val="004277E2"/>
    <w:rsid w:val="004278AF"/>
    <w:rsid w:val="004278ED"/>
    <w:rsid w:val="004279BD"/>
    <w:rsid w:val="00427ABD"/>
    <w:rsid w:val="00427ACD"/>
    <w:rsid w:val="00427AE0"/>
    <w:rsid w:val="00427AFF"/>
    <w:rsid w:val="00427BBE"/>
    <w:rsid w:val="00427BC9"/>
    <w:rsid w:val="00427C35"/>
    <w:rsid w:val="00427C45"/>
    <w:rsid w:val="00427C9C"/>
    <w:rsid w:val="00427D34"/>
    <w:rsid w:val="00427D96"/>
    <w:rsid w:val="00427DF5"/>
    <w:rsid w:val="00427E2D"/>
    <w:rsid w:val="00427E5F"/>
    <w:rsid w:val="00427E60"/>
    <w:rsid w:val="00427EB1"/>
    <w:rsid w:val="00427F39"/>
    <w:rsid w:val="00427F7C"/>
    <w:rsid w:val="00427F9B"/>
    <w:rsid w:val="00427FF3"/>
    <w:rsid w:val="004300DF"/>
    <w:rsid w:val="004300E9"/>
    <w:rsid w:val="00430108"/>
    <w:rsid w:val="00430153"/>
    <w:rsid w:val="00430162"/>
    <w:rsid w:val="00430328"/>
    <w:rsid w:val="004303B0"/>
    <w:rsid w:val="00430438"/>
    <w:rsid w:val="0043046F"/>
    <w:rsid w:val="00430477"/>
    <w:rsid w:val="00430485"/>
    <w:rsid w:val="00430512"/>
    <w:rsid w:val="00430513"/>
    <w:rsid w:val="00430517"/>
    <w:rsid w:val="0043056A"/>
    <w:rsid w:val="00430654"/>
    <w:rsid w:val="00430699"/>
    <w:rsid w:val="00430764"/>
    <w:rsid w:val="0043078C"/>
    <w:rsid w:val="00430797"/>
    <w:rsid w:val="00430868"/>
    <w:rsid w:val="00430890"/>
    <w:rsid w:val="0043090C"/>
    <w:rsid w:val="00430A58"/>
    <w:rsid w:val="00430A91"/>
    <w:rsid w:val="00430ADE"/>
    <w:rsid w:val="00430BA3"/>
    <w:rsid w:val="00430CB5"/>
    <w:rsid w:val="00430CC8"/>
    <w:rsid w:val="00430CCE"/>
    <w:rsid w:val="00430E4C"/>
    <w:rsid w:val="00430E9C"/>
    <w:rsid w:val="00430EAB"/>
    <w:rsid w:val="00430ECC"/>
    <w:rsid w:val="00430EF5"/>
    <w:rsid w:val="00430FDF"/>
    <w:rsid w:val="004310CB"/>
    <w:rsid w:val="0043112E"/>
    <w:rsid w:val="00431178"/>
    <w:rsid w:val="00431194"/>
    <w:rsid w:val="004311CB"/>
    <w:rsid w:val="004311EC"/>
    <w:rsid w:val="00431595"/>
    <w:rsid w:val="004316BD"/>
    <w:rsid w:val="00431730"/>
    <w:rsid w:val="004318FE"/>
    <w:rsid w:val="0043192F"/>
    <w:rsid w:val="004319A4"/>
    <w:rsid w:val="004319B8"/>
    <w:rsid w:val="004319C0"/>
    <w:rsid w:val="00431A1B"/>
    <w:rsid w:val="00431AC5"/>
    <w:rsid w:val="00431AC6"/>
    <w:rsid w:val="00431AEF"/>
    <w:rsid w:val="00431B17"/>
    <w:rsid w:val="00431B6F"/>
    <w:rsid w:val="00431B84"/>
    <w:rsid w:val="00431BA5"/>
    <w:rsid w:val="00431C19"/>
    <w:rsid w:val="00431C53"/>
    <w:rsid w:val="00431E55"/>
    <w:rsid w:val="00431ED7"/>
    <w:rsid w:val="00431F25"/>
    <w:rsid w:val="0043205F"/>
    <w:rsid w:val="0043207C"/>
    <w:rsid w:val="00432083"/>
    <w:rsid w:val="00432378"/>
    <w:rsid w:val="004323A9"/>
    <w:rsid w:val="00432469"/>
    <w:rsid w:val="0043248B"/>
    <w:rsid w:val="004324BA"/>
    <w:rsid w:val="004324FF"/>
    <w:rsid w:val="0043251B"/>
    <w:rsid w:val="00432556"/>
    <w:rsid w:val="0043256A"/>
    <w:rsid w:val="0043263C"/>
    <w:rsid w:val="004326A8"/>
    <w:rsid w:val="004326CF"/>
    <w:rsid w:val="004327BD"/>
    <w:rsid w:val="0043282C"/>
    <w:rsid w:val="0043289B"/>
    <w:rsid w:val="00432997"/>
    <w:rsid w:val="004329ED"/>
    <w:rsid w:val="004329F1"/>
    <w:rsid w:val="00432A55"/>
    <w:rsid w:val="00432A71"/>
    <w:rsid w:val="00432A7C"/>
    <w:rsid w:val="00432A92"/>
    <w:rsid w:val="00432B75"/>
    <w:rsid w:val="00432C48"/>
    <w:rsid w:val="00432C62"/>
    <w:rsid w:val="00432CD9"/>
    <w:rsid w:val="00432D53"/>
    <w:rsid w:val="00432DD0"/>
    <w:rsid w:val="00432E12"/>
    <w:rsid w:val="00432F7E"/>
    <w:rsid w:val="00432F9A"/>
    <w:rsid w:val="0043301F"/>
    <w:rsid w:val="00433024"/>
    <w:rsid w:val="0043303F"/>
    <w:rsid w:val="00433070"/>
    <w:rsid w:val="004330C0"/>
    <w:rsid w:val="0043313B"/>
    <w:rsid w:val="00433178"/>
    <w:rsid w:val="0043318B"/>
    <w:rsid w:val="00433197"/>
    <w:rsid w:val="004331F6"/>
    <w:rsid w:val="00433377"/>
    <w:rsid w:val="0043342E"/>
    <w:rsid w:val="004334AB"/>
    <w:rsid w:val="004334CD"/>
    <w:rsid w:val="004335A5"/>
    <w:rsid w:val="004335C7"/>
    <w:rsid w:val="004335E8"/>
    <w:rsid w:val="0043378D"/>
    <w:rsid w:val="004337F3"/>
    <w:rsid w:val="004337F4"/>
    <w:rsid w:val="00433805"/>
    <w:rsid w:val="00433849"/>
    <w:rsid w:val="004339E8"/>
    <w:rsid w:val="00433B15"/>
    <w:rsid w:val="00433B57"/>
    <w:rsid w:val="00433BA5"/>
    <w:rsid w:val="00433C6D"/>
    <w:rsid w:val="00433C8E"/>
    <w:rsid w:val="00433D02"/>
    <w:rsid w:val="00433D18"/>
    <w:rsid w:val="00433D41"/>
    <w:rsid w:val="00433DDB"/>
    <w:rsid w:val="00433E1E"/>
    <w:rsid w:val="00433E91"/>
    <w:rsid w:val="00433EF7"/>
    <w:rsid w:val="00433F05"/>
    <w:rsid w:val="00433F61"/>
    <w:rsid w:val="00433F67"/>
    <w:rsid w:val="00433F83"/>
    <w:rsid w:val="0043406E"/>
    <w:rsid w:val="004340B8"/>
    <w:rsid w:val="00434104"/>
    <w:rsid w:val="00434160"/>
    <w:rsid w:val="004342F1"/>
    <w:rsid w:val="004343CE"/>
    <w:rsid w:val="00434490"/>
    <w:rsid w:val="004344A4"/>
    <w:rsid w:val="004344E2"/>
    <w:rsid w:val="00434557"/>
    <w:rsid w:val="004345A0"/>
    <w:rsid w:val="00434629"/>
    <w:rsid w:val="00434666"/>
    <w:rsid w:val="004346F0"/>
    <w:rsid w:val="00434704"/>
    <w:rsid w:val="00434710"/>
    <w:rsid w:val="00434920"/>
    <w:rsid w:val="004349A6"/>
    <w:rsid w:val="004349B4"/>
    <w:rsid w:val="00434A86"/>
    <w:rsid w:val="00434AB7"/>
    <w:rsid w:val="00434AC8"/>
    <w:rsid w:val="00434AD8"/>
    <w:rsid w:val="00434AE8"/>
    <w:rsid w:val="00434BA7"/>
    <w:rsid w:val="00434BCA"/>
    <w:rsid w:val="00434C3E"/>
    <w:rsid w:val="00434CEE"/>
    <w:rsid w:val="00434D3A"/>
    <w:rsid w:val="00434D49"/>
    <w:rsid w:val="00434E2B"/>
    <w:rsid w:val="00434EEF"/>
    <w:rsid w:val="00434F0A"/>
    <w:rsid w:val="00434F9F"/>
    <w:rsid w:val="00434FA4"/>
    <w:rsid w:val="00435066"/>
    <w:rsid w:val="0043515E"/>
    <w:rsid w:val="00435190"/>
    <w:rsid w:val="004352C9"/>
    <w:rsid w:val="0043534C"/>
    <w:rsid w:val="00435366"/>
    <w:rsid w:val="004353A3"/>
    <w:rsid w:val="004354D9"/>
    <w:rsid w:val="0043550D"/>
    <w:rsid w:val="00435515"/>
    <w:rsid w:val="00435531"/>
    <w:rsid w:val="00435583"/>
    <w:rsid w:val="0043563D"/>
    <w:rsid w:val="004356AB"/>
    <w:rsid w:val="00435718"/>
    <w:rsid w:val="0043571A"/>
    <w:rsid w:val="00435766"/>
    <w:rsid w:val="0043579D"/>
    <w:rsid w:val="00435813"/>
    <w:rsid w:val="0043583C"/>
    <w:rsid w:val="004359AA"/>
    <w:rsid w:val="00435A4B"/>
    <w:rsid w:val="00435B19"/>
    <w:rsid w:val="00435B70"/>
    <w:rsid w:val="00435BEA"/>
    <w:rsid w:val="00435C6C"/>
    <w:rsid w:val="00435CCD"/>
    <w:rsid w:val="00435DB8"/>
    <w:rsid w:val="00435E1B"/>
    <w:rsid w:val="00435E8D"/>
    <w:rsid w:val="00435EBB"/>
    <w:rsid w:val="00435EC7"/>
    <w:rsid w:val="00435EDA"/>
    <w:rsid w:val="0043602F"/>
    <w:rsid w:val="0043607C"/>
    <w:rsid w:val="0043622C"/>
    <w:rsid w:val="0043628A"/>
    <w:rsid w:val="0043656C"/>
    <w:rsid w:val="004365A1"/>
    <w:rsid w:val="004365BB"/>
    <w:rsid w:val="00436639"/>
    <w:rsid w:val="004366E6"/>
    <w:rsid w:val="00436782"/>
    <w:rsid w:val="004367E2"/>
    <w:rsid w:val="0043682E"/>
    <w:rsid w:val="00436894"/>
    <w:rsid w:val="00436971"/>
    <w:rsid w:val="0043698E"/>
    <w:rsid w:val="004369A4"/>
    <w:rsid w:val="00436A75"/>
    <w:rsid w:val="00436ABC"/>
    <w:rsid w:val="00436BC9"/>
    <w:rsid w:val="00436C09"/>
    <w:rsid w:val="00436C5C"/>
    <w:rsid w:val="00436D4C"/>
    <w:rsid w:val="00436D55"/>
    <w:rsid w:val="00436DE8"/>
    <w:rsid w:val="00436E15"/>
    <w:rsid w:val="00436EAF"/>
    <w:rsid w:val="00436F84"/>
    <w:rsid w:val="0043708F"/>
    <w:rsid w:val="0043709A"/>
    <w:rsid w:val="00437169"/>
    <w:rsid w:val="00437173"/>
    <w:rsid w:val="004372A2"/>
    <w:rsid w:val="004372B7"/>
    <w:rsid w:val="004372BB"/>
    <w:rsid w:val="004372BF"/>
    <w:rsid w:val="004373CB"/>
    <w:rsid w:val="004374E1"/>
    <w:rsid w:val="0043750C"/>
    <w:rsid w:val="0043750D"/>
    <w:rsid w:val="00437569"/>
    <w:rsid w:val="0043756E"/>
    <w:rsid w:val="0043760F"/>
    <w:rsid w:val="00437684"/>
    <w:rsid w:val="004376B2"/>
    <w:rsid w:val="004376FB"/>
    <w:rsid w:val="00437719"/>
    <w:rsid w:val="004377C2"/>
    <w:rsid w:val="004377D0"/>
    <w:rsid w:val="004377F7"/>
    <w:rsid w:val="004377FE"/>
    <w:rsid w:val="00437886"/>
    <w:rsid w:val="004379CA"/>
    <w:rsid w:val="00437A7E"/>
    <w:rsid w:val="00437AF8"/>
    <w:rsid w:val="00437C5F"/>
    <w:rsid w:val="00437CF7"/>
    <w:rsid w:val="00437D35"/>
    <w:rsid w:val="00437D5C"/>
    <w:rsid w:val="00437DBC"/>
    <w:rsid w:val="00437DC3"/>
    <w:rsid w:val="00437F8B"/>
    <w:rsid w:val="0044005B"/>
    <w:rsid w:val="0044009A"/>
    <w:rsid w:val="004400E7"/>
    <w:rsid w:val="0044018B"/>
    <w:rsid w:val="0044038C"/>
    <w:rsid w:val="00440438"/>
    <w:rsid w:val="00440527"/>
    <w:rsid w:val="00440533"/>
    <w:rsid w:val="00440739"/>
    <w:rsid w:val="0044073F"/>
    <w:rsid w:val="0044078C"/>
    <w:rsid w:val="004407A8"/>
    <w:rsid w:val="004407D3"/>
    <w:rsid w:val="0044084E"/>
    <w:rsid w:val="0044090A"/>
    <w:rsid w:val="00440943"/>
    <w:rsid w:val="004409AB"/>
    <w:rsid w:val="00440A02"/>
    <w:rsid w:val="00440A05"/>
    <w:rsid w:val="00440A62"/>
    <w:rsid w:val="00440A64"/>
    <w:rsid w:val="00440C01"/>
    <w:rsid w:val="00440C1F"/>
    <w:rsid w:val="00440D8D"/>
    <w:rsid w:val="00440D93"/>
    <w:rsid w:val="00440D9A"/>
    <w:rsid w:val="00440F51"/>
    <w:rsid w:val="00441037"/>
    <w:rsid w:val="00441069"/>
    <w:rsid w:val="0044109A"/>
    <w:rsid w:val="00441139"/>
    <w:rsid w:val="00441251"/>
    <w:rsid w:val="0044125D"/>
    <w:rsid w:val="0044133E"/>
    <w:rsid w:val="0044134F"/>
    <w:rsid w:val="0044136F"/>
    <w:rsid w:val="004413B0"/>
    <w:rsid w:val="00441416"/>
    <w:rsid w:val="00441549"/>
    <w:rsid w:val="00441622"/>
    <w:rsid w:val="0044171B"/>
    <w:rsid w:val="0044179E"/>
    <w:rsid w:val="00441950"/>
    <w:rsid w:val="00441B96"/>
    <w:rsid w:val="00441BAE"/>
    <w:rsid w:val="00441BFD"/>
    <w:rsid w:val="00441C19"/>
    <w:rsid w:val="00441C7D"/>
    <w:rsid w:val="00441CB2"/>
    <w:rsid w:val="00441CC5"/>
    <w:rsid w:val="00441CCC"/>
    <w:rsid w:val="00441D11"/>
    <w:rsid w:val="00441D8F"/>
    <w:rsid w:val="00441DAD"/>
    <w:rsid w:val="00441F26"/>
    <w:rsid w:val="00441F97"/>
    <w:rsid w:val="00441F9C"/>
    <w:rsid w:val="0044201F"/>
    <w:rsid w:val="00442243"/>
    <w:rsid w:val="00442324"/>
    <w:rsid w:val="0044236C"/>
    <w:rsid w:val="004423F6"/>
    <w:rsid w:val="004424B2"/>
    <w:rsid w:val="0044260A"/>
    <w:rsid w:val="004427A6"/>
    <w:rsid w:val="00442847"/>
    <w:rsid w:val="004428B6"/>
    <w:rsid w:val="004428E0"/>
    <w:rsid w:val="00442939"/>
    <w:rsid w:val="0044298F"/>
    <w:rsid w:val="00442A6C"/>
    <w:rsid w:val="00442A88"/>
    <w:rsid w:val="00442AAF"/>
    <w:rsid w:val="00442B78"/>
    <w:rsid w:val="00442CF1"/>
    <w:rsid w:val="00442DD7"/>
    <w:rsid w:val="00442EAF"/>
    <w:rsid w:val="00442F2C"/>
    <w:rsid w:val="0044300F"/>
    <w:rsid w:val="00443132"/>
    <w:rsid w:val="0044316A"/>
    <w:rsid w:val="004431DC"/>
    <w:rsid w:val="00443275"/>
    <w:rsid w:val="004432DD"/>
    <w:rsid w:val="004433DB"/>
    <w:rsid w:val="00443449"/>
    <w:rsid w:val="00443462"/>
    <w:rsid w:val="004434BC"/>
    <w:rsid w:val="004434DC"/>
    <w:rsid w:val="004435ED"/>
    <w:rsid w:val="004436C1"/>
    <w:rsid w:val="004436E9"/>
    <w:rsid w:val="004436F0"/>
    <w:rsid w:val="0044370D"/>
    <w:rsid w:val="004437A9"/>
    <w:rsid w:val="00443849"/>
    <w:rsid w:val="00443930"/>
    <w:rsid w:val="00443A75"/>
    <w:rsid w:val="00443AE3"/>
    <w:rsid w:val="00443AE4"/>
    <w:rsid w:val="00443AEE"/>
    <w:rsid w:val="00443AFA"/>
    <w:rsid w:val="00443B5F"/>
    <w:rsid w:val="00443B75"/>
    <w:rsid w:val="00443CDD"/>
    <w:rsid w:val="00443DC7"/>
    <w:rsid w:val="00443DC8"/>
    <w:rsid w:val="00443E1E"/>
    <w:rsid w:val="00443E1F"/>
    <w:rsid w:val="00443E5F"/>
    <w:rsid w:val="00443F10"/>
    <w:rsid w:val="00443FC8"/>
    <w:rsid w:val="0044400C"/>
    <w:rsid w:val="00444062"/>
    <w:rsid w:val="00444067"/>
    <w:rsid w:val="00444079"/>
    <w:rsid w:val="004440ED"/>
    <w:rsid w:val="00444109"/>
    <w:rsid w:val="0044410B"/>
    <w:rsid w:val="00444208"/>
    <w:rsid w:val="0044421E"/>
    <w:rsid w:val="00444249"/>
    <w:rsid w:val="00444314"/>
    <w:rsid w:val="004443C8"/>
    <w:rsid w:val="0044441D"/>
    <w:rsid w:val="00444448"/>
    <w:rsid w:val="0044450E"/>
    <w:rsid w:val="00444565"/>
    <w:rsid w:val="00444658"/>
    <w:rsid w:val="0044469A"/>
    <w:rsid w:val="004446C8"/>
    <w:rsid w:val="004447B7"/>
    <w:rsid w:val="00444818"/>
    <w:rsid w:val="00444824"/>
    <w:rsid w:val="004448AB"/>
    <w:rsid w:val="004448B3"/>
    <w:rsid w:val="004448D4"/>
    <w:rsid w:val="004448E3"/>
    <w:rsid w:val="00444B07"/>
    <w:rsid w:val="00444B6C"/>
    <w:rsid w:val="00444BC1"/>
    <w:rsid w:val="00444C48"/>
    <w:rsid w:val="00444CA6"/>
    <w:rsid w:val="00444CAF"/>
    <w:rsid w:val="00444CC2"/>
    <w:rsid w:val="00444D82"/>
    <w:rsid w:val="00444D85"/>
    <w:rsid w:val="00444D8A"/>
    <w:rsid w:val="00444DA6"/>
    <w:rsid w:val="00444EFA"/>
    <w:rsid w:val="00444FAE"/>
    <w:rsid w:val="0044500A"/>
    <w:rsid w:val="004450A4"/>
    <w:rsid w:val="00445113"/>
    <w:rsid w:val="00445172"/>
    <w:rsid w:val="004451AF"/>
    <w:rsid w:val="00445306"/>
    <w:rsid w:val="00445402"/>
    <w:rsid w:val="004454F4"/>
    <w:rsid w:val="00445623"/>
    <w:rsid w:val="0044562A"/>
    <w:rsid w:val="0044563A"/>
    <w:rsid w:val="00445698"/>
    <w:rsid w:val="004456A1"/>
    <w:rsid w:val="0044575F"/>
    <w:rsid w:val="00445815"/>
    <w:rsid w:val="00445849"/>
    <w:rsid w:val="00445877"/>
    <w:rsid w:val="00445A00"/>
    <w:rsid w:val="00445A11"/>
    <w:rsid w:val="00445A9C"/>
    <w:rsid w:val="00445B2D"/>
    <w:rsid w:val="00445B94"/>
    <w:rsid w:val="00445BB2"/>
    <w:rsid w:val="00445BC9"/>
    <w:rsid w:val="00445BEC"/>
    <w:rsid w:val="00445C39"/>
    <w:rsid w:val="00445C3B"/>
    <w:rsid w:val="00445CA2"/>
    <w:rsid w:val="00445CDF"/>
    <w:rsid w:val="00445D11"/>
    <w:rsid w:val="00445D16"/>
    <w:rsid w:val="00445E50"/>
    <w:rsid w:val="00445EDA"/>
    <w:rsid w:val="00445F0D"/>
    <w:rsid w:val="00445F7D"/>
    <w:rsid w:val="00445FDF"/>
    <w:rsid w:val="00446083"/>
    <w:rsid w:val="004461A8"/>
    <w:rsid w:val="004461D3"/>
    <w:rsid w:val="0044632D"/>
    <w:rsid w:val="00446345"/>
    <w:rsid w:val="0044641E"/>
    <w:rsid w:val="004464D7"/>
    <w:rsid w:val="0044652E"/>
    <w:rsid w:val="00446681"/>
    <w:rsid w:val="004466CD"/>
    <w:rsid w:val="004467AC"/>
    <w:rsid w:val="004467B3"/>
    <w:rsid w:val="0044683B"/>
    <w:rsid w:val="00446846"/>
    <w:rsid w:val="004468C8"/>
    <w:rsid w:val="00446925"/>
    <w:rsid w:val="00446A83"/>
    <w:rsid w:val="00446B89"/>
    <w:rsid w:val="00446CD7"/>
    <w:rsid w:val="00446D4B"/>
    <w:rsid w:val="00446D84"/>
    <w:rsid w:val="00446E5C"/>
    <w:rsid w:val="00446E67"/>
    <w:rsid w:val="00446F4D"/>
    <w:rsid w:val="0044706B"/>
    <w:rsid w:val="004471BE"/>
    <w:rsid w:val="004471CB"/>
    <w:rsid w:val="004471DA"/>
    <w:rsid w:val="00447219"/>
    <w:rsid w:val="0044724B"/>
    <w:rsid w:val="00447316"/>
    <w:rsid w:val="00447335"/>
    <w:rsid w:val="00447380"/>
    <w:rsid w:val="004473FB"/>
    <w:rsid w:val="004474DE"/>
    <w:rsid w:val="004475A2"/>
    <w:rsid w:val="004475FA"/>
    <w:rsid w:val="0044767B"/>
    <w:rsid w:val="00447683"/>
    <w:rsid w:val="00447774"/>
    <w:rsid w:val="00447863"/>
    <w:rsid w:val="0044793B"/>
    <w:rsid w:val="00447A38"/>
    <w:rsid w:val="00447B64"/>
    <w:rsid w:val="00447B67"/>
    <w:rsid w:val="00447B6A"/>
    <w:rsid w:val="00447BD1"/>
    <w:rsid w:val="00447BDC"/>
    <w:rsid w:val="00447C6A"/>
    <w:rsid w:val="00447CA2"/>
    <w:rsid w:val="00447D47"/>
    <w:rsid w:val="00447E1D"/>
    <w:rsid w:val="00447E56"/>
    <w:rsid w:val="00447EA6"/>
    <w:rsid w:val="00447F25"/>
    <w:rsid w:val="0045008C"/>
    <w:rsid w:val="00450131"/>
    <w:rsid w:val="004501B4"/>
    <w:rsid w:val="004501CD"/>
    <w:rsid w:val="00450477"/>
    <w:rsid w:val="00450490"/>
    <w:rsid w:val="004504E0"/>
    <w:rsid w:val="00450578"/>
    <w:rsid w:val="004505D9"/>
    <w:rsid w:val="004505FD"/>
    <w:rsid w:val="00450605"/>
    <w:rsid w:val="00450619"/>
    <w:rsid w:val="00450672"/>
    <w:rsid w:val="00450795"/>
    <w:rsid w:val="00450820"/>
    <w:rsid w:val="0045083A"/>
    <w:rsid w:val="00450967"/>
    <w:rsid w:val="00450A05"/>
    <w:rsid w:val="00450A23"/>
    <w:rsid w:val="00450B0B"/>
    <w:rsid w:val="00450B68"/>
    <w:rsid w:val="00450BA6"/>
    <w:rsid w:val="00450BF4"/>
    <w:rsid w:val="00450C79"/>
    <w:rsid w:val="00450CA4"/>
    <w:rsid w:val="00450CB3"/>
    <w:rsid w:val="00450D52"/>
    <w:rsid w:val="00450DC2"/>
    <w:rsid w:val="00450DCF"/>
    <w:rsid w:val="00450DD7"/>
    <w:rsid w:val="00450F8D"/>
    <w:rsid w:val="00450FBC"/>
    <w:rsid w:val="00451061"/>
    <w:rsid w:val="004510CE"/>
    <w:rsid w:val="00451127"/>
    <w:rsid w:val="00451158"/>
    <w:rsid w:val="0045116B"/>
    <w:rsid w:val="004511C1"/>
    <w:rsid w:val="0045121E"/>
    <w:rsid w:val="00451249"/>
    <w:rsid w:val="0045125D"/>
    <w:rsid w:val="00451290"/>
    <w:rsid w:val="004512A1"/>
    <w:rsid w:val="004512AA"/>
    <w:rsid w:val="004512EF"/>
    <w:rsid w:val="00451359"/>
    <w:rsid w:val="004513BD"/>
    <w:rsid w:val="004513E3"/>
    <w:rsid w:val="00451402"/>
    <w:rsid w:val="00451437"/>
    <w:rsid w:val="004514D8"/>
    <w:rsid w:val="004515D7"/>
    <w:rsid w:val="00451720"/>
    <w:rsid w:val="00451751"/>
    <w:rsid w:val="0045179B"/>
    <w:rsid w:val="004517D9"/>
    <w:rsid w:val="0045187E"/>
    <w:rsid w:val="004518E6"/>
    <w:rsid w:val="0045199F"/>
    <w:rsid w:val="00451A10"/>
    <w:rsid w:val="00451A5A"/>
    <w:rsid w:val="00451BDA"/>
    <w:rsid w:val="00451C0F"/>
    <w:rsid w:val="00451CC3"/>
    <w:rsid w:val="00451DB6"/>
    <w:rsid w:val="00451E41"/>
    <w:rsid w:val="00451E97"/>
    <w:rsid w:val="00451E9D"/>
    <w:rsid w:val="00451F2E"/>
    <w:rsid w:val="00451F7C"/>
    <w:rsid w:val="0045209A"/>
    <w:rsid w:val="00452137"/>
    <w:rsid w:val="004521A5"/>
    <w:rsid w:val="00452220"/>
    <w:rsid w:val="004522AC"/>
    <w:rsid w:val="004522CD"/>
    <w:rsid w:val="004522D8"/>
    <w:rsid w:val="004522D9"/>
    <w:rsid w:val="004523BE"/>
    <w:rsid w:val="004523BF"/>
    <w:rsid w:val="00452448"/>
    <w:rsid w:val="004524E6"/>
    <w:rsid w:val="004524E7"/>
    <w:rsid w:val="004525E3"/>
    <w:rsid w:val="00452613"/>
    <w:rsid w:val="00452678"/>
    <w:rsid w:val="004526A2"/>
    <w:rsid w:val="004526CC"/>
    <w:rsid w:val="00452705"/>
    <w:rsid w:val="00452768"/>
    <w:rsid w:val="004527E5"/>
    <w:rsid w:val="00452815"/>
    <w:rsid w:val="00452926"/>
    <w:rsid w:val="00452A04"/>
    <w:rsid w:val="00452A85"/>
    <w:rsid w:val="00452C90"/>
    <w:rsid w:val="00452CC8"/>
    <w:rsid w:val="00452D70"/>
    <w:rsid w:val="00452DBB"/>
    <w:rsid w:val="00452DF5"/>
    <w:rsid w:val="00452E2D"/>
    <w:rsid w:val="00452F3D"/>
    <w:rsid w:val="00453052"/>
    <w:rsid w:val="0045309B"/>
    <w:rsid w:val="004530B3"/>
    <w:rsid w:val="00453179"/>
    <w:rsid w:val="00453239"/>
    <w:rsid w:val="00453339"/>
    <w:rsid w:val="004533B9"/>
    <w:rsid w:val="004533FA"/>
    <w:rsid w:val="004534D8"/>
    <w:rsid w:val="00453551"/>
    <w:rsid w:val="00453577"/>
    <w:rsid w:val="00453585"/>
    <w:rsid w:val="004535EC"/>
    <w:rsid w:val="0045365A"/>
    <w:rsid w:val="00453713"/>
    <w:rsid w:val="00453739"/>
    <w:rsid w:val="00453786"/>
    <w:rsid w:val="00453832"/>
    <w:rsid w:val="00453834"/>
    <w:rsid w:val="00453875"/>
    <w:rsid w:val="004538CA"/>
    <w:rsid w:val="0045394A"/>
    <w:rsid w:val="0045397D"/>
    <w:rsid w:val="004539E2"/>
    <w:rsid w:val="00453A03"/>
    <w:rsid w:val="00453A71"/>
    <w:rsid w:val="00453AF1"/>
    <w:rsid w:val="00453B95"/>
    <w:rsid w:val="00453CE8"/>
    <w:rsid w:val="00453D3E"/>
    <w:rsid w:val="00453F0F"/>
    <w:rsid w:val="00453F4A"/>
    <w:rsid w:val="00453F51"/>
    <w:rsid w:val="00453FC4"/>
    <w:rsid w:val="00453FC8"/>
    <w:rsid w:val="00453FFC"/>
    <w:rsid w:val="00454073"/>
    <w:rsid w:val="00454074"/>
    <w:rsid w:val="00454085"/>
    <w:rsid w:val="0045409C"/>
    <w:rsid w:val="0045409E"/>
    <w:rsid w:val="0045418E"/>
    <w:rsid w:val="00454236"/>
    <w:rsid w:val="004542BE"/>
    <w:rsid w:val="00454337"/>
    <w:rsid w:val="0045433D"/>
    <w:rsid w:val="00454362"/>
    <w:rsid w:val="00454369"/>
    <w:rsid w:val="00454405"/>
    <w:rsid w:val="00454418"/>
    <w:rsid w:val="00454492"/>
    <w:rsid w:val="00454538"/>
    <w:rsid w:val="00454589"/>
    <w:rsid w:val="0045461B"/>
    <w:rsid w:val="00454625"/>
    <w:rsid w:val="0045465F"/>
    <w:rsid w:val="00454786"/>
    <w:rsid w:val="004547C9"/>
    <w:rsid w:val="004547E0"/>
    <w:rsid w:val="00454808"/>
    <w:rsid w:val="00454825"/>
    <w:rsid w:val="00454906"/>
    <w:rsid w:val="004549C3"/>
    <w:rsid w:val="00454A6A"/>
    <w:rsid w:val="00454AB9"/>
    <w:rsid w:val="00454B26"/>
    <w:rsid w:val="00454B46"/>
    <w:rsid w:val="00454BDA"/>
    <w:rsid w:val="00454C39"/>
    <w:rsid w:val="00454C43"/>
    <w:rsid w:val="00454CE7"/>
    <w:rsid w:val="00454D4D"/>
    <w:rsid w:val="00454DD1"/>
    <w:rsid w:val="00454E38"/>
    <w:rsid w:val="00454E3D"/>
    <w:rsid w:val="00454E6B"/>
    <w:rsid w:val="00454F78"/>
    <w:rsid w:val="004550D3"/>
    <w:rsid w:val="00455114"/>
    <w:rsid w:val="00455118"/>
    <w:rsid w:val="00455277"/>
    <w:rsid w:val="0045536D"/>
    <w:rsid w:val="0045543C"/>
    <w:rsid w:val="004554B7"/>
    <w:rsid w:val="004554D0"/>
    <w:rsid w:val="00455597"/>
    <w:rsid w:val="004555AE"/>
    <w:rsid w:val="00455676"/>
    <w:rsid w:val="00455718"/>
    <w:rsid w:val="0045576C"/>
    <w:rsid w:val="004558D1"/>
    <w:rsid w:val="00455989"/>
    <w:rsid w:val="00455A4A"/>
    <w:rsid w:val="00455AB5"/>
    <w:rsid w:val="00455C50"/>
    <w:rsid w:val="00455DD6"/>
    <w:rsid w:val="00455E99"/>
    <w:rsid w:val="00455EE6"/>
    <w:rsid w:val="00456058"/>
    <w:rsid w:val="0045605F"/>
    <w:rsid w:val="00456062"/>
    <w:rsid w:val="00456064"/>
    <w:rsid w:val="00456091"/>
    <w:rsid w:val="004560CF"/>
    <w:rsid w:val="004560DC"/>
    <w:rsid w:val="004560E3"/>
    <w:rsid w:val="004560E5"/>
    <w:rsid w:val="00456111"/>
    <w:rsid w:val="00456128"/>
    <w:rsid w:val="00456186"/>
    <w:rsid w:val="004562D6"/>
    <w:rsid w:val="004562EE"/>
    <w:rsid w:val="00456375"/>
    <w:rsid w:val="004564C6"/>
    <w:rsid w:val="00456512"/>
    <w:rsid w:val="0045667F"/>
    <w:rsid w:val="004566A2"/>
    <w:rsid w:val="00456754"/>
    <w:rsid w:val="004569ED"/>
    <w:rsid w:val="00456A13"/>
    <w:rsid w:val="00456AC6"/>
    <w:rsid w:val="00456ACD"/>
    <w:rsid w:val="00456B05"/>
    <w:rsid w:val="00456B95"/>
    <w:rsid w:val="00456BE2"/>
    <w:rsid w:val="00456C66"/>
    <w:rsid w:val="00456C75"/>
    <w:rsid w:val="00456CA5"/>
    <w:rsid w:val="00456CEB"/>
    <w:rsid w:val="00456D16"/>
    <w:rsid w:val="00456D83"/>
    <w:rsid w:val="00456DBA"/>
    <w:rsid w:val="00456DEC"/>
    <w:rsid w:val="00456E7E"/>
    <w:rsid w:val="00456EFF"/>
    <w:rsid w:val="00456F12"/>
    <w:rsid w:val="00456F5F"/>
    <w:rsid w:val="00456F62"/>
    <w:rsid w:val="0045701E"/>
    <w:rsid w:val="00457042"/>
    <w:rsid w:val="004570D4"/>
    <w:rsid w:val="004570E2"/>
    <w:rsid w:val="004571BF"/>
    <w:rsid w:val="00457219"/>
    <w:rsid w:val="004572C7"/>
    <w:rsid w:val="00457323"/>
    <w:rsid w:val="0045732A"/>
    <w:rsid w:val="0045732B"/>
    <w:rsid w:val="0045742A"/>
    <w:rsid w:val="00457456"/>
    <w:rsid w:val="0045748B"/>
    <w:rsid w:val="0045753B"/>
    <w:rsid w:val="004575B5"/>
    <w:rsid w:val="004575BC"/>
    <w:rsid w:val="004575DE"/>
    <w:rsid w:val="00457623"/>
    <w:rsid w:val="00457918"/>
    <w:rsid w:val="0045798E"/>
    <w:rsid w:val="00457999"/>
    <w:rsid w:val="00457A74"/>
    <w:rsid w:val="00457AD5"/>
    <w:rsid w:val="00457AE4"/>
    <w:rsid w:val="00457B1C"/>
    <w:rsid w:val="00457BBD"/>
    <w:rsid w:val="00457BD8"/>
    <w:rsid w:val="00457C2F"/>
    <w:rsid w:val="00457C8B"/>
    <w:rsid w:val="00457CCD"/>
    <w:rsid w:val="00457D0D"/>
    <w:rsid w:val="00457D8B"/>
    <w:rsid w:val="00457D96"/>
    <w:rsid w:val="00457E92"/>
    <w:rsid w:val="00457F61"/>
    <w:rsid w:val="00460051"/>
    <w:rsid w:val="0046005C"/>
    <w:rsid w:val="00460116"/>
    <w:rsid w:val="0046013E"/>
    <w:rsid w:val="00460156"/>
    <w:rsid w:val="004601F7"/>
    <w:rsid w:val="0046026C"/>
    <w:rsid w:val="004603F2"/>
    <w:rsid w:val="00460458"/>
    <w:rsid w:val="004604AB"/>
    <w:rsid w:val="004604C4"/>
    <w:rsid w:val="0046051C"/>
    <w:rsid w:val="00460546"/>
    <w:rsid w:val="0046074D"/>
    <w:rsid w:val="00460793"/>
    <w:rsid w:val="0046093C"/>
    <w:rsid w:val="00460958"/>
    <w:rsid w:val="0046095A"/>
    <w:rsid w:val="004609B4"/>
    <w:rsid w:val="004609BB"/>
    <w:rsid w:val="004609CA"/>
    <w:rsid w:val="004609E1"/>
    <w:rsid w:val="00460B8A"/>
    <w:rsid w:val="00460CEC"/>
    <w:rsid w:val="00460D14"/>
    <w:rsid w:val="00460D5B"/>
    <w:rsid w:val="00460DCC"/>
    <w:rsid w:val="00460E25"/>
    <w:rsid w:val="00460E6B"/>
    <w:rsid w:val="00460E9F"/>
    <w:rsid w:val="00460EEE"/>
    <w:rsid w:val="00460F59"/>
    <w:rsid w:val="00460FE5"/>
    <w:rsid w:val="004610CC"/>
    <w:rsid w:val="004611CE"/>
    <w:rsid w:val="004612D5"/>
    <w:rsid w:val="004612FF"/>
    <w:rsid w:val="0046133C"/>
    <w:rsid w:val="004614DD"/>
    <w:rsid w:val="0046155C"/>
    <w:rsid w:val="0046164E"/>
    <w:rsid w:val="004616B7"/>
    <w:rsid w:val="00461779"/>
    <w:rsid w:val="00461798"/>
    <w:rsid w:val="004617A4"/>
    <w:rsid w:val="004617BA"/>
    <w:rsid w:val="004618C0"/>
    <w:rsid w:val="004618C7"/>
    <w:rsid w:val="004618C8"/>
    <w:rsid w:val="00461900"/>
    <w:rsid w:val="00461951"/>
    <w:rsid w:val="004619B7"/>
    <w:rsid w:val="00461C14"/>
    <w:rsid w:val="00461C17"/>
    <w:rsid w:val="00461C26"/>
    <w:rsid w:val="00461C71"/>
    <w:rsid w:val="00461D72"/>
    <w:rsid w:val="00461E9E"/>
    <w:rsid w:val="00461EF5"/>
    <w:rsid w:val="00461F59"/>
    <w:rsid w:val="00462031"/>
    <w:rsid w:val="004620D1"/>
    <w:rsid w:val="004620E0"/>
    <w:rsid w:val="0046213C"/>
    <w:rsid w:val="0046213F"/>
    <w:rsid w:val="00462165"/>
    <w:rsid w:val="00462234"/>
    <w:rsid w:val="00462295"/>
    <w:rsid w:val="00462393"/>
    <w:rsid w:val="00462484"/>
    <w:rsid w:val="004624D9"/>
    <w:rsid w:val="0046250F"/>
    <w:rsid w:val="00462575"/>
    <w:rsid w:val="004625DB"/>
    <w:rsid w:val="00462648"/>
    <w:rsid w:val="0046266D"/>
    <w:rsid w:val="00462739"/>
    <w:rsid w:val="0046277A"/>
    <w:rsid w:val="00462788"/>
    <w:rsid w:val="004627A3"/>
    <w:rsid w:val="0046280D"/>
    <w:rsid w:val="0046290A"/>
    <w:rsid w:val="00462931"/>
    <w:rsid w:val="00462A53"/>
    <w:rsid w:val="00462AE0"/>
    <w:rsid w:val="00462B12"/>
    <w:rsid w:val="00462BB0"/>
    <w:rsid w:val="00462C73"/>
    <w:rsid w:val="00462C7B"/>
    <w:rsid w:val="00462C8A"/>
    <w:rsid w:val="00462D23"/>
    <w:rsid w:val="00462D5E"/>
    <w:rsid w:val="00462E12"/>
    <w:rsid w:val="00462E17"/>
    <w:rsid w:val="00462EEA"/>
    <w:rsid w:val="00462F93"/>
    <w:rsid w:val="00462FA1"/>
    <w:rsid w:val="00462FB1"/>
    <w:rsid w:val="00462FEC"/>
    <w:rsid w:val="00463154"/>
    <w:rsid w:val="00463177"/>
    <w:rsid w:val="0046330A"/>
    <w:rsid w:val="004633DF"/>
    <w:rsid w:val="0046345B"/>
    <w:rsid w:val="004634D7"/>
    <w:rsid w:val="004634FE"/>
    <w:rsid w:val="00463515"/>
    <w:rsid w:val="004635C6"/>
    <w:rsid w:val="004635D2"/>
    <w:rsid w:val="00463618"/>
    <w:rsid w:val="00463659"/>
    <w:rsid w:val="00463660"/>
    <w:rsid w:val="00463713"/>
    <w:rsid w:val="004637F3"/>
    <w:rsid w:val="0046389F"/>
    <w:rsid w:val="004638A7"/>
    <w:rsid w:val="004638B1"/>
    <w:rsid w:val="004638DA"/>
    <w:rsid w:val="00463985"/>
    <w:rsid w:val="004639D8"/>
    <w:rsid w:val="00463A19"/>
    <w:rsid w:val="00463A1D"/>
    <w:rsid w:val="00463A65"/>
    <w:rsid w:val="00463AD6"/>
    <w:rsid w:val="00463B63"/>
    <w:rsid w:val="00463B99"/>
    <w:rsid w:val="00463D1D"/>
    <w:rsid w:val="00463DD6"/>
    <w:rsid w:val="00463DE1"/>
    <w:rsid w:val="00463E58"/>
    <w:rsid w:val="00463F0C"/>
    <w:rsid w:val="00464057"/>
    <w:rsid w:val="004640F9"/>
    <w:rsid w:val="00464111"/>
    <w:rsid w:val="00464201"/>
    <w:rsid w:val="00464247"/>
    <w:rsid w:val="004642C5"/>
    <w:rsid w:val="00464320"/>
    <w:rsid w:val="00464324"/>
    <w:rsid w:val="00464380"/>
    <w:rsid w:val="004643DF"/>
    <w:rsid w:val="0046442D"/>
    <w:rsid w:val="00464516"/>
    <w:rsid w:val="00464563"/>
    <w:rsid w:val="00464583"/>
    <w:rsid w:val="0046460A"/>
    <w:rsid w:val="0046464C"/>
    <w:rsid w:val="0046466D"/>
    <w:rsid w:val="00464742"/>
    <w:rsid w:val="0046483B"/>
    <w:rsid w:val="0046493B"/>
    <w:rsid w:val="00464994"/>
    <w:rsid w:val="004649E6"/>
    <w:rsid w:val="00464A7C"/>
    <w:rsid w:val="00464AC9"/>
    <w:rsid w:val="00464AFF"/>
    <w:rsid w:val="00464B25"/>
    <w:rsid w:val="00464B39"/>
    <w:rsid w:val="00464C11"/>
    <w:rsid w:val="00464C13"/>
    <w:rsid w:val="00464CB0"/>
    <w:rsid w:val="00464CB7"/>
    <w:rsid w:val="00464CDA"/>
    <w:rsid w:val="00464D1C"/>
    <w:rsid w:val="00464E1A"/>
    <w:rsid w:val="00464E6F"/>
    <w:rsid w:val="00464E97"/>
    <w:rsid w:val="00464EED"/>
    <w:rsid w:val="00464EF0"/>
    <w:rsid w:val="00464F7E"/>
    <w:rsid w:val="00465047"/>
    <w:rsid w:val="004650AC"/>
    <w:rsid w:val="004650D5"/>
    <w:rsid w:val="00465155"/>
    <w:rsid w:val="004652E7"/>
    <w:rsid w:val="00465331"/>
    <w:rsid w:val="004653DD"/>
    <w:rsid w:val="00465464"/>
    <w:rsid w:val="004654DF"/>
    <w:rsid w:val="0046555E"/>
    <w:rsid w:val="004655E8"/>
    <w:rsid w:val="00465690"/>
    <w:rsid w:val="004656F6"/>
    <w:rsid w:val="004656FC"/>
    <w:rsid w:val="0046572E"/>
    <w:rsid w:val="00465736"/>
    <w:rsid w:val="0046574F"/>
    <w:rsid w:val="004657F9"/>
    <w:rsid w:val="0046583A"/>
    <w:rsid w:val="004658CA"/>
    <w:rsid w:val="004659C8"/>
    <w:rsid w:val="00465A78"/>
    <w:rsid w:val="00465BA1"/>
    <w:rsid w:val="00465CB3"/>
    <w:rsid w:val="00465CF3"/>
    <w:rsid w:val="00465D8B"/>
    <w:rsid w:val="00465DB0"/>
    <w:rsid w:val="00465DC0"/>
    <w:rsid w:val="00465DF7"/>
    <w:rsid w:val="00465DFA"/>
    <w:rsid w:val="00465E1D"/>
    <w:rsid w:val="00465E86"/>
    <w:rsid w:val="00465E87"/>
    <w:rsid w:val="00465E88"/>
    <w:rsid w:val="00465F1A"/>
    <w:rsid w:val="00465F22"/>
    <w:rsid w:val="00465F41"/>
    <w:rsid w:val="00465F4D"/>
    <w:rsid w:val="00465F9C"/>
    <w:rsid w:val="00465FC1"/>
    <w:rsid w:val="0046602F"/>
    <w:rsid w:val="004660B7"/>
    <w:rsid w:val="00466114"/>
    <w:rsid w:val="0046611A"/>
    <w:rsid w:val="00466148"/>
    <w:rsid w:val="0046616F"/>
    <w:rsid w:val="00466257"/>
    <w:rsid w:val="0046631A"/>
    <w:rsid w:val="00466470"/>
    <w:rsid w:val="00466487"/>
    <w:rsid w:val="004664E3"/>
    <w:rsid w:val="0046660F"/>
    <w:rsid w:val="00466614"/>
    <w:rsid w:val="00466656"/>
    <w:rsid w:val="004666DB"/>
    <w:rsid w:val="00466809"/>
    <w:rsid w:val="00466820"/>
    <w:rsid w:val="004668AA"/>
    <w:rsid w:val="004668B6"/>
    <w:rsid w:val="00466AA7"/>
    <w:rsid w:val="00466BB9"/>
    <w:rsid w:val="00466C5D"/>
    <w:rsid w:val="00466CD6"/>
    <w:rsid w:val="00466D30"/>
    <w:rsid w:val="00466D49"/>
    <w:rsid w:val="00466DA7"/>
    <w:rsid w:val="00466DE4"/>
    <w:rsid w:val="00466E1A"/>
    <w:rsid w:val="00466E26"/>
    <w:rsid w:val="00466ECB"/>
    <w:rsid w:val="00466F7D"/>
    <w:rsid w:val="00466FE5"/>
    <w:rsid w:val="00466FF2"/>
    <w:rsid w:val="0046701E"/>
    <w:rsid w:val="00467029"/>
    <w:rsid w:val="00467066"/>
    <w:rsid w:val="004670BD"/>
    <w:rsid w:val="00467136"/>
    <w:rsid w:val="0046716A"/>
    <w:rsid w:val="004671B7"/>
    <w:rsid w:val="0046724F"/>
    <w:rsid w:val="00467258"/>
    <w:rsid w:val="004672A7"/>
    <w:rsid w:val="004672B6"/>
    <w:rsid w:val="004673D2"/>
    <w:rsid w:val="004674C9"/>
    <w:rsid w:val="004675C9"/>
    <w:rsid w:val="004676A8"/>
    <w:rsid w:val="004676B8"/>
    <w:rsid w:val="00467871"/>
    <w:rsid w:val="004678BD"/>
    <w:rsid w:val="00467911"/>
    <w:rsid w:val="004679A7"/>
    <w:rsid w:val="004679BD"/>
    <w:rsid w:val="00467A3E"/>
    <w:rsid w:val="00467B1F"/>
    <w:rsid w:val="00467B2B"/>
    <w:rsid w:val="00467C1F"/>
    <w:rsid w:val="00467C2C"/>
    <w:rsid w:val="00467D02"/>
    <w:rsid w:val="00467D69"/>
    <w:rsid w:val="00467E07"/>
    <w:rsid w:val="00467F8D"/>
    <w:rsid w:val="00467FB3"/>
    <w:rsid w:val="00470023"/>
    <w:rsid w:val="00470026"/>
    <w:rsid w:val="0047004A"/>
    <w:rsid w:val="00470095"/>
    <w:rsid w:val="004700A2"/>
    <w:rsid w:val="0047017B"/>
    <w:rsid w:val="00470184"/>
    <w:rsid w:val="004701A9"/>
    <w:rsid w:val="004701EF"/>
    <w:rsid w:val="0047026E"/>
    <w:rsid w:val="00470278"/>
    <w:rsid w:val="0047029A"/>
    <w:rsid w:val="004702EB"/>
    <w:rsid w:val="004703B9"/>
    <w:rsid w:val="0047042D"/>
    <w:rsid w:val="004704E1"/>
    <w:rsid w:val="004704F1"/>
    <w:rsid w:val="00470503"/>
    <w:rsid w:val="00470523"/>
    <w:rsid w:val="004705B4"/>
    <w:rsid w:val="004705E9"/>
    <w:rsid w:val="004705F0"/>
    <w:rsid w:val="004705F5"/>
    <w:rsid w:val="004706CF"/>
    <w:rsid w:val="004706E0"/>
    <w:rsid w:val="00470716"/>
    <w:rsid w:val="0047074D"/>
    <w:rsid w:val="0047086D"/>
    <w:rsid w:val="004708D9"/>
    <w:rsid w:val="004708F5"/>
    <w:rsid w:val="0047091C"/>
    <w:rsid w:val="0047092D"/>
    <w:rsid w:val="004709CF"/>
    <w:rsid w:val="004709F2"/>
    <w:rsid w:val="00470A9C"/>
    <w:rsid w:val="00470ABF"/>
    <w:rsid w:val="00470B6C"/>
    <w:rsid w:val="00470BB5"/>
    <w:rsid w:val="00470CDF"/>
    <w:rsid w:val="00470CF1"/>
    <w:rsid w:val="00470E91"/>
    <w:rsid w:val="00470F1B"/>
    <w:rsid w:val="00470F2E"/>
    <w:rsid w:val="0047102E"/>
    <w:rsid w:val="00471032"/>
    <w:rsid w:val="0047129E"/>
    <w:rsid w:val="004712CE"/>
    <w:rsid w:val="004712D1"/>
    <w:rsid w:val="00471467"/>
    <w:rsid w:val="00471502"/>
    <w:rsid w:val="00471526"/>
    <w:rsid w:val="00471594"/>
    <w:rsid w:val="0047159D"/>
    <w:rsid w:val="004717A3"/>
    <w:rsid w:val="004717BB"/>
    <w:rsid w:val="004717D0"/>
    <w:rsid w:val="00471806"/>
    <w:rsid w:val="004718B4"/>
    <w:rsid w:val="004719C9"/>
    <w:rsid w:val="004719CD"/>
    <w:rsid w:val="004719CF"/>
    <w:rsid w:val="004719D2"/>
    <w:rsid w:val="004719ED"/>
    <w:rsid w:val="00471A18"/>
    <w:rsid w:val="00471B51"/>
    <w:rsid w:val="00471B7B"/>
    <w:rsid w:val="00471BAA"/>
    <w:rsid w:val="00471BF2"/>
    <w:rsid w:val="00471C6A"/>
    <w:rsid w:val="00471CE2"/>
    <w:rsid w:val="00471E38"/>
    <w:rsid w:val="00471F08"/>
    <w:rsid w:val="00471F13"/>
    <w:rsid w:val="00471F28"/>
    <w:rsid w:val="00471F86"/>
    <w:rsid w:val="00472014"/>
    <w:rsid w:val="00472058"/>
    <w:rsid w:val="00472081"/>
    <w:rsid w:val="0047209D"/>
    <w:rsid w:val="0047210B"/>
    <w:rsid w:val="00472282"/>
    <w:rsid w:val="0047230D"/>
    <w:rsid w:val="0047236A"/>
    <w:rsid w:val="0047236C"/>
    <w:rsid w:val="0047239E"/>
    <w:rsid w:val="004724BB"/>
    <w:rsid w:val="004724F9"/>
    <w:rsid w:val="00472606"/>
    <w:rsid w:val="0047268D"/>
    <w:rsid w:val="004727A7"/>
    <w:rsid w:val="00472851"/>
    <w:rsid w:val="004728FD"/>
    <w:rsid w:val="0047294B"/>
    <w:rsid w:val="00472A1D"/>
    <w:rsid w:val="00472A23"/>
    <w:rsid w:val="00472A38"/>
    <w:rsid w:val="00472ABB"/>
    <w:rsid w:val="00472AE3"/>
    <w:rsid w:val="00472B8A"/>
    <w:rsid w:val="00472B9B"/>
    <w:rsid w:val="00472D2F"/>
    <w:rsid w:val="00472D9C"/>
    <w:rsid w:val="00472DA8"/>
    <w:rsid w:val="00472DD4"/>
    <w:rsid w:val="00472E51"/>
    <w:rsid w:val="00472E53"/>
    <w:rsid w:val="00472E87"/>
    <w:rsid w:val="00472E9E"/>
    <w:rsid w:val="00472FEB"/>
    <w:rsid w:val="0047302F"/>
    <w:rsid w:val="00473052"/>
    <w:rsid w:val="0047306A"/>
    <w:rsid w:val="0047309D"/>
    <w:rsid w:val="00473189"/>
    <w:rsid w:val="004731CF"/>
    <w:rsid w:val="004731F3"/>
    <w:rsid w:val="00473244"/>
    <w:rsid w:val="004732B9"/>
    <w:rsid w:val="00473300"/>
    <w:rsid w:val="00473335"/>
    <w:rsid w:val="00473398"/>
    <w:rsid w:val="004733EB"/>
    <w:rsid w:val="004734AD"/>
    <w:rsid w:val="004734DE"/>
    <w:rsid w:val="0047356B"/>
    <w:rsid w:val="00473598"/>
    <w:rsid w:val="004735C4"/>
    <w:rsid w:val="0047363B"/>
    <w:rsid w:val="004736D8"/>
    <w:rsid w:val="0047376A"/>
    <w:rsid w:val="00473772"/>
    <w:rsid w:val="004738AA"/>
    <w:rsid w:val="00473909"/>
    <w:rsid w:val="00473996"/>
    <w:rsid w:val="00473A19"/>
    <w:rsid w:val="00473A59"/>
    <w:rsid w:val="00473A5A"/>
    <w:rsid w:val="00473BD1"/>
    <w:rsid w:val="00473BEF"/>
    <w:rsid w:val="00473C79"/>
    <w:rsid w:val="00473CB5"/>
    <w:rsid w:val="00473E1E"/>
    <w:rsid w:val="00473E56"/>
    <w:rsid w:val="00473F20"/>
    <w:rsid w:val="00473FB4"/>
    <w:rsid w:val="00473FD9"/>
    <w:rsid w:val="00474019"/>
    <w:rsid w:val="00474024"/>
    <w:rsid w:val="00474092"/>
    <w:rsid w:val="0047410F"/>
    <w:rsid w:val="00474140"/>
    <w:rsid w:val="004741DB"/>
    <w:rsid w:val="00474275"/>
    <w:rsid w:val="004742F4"/>
    <w:rsid w:val="0047430F"/>
    <w:rsid w:val="0047434B"/>
    <w:rsid w:val="0047445D"/>
    <w:rsid w:val="00474477"/>
    <w:rsid w:val="0047448A"/>
    <w:rsid w:val="0047451B"/>
    <w:rsid w:val="004745F8"/>
    <w:rsid w:val="00474875"/>
    <w:rsid w:val="004748A8"/>
    <w:rsid w:val="004748EE"/>
    <w:rsid w:val="0047494F"/>
    <w:rsid w:val="004749AA"/>
    <w:rsid w:val="00474A26"/>
    <w:rsid w:val="00474A63"/>
    <w:rsid w:val="00474ABA"/>
    <w:rsid w:val="00474B03"/>
    <w:rsid w:val="00474B13"/>
    <w:rsid w:val="00474B14"/>
    <w:rsid w:val="00474B43"/>
    <w:rsid w:val="00474C6E"/>
    <w:rsid w:val="00474CD7"/>
    <w:rsid w:val="00474CF3"/>
    <w:rsid w:val="00474D0D"/>
    <w:rsid w:val="00474D18"/>
    <w:rsid w:val="00474D7D"/>
    <w:rsid w:val="00474E28"/>
    <w:rsid w:val="00474E78"/>
    <w:rsid w:val="00474EBE"/>
    <w:rsid w:val="00474F4C"/>
    <w:rsid w:val="00474F57"/>
    <w:rsid w:val="00474FAB"/>
    <w:rsid w:val="00474FAF"/>
    <w:rsid w:val="00474FF4"/>
    <w:rsid w:val="00474FFE"/>
    <w:rsid w:val="0047503E"/>
    <w:rsid w:val="00475049"/>
    <w:rsid w:val="00475074"/>
    <w:rsid w:val="0047507A"/>
    <w:rsid w:val="0047509F"/>
    <w:rsid w:val="004750E8"/>
    <w:rsid w:val="004750F3"/>
    <w:rsid w:val="00475125"/>
    <w:rsid w:val="00475216"/>
    <w:rsid w:val="00475273"/>
    <w:rsid w:val="0047528B"/>
    <w:rsid w:val="00475321"/>
    <w:rsid w:val="00475344"/>
    <w:rsid w:val="004753A3"/>
    <w:rsid w:val="004753BE"/>
    <w:rsid w:val="0047544C"/>
    <w:rsid w:val="00475472"/>
    <w:rsid w:val="004754DB"/>
    <w:rsid w:val="004754EE"/>
    <w:rsid w:val="00475637"/>
    <w:rsid w:val="0047565C"/>
    <w:rsid w:val="004756F9"/>
    <w:rsid w:val="00475734"/>
    <w:rsid w:val="0047590B"/>
    <w:rsid w:val="00475A23"/>
    <w:rsid w:val="00475A3D"/>
    <w:rsid w:val="00475B5A"/>
    <w:rsid w:val="00475B8F"/>
    <w:rsid w:val="00475C8E"/>
    <w:rsid w:val="00475C94"/>
    <w:rsid w:val="00475D52"/>
    <w:rsid w:val="00475DAC"/>
    <w:rsid w:val="00475DB5"/>
    <w:rsid w:val="00475E52"/>
    <w:rsid w:val="00476032"/>
    <w:rsid w:val="004760DE"/>
    <w:rsid w:val="0047612E"/>
    <w:rsid w:val="00476185"/>
    <w:rsid w:val="00476219"/>
    <w:rsid w:val="004762A8"/>
    <w:rsid w:val="00476357"/>
    <w:rsid w:val="00476511"/>
    <w:rsid w:val="004765B4"/>
    <w:rsid w:val="00476640"/>
    <w:rsid w:val="00476648"/>
    <w:rsid w:val="00476738"/>
    <w:rsid w:val="00476761"/>
    <w:rsid w:val="004767AD"/>
    <w:rsid w:val="004768A7"/>
    <w:rsid w:val="004768F9"/>
    <w:rsid w:val="0047693B"/>
    <w:rsid w:val="0047696B"/>
    <w:rsid w:val="004769B6"/>
    <w:rsid w:val="004769D7"/>
    <w:rsid w:val="00476AB1"/>
    <w:rsid w:val="00476B3F"/>
    <w:rsid w:val="00476B5D"/>
    <w:rsid w:val="00476BF7"/>
    <w:rsid w:val="00476CBB"/>
    <w:rsid w:val="00476CF6"/>
    <w:rsid w:val="00476E27"/>
    <w:rsid w:val="00476EBA"/>
    <w:rsid w:val="004770D0"/>
    <w:rsid w:val="0047716F"/>
    <w:rsid w:val="0047724E"/>
    <w:rsid w:val="00477275"/>
    <w:rsid w:val="00477276"/>
    <w:rsid w:val="00477332"/>
    <w:rsid w:val="0047737A"/>
    <w:rsid w:val="004774D2"/>
    <w:rsid w:val="0047755D"/>
    <w:rsid w:val="0047760E"/>
    <w:rsid w:val="0047766F"/>
    <w:rsid w:val="004777B2"/>
    <w:rsid w:val="00477865"/>
    <w:rsid w:val="0047786A"/>
    <w:rsid w:val="004778F4"/>
    <w:rsid w:val="00477908"/>
    <w:rsid w:val="00477920"/>
    <w:rsid w:val="004779C9"/>
    <w:rsid w:val="00477A03"/>
    <w:rsid w:val="00477A0F"/>
    <w:rsid w:val="00477A28"/>
    <w:rsid w:val="00477A57"/>
    <w:rsid w:val="00477A65"/>
    <w:rsid w:val="00477A6D"/>
    <w:rsid w:val="00477B04"/>
    <w:rsid w:val="00477B31"/>
    <w:rsid w:val="00477B8C"/>
    <w:rsid w:val="00477C06"/>
    <w:rsid w:val="00477C4A"/>
    <w:rsid w:val="00477CB6"/>
    <w:rsid w:val="00477CFD"/>
    <w:rsid w:val="00477D12"/>
    <w:rsid w:val="00477D3E"/>
    <w:rsid w:val="00477E09"/>
    <w:rsid w:val="00477F07"/>
    <w:rsid w:val="00477F23"/>
    <w:rsid w:val="00477FBA"/>
    <w:rsid w:val="00477FE6"/>
    <w:rsid w:val="00477FF3"/>
    <w:rsid w:val="004800A2"/>
    <w:rsid w:val="00480154"/>
    <w:rsid w:val="004802D0"/>
    <w:rsid w:val="00480443"/>
    <w:rsid w:val="0048057A"/>
    <w:rsid w:val="004806B2"/>
    <w:rsid w:val="004806FB"/>
    <w:rsid w:val="00480780"/>
    <w:rsid w:val="00480880"/>
    <w:rsid w:val="0048097F"/>
    <w:rsid w:val="00480AB2"/>
    <w:rsid w:val="00480AD1"/>
    <w:rsid w:val="00480B21"/>
    <w:rsid w:val="00480B31"/>
    <w:rsid w:val="00480C09"/>
    <w:rsid w:val="00480CE6"/>
    <w:rsid w:val="00480D25"/>
    <w:rsid w:val="00480DC7"/>
    <w:rsid w:val="00480DDD"/>
    <w:rsid w:val="00480DF7"/>
    <w:rsid w:val="00480E0D"/>
    <w:rsid w:val="00480E53"/>
    <w:rsid w:val="00480EF3"/>
    <w:rsid w:val="00480F31"/>
    <w:rsid w:val="00480F6D"/>
    <w:rsid w:val="00480F79"/>
    <w:rsid w:val="00480FFD"/>
    <w:rsid w:val="00481057"/>
    <w:rsid w:val="004811D1"/>
    <w:rsid w:val="004811F8"/>
    <w:rsid w:val="00481257"/>
    <w:rsid w:val="0048127F"/>
    <w:rsid w:val="004812DF"/>
    <w:rsid w:val="00481370"/>
    <w:rsid w:val="004814F2"/>
    <w:rsid w:val="004815B7"/>
    <w:rsid w:val="004815CD"/>
    <w:rsid w:val="00481681"/>
    <w:rsid w:val="004816A4"/>
    <w:rsid w:val="004816E5"/>
    <w:rsid w:val="0048170D"/>
    <w:rsid w:val="0048178D"/>
    <w:rsid w:val="00481823"/>
    <w:rsid w:val="0048188B"/>
    <w:rsid w:val="00481949"/>
    <w:rsid w:val="0048194F"/>
    <w:rsid w:val="00481968"/>
    <w:rsid w:val="0048199D"/>
    <w:rsid w:val="004819E5"/>
    <w:rsid w:val="00481AE6"/>
    <w:rsid w:val="00481B38"/>
    <w:rsid w:val="00481B71"/>
    <w:rsid w:val="00481B8F"/>
    <w:rsid w:val="00481C2B"/>
    <w:rsid w:val="00481D10"/>
    <w:rsid w:val="00481D84"/>
    <w:rsid w:val="00481DCD"/>
    <w:rsid w:val="00481DE0"/>
    <w:rsid w:val="00481DED"/>
    <w:rsid w:val="00481E24"/>
    <w:rsid w:val="00481E2A"/>
    <w:rsid w:val="00481E4B"/>
    <w:rsid w:val="00481ED1"/>
    <w:rsid w:val="00482006"/>
    <w:rsid w:val="004820FF"/>
    <w:rsid w:val="00482265"/>
    <w:rsid w:val="004822D7"/>
    <w:rsid w:val="004823C8"/>
    <w:rsid w:val="004823D7"/>
    <w:rsid w:val="00482426"/>
    <w:rsid w:val="00482562"/>
    <w:rsid w:val="0048258F"/>
    <w:rsid w:val="004825B1"/>
    <w:rsid w:val="004825BC"/>
    <w:rsid w:val="00482601"/>
    <w:rsid w:val="0048262E"/>
    <w:rsid w:val="00482632"/>
    <w:rsid w:val="00482785"/>
    <w:rsid w:val="004827B7"/>
    <w:rsid w:val="004827D2"/>
    <w:rsid w:val="004828B7"/>
    <w:rsid w:val="004828DB"/>
    <w:rsid w:val="00482931"/>
    <w:rsid w:val="00482992"/>
    <w:rsid w:val="004829F1"/>
    <w:rsid w:val="004829F5"/>
    <w:rsid w:val="00482A60"/>
    <w:rsid w:val="00482A9A"/>
    <w:rsid w:val="00482AA4"/>
    <w:rsid w:val="00482C89"/>
    <w:rsid w:val="00482C8B"/>
    <w:rsid w:val="00482D17"/>
    <w:rsid w:val="00482D2D"/>
    <w:rsid w:val="00482DB3"/>
    <w:rsid w:val="00482F0A"/>
    <w:rsid w:val="00482F4F"/>
    <w:rsid w:val="00482FA3"/>
    <w:rsid w:val="00482FA5"/>
    <w:rsid w:val="00482FA7"/>
    <w:rsid w:val="00482FDE"/>
    <w:rsid w:val="00483035"/>
    <w:rsid w:val="004830BE"/>
    <w:rsid w:val="004830C3"/>
    <w:rsid w:val="004831CD"/>
    <w:rsid w:val="00483215"/>
    <w:rsid w:val="00483233"/>
    <w:rsid w:val="0048328E"/>
    <w:rsid w:val="004832B6"/>
    <w:rsid w:val="004832D2"/>
    <w:rsid w:val="00483325"/>
    <w:rsid w:val="0048336E"/>
    <w:rsid w:val="004833C3"/>
    <w:rsid w:val="004834F9"/>
    <w:rsid w:val="0048352A"/>
    <w:rsid w:val="00483534"/>
    <w:rsid w:val="0048353F"/>
    <w:rsid w:val="00483677"/>
    <w:rsid w:val="004836F1"/>
    <w:rsid w:val="004837B5"/>
    <w:rsid w:val="00483909"/>
    <w:rsid w:val="0048398F"/>
    <w:rsid w:val="00483B51"/>
    <w:rsid w:val="00483C4A"/>
    <w:rsid w:val="00483D30"/>
    <w:rsid w:val="00483D9E"/>
    <w:rsid w:val="00483DCF"/>
    <w:rsid w:val="00483DFD"/>
    <w:rsid w:val="00483EC7"/>
    <w:rsid w:val="00483EC8"/>
    <w:rsid w:val="00483EDA"/>
    <w:rsid w:val="00483F09"/>
    <w:rsid w:val="004840D4"/>
    <w:rsid w:val="00484109"/>
    <w:rsid w:val="00484195"/>
    <w:rsid w:val="0048426B"/>
    <w:rsid w:val="0048427A"/>
    <w:rsid w:val="004843D0"/>
    <w:rsid w:val="004843D2"/>
    <w:rsid w:val="00484426"/>
    <w:rsid w:val="004845A5"/>
    <w:rsid w:val="004845F3"/>
    <w:rsid w:val="00484613"/>
    <w:rsid w:val="00484703"/>
    <w:rsid w:val="0048470D"/>
    <w:rsid w:val="00484764"/>
    <w:rsid w:val="004847A1"/>
    <w:rsid w:val="00484848"/>
    <w:rsid w:val="00484864"/>
    <w:rsid w:val="00484878"/>
    <w:rsid w:val="004848DB"/>
    <w:rsid w:val="0048499C"/>
    <w:rsid w:val="00484A04"/>
    <w:rsid w:val="00484A38"/>
    <w:rsid w:val="00484A39"/>
    <w:rsid w:val="00484A68"/>
    <w:rsid w:val="00484A70"/>
    <w:rsid w:val="00484ABC"/>
    <w:rsid w:val="00484AC5"/>
    <w:rsid w:val="00484B08"/>
    <w:rsid w:val="00484B45"/>
    <w:rsid w:val="00484B58"/>
    <w:rsid w:val="00484BA8"/>
    <w:rsid w:val="00484BD4"/>
    <w:rsid w:val="00484C18"/>
    <w:rsid w:val="00484C80"/>
    <w:rsid w:val="00484CC9"/>
    <w:rsid w:val="00484D0E"/>
    <w:rsid w:val="00484DA2"/>
    <w:rsid w:val="00484E21"/>
    <w:rsid w:val="00484EAD"/>
    <w:rsid w:val="00484ED2"/>
    <w:rsid w:val="00484F4C"/>
    <w:rsid w:val="00484F79"/>
    <w:rsid w:val="00485163"/>
    <w:rsid w:val="004851C4"/>
    <w:rsid w:val="004851DA"/>
    <w:rsid w:val="004852C7"/>
    <w:rsid w:val="00485312"/>
    <w:rsid w:val="00485349"/>
    <w:rsid w:val="0048537E"/>
    <w:rsid w:val="00485434"/>
    <w:rsid w:val="00485525"/>
    <w:rsid w:val="00485558"/>
    <w:rsid w:val="004855A7"/>
    <w:rsid w:val="0048560B"/>
    <w:rsid w:val="00485648"/>
    <w:rsid w:val="004856BF"/>
    <w:rsid w:val="004857E2"/>
    <w:rsid w:val="004857FD"/>
    <w:rsid w:val="0048587C"/>
    <w:rsid w:val="0048592F"/>
    <w:rsid w:val="00485A1E"/>
    <w:rsid w:val="00485A28"/>
    <w:rsid w:val="00485A5E"/>
    <w:rsid w:val="00485A66"/>
    <w:rsid w:val="00485AC2"/>
    <w:rsid w:val="00485ADF"/>
    <w:rsid w:val="00485C0D"/>
    <w:rsid w:val="00485C79"/>
    <w:rsid w:val="00485D23"/>
    <w:rsid w:val="00485D83"/>
    <w:rsid w:val="00485D87"/>
    <w:rsid w:val="00485D9E"/>
    <w:rsid w:val="00485E42"/>
    <w:rsid w:val="00485E4F"/>
    <w:rsid w:val="00485E80"/>
    <w:rsid w:val="00485EF1"/>
    <w:rsid w:val="00485F6E"/>
    <w:rsid w:val="00486017"/>
    <w:rsid w:val="00486119"/>
    <w:rsid w:val="00486151"/>
    <w:rsid w:val="004861E5"/>
    <w:rsid w:val="00486222"/>
    <w:rsid w:val="0048622F"/>
    <w:rsid w:val="00486265"/>
    <w:rsid w:val="00486354"/>
    <w:rsid w:val="00486383"/>
    <w:rsid w:val="0048647B"/>
    <w:rsid w:val="0048656B"/>
    <w:rsid w:val="0048659A"/>
    <w:rsid w:val="004865AD"/>
    <w:rsid w:val="00486618"/>
    <w:rsid w:val="004866AC"/>
    <w:rsid w:val="00486757"/>
    <w:rsid w:val="004867AF"/>
    <w:rsid w:val="004867B2"/>
    <w:rsid w:val="004867BB"/>
    <w:rsid w:val="004867FF"/>
    <w:rsid w:val="00486819"/>
    <w:rsid w:val="0048688D"/>
    <w:rsid w:val="0048688F"/>
    <w:rsid w:val="00486922"/>
    <w:rsid w:val="00486945"/>
    <w:rsid w:val="004869DA"/>
    <w:rsid w:val="00486AAF"/>
    <w:rsid w:val="00486AD5"/>
    <w:rsid w:val="00486C1D"/>
    <w:rsid w:val="00486CF7"/>
    <w:rsid w:val="00486DF3"/>
    <w:rsid w:val="00486DFC"/>
    <w:rsid w:val="00486E2E"/>
    <w:rsid w:val="00486E7E"/>
    <w:rsid w:val="00486EF0"/>
    <w:rsid w:val="00486FCF"/>
    <w:rsid w:val="00486FD3"/>
    <w:rsid w:val="00486FF4"/>
    <w:rsid w:val="004870D6"/>
    <w:rsid w:val="00487104"/>
    <w:rsid w:val="00487149"/>
    <w:rsid w:val="004871EB"/>
    <w:rsid w:val="00487209"/>
    <w:rsid w:val="0048725A"/>
    <w:rsid w:val="00487411"/>
    <w:rsid w:val="004874E7"/>
    <w:rsid w:val="0048755D"/>
    <w:rsid w:val="00487642"/>
    <w:rsid w:val="00487691"/>
    <w:rsid w:val="00487850"/>
    <w:rsid w:val="00487882"/>
    <w:rsid w:val="00487950"/>
    <w:rsid w:val="0048797F"/>
    <w:rsid w:val="00487983"/>
    <w:rsid w:val="00487B04"/>
    <w:rsid w:val="00487B11"/>
    <w:rsid w:val="00487B40"/>
    <w:rsid w:val="00487C29"/>
    <w:rsid w:val="00487C8A"/>
    <w:rsid w:val="00487CF0"/>
    <w:rsid w:val="00487D5B"/>
    <w:rsid w:val="00487D63"/>
    <w:rsid w:val="00487DF0"/>
    <w:rsid w:val="00487E57"/>
    <w:rsid w:val="00487ED0"/>
    <w:rsid w:val="00487F43"/>
    <w:rsid w:val="00487FB1"/>
    <w:rsid w:val="00487FBD"/>
    <w:rsid w:val="00487FC4"/>
    <w:rsid w:val="00490023"/>
    <w:rsid w:val="00490038"/>
    <w:rsid w:val="0049003B"/>
    <w:rsid w:val="004900A3"/>
    <w:rsid w:val="004900ED"/>
    <w:rsid w:val="004901BC"/>
    <w:rsid w:val="004901FC"/>
    <w:rsid w:val="00490203"/>
    <w:rsid w:val="00490235"/>
    <w:rsid w:val="00490293"/>
    <w:rsid w:val="0049034D"/>
    <w:rsid w:val="00490499"/>
    <w:rsid w:val="004904EB"/>
    <w:rsid w:val="0049051C"/>
    <w:rsid w:val="0049053E"/>
    <w:rsid w:val="00490569"/>
    <w:rsid w:val="0049068F"/>
    <w:rsid w:val="004907BD"/>
    <w:rsid w:val="004907C8"/>
    <w:rsid w:val="00490902"/>
    <w:rsid w:val="00490912"/>
    <w:rsid w:val="00490A3B"/>
    <w:rsid w:val="00490AF6"/>
    <w:rsid w:val="00490B50"/>
    <w:rsid w:val="00490B5D"/>
    <w:rsid w:val="00490BAB"/>
    <w:rsid w:val="00490CAA"/>
    <w:rsid w:val="00490D53"/>
    <w:rsid w:val="00490F3E"/>
    <w:rsid w:val="00490F58"/>
    <w:rsid w:val="00491021"/>
    <w:rsid w:val="00491087"/>
    <w:rsid w:val="004911FF"/>
    <w:rsid w:val="00491220"/>
    <w:rsid w:val="00491277"/>
    <w:rsid w:val="004912BE"/>
    <w:rsid w:val="0049130A"/>
    <w:rsid w:val="004913DB"/>
    <w:rsid w:val="00491451"/>
    <w:rsid w:val="00491526"/>
    <w:rsid w:val="0049152E"/>
    <w:rsid w:val="00491534"/>
    <w:rsid w:val="00491541"/>
    <w:rsid w:val="004915C7"/>
    <w:rsid w:val="004915D0"/>
    <w:rsid w:val="004915E4"/>
    <w:rsid w:val="0049160B"/>
    <w:rsid w:val="00491649"/>
    <w:rsid w:val="0049166E"/>
    <w:rsid w:val="004916B2"/>
    <w:rsid w:val="004916DD"/>
    <w:rsid w:val="0049176C"/>
    <w:rsid w:val="0049178D"/>
    <w:rsid w:val="004917F3"/>
    <w:rsid w:val="00491872"/>
    <w:rsid w:val="00491877"/>
    <w:rsid w:val="0049187A"/>
    <w:rsid w:val="00491890"/>
    <w:rsid w:val="0049189D"/>
    <w:rsid w:val="00491952"/>
    <w:rsid w:val="00491AE9"/>
    <w:rsid w:val="00491BA4"/>
    <w:rsid w:val="00491DEE"/>
    <w:rsid w:val="00491DF5"/>
    <w:rsid w:val="00491E1A"/>
    <w:rsid w:val="00491EDF"/>
    <w:rsid w:val="00491EE5"/>
    <w:rsid w:val="00491F7D"/>
    <w:rsid w:val="00491FA6"/>
    <w:rsid w:val="00492021"/>
    <w:rsid w:val="00492075"/>
    <w:rsid w:val="0049208B"/>
    <w:rsid w:val="00492147"/>
    <w:rsid w:val="00492169"/>
    <w:rsid w:val="0049217E"/>
    <w:rsid w:val="0049218E"/>
    <w:rsid w:val="004921AA"/>
    <w:rsid w:val="0049225F"/>
    <w:rsid w:val="004922A6"/>
    <w:rsid w:val="0049230C"/>
    <w:rsid w:val="0049241F"/>
    <w:rsid w:val="00492436"/>
    <w:rsid w:val="0049247C"/>
    <w:rsid w:val="00492484"/>
    <w:rsid w:val="00492500"/>
    <w:rsid w:val="004925C4"/>
    <w:rsid w:val="004925F0"/>
    <w:rsid w:val="00492644"/>
    <w:rsid w:val="00492794"/>
    <w:rsid w:val="004927A4"/>
    <w:rsid w:val="004927F2"/>
    <w:rsid w:val="0049281F"/>
    <w:rsid w:val="0049288B"/>
    <w:rsid w:val="00492931"/>
    <w:rsid w:val="00492A59"/>
    <w:rsid w:val="00492B09"/>
    <w:rsid w:val="00492B14"/>
    <w:rsid w:val="00492B76"/>
    <w:rsid w:val="00492BDD"/>
    <w:rsid w:val="00492D53"/>
    <w:rsid w:val="00492D74"/>
    <w:rsid w:val="00492EA5"/>
    <w:rsid w:val="00492ECA"/>
    <w:rsid w:val="0049312B"/>
    <w:rsid w:val="00493164"/>
    <w:rsid w:val="004931E3"/>
    <w:rsid w:val="0049336D"/>
    <w:rsid w:val="004933F4"/>
    <w:rsid w:val="004934A0"/>
    <w:rsid w:val="004934C4"/>
    <w:rsid w:val="004934ED"/>
    <w:rsid w:val="004934FE"/>
    <w:rsid w:val="0049354E"/>
    <w:rsid w:val="0049363A"/>
    <w:rsid w:val="0049370B"/>
    <w:rsid w:val="00493781"/>
    <w:rsid w:val="004937A8"/>
    <w:rsid w:val="00493849"/>
    <w:rsid w:val="0049388C"/>
    <w:rsid w:val="004938DB"/>
    <w:rsid w:val="0049390E"/>
    <w:rsid w:val="0049397D"/>
    <w:rsid w:val="00493A1A"/>
    <w:rsid w:val="00493A1F"/>
    <w:rsid w:val="00493A8A"/>
    <w:rsid w:val="00493AEE"/>
    <w:rsid w:val="00493C45"/>
    <w:rsid w:val="00493C69"/>
    <w:rsid w:val="00493CB3"/>
    <w:rsid w:val="00493CD3"/>
    <w:rsid w:val="00493CE4"/>
    <w:rsid w:val="00493DA8"/>
    <w:rsid w:val="00493E00"/>
    <w:rsid w:val="00493F61"/>
    <w:rsid w:val="00493F7E"/>
    <w:rsid w:val="004940CF"/>
    <w:rsid w:val="00494148"/>
    <w:rsid w:val="004941BE"/>
    <w:rsid w:val="00494217"/>
    <w:rsid w:val="0049432D"/>
    <w:rsid w:val="0049435B"/>
    <w:rsid w:val="0049435C"/>
    <w:rsid w:val="0049439E"/>
    <w:rsid w:val="00494438"/>
    <w:rsid w:val="004944AF"/>
    <w:rsid w:val="0049461E"/>
    <w:rsid w:val="0049478D"/>
    <w:rsid w:val="004947B4"/>
    <w:rsid w:val="004947B9"/>
    <w:rsid w:val="00494845"/>
    <w:rsid w:val="004949DD"/>
    <w:rsid w:val="00494A9D"/>
    <w:rsid w:val="00494B2D"/>
    <w:rsid w:val="00494B58"/>
    <w:rsid w:val="00494B6F"/>
    <w:rsid w:val="00494B7C"/>
    <w:rsid w:val="00494BAC"/>
    <w:rsid w:val="00494BBF"/>
    <w:rsid w:val="00494C02"/>
    <w:rsid w:val="00494C3A"/>
    <w:rsid w:val="00494C89"/>
    <w:rsid w:val="00494CC8"/>
    <w:rsid w:val="00494DA9"/>
    <w:rsid w:val="00494DD2"/>
    <w:rsid w:val="00494E99"/>
    <w:rsid w:val="00494F95"/>
    <w:rsid w:val="00494FF5"/>
    <w:rsid w:val="00495039"/>
    <w:rsid w:val="00495108"/>
    <w:rsid w:val="00495112"/>
    <w:rsid w:val="0049512C"/>
    <w:rsid w:val="00495142"/>
    <w:rsid w:val="00495151"/>
    <w:rsid w:val="00495205"/>
    <w:rsid w:val="00495232"/>
    <w:rsid w:val="00495279"/>
    <w:rsid w:val="00495344"/>
    <w:rsid w:val="004953A9"/>
    <w:rsid w:val="004953CE"/>
    <w:rsid w:val="004953DA"/>
    <w:rsid w:val="00495421"/>
    <w:rsid w:val="0049546E"/>
    <w:rsid w:val="0049549C"/>
    <w:rsid w:val="004954B5"/>
    <w:rsid w:val="004954DD"/>
    <w:rsid w:val="00495584"/>
    <w:rsid w:val="0049558F"/>
    <w:rsid w:val="0049560A"/>
    <w:rsid w:val="0049569B"/>
    <w:rsid w:val="0049571D"/>
    <w:rsid w:val="004957E4"/>
    <w:rsid w:val="004958E1"/>
    <w:rsid w:val="00495A8C"/>
    <w:rsid w:val="00495B0A"/>
    <w:rsid w:val="00495B55"/>
    <w:rsid w:val="00495D76"/>
    <w:rsid w:val="00495DF3"/>
    <w:rsid w:val="00495E3B"/>
    <w:rsid w:val="00495EDF"/>
    <w:rsid w:val="0049604F"/>
    <w:rsid w:val="004960B0"/>
    <w:rsid w:val="004960ED"/>
    <w:rsid w:val="0049618D"/>
    <w:rsid w:val="004961AA"/>
    <w:rsid w:val="004961DA"/>
    <w:rsid w:val="00496209"/>
    <w:rsid w:val="004963B2"/>
    <w:rsid w:val="0049642E"/>
    <w:rsid w:val="0049648C"/>
    <w:rsid w:val="004965F2"/>
    <w:rsid w:val="00496601"/>
    <w:rsid w:val="00496741"/>
    <w:rsid w:val="0049676B"/>
    <w:rsid w:val="004967B8"/>
    <w:rsid w:val="004967F2"/>
    <w:rsid w:val="00496A9D"/>
    <w:rsid w:val="00496BED"/>
    <w:rsid w:val="00496C0B"/>
    <w:rsid w:val="00496C12"/>
    <w:rsid w:val="00496C8F"/>
    <w:rsid w:val="00496DEA"/>
    <w:rsid w:val="00496DF8"/>
    <w:rsid w:val="00496E12"/>
    <w:rsid w:val="00496E7D"/>
    <w:rsid w:val="00496F52"/>
    <w:rsid w:val="0049701B"/>
    <w:rsid w:val="004970D5"/>
    <w:rsid w:val="00497111"/>
    <w:rsid w:val="00497335"/>
    <w:rsid w:val="004973EE"/>
    <w:rsid w:val="00497415"/>
    <w:rsid w:val="0049745D"/>
    <w:rsid w:val="0049751D"/>
    <w:rsid w:val="00497734"/>
    <w:rsid w:val="004977A2"/>
    <w:rsid w:val="004977C4"/>
    <w:rsid w:val="004977D5"/>
    <w:rsid w:val="004978D6"/>
    <w:rsid w:val="00497955"/>
    <w:rsid w:val="00497970"/>
    <w:rsid w:val="004979B5"/>
    <w:rsid w:val="004979C8"/>
    <w:rsid w:val="00497A08"/>
    <w:rsid w:val="00497A74"/>
    <w:rsid w:val="00497B60"/>
    <w:rsid w:val="00497CC2"/>
    <w:rsid w:val="00497CFC"/>
    <w:rsid w:val="00497D76"/>
    <w:rsid w:val="00497D7E"/>
    <w:rsid w:val="00497EFF"/>
    <w:rsid w:val="00497FE7"/>
    <w:rsid w:val="004A00DD"/>
    <w:rsid w:val="004A01F2"/>
    <w:rsid w:val="004A0236"/>
    <w:rsid w:val="004A023E"/>
    <w:rsid w:val="004A030B"/>
    <w:rsid w:val="004A038C"/>
    <w:rsid w:val="004A0436"/>
    <w:rsid w:val="004A052D"/>
    <w:rsid w:val="004A0578"/>
    <w:rsid w:val="004A05BB"/>
    <w:rsid w:val="004A060F"/>
    <w:rsid w:val="004A0663"/>
    <w:rsid w:val="004A071F"/>
    <w:rsid w:val="004A0788"/>
    <w:rsid w:val="004A07BF"/>
    <w:rsid w:val="004A084E"/>
    <w:rsid w:val="004A0926"/>
    <w:rsid w:val="004A0957"/>
    <w:rsid w:val="004A0962"/>
    <w:rsid w:val="004A09FB"/>
    <w:rsid w:val="004A0A7E"/>
    <w:rsid w:val="004A0A7F"/>
    <w:rsid w:val="004A0AFE"/>
    <w:rsid w:val="004A0BAF"/>
    <w:rsid w:val="004A0C1B"/>
    <w:rsid w:val="004A0C2A"/>
    <w:rsid w:val="004A0C60"/>
    <w:rsid w:val="004A0CEB"/>
    <w:rsid w:val="004A0E72"/>
    <w:rsid w:val="004A0EE4"/>
    <w:rsid w:val="004A0EFB"/>
    <w:rsid w:val="004A0F16"/>
    <w:rsid w:val="004A0F32"/>
    <w:rsid w:val="004A0F34"/>
    <w:rsid w:val="004A0F9B"/>
    <w:rsid w:val="004A0FF0"/>
    <w:rsid w:val="004A108A"/>
    <w:rsid w:val="004A10F1"/>
    <w:rsid w:val="004A1163"/>
    <w:rsid w:val="004A1240"/>
    <w:rsid w:val="004A1269"/>
    <w:rsid w:val="004A13F3"/>
    <w:rsid w:val="004A1506"/>
    <w:rsid w:val="004A1597"/>
    <w:rsid w:val="004A15D0"/>
    <w:rsid w:val="004A163B"/>
    <w:rsid w:val="004A167A"/>
    <w:rsid w:val="004A1688"/>
    <w:rsid w:val="004A17B4"/>
    <w:rsid w:val="004A18A4"/>
    <w:rsid w:val="004A18B0"/>
    <w:rsid w:val="004A18C0"/>
    <w:rsid w:val="004A18D3"/>
    <w:rsid w:val="004A1924"/>
    <w:rsid w:val="004A193F"/>
    <w:rsid w:val="004A1993"/>
    <w:rsid w:val="004A1AC1"/>
    <w:rsid w:val="004A1C14"/>
    <w:rsid w:val="004A1C7D"/>
    <w:rsid w:val="004A1C81"/>
    <w:rsid w:val="004A1CB5"/>
    <w:rsid w:val="004A1D43"/>
    <w:rsid w:val="004A1DCF"/>
    <w:rsid w:val="004A1EA0"/>
    <w:rsid w:val="004A1EC0"/>
    <w:rsid w:val="004A1EFE"/>
    <w:rsid w:val="004A1F0D"/>
    <w:rsid w:val="004A1F3E"/>
    <w:rsid w:val="004A1FB6"/>
    <w:rsid w:val="004A1FDD"/>
    <w:rsid w:val="004A2374"/>
    <w:rsid w:val="004A2431"/>
    <w:rsid w:val="004A252B"/>
    <w:rsid w:val="004A253B"/>
    <w:rsid w:val="004A25CF"/>
    <w:rsid w:val="004A2627"/>
    <w:rsid w:val="004A266D"/>
    <w:rsid w:val="004A26AF"/>
    <w:rsid w:val="004A26D1"/>
    <w:rsid w:val="004A26D2"/>
    <w:rsid w:val="004A2761"/>
    <w:rsid w:val="004A27C2"/>
    <w:rsid w:val="004A2828"/>
    <w:rsid w:val="004A2834"/>
    <w:rsid w:val="004A2863"/>
    <w:rsid w:val="004A28E4"/>
    <w:rsid w:val="004A296A"/>
    <w:rsid w:val="004A2991"/>
    <w:rsid w:val="004A2A60"/>
    <w:rsid w:val="004A2B2C"/>
    <w:rsid w:val="004A2B34"/>
    <w:rsid w:val="004A2B47"/>
    <w:rsid w:val="004A2B7E"/>
    <w:rsid w:val="004A2BFF"/>
    <w:rsid w:val="004A2C20"/>
    <w:rsid w:val="004A2C53"/>
    <w:rsid w:val="004A2C6F"/>
    <w:rsid w:val="004A2C78"/>
    <w:rsid w:val="004A2D0C"/>
    <w:rsid w:val="004A2D60"/>
    <w:rsid w:val="004A2D68"/>
    <w:rsid w:val="004A2E75"/>
    <w:rsid w:val="004A2E86"/>
    <w:rsid w:val="004A2ED9"/>
    <w:rsid w:val="004A2EDF"/>
    <w:rsid w:val="004A2F60"/>
    <w:rsid w:val="004A2FFC"/>
    <w:rsid w:val="004A3189"/>
    <w:rsid w:val="004A32EB"/>
    <w:rsid w:val="004A3324"/>
    <w:rsid w:val="004A33AE"/>
    <w:rsid w:val="004A33EB"/>
    <w:rsid w:val="004A34A8"/>
    <w:rsid w:val="004A34EA"/>
    <w:rsid w:val="004A354A"/>
    <w:rsid w:val="004A35B3"/>
    <w:rsid w:val="004A3691"/>
    <w:rsid w:val="004A369A"/>
    <w:rsid w:val="004A374E"/>
    <w:rsid w:val="004A37BF"/>
    <w:rsid w:val="004A37E2"/>
    <w:rsid w:val="004A3844"/>
    <w:rsid w:val="004A3870"/>
    <w:rsid w:val="004A390B"/>
    <w:rsid w:val="004A398F"/>
    <w:rsid w:val="004A3996"/>
    <w:rsid w:val="004A39A2"/>
    <w:rsid w:val="004A3A46"/>
    <w:rsid w:val="004A3B30"/>
    <w:rsid w:val="004A3B3E"/>
    <w:rsid w:val="004A3B65"/>
    <w:rsid w:val="004A3BE2"/>
    <w:rsid w:val="004A3C4B"/>
    <w:rsid w:val="004A3D4B"/>
    <w:rsid w:val="004A3E4B"/>
    <w:rsid w:val="004A3EAD"/>
    <w:rsid w:val="004A3F2D"/>
    <w:rsid w:val="004A3F59"/>
    <w:rsid w:val="004A3FAE"/>
    <w:rsid w:val="004A3FB9"/>
    <w:rsid w:val="004A3FEA"/>
    <w:rsid w:val="004A4055"/>
    <w:rsid w:val="004A4093"/>
    <w:rsid w:val="004A4098"/>
    <w:rsid w:val="004A40F3"/>
    <w:rsid w:val="004A411D"/>
    <w:rsid w:val="004A413A"/>
    <w:rsid w:val="004A41D7"/>
    <w:rsid w:val="004A421A"/>
    <w:rsid w:val="004A4375"/>
    <w:rsid w:val="004A43C7"/>
    <w:rsid w:val="004A4408"/>
    <w:rsid w:val="004A458F"/>
    <w:rsid w:val="004A45D8"/>
    <w:rsid w:val="004A45F2"/>
    <w:rsid w:val="004A465B"/>
    <w:rsid w:val="004A465C"/>
    <w:rsid w:val="004A46E4"/>
    <w:rsid w:val="004A4724"/>
    <w:rsid w:val="004A474B"/>
    <w:rsid w:val="004A4805"/>
    <w:rsid w:val="004A4807"/>
    <w:rsid w:val="004A4870"/>
    <w:rsid w:val="004A4934"/>
    <w:rsid w:val="004A496E"/>
    <w:rsid w:val="004A49E4"/>
    <w:rsid w:val="004A49E5"/>
    <w:rsid w:val="004A4A9B"/>
    <w:rsid w:val="004A4ADC"/>
    <w:rsid w:val="004A4AF2"/>
    <w:rsid w:val="004A4BD7"/>
    <w:rsid w:val="004A4BDA"/>
    <w:rsid w:val="004A4C0F"/>
    <w:rsid w:val="004A4C3D"/>
    <w:rsid w:val="004A4C70"/>
    <w:rsid w:val="004A4D12"/>
    <w:rsid w:val="004A4DCD"/>
    <w:rsid w:val="004A4E75"/>
    <w:rsid w:val="004A4EB9"/>
    <w:rsid w:val="004A4EBF"/>
    <w:rsid w:val="004A4F91"/>
    <w:rsid w:val="004A5016"/>
    <w:rsid w:val="004A50F1"/>
    <w:rsid w:val="004A50FB"/>
    <w:rsid w:val="004A5101"/>
    <w:rsid w:val="004A5135"/>
    <w:rsid w:val="004A5174"/>
    <w:rsid w:val="004A51F5"/>
    <w:rsid w:val="004A5204"/>
    <w:rsid w:val="004A5369"/>
    <w:rsid w:val="004A53BA"/>
    <w:rsid w:val="004A542B"/>
    <w:rsid w:val="004A546B"/>
    <w:rsid w:val="004A55A7"/>
    <w:rsid w:val="004A55FE"/>
    <w:rsid w:val="004A56DB"/>
    <w:rsid w:val="004A56F2"/>
    <w:rsid w:val="004A576F"/>
    <w:rsid w:val="004A57DF"/>
    <w:rsid w:val="004A5A28"/>
    <w:rsid w:val="004A5B51"/>
    <w:rsid w:val="004A5C82"/>
    <w:rsid w:val="004A5D73"/>
    <w:rsid w:val="004A5E4F"/>
    <w:rsid w:val="004A5E9D"/>
    <w:rsid w:val="004A5FA2"/>
    <w:rsid w:val="004A5FCD"/>
    <w:rsid w:val="004A5FF6"/>
    <w:rsid w:val="004A6009"/>
    <w:rsid w:val="004A609C"/>
    <w:rsid w:val="004A60CC"/>
    <w:rsid w:val="004A60FB"/>
    <w:rsid w:val="004A6175"/>
    <w:rsid w:val="004A61E7"/>
    <w:rsid w:val="004A620C"/>
    <w:rsid w:val="004A6244"/>
    <w:rsid w:val="004A63B7"/>
    <w:rsid w:val="004A63E4"/>
    <w:rsid w:val="004A64E8"/>
    <w:rsid w:val="004A65B8"/>
    <w:rsid w:val="004A665E"/>
    <w:rsid w:val="004A6667"/>
    <w:rsid w:val="004A666E"/>
    <w:rsid w:val="004A6766"/>
    <w:rsid w:val="004A67A3"/>
    <w:rsid w:val="004A681D"/>
    <w:rsid w:val="004A683B"/>
    <w:rsid w:val="004A6886"/>
    <w:rsid w:val="004A68C0"/>
    <w:rsid w:val="004A68FD"/>
    <w:rsid w:val="004A6967"/>
    <w:rsid w:val="004A69D2"/>
    <w:rsid w:val="004A6A03"/>
    <w:rsid w:val="004A6A5C"/>
    <w:rsid w:val="004A6B26"/>
    <w:rsid w:val="004A6BE0"/>
    <w:rsid w:val="004A6CC9"/>
    <w:rsid w:val="004A6CE8"/>
    <w:rsid w:val="004A6CEC"/>
    <w:rsid w:val="004A6CED"/>
    <w:rsid w:val="004A6D07"/>
    <w:rsid w:val="004A6D8B"/>
    <w:rsid w:val="004A6E0E"/>
    <w:rsid w:val="004A6E95"/>
    <w:rsid w:val="004A6F7B"/>
    <w:rsid w:val="004A70A1"/>
    <w:rsid w:val="004A70D1"/>
    <w:rsid w:val="004A718F"/>
    <w:rsid w:val="004A7217"/>
    <w:rsid w:val="004A747C"/>
    <w:rsid w:val="004A74A8"/>
    <w:rsid w:val="004A7538"/>
    <w:rsid w:val="004A7569"/>
    <w:rsid w:val="004A7589"/>
    <w:rsid w:val="004A758E"/>
    <w:rsid w:val="004A76BA"/>
    <w:rsid w:val="004A76BD"/>
    <w:rsid w:val="004A76ED"/>
    <w:rsid w:val="004A7740"/>
    <w:rsid w:val="004A77E1"/>
    <w:rsid w:val="004A77E9"/>
    <w:rsid w:val="004A785A"/>
    <w:rsid w:val="004A79BA"/>
    <w:rsid w:val="004A79CF"/>
    <w:rsid w:val="004A7A1F"/>
    <w:rsid w:val="004A7A27"/>
    <w:rsid w:val="004A7A4C"/>
    <w:rsid w:val="004A7C1D"/>
    <w:rsid w:val="004A7C5A"/>
    <w:rsid w:val="004A7CA2"/>
    <w:rsid w:val="004A7CAF"/>
    <w:rsid w:val="004A7F2A"/>
    <w:rsid w:val="004A7F6D"/>
    <w:rsid w:val="004A7FD1"/>
    <w:rsid w:val="004B0052"/>
    <w:rsid w:val="004B013A"/>
    <w:rsid w:val="004B016C"/>
    <w:rsid w:val="004B0237"/>
    <w:rsid w:val="004B0267"/>
    <w:rsid w:val="004B0290"/>
    <w:rsid w:val="004B02C2"/>
    <w:rsid w:val="004B0317"/>
    <w:rsid w:val="004B03E0"/>
    <w:rsid w:val="004B03E8"/>
    <w:rsid w:val="004B0410"/>
    <w:rsid w:val="004B0418"/>
    <w:rsid w:val="004B0494"/>
    <w:rsid w:val="004B04CB"/>
    <w:rsid w:val="004B058A"/>
    <w:rsid w:val="004B05C9"/>
    <w:rsid w:val="004B0616"/>
    <w:rsid w:val="004B0639"/>
    <w:rsid w:val="004B0694"/>
    <w:rsid w:val="004B072B"/>
    <w:rsid w:val="004B072F"/>
    <w:rsid w:val="004B08C9"/>
    <w:rsid w:val="004B090B"/>
    <w:rsid w:val="004B09DB"/>
    <w:rsid w:val="004B0A61"/>
    <w:rsid w:val="004B0ACA"/>
    <w:rsid w:val="004B0ACC"/>
    <w:rsid w:val="004B0BEB"/>
    <w:rsid w:val="004B0C61"/>
    <w:rsid w:val="004B0EC1"/>
    <w:rsid w:val="004B0F59"/>
    <w:rsid w:val="004B0F73"/>
    <w:rsid w:val="004B0F9F"/>
    <w:rsid w:val="004B0FC7"/>
    <w:rsid w:val="004B103C"/>
    <w:rsid w:val="004B107A"/>
    <w:rsid w:val="004B109E"/>
    <w:rsid w:val="004B1183"/>
    <w:rsid w:val="004B12E3"/>
    <w:rsid w:val="004B135F"/>
    <w:rsid w:val="004B1365"/>
    <w:rsid w:val="004B1368"/>
    <w:rsid w:val="004B14D0"/>
    <w:rsid w:val="004B1501"/>
    <w:rsid w:val="004B157E"/>
    <w:rsid w:val="004B1598"/>
    <w:rsid w:val="004B1634"/>
    <w:rsid w:val="004B1656"/>
    <w:rsid w:val="004B1664"/>
    <w:rsid w:val="004B1724"/>
    <w:rsid w:val="004B180D"/>
    <w:rsid w:val="004B184D"/>
    <w:rsid w:val="004B18EE"/>
    <w:rsid w:val="004B19AC"/>
    <w:rsid w:val="004B1A1B"/>
    <w:rsid w:val="004B1A76"/>
    <w:rsid w:val="004B1B37"/>
    <w:rsid w:val="004B1CC9"/>
    <w:rsid w:val="004B1CEE"/>
    <w:rsid w:val="004B1D8E"/>
    <w:rsid w:val="004B1DAA"/>
    <w:rsid w:val="004B1E8D"/>
    <w:rsid w:val="004B1FB8"/>
    <w:rsid w:val="004B1FF3"/>
    <w:rsid w:val="004B200B"/>
    <w:rsid w:val="004B205E"/>
    <w:rsid w:val="004B20D3"/>
    <w:rsid w:val="004B20D8"/>
    <w:rsid w:val="004B213C"/>
    <w:rsid w:val="004B214F"/>
    <w:rsid w:val="004B2199"/>
    <w:rsid w:val="004B21FA"/>
    <w:rsid w:val="004B2234"/>
    <w:rsid w:val="004B22D8"/>
    <w:rsid w:val="004B2321"/>
    <w:rsid w:val="004B25CF"/>
    <w:rsid w:val="004B25DD"/>
    <w:rsid w:val="004B26CF"/>
    <w:rsid w:val="004B2729"/>
    <w:rsid w:val="004B289A"/>
    <w:rsid w:val="004B28FA"/>
    <w:rsid w:val="004B2967"/>
    <w:rsid w:val="004B2A30"/>
    <w:rsid w:val="004B2AE8"/>
    <w:rsid w:val="004B2BDD"/>
    <w:rsid w:val="004B2C98"/>
    <w:rsid w:val="004B2CAA"/>
    <w:rsid w:val="004B2DF9"/>
    <w:rsid w:val="004B2E9D"/>
    <w:rsid w:val="004B2ED5"/>
    <w:rsid w:val="004B2EF0"/>
    <w:rsid w:val="004B2FAB"/>
    <w:rsid w:val="004B2FDA"/>
    <w:rsid w:val="004B3086"/>
    <w:rsid w:val="004B308E"/>
    <w:rsid w:val="004B3109"/>
    <w:rsid w:val="004B3181"/>
    <w:rsid w:val="004B31E1"/>
    <w:rsid w:val="004B3202"/>
    <w:rsid w:val="004B3249"/>
    <w:rsid w:val="004B326F"/>
    <w:rsid w:val="004B32B0"/>
    <w:rsid w:val="004B3362"/>
    <w:rsid w:val="004B3411"/>
    <w:rsid w:val="004B34DE"/>
    <w:rsid w:val="004B351E"/>
    <w:rsid w:val="004B355A"/>
    <w:rsid w:val="004B3668"/>
    <w:rsid w:val="004B37A9"/>
    <w:rsid w:val="004B37FE"/>
    <w:rsid w:val="004B380B"/>
    <w:rsid w:val="004B3957"/>
    <w:rsid w:val="004B39A0"/>
    <w:rsid w:val="004B39ED"/>
    <w:rsid w:val="004B39F1"/>
    <w:rsid w:val="004B3A08"/>
    <w:rsid w:val="004B3A80"/>
    <w:rsid w:val="004B3AAD"/>
    <w:rsid w:val="004B3C59"/>
    <w:rsid w:val="004B3CDC"/>
    <w:rsid w:val="004B3D42"/>
    <w:rsid w:val="004B3DBF"/>
    <w:rsid w:val="004B4273"/>
    <w:rsid w:val="004B427F"/>
    <w:rsid w:val="004B42B7"/>
    <w:rsid w:val="004B4316"/>
    <w:rsid w:val="004B4368"/>
    <w:rsid w:val="004B43DE"/>
    <w:rsid w:val="004B43F0"/>
    <w:rsid w:val="004B4473"/>
    <w:rsid w:val="004B44A4"/>
    <w:rsid w:val="004B44AF"/>
    <w:rsid w:val="004B44C7"/>
    <w:rsid w:val="004B44FC"/>
    <w:rsid w:val="004B458B"/>
    <w:rsid w:val="004B45C0"/>
    <w:rsid w:val="004B45E4"/>
    <w:rsid w:val="004B4655"/>
    <w:rsid w:val="004B4666"/>
    <w:rsid w:val="004B4737"/>
    <w:rsid w:val="004B4A87"/>
    <w:rsid w:val="004B4AE7"/>
    <w:rsid w:val="004B4B0B"/>
    <w:rsid w:val="004B4B51"/>
    <w:rsid w:val="004B4B5C"/>
    <w:rsid w:val="004B4C7E"/>
    <w:rsid w:val="004B4CE5"/>
    <w:rsid w:val="004B4CFE"/>
    <w:rsid w:val="004B4D09"/>
    <w:rsid w:val="004B4D89"/>
    <w:rsid w:val="004B4D95"/>
    <w:rsid w:val="004B4DDC"/>
    <w:rsid w:val="004B4F3F"/>
    <w:rsid w:val="004B4F9D"/>
    <w:rsid w:val="004B4FAA"/>
    <w:rsid w:val="004B5018"/>
    <w:rsid w:val="004B502F"/>
    <w:rsid w:val="004B5036"/>
    <w:rsid w:val="004B50A5"/>
    <w:rsid w:val="004B50A6"/>
    <w:rsid w:val="004B50D4"/>
    <w:rsid w:val="004B5100"/>
    <w:rsid w:val="004B5201"/>
    <w:rsid w:val="004B521A"/>
    <w:rsid w:val="004B521B"/>
    <w:rsid w:val="004B526A"/>
    <w:rsid w:val="004B5315"/>
    <w:rsid w:val="004B53B8"/>
    <w:rsid w:val="004B5406"/>
    <w:rsid w:val="004B54ED"/>
    <w:rsid w:val="004B554F"/>
    <w:rsid w:val="004B5550"/>
    <w:rsid w:val="004B5568"/>
    <w:rsid w:val="004B5569"/>
    <w:rsid w:val="004B560E"/>
    <w:rsid w:val="004B5628"/>
    <w:rsid w:val="004B5630"/>
    <w:rsid w:val="004B5650"/>
    <w:rsid w:val="004B56B2"/>
    <w:rsid w:val="004B583F"/>
    <w:rsid w:val="004B58AB"/>
    <w:rsid w:val="004B598A"/>
    <w:rsid w:val="004B599B"/>
    <w:rsid w:val="004B59D4"/>
    <w:rsid w:val="004B5A3B"/>
    <w:rsid w:val="004B5B72"/>
    <w:rsid w:val="004B5BA2"/>
    <w:rsid w:val="004B5BC0"/>
    <w:rsid w:val="004B5BEA"/>
    <w:rsid w:val="004B5BFD"/>
    <w:rsid w:val="004B5C20"/>
    <w:rsid w:val="004B5C63"/>
    <w:rsid w:val="004B5CF5"/>
    <w:rsid w:val="004B5DC4"/>
    <w:rsid w:val="004B5E5F"/>
    <w:rsid w:val="004B5E6B"/>
    <w:rsid w:val="004B5E88"/>
    <w:rsid w:val="004B5EEE"/>
    <w:rsid w:val="004B5F57"/>
    <w:rsid w:val="004B5FC0"/>
    <w:rsid w:val="004B5FCA"/>
    <w:rsid w:val="004B606D"/>
    <w:rsid w:val="004B6238"/>
    <w:rsid w:val="004B624E"/>
    <w:rsid w:val="004B6281"/>
    <w:rsid w:val="004B62C3"/>
    <w:rsid w:val="004B62EA"/>
    <w:rsid w:val="004B63BB"/>
    <w:rsid w:val="004B63D4"/>
    <w:rsid w:val="004B63E5"/>
    <w:rsid w:val="004B643A"/>
    <w:rsid w:val="004B6590"/>
    <w:rsid w:val="004B65CA"/>
    <w:rsid w:val="004B65F7"/>
    <w:rsid w:val="004B66BE"/>
    <w:rsid w:val="004B66F9"/>
    <w:rsid w:val="004B6767"/>
    <w:rsid w:val="004B67A5"/>
    <w:rsid w:val="004B6810"/>
    <w:rsid w:val="004B681D"/>
    <w:rsid w:val="004B6842"/>
    <w:rsid w:val="004B6859"/>
    <w:rsid w:val="004B68F5"/>
    <w:rsid w:val="004B68FC"/>
    <w:rsid w:val="004B69A9"/>
    <w:rsid w:val="004B6A53"/>
    <w:rsid w:val="004B6B12"/>
    <w:rsid w:val="004B6B1D"/>
    <w:rsid w:val="004B6C3C"/>
    <w:rsid w:val="004B6C97"/>
    <w:rsid w:val="004B6D2A"/>
    <w:rsid w:val="004B6E13"/>
    <w:rsid w:val="004B6E16"/>
    <w:rsid w:val="004B6E36"/>
    <w:rsid w:val="004B6F1B"/>
    <w:rsid w:val="004B6F22"/>
    <w:rsid w:val="004B7029"/>
    <w:rsid w:val="004B70E9"/>
    <w:rsid w:val="004B7152"/>
    <w:rsid w:val="004B7178"/>
    <w:rsid w:val="004B723D"/>
    <w:rsid w:val="004B72E7"/>
    <w:rsid w:val="004B7415"/>
    <w:rsid w:val="004B746E"/>
    <w:rsid w:val="004B7527"/>
    <w:rsid w:val="004B75CE"/>
    <w:rsid w:val="004B7723"/>
    <w:rsid w:val="004B776B"/>
    <w:rsid w:val="004B7894"/>
    <w:rsid w:val="004B7920"/>
    <w:rsid w:val="004B7990"/>
    <w:rsid w:val="004B7A32"/>
    <w:rsid w:val="004B7B13"/>
    <w:rsid w:val="004B7B46"/>
    <w:rsid w:val="004B7CE4"/>
    <w:rsid w:val="004B7E0C"/>
    <w:rsid w:val="004B7E75"/>
    <w:rsid w:val="004B7E91"/>
    <w:rsid w:val="004B7F7D"/>
    <w:rsid w:val="004B7F9A"/>
    <w:rsid w:val="004B7FBF"/>
    <w:rsid w:val="004B7FC8"/>
    <w:rsid w:val="004B7FFC"/>
    <w:rsid w:val="004C0049"/>
    <w:rsid w:val="004C0084"/>
    <w:rsid w:val="004C0106"/>
    <w:rsid w:val="004C014E"/>
    <w:rsid w:val="004C0220"/>
    <w:rsid w:val="004C0249"/>
    <w:rsid w:val="004C0280"/>
    <w:rsid w:val="004C02B7"/>
    <w:rsid w:val="004C02F4"/>
    <w:rsid w:val="004C0328"/>
    <w:rsid w:val="004C03DD"/>
    <w:rsid w:val="004C04E2"/>
    <w:rsid w:val="004C04EC"/>
    <w:rsid w:val="004C066F"/>
    <w:rsid w:val="004C0722"/>
    <w:rsid w:val="004C0746"/>
    <w:rsid w:val="004C0784"/>
    <w:rsid w:val="004C0794"/>
    <w:rsid w:val="004C07B4"/>
    <w:rsid w:val="004C07D1"/>
    <w:rsid w:val="004C0802"/>
    <w:rsid w:val="004C0808"/>
    <w:rsid w:val="004C0843"/>
    <w:rsid w:val="004C08CF"/>
    <w:rsid w:val="004C098A"/>
    <w:rsid w:val="004C0A2C"/>
    <w:rsid w:val="004C0AFF"/>
    <w:rsid w:val="004C0BA7"/>
    <w:rsid w:val="004C0BC1"/>
    <w:rsid w:val="004C0BF9"/>
    <w:rsid w:val="004C0C23"/>
    <w:rsid w:val="004C0C2A"/>
    <w:rsid w:val="004C0C2D"/>
    <w:rsid w:val="004C0C44"/>
    <w:rsid w:val="004C0C56"/>
    <w:rsid w:val="004C0CF7"/>
    <w:rsid w:val="004C0DF8"/>
    <w:rsid w:val="004C0FAD"/>
    <w:rsid w:val="004C0FC0"/>
    <w:rsid w:val="004C1031"/>
    <w:rsid w:val="004C108C"/>
    <w:rsid w:val="004C10BD"/>
    <w:rsid w:val="004C114F"/>
    <w:rsid w:val="004C11D1"/>
    <w:rsid w:val="004C11E5"/>
    <w:rsid w:val="004C1239"/>
    <w:rsid w:val="004C1264"/>
    <w:rsid w:val="004C1281"/>
    <w:rsid w:val="004C12DE"/>
    <w:rsid w:val="004C1361"/>
    <w:rsid w:val="004C1365"/>
    <w:rsid w:val="004C13F0"/>
    <w:rsid w:val="004C148F"/>
    <w:rsid w:val="004C1510"/>
    <w:rsid w:val="004C151E"/>
    <w:rsid w:val="004C1568"/>
    <w:rsid w:val="004C1587"/>
    <w:rsid w:val="004C15FC"/>
    <w:rsid w:val="004C1622"/>
    <w:rsid w:val="004C167F"/>
    <w:rsid w:val="004C1687"/>
    <w:rsid w:val="004C16D6"/>
    <w:rsid w:val="004C172F"/>
    <w:rsid w:val="004C1786"/>
    <w:rsid w:val="004C1790"/>
    <w:rsid w:val="004C17B6"/>
    <w:rsid w:val="004C17E4"/>
    <w:rsid w:val="004C18B2"/>
    <w:rsid w:val="004C1985"/>
    <w:rsid w:val="004C19AF"/>
    <w:rsid w:val="004C19BD"/>
    <w:rsid w:val="004C19D8"/>
    <w:rsid w:val="004C1A10"/>
    <w:rsid w:val="004C1A37"/>
    <w:rsid w:val="004C1A65"/>
    <w:rsid w:val="004C1A89"/>
    <w:rsid w:val="004C1AD2"/>
    <w:rsid w:val="004C1AF6"/>
    <w:rsid w:val="004C1B29"/>
    <w:rsid w:val="004C1B2B"/>
    <w:rsid w:val="004C1B3B"/>
    <w:rsid w:val="004C1BB8"/>
    <w:rsid w:val="004C1BCF"/>
    <w:rsid w:val="004C1C1F"/>
    <w:rsid w:val="004C1D56"/>
    <w:rsid w:val="004C1D8A"/>
    <w:rsid w:val="004C1EF0"/>
    <w:rsid w:val="004C1EFF"/>
    <w:rsid w:val="004C1F4D"/>
    <w:rsid w:val="004C1F62"/>
    <w:rsid w:val="004C202E"/>
    <w:rsid w:val="004C20A0"/>
    <w:rsid w:val="004C2283"/>
    <w:rsid w:val="004C22A1"/>
    <w:rsid w:val="004C234E"/>
    <w:rsid w:val="004C2353"/>
    <w:rsid w:val="004C2355"/>
    <w:rsid w:val="004C236B"/>
    <w:rsid w:val="004C2399"/>
    <w:rsid w:val="004C2415"/>
    <w:rsid w:val="004C2496"/>
    <w:rsid w:val="004C25E3"/>
    <w:rsid w:val="004C266A"/>
    <w:rsid w:val="004C26FA"/>
    <w:rsid w:val="004C273D"/>
    <w:rsid w:val="004C2923"/>
    <w:rsid w:val="004C2982"/>
    <w:rsid w:val="004C29F7"/>
    <w:rsid w:val="004C2E30"/>
    <w:rsid w:val="004C2EF5"/>
    <w:rsid w:val="004C2EFC"/>
    <w:rsid w:val="004C2FBB"/>
    <w:rsid w:val="004C2FF3"/>
    <w:rsid w:val="004C3165"/>
    <w:rsid w:val="004C319E"/>
    <w:rsid w:val="004C330D"/>
    <w:rsid w:val="004C335C"/>
    <w:rsid w:val="004C33DE"/>
    <w:rsid w:val="004C3462"/>
    <w:rsid w:val="004C3650"/>
    <w:rsid w:val="004C366D"/>
    <w:rsid w:val="004C3698"/>
    <w:rsid w:val="004C3727"/>
    <w:rsid w:val="004C378D"/>
    <w:rsid w:val="004C3807"/>
    <w:rsid w:val="004C3823"/>
    <w:rsid w:val="004C3948"/>
    <w:rsid w:val="004C3AEE"/>
    <w:rsid w:val="004C3B12"/>
    <w:rsid w:val="004C3B26"/>
    <w:rsid w:val="004C3BA6"/>
    <w:rsid w:val="004C3BF4"/>
    <w:rsid w:val="004C3CD7"/>
    <w:rsid w:val="004C3D96"/>
    <w:rsid w:val="004C3E15"/>
    <w:rsid w:val="004C3E22"/>
    <w:rsid w:val="004C3EE2"/>
    <w:rsid w:val="004C4080"/>
    <w:rsid w:val="004C40BB"/>
    <w:rsid w:val="004C417F"/>
    <w:rsid w:val="004C42DF"/>
    <w:rsid w:val="004C42FB"/>
    <w:rsid w:val="004C4301"/>
    <w:rsid w:val="004C4565"/>
    <w:rsid w:val="004C457C"/>
    <w:rsid w:val="004C45FC"/>
    <w:rsid w:val="004C4638"/>
    <w:rsid w:val="004C469C"/>
    <w:rsid w:val="004C4727"/>
    <w:rsid w:val="004C4821"/>
    <w:rsid w:val="004C48A6"/>
    <w:rsid w:val="004C4931"/>
    <w:rsid w:val="004C4990"/>
    <w:rsid w:val="004C49A9"/>
    <w:rsid w:val="004C49BB"/>
    <w:rsid w:val="004C4A60"/>
    <w:rsid w:val="004C4B74"/>
    <w:rsid w:val="004C4BD3"/>
    <w:rsid w:val="004C4D40"/>
    <w:rsid w:val="004C4D78"/>
    <w:rsid w:val="004C4DA9"/>
    <w:rsid w:val="004C4EC4"/>
    <w:rsid w:val="004C4EEB"/>
    <w:rsid w:val="004C4F46"/>
    <w:rsid w:val="004C4FA6"/>
    <w:rsid w:val="004C4FB3"/>
    <w:rsid w:val="004C4FFE"/>
    <w:rsid w:val="004C514D"/>
    <w:rsid w:val="004C523C"/>
    <w:rsid w:val="004C5286"/>
    <w:rsid w:val="004C5382"/>
    <w:rsid w:val="004C54E0"/>
    <w:rsid w:val="004C5509"/>
    <w:rsid w:val="004C55CE"/>
    <w:rsid w:val="004C5601"/>
    <w:rsid w:val="004C5654"/>
    <w:rsid w:val="004C56F8"/>
    <w:rsid w:val="004C5739"/>
    <w:rsid w:val="004C5750"/>
    <w:rsid w:val="004C5777"/>
    <w:rsid w:val="004C57AD"/>
    <w:rsid w:val="004C57C6"/>
    <w:rsid w:val="004C5822"/>
    <w:rsid w:val="004C58CF"/>
    <w:rsid w:val="004C58F8"/>
    <w:rsid w:val="004C5956"/>
    <w:rsid w:val="004C5A94"/>
    <w:rsid w:val="004C5AEE"/>
    <w:rsid w:val="004C5B11"/>
    <w:rsid w:val="004C5B1B"/>
    <w:rsid w:val="004C5CA8"/>
    <w:rsid w:val="004C5DCA"/>
    <w:rsid w:val="004C5F5E"/>
    <w:rsid w:val="004C5FE4"/>
    <w:rsid w:val="004C5FEB"/>
    <w:rsid w:val="004C60CB"/>
    <w:rsid w:val="004C6181"/>
    <w:rsid w:val="004C624A"/>
    <w:rsid w:val="004C624B"/>
    <w:rsid w:val="004C62EF"/>
    <w:rsid w:val="004C6321"/>
    <w:rsid w:val="004C63AF"/>
    <w:rsid w:val="004C642F"/>
    <w:rsid w:val="004C6489"/>
    <w:rsid w:val="004C648F"/>
    <w:rsid w:val="004C65AA"/>
    <w:rsid w:val="004C65EF"/>
    <w:rsid w:val="004C65F2"/>
    <w:rsid w:val="004C6607"/>
    <w:rsid w:val="004C669B"/>
    <w:rsid w:val="004C66EE"/>
    <w:rsid w:val="004C671D"/>
    <w:rsid w:val="004C6740"/>
    <w:rsid w:val="004C68D6"/>
    <w:rsid w:val="004C6945"/>
    <w:rsid w:val="004C6A05"/>
    <w:rsid w:val="004C6A16"/>
    <w:rsid w:val="004C6A53"/>
    <w:rsid w:val="004C6AD6"/>
    <w:rsid w:val="004C6C15"/>
    <w:rsid w:val="004C6C66"/>
    <w:rsid w:val="004C6C80"/>
    <w:rsid w:val="004C6D47"/>
    <w:rsid w:val="004C6D50"/>
    <w:rsid w:val="004C6F4B"/>
    <w:rsid w:val="004C6F92"/>
    <w:rsid w:val="004C6FD0"/>
    <w:rsid w:val="004C7048"/>
    <w:rsid w:val="004C7066"/>
    <w:rsid w:val="004C7100"/>
    <w:rsid w:val="004C7128"/>
    <w:rsid w:val="004C7289"/>
    <w:rsid w:val="004C7314"/>
    <w:rsid w:val="004C7315"/>
    <w:rsid w:val="004C7355"/>
    <w:rsid w:val="004C7398"/>
    <w:rsid w:val="004C74E2"/>
    <w:rsid w:val="004C7524"/>
    <w:rsid w:val="004C756A"/>
    <w:rsid w:val="004C7624"/>
    <w:rsid w:val="004C7651"/>
    <w:rsid w:val="004C7654"/>
    <w:rsid w:val="004C774E"/>
    <w:rsid w:val="004C77B0"/>
    <w:rsid w:val="004C7808"/>
    <w:rsid w:val="004C782F"/>
    <w:rsid w:val="004C78A5"/>
    <w:rsid w:val="004C78EC"/>
    <w:rsid w:val="004C793D"/>
    <w:rsid w:val="004C7A22"/>
    <w:rsid w:val="004C7A49"/>
    <w:rsid w:val="004C7AA9"/>
    <w:rsid w:val="004C7BCD"/>
    <w:rsid w:val="004C7BEE"/>
    <w:rsid w:val="004C7C39"/>
    <w:rsid w:val="004C7C4C"/>
    <w:rsid w:val="004C7CDC"/>
    <w:rsid w:val="004C7D00"/>
    <w:rsid w:val="004C7DA5"/>
    <w:rsid w:val="004C7F71"/>
    <w:rsid w:val="004D0173"/>
    <w:rsid w:val="004D025A"/>
    <w:rsid w:val="004D028E"/>
    <w:rsid w:val="004D02DB"/>
    <w:rsid w:val="004D0327"/>
    <w:rsid w:val="004D0397"/>
    <w:rsid w:val="004D03E8"/>
    <w:rsid w:val="004D0493"/>
    <w:rsid w:val="004D04AC"/>
    <w:rsid w:val="004D0543"/>
    <w:rsid w:val="004D054B"/>
    <w:rsid w:val="004D0554"/>
    <w:rsid w:val="004D05CD"/>
    <w:rsid w:val="004D0602"/>
    <w:rsid w:val="004D0693"/>
    <w:rsid w:val="004D0713"/>
    <w:rsid w:val="004D08D3"/>
    <w:rsid w:val="004D0B45"/>
    <w:rsid w:val="004D0C33"/>
    <w:rsid w:val="004D0CF0"/>
    <w:rsid w:val="004D0D0F"/>
    <w:rsid w:val="004D0D29"/>
    <w:rsid w:val="004D0D75"/>
    <w:rsid w:val="004D0F3D"/>
    <w:rsid w:val="004D0FCC"/>
    <w:rsid w:val="004D1039"/>
    <w:rsid w:val="004D1041"/>
    <w:rsid w:val="004D1052"/>
    <w:rsid w:val="004D1056"/>
    <w:rsid w:val="004D10C2"/>
    <w:rsid w:val="004D11AD"/>
    <w:rsid w:val="004D11E6"/>
    <w:rsid w:val="004D12E0"/>
    <w:rsid w:val="004D1305"/>
    <w:rsid w:val="004D138E"/>
    <w:rsid w:val="004D1397"/>
    <w:rsid w:val="004D143F"/>
    <w:rsid w:val="004D14A4"/>
    <w:rsid w:val="004D14BC"/>
    <w:rsid w:val="004D16DC"/>
    <w:rsid w:val="004D1830"/>
    <w:rsid w:val="004D186F"/>
    <w:rsid w:val="004D18B8"/>
    <w:rsid w:val="004D1916"/>
    <w:rsid w:val="004D197B"/>
    <w:rsid w:val="004D1A30"/>
    <w:rsid w:val="004D1A34"/>
    <w:rsid w:val="004D1B1B"/>
    <w:rsid w:val="004D1B46"/>
    <w:rsid w:val="004D1B74"/>
    <w:rsid w:val="004D1BDB"/>
    <w:rsid w:val="004D1C13"/>
    <w:rsid w:val="004D1D75"/>
    <w:rsid w:val="004D1E27"/>
    <w:rsid w:val="004D1F54"/>
    <w:rsid w:val="004D1F5C"/>
    <w:rsid w:val="004D2027"/>
    <w:rsid w:val="004D20C6"/>
    <w:rsid w:val="004D20CA"/>
    <w:rsid w:val="004D2196"/>
    <w:rsid w:val="004D21C5"/>
    <w:rsid w:val="004D224F"/>
    <w:rsid w:val="004D2263"/>
    <w:rsid w:val="004D229B"/>
    <w:rsid w:val="004D22E4"/>
    <w:rsid w:val="004D2395"/>
    <w:rsid w:val="004D23DB"/>
    <w:rsid w:val="004D23E0"/>
    <w:rsid w:val="004D23E1"/>
    <w:rsid w:val="004D2405"/>
    <w:rsid w:val="004D244C"/>
    <w:rsid w:val="004D251E"/>
    <w:rsid w:val="004D254F"/>
    <w:rsid w:val="004D270A"/>
    <w:rsid w:val="004D271D"/>
    <w:rsid w:val="004D27DE"/>
    <w:rsid w:val="004D28B2"/>
    <w:rsid w:val="004D28D4"/>
    <w:rsid w:val="004D28FA"/>
    <w:rsid w:val="004D296A"/>
    <w:rsid w:val="004D2991"/>
    <w:rsid w:val="004D2A67"/>
    <w:rsid w:val="004D2AF5"/>
    <w:rsid w:val="004D2B1A"/>
    <w:rsid w:val="004D2B24"/>
    <w:rsid w:val="004D2B3E"/>
    <w:rsid w:val="004D2B7B"/>
    <w:rsid w:val="004D2BA9"/>
    <w:rsid w:val="004D2BF5"/>
    <w:rsid w:val="004D2C15"/>
    <w:rsid w:val="004D2C7C"/>
    <w:rsid w:val="004D2D34"/>
    <w:rsid w:val="004D2D86"/>
    <w:rsid w:val="004D2D95"/>
    <w:rsid w:val="004D2E7A"/>
    <w:rsid w:val="004D2EB0"/>
    <w:rsid w:val="004D3040"/>
    <w:rsid w:val="004D308C"/>
    <w:rsid w:val="004D30FE"/>
    <w:rsid w:val="004D3170"/>
    <w:rsid w:val="004D3221"/>
    <w:rsid w:val="004D328D"/>
    <w:rsid w:val="004D32B4"/>
    <w:rsid w:val="004D3577"/>
    <w:rsid w:val="004D35F4"/>
    <w:rsid w:val="004D3636"/>
    <w:rsid w:val="004D371A"/>
    <w:rsid w:val="004D3792"/>
    <w:rsid w:val="004D37BB"/>
    <w:rsid w:val="004D38F2"/>
    <w:rsid w:val="004D398C"/>
    <w:rsid w:val="004D39BC"/>
    <w:rsid w:val="004D3C0B"/>
    <w:rsid w:val="004D3CC6"/>
    <w:rsid w:val="004D3CD8"/>
    <w:rsid w:val="004D3D53"/>
    <w:rsid w:val="004D3D93"/>
    <w:rsid w:val="004D3DF2"/>
    <w:rsid w:val="004D3E71"/>
    <w:rsid w:val="004D3EAD"/>
    <w:rsid w:val="004D3F79"/>
    <w:rsid w:val="004D3FC3"/>
    <w:rsid w:val="004D3FE7"/>
    <w:rsid w:val="004D3FEB"/>
    <w:rsid w:val="004D4037"/>
    <w:rsid w:val="004D4051"/>
    <w:rsid w:val="004D42AC"/>
    <w:rsid w:val="004D42F4"/>
    <w:rsid w:val="004D4359"/>
    <w:rsid w:val="004D4393"/>
    <w:rsid w:val="004D4439"/>
    <w:rsid w:val="004D44E5"/>
    <w:rsid w:val="004D45D8"/>
    <w:rsid w:val="004D461A"/>
    <w:rsid w:val="004D4630"/>
    <w:rsid w:val="004D466C"/>
    <w:rsid w:val="004D46E1"/>
    <w:rsid w:val="004D4707"/>
    <w:rsid w:val="004D4718"/>
    <w:rsid w:val="004D487E"/>
    <w:rsid w:val="004D48EF"/>
    <w:rsid w:val="004D497B"/>
    <w:rsid w:val="004D497F"/>
    <w:rsid w:val="004D4996"/>
    <w:rsid w:val="004D49C5"/>
    <w:rsid w:val="004D49FE"/>
    <w:rsid w:val="004D4AF1"/>
    <w:rsid w:val="004D4B44"/>
    <w:rsid w:val="004D4B5E"/>
    <w:rsid w:val="004D4B60"/>
    <w:rsid w:val="004D4BEB"/>
    <w:rsid w:val="004D4C25"/>
    <w:rsid w:val="004D4CCA"/>
    <w:rsid w:val="004D4CE3"/>
    <w:rsid w:val="004D4D94"/>
    <w:rsid w:val="004D4DC8"/>
    <w:rsid w:val="004D5218"/>
    <w:rsid w:val="004D525E"/>
    <w:rsid w:val="004D52B6"/>
    <w:rsid w:val="004D5321"/>
    <w:rsid w:val="004D5339"/>
    <w:rsid w:val="004D53B0"/>
    <w:rsid w:val="004D53CC"/>
    <w:rsid w:val="004D547E"/>
    <w:rsid w:val="004D5483"/>
    <w:rsid w:val="004D549D"/>
    <w:rsid w:val="004D54BE"/>
    <w:rsid w:val="004D5537"/>
    <w:rsid w:val="004D558A"/>
    <w:rsid w:val="004D5697"/>
    <w:rsid w:val="004D5725"/>
    <w:rsid w:val="004D5779"/>
    <w:rsid w:val="004D57B9"/>
    <w:rsid w:val="004D57FC"/>
    <w:rsid w:val="004D5800"/>
    <w:rsid w:val="004D5872"/>
    <w:rsid w:val="004D5A59"/>
    <w:rsid w:val="004D5C6D"/>
    <w:rsid w:val="004D5ECF"/>
    <w:rsid w:val="004D5F9D"/>
    <w:rsid w:val="004D605F"/>
    <w:rsid w:val="004D60AD"/>
    <w:rsid w:val="004D610D"/>
    <w:rsid w:val="004D6263"/>
    <w:rsid w:val="004D6302"/>
    <w:rsid w:val="004D63C2"/>
    <w:rsid w:val="004D6435"/>
    <w:rsid w:val="004D654F"/>
    <w:rsid w:val="004D65D0"/>
    <w:rsid w:val="004D65E7"/>
    <w:rsid w:val="004D6643"/>
    <w:rsid w:val="004D66B2"/>
    <w:rsid w:val="004D6706"/>
    <w:rsid w:val="004D6737"/>
    <w:rsid w:val="004D6792"/>
    <w:rsid w:val="004D6898"/>
    <w:rsid w:val="004D68B0"/>
    <w:rsid w:val="004D68BD"/>
    <w:rsid w:val="004D69B2"/>
    <w:rsid w:val="004D69EF"/>
    <w:rsid w:val="004D6A84"/>
    <w:rsid w:val="004D6A98"/>
    <w:rsid w:val="004D6AA7"/>
    <w:rsid w:val="004D6BF6"/>
    <w:rsid w:val="004D6CDC"/>
    <w:rsid w:val="004D6D13"/>
    <w:rsid w:val="004D6D72"/>
    <w:rsid w:val="004D6D93"/>
    <w:rsid w:val="004D6E2A"/>
    <w:rsid w:val="004D6E5F"/>
    <w:rsid w:val="004D6F07"/>
    <w:rsid w:val="004D6F11"/>
    <w:rsid w:val="004D6F43"/>
    <w:rsid w:val="004D6F6D"/>
    <w:rsid w:val="004D708B"/>
    <w:rsid w:val="004D71FE"/>
    <w:rsid w:val="004D7388"/>
    <w:rsid w:val="004D73B9"/>
    <w:rsid w:val="004D73D5"/>
    <w:rsid w:val="004D73FB"/>
    <w:rsid w:val="004D74A4"/>
    <w:rsid w:val="004D7666"/>
    <w:rsid w:val="004D769A"/>
    <w:rsid w:val="004D7792"/>
    <w:rsid w:val="004D77F2"/>
    <w:rsid w:val="004D7811"/>
    <w:rsid w:val="004D786A"/>
    <w:rsid w:val="004D7888"/>
    <w:rsid w:val="004D788C"/>
    <w:rsid w:val="004D793C"/>
    <w:rsid w:val="004D79AE"/>
    <w:rsid w:val="004D7A1E"/>
    <w:rsid w:val="004D7A4D"/>
    <w:rsid w:val="004D7A78"/>
    <w:rsid w:val="004D7A89"/>
    <w:rsid w:val="004D7B6E"/>
    <w:rsid w:val="004D7B98"/>
    <w:rsid w:val="004D7BA8"/>
    <w:rsid w:val="004D7BC1"/>
    <w:rsid w:val="004D7BEB"/>
    <w:rsid w:val="004D7CD6"/>
    <w:rsid w:val="004D7DD7"/>
    <w:rsid w:val="004D7E44"/>
    <w:rsid w:val="004D7E7B"/>
    <w:rsid w:val="004D7E9B"/>
    <w:rsid w:val="004D7FCC"/>
    <w:rsid w:val="004D7FEE"/>
    <w:rsid w:val="004E0066"/>
    <w:rsid w:val="004E00E1"/>
    <w:rsid w:val="004E00F9"/>
    <w:rsid w:val="004E00FC"/>
    <w:rsid w:val="004E0128"/>
    <w:rsid w:val="004E0241"/>
    <w:rsid w:val="004E026F"/>
    <w:rsid w:val="004E03DA"/>
    <w:rsid w:val="004E0449"/>
    <w:rsid w:val="004E0474"/>
    <w:rsid w:val="004E04EA"/>
    <w:rsid w:val="004E0533"/>
    <w:rsid w:val="004E058C"/>
    <w:rsid w:val="004E05B0"/>
    <w:rsid w:val="004E0614"/>
    <w:rsid w:val="004E0629"/>
    <w:rsid w:val="004E0634"/>
    <w:rsid w:val="004E063E"/>
    <w:rsid w:val="004E0659"/>
    <w:rsid w:val="004E067B"/>
    <w:rsid w:val="004E074A"/>
    <w:rsid w:val="004E07A7"/>
    <w:rsid w:val="004E07C6"/>
    <w:rsid w:val="004E07E4"/>
    <w:rsid w:val="004E08C3"/>
    <w:rsid w:val="004E09C0"/>
    <w:rsid w:val="004E09F4"/>
    <w:rsid w:val="004E0A35"/>
    <w:rsid w:val="004E0A8A"/>
    <w:rsid w:val="004E0B55"/>
    <w:rsid w:val="004E0D36"/>
    <w:rsid w:val="004E0D67"/>
    <w:rsid w:val="004E0DB6"/>
    <w:rsid w:val="004E0EC7"/>
    <w:rsid w:val="004E0F05"/>
    <w:rsid w:val="004E0F2B"/>
    <w:rsid w:val="004E0F2C"/>
    <w:rsid w:val="004E0F35"/>
    <w:rsid w:val="004E0F51"/>
    <w:rsid w:val="004E0F69"/>
    <w:rsid w:val="004E0FAC"/>
    <w:rsid w:val="004E0FCA"/>
    <w:rsid w:val="004E1156"/>
    <w:rsid w:val="004E1179"/>
    <w:rsid w:val="004E11D7"/>
    <w:rsid w:val="004E1256"/>
    <w:rsid w:val="004E1267"/>
    <w:rsid w:val="004E12B0"/>
    <w:rsid w:val="004E12DB"/>
    <w:rsid w:val="004E1303"/>
    <w:rsid w:val="004E1310"/>
    <w:rsid w:val="004E13B6"/>
    <w:rsid w:val="004E14F0"/>
    <w:rsid w:val="004E1503"/>
    <w:rsid w:val="004E1564"/>
    <w:rsid w:val="004E1628"/>
    <w:rsid w:val="004E16E7"/>
    <w:rsid w:val="004E1722"/>
    <w:rsid w:val="004E1729"/>
    <w:rsid w:val="004E1756"/>
    <w:rsid w:val="004E1786"/>
    <w:rsid w:val="004E1831"/>
    <w:rsid w:val="004E19A7"/>
    <w:rsid w:val="004E1A83"/>
    <w:rsid w:val="004E1CE0"/>
    <w:rsid w:val="004E1D68"/>
    <w:rsid w:val="004E1DDE"/>
    <w:rsid w:val="004E1EDE"/>
    <w:rsid w:val="004E1FF2"/>
    <w:rsid w:val="004E1FF4"/>
    <w:rsid w:val="004E201D"/>
    <w:rsid w:val="004E2044"/>
    <w:rsid w:val="004E20B6"/>
    <w:rsid w:val="004E20D7"/>
    <w:rsid w:val="004E210C"/>
    <w:rsid w:val="004E218A"/>
    <w:rsid w:val="004E21E2"/>
    <w:rsid w:val="004E22CE"/>
    <w:rsid w:val="004E2378"/>
    <w:rsid w:val="004E243C"/>
    <w:rsid w:val="004E25A4"/>
    <w:rsid w:val="004E2613"/>
    <w:rsid w:val="004E26A2"/>
    <w:rsid w:val="004E286D"/>
    <w:rsid w:val="004E28E3"/>
    <w:rsid w:val="004E2907"/>
    <w:rsid w:val="004E2910"/>
    <w:rsid w:val="004E292B"/>
    <w:rsid w:val="004E293F"/>
    <w:rsid w:val="004E2981"/>
    <w:rsid w:val="004E2987"/>
    <w:rsid w:val="004E29F1"/>
    <w:rsid w:val="004E29FC"/>
    <w:rsid w:val="004E2AE1"/>
    <w:rsid w:val="004E2BD6"/>
    <w:rsid w:val="004E2C93"/>
    <w:rsid w:val="004E2D35"/>
    <w:rsid w:val="004E2D52"/>
    <w:rsid w:val="004E2D5C"/>
    <w:rsid w:val="004E2D6E"/>
    <w:rsid w:val="004E2DD3"/>
    <w:rsid w:val="004E2DEF"/>
    <w:rsid w:val="004E2DF4"/>
    <w:rsid w:val="004E2E5A"/>
    <w:rsid w:val="004E2E8D"/>
    <w:rsid w:val="004E2EF3"/>
    <w:rsid w:val="004E2F75"/>
    <w:rsid w:val="004E2FD8"/>
    <w:rsid w:val="004E3076"/>
    <w:rsid w:val="004E3225"/>
    <w:rsid w:val="004E322F"/>
    <w:rsid w:val="004E3250"/>
    <w:rsid w:val="004E3291"/>
    <w:rsid w:val="004E33AA"/>
    <w:rsid w:val="004E33AC"/>
    <w:rsid w:val="004E33B0"/>
    <w:rsid w:val="004E33CF"/>
    <w:rsid w:val="004E33F3"/>
    <w:rsid w:val="004E3432"/>
    <w:rsid w:val="004E3531"/>
    <w:rsid w:val="004E356F"/>
    <w:rsid w:val="004E3573"/>
    <w:rsid w:val="004E3671"/>
    <w:rsid w:val="004E36D7"/>
    <w:rsid w:val="004E3756"/>
    <w:rsid w:val="004E3792"/>
    <w:rsid w:val="004E37EB"/>
    <w:rsid w:val="004E380D"/>
    <w:rsid w:val="004E3813"/>
    <w:rsid w:val="004E383D"/>
    <w:rsid w:val="004E3930"/>
    <w:rsid w:val="004E393C"/>
    <w:rsid w:val="004E3970"/>
    <w:rsid w:val="004E39AB"/>
    <w:rsid w:val="004E39B2"/>
    <w:rsid w:val="004E3A7A"/>
    <w:rsid w:val="004E3AC8"/>
    <w:rsid w:val="004E3B5B"/>
    <w:rsid w:val="004E3B7B"/>
    <w:rsid w:val="004E3CB3"/>
    <w:rsid w:val="004E3D98"/>
    <w:rsid w:val="004E3E5C"/>
    <w:rsid w:val="004E3EF5"/>
    <w:rsid w:val="004E3F61"/>
    <w:rsid w:val="004E3FDF"/>
    <w:rsid w:val="004E3FE0"/>
    <w:rsid w:val="004E3FEA"/>
    <w:rsid w:val="004E3FEC"/>
    <w:rsid w:val="004E40DD"/>
    <w:rsid w:val="004E4180"/>
    <w:rsid w:val="004E41EC"/>
    <w:rsid w:val="004E425E"/>
    <w:rsid w:val="004E429F"/>
    <w:rsid w:val="004E42B5"/>
    <w:rsid w:val="004E4308"/>
    <w:rsid w:val="004E4321"/>
    <w:rsid w:val="004E4383"/>
    <w:rsid w:val="004E4393"/>
    <w:rsid w:val="004E440F"/>
    <w:rsid w:val="004E4478"/>
    <w:rsid w:val="004E44D0"/>
    <w:rsid w:val="004E44D3"/>
    <w:rsid w:val="004E4503"/>
    <w:rsid w:val="004E4565"/>
    <w:rsid w:val="004E459A"/>
    <w:rsid w:val="004E4641"/>
    <w:rsid w:val="004E465A"/>
    <w:rsid w:val="004E4674"/>
    <w:rsid w:val="004E470A"/>
    <w:rsid w:val="004E4838"/>
    <w:rsid w:val="004E49D4"/>
    <w:rsid w:val="004E4A15"/>
    <w:rsid w:val="004E4ADB"/>
    <w:rsid w:val="004E4C88"/>
    <w:rsid w:val="004E4CA6"/>
    <w:rsid w:val="004E4D70"/>
    <w:rsid w:val="004E4E1B"/>
    <w:rsid w:val="004E4EB2"/>
    <w:rsid w:val="004E4EDA"/>
    <w:rsid w:val="004E4F51"/>
    <w:rsid w:val="004E4F68"/>
    <w:rsid w:val="004E4FD4"/>
    <w:rsid w:val="004E506D"/>
    <w:rsid w:val="004E5258"/>
    <w:rsid w:val="004E52C4"/>
    <w:rsid w:val="004E52FB"/>
    <w:rsid w:val="004E53CA"/>
    <w:rsid w:val="004E54B3"/>
    <w:rsid w:val="004E54EE"/>
    <w:rsid w:val="004E560D"/>
    <w:rsid w:val="004E567A"/>
    <w:rsid w:val="004E56AD"/>
    <w:rsid w:val="004E56E8"/>
    <w:rsid w:val="004E5711"/>
    <w:rsid w:val="004E572E"/>
    <w:rsid w:val="004E5737"/>
    <w:rsid w:val="004E5756"/>
    <w:rsid w:val="004E5779"/>
    <w:rsid w:val="004E57F8"/>
    <w:rsid w:val="004E5840"/>
    <w:rsid w:val="004E59C5"/>
    <w:rsid w:val="004E5A4E"/>
    <w:rsid w:val="004E5B93"/>
    <w:rsid w:val="004E5C2F"/>
    <w:rsid w:val="004E5C3B"/>
    <w:rsid w:val="004E5C94"/>
    <w:rsid w:val="004E5E34"/>
    <w:rsid w:val="004E5EAD"/>
    <w:rsid w:val="004E5ECD"/>
    <w:rsid w:val="004E5FCE"/>
    <w:rsid w:val="004E60A2"/>
    <w:rsid w:val="004E60B4"/>
    <w:rsid w:val="004E60C0"/>
    <w:rsid w:val="004E613E"/>
    <w:rsid w:val="004E617D"/>
    <w:rsid w:val="004E61A0"/>
    <w:rsid w:val="004E61BC"/>
    <w:rsid w:val="004E626F"/>
    <w:rsid w:val="004E628C"/>
    <w:rsid w:val="004E6295"/>
    <w:rsid w:val="004E62C4"/>
    <w:rsid w:val="004E6315"/>
    <w:rsid w:val="004E634A"/>
    <w:rsid w:val="004E634F"/>
    <w:rsid w:val="004E638D"/>
    <w:rsid w:val="004E63AE"/>
    <w:rsid w:val="004E644A"/>
    <w:rsid w:val="004E6495"/>
    <w:rsid w:val="004E64C6"/>
    <w:rsid w:val="004E65FC"/>
    <w:rsid w:val="004E6613"/>
    <w:rsid w:val="004E66CF"/>
    <w:rsid w:val="004E6768"/>
    <w:rsid w:val="004E6814"/>
    <w:rsid w:val="004E682A"/>
    <w:rsid w:val="004E682C"/>
    <w:rsid w:val="004E6860"/>
    <w:rsid w:val="004E6861"/>
    <w:rsid w:val="004E68ED"/>
    <w:rsid w:val="004E699F"/>
    <w:rsid w:val="004E69BE"/>
    <w:rsid w:val="004E69C3"/>
    <w:rsid w:val="004E69F7"/>
    <w:rsid w:val="004E6A23"/>
    <w:rsid w:val="004E6A58"/>
    <w:rsid w:val="004E6A69"/>
    <w:rsid w:val="004E6AEE"/>
    <w:rsid w:val="004E6BBB"/>
    <w:rsid w:val="004E6D90"/>
    <w:rsid w:val="004E6D92"/>
    <w:rsid w:val="004E6F69"/>
    <w:rsid w:val="004E6F71"/>
    <w:rsid w:val="004E6F88"/>
    <w:rsid w:val="004E7000"/>
    <w:rsid w:val="004E71EE"/>
    <w:rsid w:val="004E722B"/>
    <w:rsid w:val="004E7231"/>
    <w:rsid w:val="004E7293"/>
    <w:rsid w:val="004E73C8"/>
    <w:rsid w:val="004E74AC"/>
    <w:rsid w:val="004E74B8"/>
    <w:rsid w:val="004E7517"/>
    <w:rsid w:val="004E7554"/>
    <w:rsid w:val="004E75A6"/>
    <w:rsid w:val="004E75CF"/>
    <w:rsid w:val="004E760C"/>
    <w:rsid w:val="004E760F"/>
    <w:rsid w:val="004E764F"/>
    <w:rsid w:val="004E76EC"/>
    <w:rsid w:val="004E7712"/>
    <w:rsid w:val="004E77B1"/>
    <w:rsid w:val="004E7801"/>
    <w:rsid w:val="004E7808"/>
    <w:rsid w:val="004E7849"/>
    <w:rsid w:val="004E7870"/>
    <w:rsid w:val="004E7877"/>
    <w:rsid w:val="004E7922"/>
    <w:rsid w:val="004E7A90"/>
    <w:rsid w:val="004E7B0D"/>
    <w:rsid w:val="004E7B65"/>
    <w:rsid w:val="004E7B7B"/>
    <w:rsid w:val="004E7BDF"/>
    <w:rsid w:val="004E7BF9"/>
    <w:rsid w:val="004E7C75"/>
    <w:rsid w:val="004E7CB4"/>
    <w:rsid w:val="004E7D1E"/>
    <w:rsid w:val="004E7D45"/>
    <w:rsid w:val="004E7D4C"/>
    <w:rsid w:val="004E7D75"/>
    <w:rsid w:val="004E7DAE"/>
    <w:rsid w:val="004E7DE5"/>
    <w:rsid w:val="004E7DF3"/>
    <w:rsid w:val="004E7EC5"/>
    <w:rsid w:val="004E7FC5"/>
    <w:rsid w:val="004E7FD2"/>
    <w:rsid w:val="004F006B"/>
    <w:rsid w:val="004F00D2"/>
    <w:rsid w:val="004F013C"/>
    <w:rsid w:val="004F0145"/>
    <w:rsid w:val="004F017B"/>
    <w:rsid w:val="004F0183"/>
    <w:rsid w:val="004F02A4"/>
    <w:rsid w:val="004F02C3"/>
    <w:rsid w:val="004F0328"/>
    <w:rsid w:val="004F033A"/>
    <w:rsid w:val="004F040A"/>
    <w:rsid w:val="004F0571"/>
    <w:rsid w:val="004F0652"/>
    <w:rsid w:val="004F083E"/>
    <w:rsid w:val="004F0853"/>
    <w:rsid w:val="004F085B"/>
    <w:rsid w:val="004F08F3"/>
    <w:rsid w:val="004F090C"/>
    <w:rsid w:val="004F0947"/>
    <w:rsid w:val="004F098F"/>
    <w:rsid w:val="004F09EB"/>
    <w:rsid w:val="004F0A7C"/>
    <w:rsid w:val="004F0B1C"/>
    <w:rsid w:val="004F0B6E"/>
    <w:rsid w:val="004F0B89"/>
    <w:rsid w:val="004F0BDC"/>
    <w:rsid w:val="004F0CE9"/>
    <w:rsid w:val="004F0CFB"/>
    <w:rsid w:val="004F0D35"/>
    <w:rsid w:val="004F0DBA"/>
    <w:rsid w:val="004F0DE3"/>
    <w:rsid w:val="004F0DFC"/>
    <w:rsid w:val="004F0E80"/>
    <w:rsid w:val="004F0F78"/>
    <w:rsid w:val="004F0FE4"/>
    <w:rsid w:val="004F103F"/>
    <w:rsid w:val="004F111A"/>
    <w:rsid w:val="004F1124"/>
    <w:rsid w:val="004F112D"/>
    <w:rsid w:val="004F1260"/>
    <w:rsid w:val="004F1341"/>
    <w:rsid w:val="004F1359"/>
    <w:rsid w:val="004F140B"/>
    <w:rsid w:val="004F14CF"/>
    <w:rsid w:val="004F1503"/>
    <w:rsid w:val="004F1508"/>
    <w:rsid w:val="004F161D"/>
    <w:rsid w:val="004F1648"/>
    <w:rsid w:val="004F1793"/>
    <w:rsid w:val="004F1797"/>
    <w:rsid w:val="004F1821"/>
    <w:rsid w:val="004F187D"/>
    <w:rsid w:val="004F18C6"/>
    <w:rsid w:val="004F1955"/>
    <w:rsid w:val="004F19D6"/>
    <w:rsid w:val="004F1A7B"/>
    <w:rsid w:val="004F1A81"/>
    <w:rsid w:val="004F1A93"/>
    <w:rsid w:val="004F1ABE"/>
    <w:rsid w:val="004F1B05"/>
    <w:rsid w:val="004F1B3E"/>
    <w:rsid w:val="004F1C40"/>
    <w:rsid w:val="004F1C43"/>
    <w:rsid w:val="004F1C60"/>
    <w:rsid w:val="004F1CF3"/>
    <w:rsid w:val="004F1D14"/>
    <w:rsid w:val="004F1D47"/>
    <w:rsid w:val="004F1DA1"/>
    <w:rsid w:val="004F1DD6"/>
    <w:rsid w:val="004F1E9D"/>
    <w:rsid w:val="004F1EA8"/>
    <w:rsid w:val="004F1EEB"/>
    <w:rsid w:val="004F1FD1"/>
    <w:rsid w:val="004F202B"/>
    <w:rsid w:val="004F20AB"/>
    <w:rsid w:val="004F20B6"/>
    <w:rsid w:val="004F20DD"/>
    <w:rsid w:val="004F20F3"/>
    <w:rsid w:val="004F21D2"/>
    <w:rsid w:val="004F21FB"/>
    <w:rsid w:val="004F2208"/>
    <w:rsid w:val="004F2238"/>
    <w:rsid w:val="004F2256"/>
    <w:rsid w:val="004F2360"/>
    <w:rsid w:val="004F23A2"/>
    <w:rsid w:val="004F23FA"/>
    <w:rsid w:val="004F254A"/>
    <w:rsid w:val="004F2667"/>
    <w:rsid w:val="004F270F"/>
    <w:rsid w:val="004F2797"/>
    <w:rsid w:val="004F27FE"/>
    <w:rsid w:val="004F281B"/>
    <w:rsid w:val="004F2A50"/>
    <w:rsid w:val="004F2A51"/>
    <w:rsid w:val="004F2A55"/>
    <w:rsid w:val="004F2A66"/>
    <w:rsid w:val="004F2B79"/>
    <w:rsid w:val="004F2BEA"/>
    <w:rsid w:val="004F2BEC"/>
    <w:rsid w:val="004F2CD3"/>
    <w:rsid w:val="004F2CEC"/>
    <w:rsid w:val="004F2E0F"/>
    <w:rsid w:val="004F2E4D"/>
    <w:rsid w:val="004F2F22"/>
    <w:rsid w:val="004F2FE5"/>
    <w:rsid w:val="004F3011"/>
    <w:rsid w:val="004F30F4"/>
    <w:rsid w:val="004F3104"/>
    <w:rsid w:val="004F32E0"/>
    <w:rsid w:val="004F3304"/>
    <w:rsid w:val="004F3322"/>
    <w:rsid w:val="004F3359"/>
    <w:rsid w:val="004F337F"/>
    <w:rsid w:val="004F339B"/>
    <w:rsid w:val="004F341F"/>
    <w:rsid w:val="004F3441"/>
    <w:rsid w:val="004F3499"/>
    <w:rsid w:val="004F394F"/>
    <w:rsid w:val="004F395C"/>
    <w:rsid w:val="004F3A34"/>
    <w:rsid w:val="004F3C85"/>
    <w:rsid w:val="004F3C90"/>
    <w:rsid w:val="004F3D00"/>
    <w:rsid w:val="004F3D16"/>
    <w:rsid w:val="004F40BA"/>
    <w:rsid w:val="004F40E8"/>
    <w:rsid w:val="004F417B"/>
    <w:rsid w:val="004F41B2"/>
    <w:rsid w:val="004F41B4"/>
    <w:rsid w:val="004F421E"/>
    <w:rsid w:val="004F42C4"/>
    <w:rsid w:val="004F42E3"/>
    <w:rsid w:val="004F432E"/>
    <w:rsid w:val="004F438A"/>
    <w:rsid w:val="004F4393"/>
    <w:rsid w:val="004F4472"/>
    <w:rsid w:val="004F45D9"/>
    <w:rsid w:val="004F45E0"/>
    <w:rsid w:val="004F464B"/>
    <w:rsid w:val="004F46D5"/>
    <w:rsid w:val="004F471C"/>
    <w:rsid w:val="004F4722"/>
    <w:rsid w:val="004F4730"/>
    <w:rsid w:val="004F474B"/>
    <w:rsid w:val="004F474C"/>
    <w:rsid w:val="004F4751"/>
    <w:rsid w:val="004F4839"/>
    <w:rsid w:val="004F487E"/>
    <w:rsid w:val="004F492A"/>
    <w:rsid w:val="004F4967"/>
    <w:rsid w:val="004F498B"/>
    <w:rsid w:val="004F49C3"/>
    <w:rsid w:val="004F4A05"/>
    <w:rsid w:val="004F4A94"/>
    <w:rsid w:val="004F4A96"/>
    <w:rsid w:val="004F4AFC"/>
    <w:rsid w:val="004F4C21"/>
    <w:rsid w:val="004F4C46"/>
    <w:rsid w:val="004F4D0D"/>
    <w:rsid w:val="004F4D7B"/>
    <w:rsid w:val="004F4E7E"/>
    <w:rsid w:val="004F4F91"/>
    <w:rsid w:val="004F5125"/>
    <w:rsid w:val="004F517A"/>
    <w:rsid w:val="004F51BC"/>
    <w:rsid w:val="004F52A5"/>
    <w:rsid w:val="004F52C4"/>
    <w:rsid w:val="004F534C"/>
    <w:rsid w:val="004F5422"/>
    <w:rsid w:val="004F5461"/>
    <w:rsid w:val="004F55BA"/>
    <w:rsid w:val="004F55FF"/>
    <w:rsid w:val="004F5638"/>
    <w:rsid w:val="004F5687"/>
    <w:rsid w:val="004F569A"/>
    <w:rsid w:val="004F56A4"/>
    <w:rsid w:val="004F570D"/>
    <w:rsid w:val="004F5721"/>
    <w:rsid w:val="004F5787"/>
    <w:rsid w:val="004F58BD"/>
    <w:rsid w:val="004F596D"/>
    <w:rsid w:val="004F5A8C"/>
    <w:rsid w:val="004F5A92"/>
    <w:rsid w:val="004F5AF5"/>
    <w:rsid w:val="004F5B9A"/>
    <w:rsid w:val="004F5C32"/>
    <w:rsid w:val="004F5CFF"/>
    <w:rsid w:val="004F5D09"/>
    <w:rsid w:val="004F5D40"/>
    <w:rsid w:val="004F5E02"/>
    <w:rsid w:val="004F5EFF"/>
    <w:rsid w:val="004F5F2F"/>
    <w:rsid w:val="004F5F81"/>
    <w:rsid w:val="004F5F90"/>
    <w:rsid w:val="004F5FAA"/>
    <w:rsid w:val="004F60F4"/>
    <w:rsid w:val="004F6122"/>
    <w:rsid w:val="004F6134"/>
    <w:rsid w:val="004F6156"/>
    <w:rsid w:val="004F61BB"/>
    <w:rsid w:val="004F61CB"/>
    <w:rsid w:val="004F6233"/>
    <w:rsid w:val="004F636E"/>
    <w:rsid w:val="004F649C"/>
    <w:rsid w:val="004F64CF"/>
    <w:rsid w:val="004F653D"/>
    <w:rsid w:val="004F65AD"/>
    <w:rsid w:val="004F66D4"/>
    <w:rsid w:val="004F679C"/>
    <w:rsid w:val="004F6812"/>
    <w:rsid w:val="004F69E1"/>
    <w:rsid w:val="004F6A2C"/>
    <w:rsid w:val="004F6B98"/>
    <w:rsid w:val="004F6BA5"/>
    <w:rsid w:val="004F6BAB"/>
    <w:rsid w:val="004F6C16"/>
    <w:rsid w:val="004F6DD2"/>
    <w:rsid w:val="004F6ED5"/>
    <w:rsid w:val="004F6F15"/>
    <w:rsid w:val="004F7010"/>
    <w:rsid w:val="004F7015"/>
    <w:rsid w:val="004F7042"/>
    <w:rsid w:val="004F706C"/>
    <w:rsid w:val="004F714C"/>
    <w:rsid w:val="004F7156"/>
    <w:rsid w:val="004F71C1"/>
    <w:rsid w:val="004F71F1"/>
    <w:rsid w:val="004F720E"/>
    <w:rsid w:val="004F728B"/>
    <w:rsid w:val="004F72AC"/>
    <w:rsid w:val="004F72B7"/>
    <w:rsid w:val="004F730D"/>
    <w:rsid w:val="004F7335"/>
    <w:rsid w:val="004F7383"/>
    <w:rsid w:val="004F73FA"/>
    <w:rsid w:val="004F745F"/>
    <w:rsid w:val="004F74EC"/>
    <w:rsid w:val="004F7529"/>
    <w:rsid w:val="004F75B5"/>
    <w:rsid w:val="004F761F"/>
    <w:rsid w:val="004F7729"/>
    <w:rsid w:val="004F7A8D"/>
    <w:rsid w:val="004F7CF0"/>
    <w:rsid w:val="004F7F7B"/>
    <w:rsid w:val="004F7FCD"/>
    <w:rsid w:val="0050002B"/>
    <w:rsid w:val="005000A6"/>
    <w:rsid w:val="005000B2"/>
    <w:rsid w:val="005000E0"/>
    <w:rsid w:val="00500169"/>
    <w:rsid w:val="0050016E"/>
    <w:rsid w:val="00500191"/>
    <w:rsid w:val="005001BF"/>
    <w:rsid w:val="0050025C"/>
    <w:rsid w:val="005002B0"/>
    <w:rsid w:val="005002D3"/>
    <w:rsid w:val="0050033E"/>
    <w:rsid w:val="005003C9"/>
    <w:rsid w:val="005004CC"/>
    <w:rsid w:val="0050069C"/>
    <w:rsid w:val="0050069F"/>
    <w:rsid w:val="00500745"/>
    <w:rsid w:val="00500764"/>
    <w:rsid w:val="00500800"/>
    <w:rsid w:val="00500804"/>
    <w:rsid w:val="00500885"/>
    <w:rsid w:val="005008C7"/>
    <w:rsid w:val="0050090B"/>
    <w:rsid w:val="005009C8"/>
    <w:rsid w:val="005009CB"/>
    <w:rsid w:val="00500A39"/>
    <w:rsid w:val="00500A42"/>
    <w:rsid w:val="00500A66"/>
    <w:rsid w:val="00500C4E"/>
    <w:rsid w:val="00500C8C"/>
    <w:rsid w:val="00500CA6"/>
    <w:rsid w:val="00500D3E"/>
    <w:rsid w:val="00500D6A"/>
    <w:rsid w:val="00500E31"/>
    <w:rsid w:val="00500EA1"/>
    <w:rsid w:val="00500F46"/>
    <w:rsid w:val="00501168"/>
    <w:rsid w:val="005011AB"/>
    <w:rsid w:val="005011FE"/>
    <w:rsid w:val="00501230"/>
    <w:rsid w:val="005012EC"/>
    <w:rsid w:val="00501303"/>
    <w:rsid w:val="00501327"/>
    <w:rsid w:val="00501375"/>
    <w:rsid w:val="00501378"/>
    <w:rsid w:val="005013A0"/>
    <w:rsid w:val="005013E1"/>
    <w:rsid w:val="00501468"/>
    <w:rsid w:val="00501559"/>
    <w:rsid w:val="0050155E"/>
    <w:rsid w:val="005015AF"/>
    <w:rsid w:val="005015D2"/>
    <w:rsid w:val="005015E5"/>
    <w:rsid w:val="00501640"/>
    <w:rsid w:val="00501646"/>
    <w:rsid w:val="0050165F"/>
    <w:rsid w:val="00501691"/>
    <w:rsid w:val="00501745"/>
    <w:rsid w:val="00501861"/>
    <w:rsid w:val="005018A7"/>
    <w:rsid w:val="00501972"/>
    <w:rsid w:val="00501987"/>
    <w:rsid w:val="005019EE"/>
    <w:rsid w:val="00501BCE"/>
    <w:rsid w:val="00501BD6"/>
    <w:rsid w:val="00501C2F"/>
    <w:rsid w:val="00501CB8"/>
    <w:rsid w:val="00501CD1"/>
    <w:rsid w:val="00501CD2"/>
    <w:rsid w:val="00501CDE"/>
    <w:rsid w:val="00501D11"/>
    <w:rsid w:val="00501D13"/>
    <w:rsid w:val="00501D14"/>
    <w:rsid w:val="00501D26"/>
    <w:rsid w:val="00501D3B"/>
    <w:rsid w:val="00501D51"/>
    <w:rsid w:val="00501D68"/>
    <w:rsid w:val="00501D83"/>
    <w:rsid w:val="00501D99"/>
    <w:rsid w:val="00501D9A"/>
    <w:rsid w:val="00501DC6"/>
    <w:rsid w:val="00501DCF"/>
    <w:rsid w:val="00501FA7"/>
    <w:rsid w:val="00501FAB"/>
    <w:rsid w:val="0050207E"/>
    <w:rsid w:val="005021CE"/>
    <w:rsid w:val="005022C9"/>
    <w:rsid w:val="005022DB"/>
    <w:rsid w:val="0050231D"/>
    <w:rsid w:val="00502368"/>
    <w:rsid w:val="005023FB"/>
    <w:rsid w:val="0050248C"/>
    <w:rsid w:val="005024F6"/>
    <w:rsid w:val="00502540"/>
    <w:rsid w:val="005025DB"/>
    <w:rsid w:val="005025E6"/>
    <w:rsid w:val="0050260F"/>
    <w:rsid w:val="00502632"/>
    <w:rsid w:val="0050266B"/>
    <w:rsid w:val="00502672"/>
    <w:rsid w:val="005026D3"/>
    <w:rsid w:val="005026E3"/>
    <w:rsid w:val="00502727"/>
    <w:rsid w:val="0050277D"/>
    <w:rsid w:val="0050278A"/>
    <w:rsid w:val="005027AF"/>
    <w:rsid w:val="00502804"/>
    <w:rsid w:val="005028D0"/>
    <w:rsid w:val="0050290F"/>
    <w:rsid w:val="00502936"/>
    <w:rsid w:val="00502A3D"/>
    <w:rsid w:val="00502ACA"/>
    <w:rsid w:val="00502B2D"/>
    <w:rsid w:val="00502B3C"/>
    <w:rsid w:val="00502B8F"/>
    <w:rsid w:val="00502BD9"/>
    <w:rsid w:val="00502BF1"/>
    <w:rsid w:val="00502C04"/>
    <w:rsid w:val="00502C6E"/>
    <w:rsid w:val="00502E35"/>
    <w:rsid w:val="00502EDC"/>
    <w:rsid w:val="00502F51"/>
    <w:rsid w:val="00502F83"/>
    <w:rsid w:val="00502F9F"/>
    <w:rsid w:val="00502FB6"/>
    <w:rsid w:val="00502FEB"/>
    <w:rsid w:val="00503004"/>
    <w:rsid w:val="00503085"/>
    <w:rsid w:val="0050330C"/>
    <w:rsid w:val="00503399"/>
    <w:rsid w:val="005033E7"/>
    <w:rsid w:val="005033F7"/>
    <w:rsid w:val="005034CF"/>
    <w:rsid w:val="00503501"/>
    <w:rsid w:val="00503522"/>
    <w:rsid w:val="0050370D"/>
    <w:rsid w:val="00503783"/>
    <w:rsid w:val="0050379F"/>
    <w:rsid w:val="005037DA"/>
    <w:rsid w:val="0050381B"/>
    <w:rsid w:val="00503880"/>
    <w:rsid w:val="00503930"/>
    <w:rsid w:val="00503947"/>
    <w:rsid w:val="00503A00"/>
    <w:rsid w:val="00503A3B"/>
    <w:rsid w:val="00503A79"/>
    <w:rsid w:val="00503A91"/>
    <w:rsid w:val="00503AA6"/>
    <w:rsid w:val="00503ABA"/>
    <w:rsid w:val="00503ACD"/>
    <w:rsid w:val="00503B82"/>
    <w:rsid w:val="00503BB7"/>
    <w:rsid w:val="00503BCD"/>
    <w:rsid w:val="00503BED"/>
    <w:rsid w:val="00503C1A"/>
    <w:rsid w:val="00503C2E"/>
    <w:rsid w:val="00503CF3"/>
    <w:rsid w:val="00503D27"/>
    <w:rsid w:val="00503D40"/>
    <w:rsid w:val="00503D90"/>
    <w:rsid w:val="00503DAB"/>
    <w:rsid w:val="00503E23"/>
    <w:rsid w:val="00503EBA"/>
    <w:rsid w:val="00503EE6"/>
    <w:rsid w:val="005040D0"/>
    <w:rsid w:val="00504136"/>
    <w:rsid w:val="0050414C"/>
    <w:rsid w:val="0050414D"/>
    <w:rsid w:val="0050419A"/>
    <w:rsid w:val="005041A7"/>
    <w:rsid w:val="005041D3"/>
    <w:rsid w:val="005042EB"/>
    <w:rsid w:val="005042FB"/>
    <w:rsid w:val="00504320"/>
    <w:rsid w:val="005043C8"/>
    <w:rsid w:val="0050449C"/>
    <w:rsid w:val="005045F1"/>
    <w:rsid w:val="0050460B"/>
    <w:rsid w:val="00504657"/>
    <w:rsid w:val="005046B4"/>
    <w:rsid w:val="005046D2"/>
    <w:rsid w:val="005048C8"/>
    <w:rsid w:val="005048DE"/>
    <w:rsid w:val="0050492C"/>
    <w:rsid w:val="0050498C"/>
    <w:rsid w:val="005049FA"/>
    <w:rsid w:val="00504A6A"/>
    <w:rsid w:val="00504A81"/>
    <w:rsid w:val="00504C98"/>
    <w:rsid w:val="00504CC9"/>
    <w:rsid w:val="00504D86"/>
    <w:rsid w:val="00504E91"/>
    <w:rsid w:val="00504EB3"/>
    <w:rsid w:val="00505086"/>
    <w:rsid w:val="005050A2"/>
    <w:rsid w:val="005050B6"/>
    <w:rsid w:val="0050512B"/>
    <w:rsid w:val="005051B7"/>
    <w:rsid w:val="005051F2"/>
    <w:rsid w:val="005051F8"/>
    <w:rsid w:val="005052F2"/>
    <w:rsid w:val="00505321"/>
    <w:rsid w:val="00505379"/>
    <w:rsid w:val="0050539C"/>
    <w:rsid w:val="00505422"/>
    <w:rsid w:val="00505497"/>
    <w:rsid w:val="005054E6"/>
    <w:rsid w:val="0050557A"/>
    <w:rsid w:val="005055CA"/>
    <w:rsid w:val="0050563A"/>
    <w:rsid w:val="00505645"/>
    <w:rsid w:val="00505652"/>
    <w:rsid w:val="005056C9"/>
    <w:rsid w:val="00505786"/>
    <w:rsid w:val="0050578D"/>
    <w:rsid w:val="0050579C"/>
    <w:rsid w:val="0050581E"/>
    <w:rsid w:val="00505895"/>
    <w:rsid w:val="005058F0"/>
    <w:rsid w:val="00505905"/>
    <w:rsid w:val="00505918"/>
    <w:rsid w:val="00505A09"/>
    <w:rsid w:val="00505A35"/>
    <w:rsid w:val="00505ADC"/>
    <w:rsid w:val="00505B5C"/>
    <w:rsid w:val="00505C5D"/>
    <w:rsid w:val="00505C7D"/>
    <w:rsid w:val="00505CA1"/>
    <w:rsid w:val="00505CF1"/>
    <w:rsid w:val="00505D15"/>
    <w:rsid w:val="00505FC3"/>
    <w:rsid w:val="00505FF9"/>
    <w:rsid w:val="005060ED"/>
    <w:rsid w:val="005061D5"/>
    <w:rsid w:val="005061FD"/>
    <w:rsid w:val="00506353"/>
    <w:rsid w:val="0050637C"/>
    <w:rsid w:val="0050644B"/>
    <w:rsid w:val="0050646D"/>
    <w:rsid w:val="0050648C"/>
    <w:rsid w:val="005064D3"/>
    <w:rsid w:val="0050658D"/>
    <w:rsid w:val="0050664D"/>
    <w:rsid w:val="0050669C"/>
    <w:rsid w:val="005066AA"/>
    <w:rsid w:val="00506753"/>
    <w:rsid w:val="005067CC"/>
    <w:rsid w:val="0050684E"/>
    <w:rsid w:val="00506879"/>
    <w:rsid w:val="005068B9"/>
    <w:rsid w:val="0050692C"/>
    <w:rsid w:val="005069C4"/>
    <w:rsid w:val="005069E4"/>
    <w:rsid w:val="00506A63"/>
    <w:rsid w:val="00506AE2"/>
    <w:rsid w:val="00506B60"/>
    <w:rsid w:val="00506B6C"/>
    <w:rsid w:val="00506BF3"/>
    <w:rsid w:val="00506C74"/>
    <w:rsid w:val="00506D22"/>
    <w:rsid w:val="00506E0B"/>
    <w:rsid w:val="00506FC0"/>
    <w:rsid w:val="00506FEE"/>
    <w:rsid w:val="00507005"/>
    <w:rsid w:val="00507007"/>
    <w:rsid w:val="005070D7"/>
    <w:rsid w:val="0050712D"/>
    <w:rsid w:val="00507150"/>
    <w:rsid w:val="0050717F"/>
    <w:rsid w:val="005071AE"/>
    <w:rsid w:val="00507232"/>
    <w:rsid w:val="00507278"/>
    <w:rsid w:val="00507324"/>
    <w:rsid w:val="00507367"/>
    <w:rsid w:val="0050739C"/>
    <w:rsid w:val="005073E5"/>
    <w:rsid w:val="005074F5"/>
    <w:rsid w:val="00507504"/>
    <w:rsid w:val="005075A5"/>
    <w:rsid w:val="005075F5"/>
    <w:rsid w:val="00507650"/>
    <w:rsid w:val="005076B0"/>
    <w:rsid w:val="005076B2"/>
    <w:rsid w:val="005076E4"/>
    <w:rsid w:val="005076F2"/>
    <w:rsid w:val="00507749"/>
    <w:rsid w:val="0050779D"/>
    <w:rsid w:val="00507892"/>
    <w:rsid w:val="0050789A"/>
    <w:rsid w:val="00507968"/>
    <w:rsid w:val="005079A2"/>
    <w:rsid w:val="00507B4D"/>
    <w:rsid w:val="00507C01"/>
    <w:rsid w:val="00507C4C"/>
    <w:rsid w:val="00507CBE"/>
    <w:rsid w:val="00507DD6"/>
    <w:rsid w:val="00507DF5"/>
    <w:rsid w:val="00507E2B"/>
    <w:rsid w:val="00507E70"/>
    <w:rsid w:val="00507EDA"/>
    <w:rsid w:val="00507FBD"/>
    <w:rsid w:val="005100E6"/>
    <w:rsid w:val="0051012A"/>
    <w:rsid w:val="0051018E"/>
    <w:rsid w:val="005101EA"/>
    <w:rsid w:val="00510218"/>
    <w:rsid w:val="00510359"/>
    <w:rsid w:val="0051042A"/>
    <w:rsid w:val="0051044E"/>
    <w:rsid w:val="005104A2"/>
    <w:rsid w:val="00510515"/>
    <w:rsid w:val="00510699"/>
    <w:rsid w:val="005106DF"/>
    <w:rsid w:val="005107D0"/>
    <w:rsid w:val="005107D1"/>
    <w:rsid w:val="005107E8"/>
    <w:rsid w:val="005107EC"/>
    <w:rsid w:val="00510820"/>
    <w:rsid w:val="0051089A"/>
    <w:rsid w:val="00510A76"/>
    <w:rsid w:val="00510BED"/>
    <w:rsid w:val="00510C0C"/>
    <w:rsid w:val="00510C5D"/>
    <w:rsid w:val="00510C6F"/>
    <w:rsid w:val="00510CF3"/>
    <w:rsid w:val="00510DBA"/>
    <w:rsid w:val="00510EC6"/>
    <w:rsid w:val="00510EC7"/>
    <w:rsid w:val="00510FD7"/>
    <w:rsid w:val="00511024"/>
    <w:rsid w:val="00511048"/>
    <w:rsid w:val="0051109E"/>
    <w:rsid w:val="005110A4"/>
    <w:rsid w:val="005110F0"/>
    <w:rsid w:val="00511179"/>
    <w:rsid w:val="005111A0"/>
    <w:rsid w:val="005111CB"/>
    <w:rsid w:val="00511203"/>
    <w:rsid w:val="00511228"/>
    <w:rsid w:val="0051128E"/>
    <w:rsid w:val="005112E7"/>
    <w:rsid w:val="00511306"/>
    <w:rsid w:val="00511330"/>
    <w:rsid w:val="00511336"/>
    <w:rsid w:val="0051137D"/>
    <w:rsid w:val="005113CE"/>
    <w:rsid w:val="0051145D"/>
    <w:rsid w:val="005114A0"/>
    <w:rsid w:val="005114FA"/>
    <w:rsid w:val="005115CC"/>
    <w:rsid w:val="00511636"/>
    <w:rsid w:val="0051164A"/>
    <w:rsid w:val="005116C9"/>
    <w:rsid w:val="00511738"/>
    <w:rsid w:val="005117F7"/>
    <w:rsid w:val="00511847"/>
    <w:rsid w:val="0051196C"/>
    <w:rsid w:val="005119D5"/>
    <w:rsid w:val="00511A45"/>
    <w:rsid w:val="00511B61"/>
    <w:rsid w:val="00511B7A"/>
    <w:rsid w:val="00511B7D"/>
    <w:rsid w:val="00511BDC"/>
    <w:rsid w:val="00511D13"/>
    <w:rsid w:val="00511DE8"/>
    <w:rsid w:val="00511E74"/>
    <w:rsid w:val="00511EC5"/>
    <w:rsid w:val="00511FA8"/>
    <w:rsid w:val="00511FE3"/>
    <w:rsid w:val="0051200F"/>
    <w:rsid w:val="0051201A"/>
    <w:rsid w:val="00512062"/>
    <w:rsid w:val="005121BA"/>
    <w:rsid w:val="00512209"/>
    <w:rsid w:val="0051256C"/>
    <w:rsid w:val="0051267D"/>
    <w:rsid w:val="005126CD"/>
    <w:rsid w:val="0051270E"/>
    <w:rsid w:val="00512766"/>
    <w:rsid w:val="0051279C"/>
    <w:rsid w:val="005127CA"/>
    <w:rsid w:val="005127D2"/>
    <w:rsid w:val="00512833"/>
    <w:rsid w:val="005128C9"/>
    <w:rsid w:val="005128F1"/>
    <w:rsid w:val="005128FA"/>
    <w:rsid w:val="0051290B"/>
    <w:rsid w:val="0051291C"/>
    <w:rsid w:val="00512940"/>
    <w:rsid w:val="0051295D"/>
    <w:rsid w:val="005129BD"/>
    <w:rsid w:val="00512A1E"/>
    <w:rsid w:val="00512A27"/>
    <w:rsid w:val="00512AA2"/>
    <w:rsid w:val="00512B9F"/>
    <w:rsid w:val="00512BCA"/>
    <w:rsid w:val="00512CD9"/>
    <w:rsid w:val="00512DEC"/>
    <w:rsid w:val="00513066"/>
    <w:rsid w:val="00513068"/>
    <w:rsid w:val="005130E7"/>
    <w:rsid w:val="0051311C"/>
    <w:rsid w:val="00513199"/>
    <w:rsid w:val="005131AC"/>
    <w:rsid w:val="005131B1"/>
    <w:rsid w:val="0051334E"/>
    <w:rsid w:val="005133E9"/>
    <w:rsid w:val="00513434"/>
    <w:rsid w:val="0051343B"/>
    <w:rsid w:val="00513590"/>
    <w:rsid w:val="005135C9"/>
    <w:rsid w:val="0051360E"/>
    <w:rsid w:val="00513622"/>
    <w:rsid w:val="005136CC"/>
    <w:rsid w:val="00513751"/>
    <w:rsid w:val="0051375D"/>
    <w:rsid w:val="005139C7"/>
    <w:rsid w:val="005139CB"/>
    <w:rsid w:val="005139EA"/>
    <w:rsid w:val="00513AA0"/>
    <w:rsid w:val="00513C2B"/>
    <w:rsid w:val="00513D16"/>
    <w:rsid w:val="00513E2B"/>
    <w:rsid w:val="00513E8F"/>
    <w:rsid w:val="00513F16"/>
    <w:rsid w:val="00513F26"/>
    <w:rsid w:val="00513F3B"/>
    <w:rsid w:val="00513F7F"/>
    <w:rsid w:val="00513FFD"/>
    <w:rsid w:val="0051406B"/>
    <w:rsid w:val="0051408E"/>
    <w:rsid w:val="0051414E"/>
    <w:rsid w:val="005141AF"/>
    <w:rsid w:val="005141D2"/>
    <w:rsid w:val="00514341"/>
    <w:rsid w:val="0051434E"/>
    <w:rsid w:val="00514489"/>
    <w:rsid w:val="005144FC"/>
    <w:rsid w:val="00514522"/>
    <w:rsid w:val="005145D4"/>
    <w:rsid w:val="005145DB"/>
    <w:rsid w:val="005145E0"/>
    <w:rsid w:val="0051460D"/>
    <w:rsid w:val="00514690"/>
    <w:rsid w:val="005146F5"/>
    <w:rsid w:val="005147E5"/>
    <w:rsid w:val="00514830"/>
    <w:rsid w:val="00514848"/>
    <w:rsid w:val="005148BC"/>
    <w:rsid w:val="005148D0"/>
    <w:rsid w:val="005149A0"/>
    <w:rsid w:val="00514A10"/>
    <w:rsid w:val="00514AD3"/>
    <w:rsid w:val="00514BF4"/>
    <w:rsid w:val="00514BFD"/>
    <w:rsid w:val="00514C38"/>
    <w:rsid w:val="00514CB8"/>
    <w:rsid w:val="00514DD9"/>
    <w:rsid w:val="00514E0B"/>
    <w:rsid w:val="00514E53"/>
    <w:rsid w:val="00514EAC"/>
    <w:rsid w:val="00514ED1"/>
    <w:rsid w:val="00514F15"/>
    <w:rsid w:val="00515113"/>
    <w:rsid w:val="00515336"/>
    <w:rsid w:val="00515370"/>
    <w:rsid w:val="00515396"/>
    <w:rsid w:val="005154BC"/>
    <w:rsid w:val="005154D2"/>
    <w:rsid w:val="005154F5"/>
    <w:rsid w:val="005154FE"/>
    <w:rsid w:val="00515682"/>
    <w:rsid w:val="005156E2"/>
    <w:rsid w:val="00515751"/>
    <w:rsid w:val="0051577B"/>
    <w:rsid w:val="0051578A"/>
    <w:rsid w:val="005158EF"/>
    <w:rsid w:val="0051590D"/>
    <w:rsid w:val="005159D1"/>
    <w:rsid w:val="005159E6"/>
    <w:rsid w:val="00515A34"/>
    <w:rsid w:val="00515B10"/>
    <w:rsid w:val="00515B14"/>
    <w:rsid w:val="00515B3B"/>
    <w:rsid w:val="00515B76"/>
    <w:rsid w:val="00515B8B"/>
    <w:rsid w:val="00515C50"/>
    <w:rsid w:val="00515C6E"/>
    <w:rsid w:val="00515E4D"/>
    <w:rsid w:val="00515F0C"/>
    <w:rsid w:val="00515FB5"/>
    <w:rsid w:val="00516091"/>
    <w:rsid w:val="00516218"/>
    <w:rsid w:val="0051629B"/>
    <w:rsid w:val="005162F9"/>
    <w:rsid w:val="00516393"/>
    <w:rsid w:val="005163D4"/>
    <w:rsid w:val="00516402"/>
    <w:rsid w:val="0051644B"/>
    <w:rsid w:val="0051650F"/>
    <w:rsid w:val="00516571"/>
    <w:rsid w:val="00516615"/>
    <w:rsid w:val="0051674D"/>
    <w:rsid w:val="00516859"/>
    <w:rsid w:val="00516942"/>
    <w:rsid w:val="00516966"/>
    <w:rsid w:val="00516971"/>
    <w:rsid w:val="00516AC4"/>
    <w:rsid w:val="00516BB9"/>
    <w:rsid w:val="00516BF6"/>
    <w:rsid w:val="00516C78"/>
    <w:rsid w:val="00516CD1"/>
    <w:rsid w:val="00516ED3"/>
    <w:rsid w:val="00516EF5"/>
    <w:rsid w:val="00516F01"/>
    <w:rsid w:val="00516F3F"/>
    <w:rsid w:val="00516F5E"/>
    <w:rsid w:val="00516FD3"/>
    <w:rsid w:val="00517054"/>
    <w:rsid w:val="0051715F"/>
    <w:rsid w:val="00517193"/>
    <w:rsid w:val="005171EC"/>
    <w:rsid w:val="005171F0"/>
    <w:rsid w:val="00517290"/>
    <w:rsid w:val="0051730D"/>
    <w:rsid w:val="005174EE"/>
    <w:rsid w:val="00517526"/>
    <w:rsid w:val="0051755A"/>
    <w:rsid w:val="00517583"/>
    <w:rsid w:val="005175AF"/>
    <w:rsid w:val="0051760D"/>
    <w:rsid w:val="005176FA"/>
    <w:rsid w:val="005177A3"/>
    <w:rsid w:val="005177F5"/>
    <w:rsid w:val="00517888"/>
    <w:rsid w:val="005178C8"/>
    <w:rsid w:val="005178FE"/>
    <w:rsid w:val="005179A2"/>
    <w:rsid w:val="005179DE"/>
    <w:rsid w:val="00517A67"/>
    <w:rsid w:val="00517A99"/>
    <w:rsid w:val="00517AA1"/>
    <w:rsid w:val="00517AD7"/>
    <w:rsid w:val="00517B2A"/>
    <w:rsid w:val="00517B6D"/>
    <w:rsid w:val="00517BD9"/>
    <w:rsid w:val="00517C67"/>
    <w:rsid w:val="00517C74"/>
    <w:rsid w:val="00517C76"/>
    <w:rsid w:val="00517D51"/>
    <w:rsid w:val="00517E12"/>
    <w:rsid w:val="00517E15"/>
    <w:rsid w:val="00517F1F"/>
    <w:rsid w:val="00517F85"/>
    <w:rsid w:val="00517FBD"/>
    <w:rsid w:val="00520026"/>
    <w:rsid w:val="00520043"/>
    <w:rsid w:val="0052006D"/>
    <w:rsid w:val="00520089"/>
    <w:rsid w:val="005200D0"/>
    <w:rsid w:val="00520115"/>
    <w:rsid w:val="00520123"/>
    <w:rsid w:val="0052020E"/>
    <w:rsid w:val="00520264"/>
    <w:rsid w:val="00520357"/>
    <w:rsid w:val="00520367"/>
    <w:rsid w:val="0052036C"/>
    <w:rsid w:val="0052039B"/>
    <w:rsid w:val="005203EE"/>
    <w:rsid w:val="00520434"/>
    <w:rsid w:val="005204B2"/>
    <w:rsid w:val="00520582"/>
    <w:rsid w:val="0052059A"/>
    <w:rsid w:val="005205F3"/>
    <w:rsid w:val="00520629"/>
    <w:rsid w:val="00520737"/>
    <w:rsid w:val="0052077C"/>
    <w:rsid w:val="005207AD"/>
    <w:rsid w:val="005207D5"/>
    <w:rsid w:val="005207F8"/>
    <w:rsid w:val="00520836"/>
    <w:rsid w:val="00520967"/>
    <w:rsid w:val="00520972"/>
    <w:rsid w:val="005209C3"/>
    <w:rsid w:val="00520A43"/>
    <w:rsid w:val="00520A82"/>
    <w:rsid w:val="00520B0D"/>
    <w:rsid w:val="00520BBB"/>
    <w:rsid w:val="00520C22"/>
    <w:rsid w:val="00520C4E"/>
    <w:rsid w:val="00520C72"/>
    <w:rsid w:val="00520C94"/>
    <w:rsid w:val="00520D12"/>
    <w:rsid w:val="00520D50"/>
    <w:rsid w:val="00520DE1"/>
    <w:rsid w:val="00520E68"/>
    <w:rsid w:val="00520EBD"/>
    <w:rsid w:val="005210B0"/>
    <w:rsid w:val="0052113E"/>
    <w:rsid w:val="005211FE"/>
    <w:rsid w:val="005212B3"/>
    <w:rsid w:val="0052145B"/>
    <w:rsid w:val="005214DA"/>
    <w:rsid w:val="005215CE"/>
    <w:rsid w:val="00521654"/>
    <w:rsid w:val="00521668"/>
    <w:rsid w:val="00521669"/>
    <w:rsid w:val="00521697"/>
    <w:rsid w:val="005216EA"/>
    <w:rsid w:val="00521715"/>
    <w:rsid w:val="00521736"/>
    <w:rsid w:val="00521763"/>
    <w:rsid w:val="0052177C"/>
    <w:rsid w:val="005217C1"/>
    <w:rsid w:val="00521833"/>
    <w:rsid w:val="00521872"/>
    <w:rsid w:val="005218E2"/>
    <w:rsid w:val="0052191F"/>
    <w:rsid w:val="00521932"/>
    <w:rsid w:val="00521A26"/>
    <w:rsid w:val="00521A4D"/>
    <w:rsid w:val="00521A76"/>
    <w:rsid w:val="00521AC2"/>
    <w:rsid w:val="00521BAD"/>
    <w:rsid w:val="00521BCC"/>
    <w:rsid w:val="00521DB4"/>
    <w:rsid w:val="00521E1B"/>
    <w:rsid w:val="00521EB0"/>
    <w:rsid w:val="005220EF"/>
    <w:rsid w:val="0052211D"/>
    <w:rsid w:val="00522225"/>
    <w:rsid w:val="005222E2"/>
    <w:rsid w:val="005222F1"/>
    <w:rsid w:val="005222F4"/>
    <w:rsid w:val="0052230B"/>
    <w:rsid w:val="00522449"/>
    <w:rsid w:val="0052253D"/>
    <w:rsid w:val="0052253F"/>
    <w:rsid w:val="00522641"/>
    <w:rsid w:val="00522679"/>
    <w:rsid w:val="005226DA"/>
    <w:rsid w:val="005227A4"/>
    <w:rsid w:val="00522825"/>
    <w:rsid w:val="00522849"/>
    <w:rsid w:val="005228ED"/>
    <w:rsid w:val="005228F8"/>
    <w:rsid w:val="005229F6"/>
    <w:rsid w:val="00522A00"/>
    <w:rsid w:val="00522AC4"/>
    <w:rsid w:val="00522ACA"/>
    <w:rsid w:val="00522AFE"/>
    <w:rsid w:val="00522B89"/>
    <w:rsid w:val="00522C0E"/>
    <w:rsid w:val="00522C17"/>
    <w:rsid w:val="00522C1A"/>
    <w:rsid w:val="00522C33"/>
    <w:rsid w:val="00522C69"/>
    <w:rsid w:val="00522CC6"/>
    <w:rsid w:val="00522CDF"/>
    <w:rsid w:val="00522DCB"/>
    <w:rsid w:val="00522E09"/>
    <w:rsid w:val="00522F3C"/>
    <w:rsid w:val="00522F95"/>
    <w:rsid w:val="0052309C"/>
    <w:rsid w:val="0052314D"/>
    <w:rsid w:val="005231DE"/>
    <w:rsid w:val="0052326B"/>
    <w:rsid w:val="005232BF"/>
    <w:rsid w:val="005232C6"/>
    <w:rsid w:val="00523356"/>
    <w:rsid w:val="005233CA"/>
    <w:rsid w:val="005233CC"/>
    <w:rsid w:val="0052348D"/>
    <w:rsid w:val="005234EE"/>
    <w:rsid w:val="005235B4"/>
    <w:rsid w:val="005235D4"/>
    <w:rsid w:val="005236A8"/>
    <w:rsid w:val="00523714"/>
    <w:rsid w:val="00523717"/>
    <w:rsid w:val="00523719"/>
    <w:rsid w:val="0052377F"/>
    <w:rsid w:val="0052378F"/>
    <w:rsid w:val="00523818"/>
    <w:rsid w:val="00523A09"/>
    <w:rsid w:val="00523A13"/>
    <w:rsid w:val="00523A36"/>
    <w:rsid w:val="00523B2E"/>
    <w:rsid w:val="00523BBB"/>
    <w:rsid w:val="00523D66"/>
    <w:rsid w:val="00523FC4"/>
    <w:rsid w:val="0052401C"/>
    <w:rsid w:val="005240A8"/>
    <w:rsid w:val="0052410C"/>
    <w:rsid w:val="0052415C"/>
    <w:rsid w:val="0052420F"/>
    <w:rsid w:val="00524231"/>
    <w:rsid w:val="00524310"/>
    <w:rsid w:val="00524333"/>
    <w:rsid w:val="0052435A"/>
    <w:rsid w:val="005243AC"/>
    <w:rsid w:val="00524524"/>
    <w:rsid w:val="00524554"/>
    <w:rsid w:val="005246AD"/>
    <w:rsid w:val="00524756"/>
    <w:rsid w:val="00524779"/>
    <w:rsid w:val="005247C5"/>
    <w:rsid w:val="0052481C"/>
    <w:rsid w:val="005248A8"/>
    <w:rsid w:val="005248F2"/>
    <w:rsid w:val="00524A3C"/>
    <w:rsid w:val="00524A80"/>
    <w:rsid w:val="00524ACB"/>
    <w:rsid w:val="00524AE4"/>
    <w:rsid w:val="00524AF3"/>
    <w:rsid w:val="00524B2B"/>
    <w:rsid w:val="00524B86"/>
    <w:rsid w:val="00524B92"/>
    <w:rsid w:val="00524C53"/>
    <w:rsid w:val="00524C71"/>
    <w:rsid w:val="00524C8C"/>
    <w:rsid w:val="00524D73"/>
    <w:rsid w:val="00524DB7"/>
    <w:rsid w:val="00524DC5"/>
    <w:rsid w:val="00524E02"/>
    <w:rsid w:val="00524E4F"/>
    <w:rsid w:val="00524E65"/>
    <w:rsid w:val="00524E73"/>
    <w:rsid w:val="00524EC1"/>
    <w:rsid w:val="00524FC3"/>
    <w:rsid w:val="00525061"/>
    <w:rsid w:val="005250B1"/>
    <w:rsid w:val="0052511C"/>
    <w:rsid w:val="00525191"/>
    <w:rsid w:val="00525197"/>
    <w:rsid w:val="005251A2"/>
    <w:rsid w:val="005251EE"/>
    <w:rsid w:val="0052521D"/>
    <w:rsid w:val="00525456"/>
    <w:rsid w:val="00525472"/>
    <w:rsid w:val="0052551F"/>
    <w:rsid w:val="00525531"/>
    <w:rsid w:val="0052554C"/>
    <w:rsid w:val="00525601"/>
    <w:rsid w:val="005256FA"/>
    <w:rsid w:val="00525758"/>
    <w:rsid w:val="0052578D"/>
    <w:rsid w:val="005257D4"/>
    <w:rsid w:val="005257DC"/>
    <w:rsid w:val="0052586F"/>
    <w:rsid w:val="00525895"/>
    <w:rsid w:val="005258CE"/>
    <w:rsid w:val="00525915"/>
    <w:rsid w:val="00525974"/>
    <w:rsid w:val="00525A1A"/>
    <w:rsid w:val="00525B77"/>
    <w:rsid w:val="00525C89"/>
    <w:rsid w:val="00525CC9"/>
    <w:rsid w:val="00525E06"/>
    <w:rsid w:val="00525E17"/>
    <w:rsid w:val="00525E1C"/>
    <w:rsid w:val="00525EBA"/>
    <w:rsid w:val="00525F0E"/>
    <w:rsid w:val="00525F1F"/>
    <w:rsid w:val="00525FAB"/>
    <w:rsid w:val="00526174"/>
    <w:rsid w:val="0052618F"/>
    <w:rsid w:val="005261E2"/>
    <w:rsid w:val="005261F4"/>
    <w:rsid w:val="0052622E"/>
    <w:rsid w:val="00526298"/>
    <w:rsid w:val="005262DC"/>
    <w:rsid w:val="005262F9"/>
    <w:rsid w:val="00526342"/>
    <w:rsid w:val="0052637C"/>
    <w:rsid w:val="00526393"/>
    <w:rsid w:val="005264B8"/>
    <w:rsid w:val="005264F2"/>
    <w:rsid w:val="00526570"/>
    <w:rsid w:val="005265A6"/>
    <w:rsid w:val="0052670C"/>
    <w:rsid w:val="00526787"/>
    <w:rsid w:val="005267CB"/>
    <w:rsid w:val="00526805"/>
    <w:rsid w:val="00526812"/>
    <w:rsid w:val="005268CB"/>
    <w:rsid w:val="005268FE"/>
    <w:rsid w:val="00526969"/>
    <w:rsid w:val="00526AB7"/>
    <w:rsid w:val="00526AEB"/>
    <w:rsid w:val="00526C48"/>
    <w:rsid w:val="00526D70"/>
    <w:rsid w:val="00526E31"/>
    <w:rsid w:val="00526EE5"/>
    <w:rsid w:val="00526F41"/>
    <w:rsid w:val="00526FC1"/>
    <w:rsid w:val="005270A7"/>
    <w:rsid w:val="0052711C"/>
    <w:rsid w:val="0052714F"/>
    <w:rsid w:val="0052718A"/>
    <w:rsid w:val="005271A5"/>
    <w:rsid w:val="0052723C"/>
    <w:rsid w:val="0052724F"/>
    <w:rsid w:val="0052732B"/>
    <w:rsid w:val="0052732D"/>
    <w:rsid w:val="0052739E"/>
    <w:rsid w:val="005273A0"/>
    <w:rsid w:val="005273A4"/>
    <w:rsid w:val="00527480"/>
    <w:rsid w:val="0052749A"/>
    <w:rsid w:val="005274AC"/>
    <w:rsid w:val="00527506"/>
    <w:rsid w:val="00527619"/>
    <w:rsid w:val="00527634"/>
    <w:rsid w:val="005276F2"/>
    <w:rsid w:val="00527A64"/>
    <w:rsid w:val="00527BC6"/>
    <w:rsid w:val="00527C61"/>
    <w:rsid w:val="00527CAF"/>
    <w:rsid w:val="00527CEB"/>
    <w:rsid w:val="00527D6E"/>
    <w:rsid w:val="00527D70"/>
    <w:rsid w:val="00527D8B"/>
    <w:rsid w:val="00527EAB"/>
    <w:rsid w:val="00527EF8"/>
    <w:rsid w:val="00527F44"/>
    <w:rsid w:val="0053001A"/>
    <w:rsid w:val="005300A8"/>
    <w:rsid w:val="005300E6"/>
    <w:rsid w:val="0053010E"/>
    <w:rsid w:val="0053017A"/>
    <w:rsid w:val="0053017E"/>
    <w:rsid w:val="00530243"/>
    <w:rsid w:val="00530254"/>
    <w:rsid w:val="00530255"/>
    <w:rsid w:val="00530263"/>
    <w:rsid w:val="00530277"/>
    <w:rsid w:val="0053028B"/>
    <w:rsid w:val="0053031F"/>
    <w:rsid w:val="005304DB"/>
    <w:rsid w:val="005304E3"/>
    <w:rsid w:val="005304F4"/>
    <w:rsid w:val="00530548"/>
    <w:rsid w:val="0053054C"/>
    <w:rsid w:val="0053059E"/>
    <w:rsid w:val="005305E1"/>
    <w:rsid w:val="00530636"/>
    <w:rsid w:val="00530683"/>
    <w:rsid w:val="00530866"/>
    <w:rsid w:val="00530879"/>
    <w:rsid w:val="005308FA"/>
    <w:rsid w:val="005309F3"/>
    <w:rsid w:val="00530A13"/>
    <w:rsid w:val="00530A6F"/>
    <w:rsid w:val="00530A9A"/>
    <w:rsid w:val="00530AD9"/>
    <w:rsid w:val="00530AE8"/>
    <w:rsid w:val="00530B29"/>
    <w:rsid w:val="00530C66"/>
    <w:rsid w:val="00530CE8"/>
    <w:rsid w:val="00530E49"/>
    <w:rsid w:val="00530FDA"/>
    <w:rsid w:val="0053107F"/>
    <w:rsid w:val="0053108C"/>
    <w:rsid w:val="005310BD"/>
    <w:rsid w:val="00531201"/>
    <w:rsid w:val="0053123E"/>
    <w:rsid w:val="00531280"/>
    <w:rsid w:val="00531328"/>
    <w:rsid w:val="00531346"/>
    <w:rsid w:val="00531376"/>
    <w:rsid w:val="00531436"/>
    <w:rsid w:val="00531438"/>
    <w:rsid w:val="00531482"/>
    <w:rsid w:val="0053160D"/>
    <w:rsid w:val="00531713"/>
    <w:rsid w:val="00531787"/>
    <w:rsid w:val="00531799"/>
    <w:rsid w:val="005317D4"/>
    <w:rsid w:val="0053188E"/>
    <w:rsid w:val="005318D6"/>
    <w:rsid w:val="00531E8A"/>
    <w:rsid w:val="00531EB1"/>
    <w:rsid w:val="00531F6E"/>
    <w:rsid w:val="00532022"/>
    <w:rsid w:val="0053207C"/>
    <w:rsid w:val="0053213C"/>
    <w:rsid w:val="0053214B"/>
    <w:rsid w:val="00532156"/>
    <w:rsid w:val="0053218C"/>
    <w:rsid w:val="005321C3"/>
    <w:rsid w:val="0053220E"/>
    <w:rsid w:val="00532236"/>
    <w:rsid w:val="005322A4"/>
    <w:rsid w:val="00532333"/>
    <w:rsid w:val="00532357"/>
    <w:rsid w:val="00532367"/>
    <w:rsid w:val="00532388"/>
    <w:rsid w:val="0053249E"/>
    <w:rsid w:val="005324C6"/>
    <w:rsid w:val="005324CA"/>
    <w:rsid w:val="005324D3"/>
    <w:rsid w:val="0053250E"/>
    <w:rsid w:val="00532604"/>
    <w:rsid w:val="0053271B"/>
    <w:rsid w:val="0053279D"/>
    <w:rsid w:val="0053283B"/>
    <w:rsid w:val="005328ED"/>
    <w:rsid w:val="0053297D"/>
    <w:rsid w:val="005329B6"/>
    <w:rsid w:val="00532A1F"/>
    <w:rsid w:val="00532A3E"/>
    <w:rsid w:val="00532AD9"/>
    <w:rsid w:val="00532B0E"/>
    <w:rsid w:val="00532C17"/>
    <w:rsid w:val="00532CCD"/>
    <w:rsid w:val="00532E31"/>
    <w:rsid w:val="00532E66"/>
    <w:rsid w:val="00532E88"/>
    <w:rsid w:val="00532ED0"/>
    <w:rsid w:val="00532F40"/>
    <w:rsid w:val="00533087"/>
    <w:rsid w:val="005330F9"/>
    <w:rsid w:val="0053311B"/>
    <w:rsid w:val="0053311C"/>
    <w:rsid w:val="00533180"/>
    <w:rsid w:val="00533279"/>
    <w:rsid w:val="0053338E"/>
    <w:rsid w:val="005333EC"/>
    <w:rsid w:val="0053347C"/>
    <w:rsid w:val="005334F8"/>
    <w:rsid w:val="005335ED"/>
    <w:rsid w:val="005338AA"/>
    <w:rsid w:val="005338CD"/>
    <w:rsid w:val="005338CF"/>
    <w:rsid w:val="005338E8"/>
    <w:rsid w:val="005338EA"/>
    <w:rsid w:val="00533931"/>
    <w:rsid w:val="0053397B"/>
    <w:rsid w:val="00533982"/>
    <w:rsid w:val="005339E6"/>
    <w:rsid w:val="00533A44"/>
    <w:rsid w:val="00533B2B"/>
    <w:rsid w:val="00533B7D"/>
    <w:rsid w:val="00533BED"/>
    <w:rsid w:val="00533C9B"/>
    <w:rsid w:val="00533CC4"/>
    <w:rsid w:val="00533D00"/>
    <w:rsid w:val="00533D5E"/>
    <w:rsid w:val="00533E31"/>
    <w:rsid w:val="00533EE9"/>
    <w:rsid w:val="00533EF6"/>
    <w:rsid w:val="00533FDF"/>
    <w:rsid w:val="00533FEA"/>
    <w:rsid w:val="00534016"/>
    <w:rsid w:val="005340EF"/>
    <w:rsid w:val="00534175"/>
    <w:rsid w:val="005341A4"/>
    <w:rsid w:val="005341B3"/>
    <w:rsid w:val="005342D4"/>
    <w:rsid w:val="00534351"/>
    <w:rsid w:val="0053437B"/>
    <w:rsid w:val="00534459"/>
    <w:rsid w:val="005344C1"/>
    <w:rsid w:val="00534595"/>
    <w:rsid w:val="00534609"/>
    <w:rsid w:val="0053460D"/>
    <w:rsid w:val="0053467C"/>
    <w:rsid w:val="005346AB"/>
    <w:rsid w:val="00534707"/>
    <w:rsid w:val="00534843"/>
    <w:rsid w:val="0053492B"/>
    <w:rsid w:val="00534943"/>
    <w:rsid w:val="00534A4A"/>
    <w:rsid w:val="00534A96"/>
    <w:rsid w:val="00534AD5"/>
    <w:rsid w:val="00534B18"/>
    <w:rsid w:val="00534BAC"/>
    <w:rsid w:val="00534BCB"/>
    <w:rsid w:val="00534BDC"/>
    <w:rsid w:val="00534CB5"/>
    <w:rsid w:val="00534CE1"/>
    <w:rsid w:val="00534D66"/>
    <w:rsid w:val="00534E1D"/>
    <w:rsid w:val="00534F55"/>
    <w:rsid w:val="00535078"/>
    <w:rsid w:val="0053507B"/>
    <w:rsid w:val="0053509B"/>
    <w:rsid w:val="005350D4"/>
    <w:rsid w:val="005351E8"/>
    <w:rsid w:val="00535214"/>
    <w:rsid w:val="005352E3"/>
    <w:rsid w:val="00535362"/>
    <w:rsid w:val="00535370"/>
    <w:rsid w:val="00535395"/>
    <w:rsid w:val="00535411"/>
    <w:rsid w:val="0053541C"/>
    <w:rsid w:val="00535420"/>
    <w:rsid w:val="00535454"/>
    <w:rsid w:val="00535599"/>
    <w:rsid w:val="005355A4"/>
    <w:rsid w:val="00535609"/>
    <w:rsid w:val="0053566C"/>
    <w:rsid w:val="005356AC"/>
    <w:rsid w:val="005356FC"/>
    <w:rsid w:val="0053586D"/>
    <w:rsid w:val="005358CC"/>
    <w:rsid w:val="0053595F"/>
    <w:rsid w:val="00535A57"/>
    <w:rsid w:val="00535A59"/>
    <w:rsid w:val="00535A69"/>
    <w:rsid w:val="00535A7F"/>
    <w:rsid w:val="00535B11"/>
    <w:rsid w:val="00535B61"/>
    <w:rsid w:val="00535B67"/>
    <w:rsid w:val="00535B8C"/>
    <w:rsid w:val="00535BB4"/>
    <w:rsid w:val="00535BBE"/>
    <w:rsid w:val="00535C87"/>
    <w:rsid w:val="00535C8B"/>
    <w:rsid w:val="00535DF5"/>
    <w:rsid w:val="00535E22"/>
    <w:rsid w:val="00535E83"/>
    <w:rsid w:val="00535EB7"/>
    <w:rsid w:val="005360DE"/>
    <w:rsid w:val="0053611B"/>
    <w:rsid w:val="00536125"/>
    <w:rsid w:val="00536178"/>
    <w:rsid w:val="00536194"/>
    <w:rsid w:val="005361E3"/>
    <w:rsid w:val="00536200"/>
    <w:rsid w:val="00536211"/>
    <w:rsid w:val="00536288"/>
    <w:rsid w:val="005362D4"/>
    <w:rsid w:val="00536412"/>
    <w:rsid w:val="0053652C"/>
    <w:rsid w:val="00536543"/>
    <w:rsid w:val="005365CE"/>
    <w:rsid w:val="00536654"/>
    <w:rsid w:val="00536663"/>
    <w:rsid w:val="005366C6"/>
    <w:rsid w:val="00536767"/>
    <w:rsid w:val="00536793"/>
    <w:rsid w:val="00536897"/>
    <w:rsid w:val="0053689B"/>
    <w:rsid w:val="005368CA"/>
    <w:rsid w:val="005368EF"/>
    <w:rsid w:val="00536954"/>
    <w:rsid w:val="005369AF"/>
    <w:rsid w:val="005369DA"/>
    <w:rsid w:val="00536A31"/>
    <w:rsid w:val="00536A34"/>
    <w:rsid w:val="00536A65"/>
    <w:rsid w:val="00536A9C"/>
    <w:rsid w:val="00536AD5"/>
    <w:rsid w:val="00536AD6"/>
    <w:rsid w:val="00536B6C"/>
    <w:rsid w:val="00536B81"/>
    <w:rsid w:val="00536BE9"/>
    <w:rsid w:val="00536C36"/>
    <w:rsid w:val="00536C5B"/>
    <w:rsid w:val="00536CB9"/>
    <w:rsid w:val="00536D16"/>
    <w:rsid w:val="00536DC0"/>
    <w:rsid w:val="00536E44"/>
    <w:rsid w:val="00536E88"/>
    <w:rsid w:val="00536F6C"/>
    <w:rsid w:val="00536F7C"/>
    <w:rsid w:val="00537159"/>
    <w:rsid w:val="005371B3"/>
    <w:rsid w:val="005371BD"/>
    <w:rsid w:val="0053722D"/>
    <w:rsid w:val="0053725E"/>
    <w:rsid w:val="00537318"/>
    <w:rsid w:val="005373FD"/>
    <w:rsid w:val="0053740D"/>
    <w:rsid w:val="00537420"/>
    <w:rsid w:val="0053745D"/>
    <w:rsid w:val="00537467"/>
    <w:rsid w:val="00537468"/>
    <w:rsid w:val="0053755F"/>
    <w:rsid w:val="00537585"/>
    <w:rsid w:val="00537689"/>
    <w:rsid w:val="0053771B"/>
    <w:rsid w:val="005378DE"/>
    <w:rsid w:val="005378EA"/>
    <w:rsid w:val="005378F6"/>
    <w:rsid w:val="00537968"/>
    <w:rsid w:val="00537C02"/>
    <w:rsid w:val="00537C54"/>
    <w:rsid w:val="00537CE9"/>
    <w:rsid w:val="00537D0B"/>
    <w:rsid w:val="00537DFB"/>
    <w:rsid w:val="00537E05"/>
    <w:rsid w:val="00537F05"/>
    <w:rsid w:val="00537FC3"/>
    <w:rsid w:val="00540000"/>
    <w:rsid w:val="005400A1"/>
    <w:rsid w:val="00540114"/>
    <w:rsid w:val="0054012E"/>
    <w:rsid w:val="00540145"/>
    <w:rsid w:val="0054024E"/>
    <w:rsid w:val="005402A7"/>
    <w:rsid w:val="00540365"/>
    <w:rsid w:val="00540408"/>
    <w:rsid w:val="005404FA"/>
    <w:rsid w:val="0054059C"/>
    <w:rsid w:val="005405AD"/>
    <w:rsid w:val="005405D6"/>
    <w:rsid w:val="005406AD"/>
    <w:rsid w:val="0054071B"/>
    <w:rsid w:val="00540776"/>
    <w:rsid w:val="00540789"/>
    <w:rsid w:val="00540790"/>
    <w:rsid w:val="00540794"/>
    <w:rsid w:val="005407FA"/>
    <w:rsid w:val="0054081E"/>
    <w:rsid w:val="0054087B"/>
    <w:rsid w:val="005408A9"/>
    <w:rsid w:val="00540939"/>
    <w:rsid w:val="00540999"/>
    <w:rsid w:val="00540A4C"/>
    <w:rsid w:val="00540AB0"/>
    <w:rsid w:val="00540C8F"/>
    <w:rsid w:val="00540CB5"/>
    <w:rsid w:val="00540D01"/>
    <w:rsid w:val="00540E83"/>
    <w:rsid w:val="00540EA0"/>
    <w:rsid w:val="00540FBA"/>
    <w:rsid w:val="00541066"/>
    <w:rsid w:val="0054114E"/>
    <w:rsid w:val="00541220"/>
    <w:rsid w:val="00541229"/>
    <w:rsid w:val="005412B3"/>
    <w:rsid w:val="005415DB"/>
    <w:rsid w:val="005416E3"/>
    <w:rsid w:val="005416F3"/>
    <w:rsid w:val="0054177E"/>
    <w:rsid w:val="005417E2"/>
    <w:rsid w:val="005417F3"/>
    <w:rsid w:val="00541847"/>
    <w:rsid w:val="005418DB"/>
    <w:rsid w:val="005418DD"/>
    <w:rsid w:val="00541947"/>
    <w:rsid w:val="0054199A"/>
    <w:rsid w:val="005419AD"/>
    <w:rsid w:val="00541A31"/>
    <w:rsid w:val="00541AF9"/>
    <w:rsid w:val="00541B28"/>
    <w:rsid w:val="00541B4E"/>
    <w:rsid w:val="00541C9B"/>
    <w:rsid w:val="00541CDF"/>
    <w:rsid w:val="00541D0B"/>
    <w:rsid w:val="00541D16"/>
    <w:rsid w:val="00541DFE"/>
    <w:rsid w:val="00541F45"/>
    <w:rsid w:val="00542000"/>
    <w:rsid w:val="0054202D"/>
    <w:rsid w:val="005420D9"/>
    <w:rsid w:val="005420DD"/>
    <w:rsid w:val="005421DD"/>
    <w:rsid w:val="0054221F"/>
    <w:rsid w:val="00542394"/>
    <w:rsid w:val="005423BC"/>
    <w:rsid w:val="005423F0"/>
    <w:rsid w:val="0054245F"/>
    <w:rsid w:val="00542463"/>
    <w:rsid w:val="005424B4"/>
    <w:rsid w:val="00542586"/>
    <w:rsid w:val="005425A6"/>
    <w:rsid w:val="005425E6"/>
    <w:rsid w:val="00542630"/>
    <w:rsid w:val="0054270E"/>
    <w:rsid w:val="0054272A"/>
    <w:rsid w:val="00542740"/>
    <w:rsid w:val="00542750"/>
    <w:rsid w:val="00542774"/>
    <w:rsid w:val="005427B0"/>
    <w:rsid w:val="005427E6"/>
    <w:rsid w:val="005428DA"/>
    <w:rsid w:val="005428E0"/>
    <w:rsid w:val="005428FA"/>
    <w:rsid w:val="005428FC"/>
    <w:rsid w:val="00542944"/>
    <w:rsid w:val="005429BF"/>
    <w:rsid w:val="005429C3"/>
    <w:rsid w:val="00542A21"/>
    <w:rsid w:val="00542C5A"/>
    <w:rsid w:val="00542C98"/>
    <w:rsid w:val="00542CC7"/>
    <w:rsid w:val="00542D51"/>
    <w:rsid w:val="00542D9D"/>
    <w:rsid w:val="00542E0C"/>
    <w:rsid w:val="00542E15"/>
    <w:rsid w:val="00542E41"/>
    <w:rsid w:val="00542F3C"/>
    <w:rsid w:val="00542F5A"/>
    <w:rsid w:val="00542F94"/>
    <w:rsid w:val="0054304E"/>
    <w:rsid w:val="00543120"/>
    <w:rsid w:val="00543147"/>
    <w:rsid w:val="00543306"/>
    <w:rsid w:val="0054331D"/>
    <w:rsid w:val="0054334E"/>
    <w:rsid w:val="005433A3"/>
    <w:rsid w:val="00543456"/>
    <w:rsid w:val="005434A2"/>
    <w:rsid w:val="00543599"/>
    <w:rsid w:val="0054362B"/>
    <w:rsid w:val="0054369E"/>
    <w:rsid w:val="00543780"/>
    <w:rsid w:val="005437EC"/>
    <w:rsid w:val="005437F6"/>
    <w:rsid w:val="0054380B"/>
    <w:rsid w:val="0054383D"/>
    <w:rsid w:val="00543845"/>
    <w:rsid w:val="00543867"/>
    <w:rsid w:val="00543882"/>
    <w:rsid w:val="00543991"/>
    <w:rsid w:val="00543A11"/>
    <w:rsid w:val="00543A55"/>
    <w:rsid w:val="00543AAF"/>
    <w:rsid w:val="00543B14"/>
    <w:rsid w:val="00543B15"/>
    <w:rsid w:val="00543B62"/>
    <w:rsid w:val="00543BA7"/>
    <w:rsid w:val="00543C97"/>
    <w:rsid w:val="00543CA0"/>
    <w:rsid w:val="00543D3C"/>
    <w:rsid w:val="00543D59"/>
    <w:rsid w:val="00543D63"/>
    <w:rsid w:val="00543D64"/>
    <w:rsid w:val="00543DCB"/>
    <w:rsid w:val="00543DE0"/>
    <w:rsid w:val="00543E01"/>
    <w:rsid w:val="00543E66"/>
    <w:rsid w:val="00543E6C"/>
    <w:rsid w:val="00543EE3"/>
    <w:rsid w:val="00543F1E"/>
    <w:rsid w:val="00543FDD"/>
    <w:rsid w:val="00544047"/>
    <w:rsid w:val="005440C6"/>
    <w:rsid w:val="005440DE"/>
    <w:rsid w:val="00544123"/>
    <w:rsid w:val="0054414E"/>
    <w:rsid w:val="00544179"/>
    <w:rsid w:val="00544184"/>
    <w:rsid w:val="005441D3"/>
    <w:rsid w:val="005441E2"/>
    <w:rsid w:val="00544375"/>
    <w:rsid w:val="0054438C"/>
    <w:rsid w:val="0054444C"/>
    <w:rsid w:val="005444CC"/>
    <w:rsid w:val="0054450D"/>
    <w:rsid w:val="0054456A"/>
    <w:rsid w:val="005445D5"/>
    <w:rsid w:val="0054484B"/>
    <w:rsid w:val="00544878"/>
    <w:rsid w:val="00544919"/>
    <w:rsid w:val="00544986"/>
    <w:rsid w:val="005449DD"/>
    <w:rsid w:val="00544A30"/>
    <w:rsid w:val="00544AB5"/>
    <w:rsid w:val="00544B44"/>
    <w:rsid w:val="00544BB6"/>
    <w:rsid w:val="00544BD7"/>
    <w:rsid w:val="00544D8F"/>
    <w:rsid w:val="00544E31"/>
    <w:rsid w:val="00544EE8"/>
    <w:rsid w:val="00544EF0"/>
    <w:rsid w:val="00544F00"/>
    <w:rsid w:val="00544F3E"/>
    <w:rsid w:val="00545069"/>
    <w:rsid w:val="00545095"/>
    <w:rsid w:val="005451AA"/>
    <w:rsid w:val="00545259"/>
    <w:rsid w:val="00545284"/>
    <w:rsid w:val="00545423"/>
    <w:rsid w:val="005454A0"/>
    <w:rsid w:val="00545503"/>
    <w:rsid w:val="00545536"/>
    <w:rsid w:val="005455A7"/>
    <w:rsid w:val="005455AC"/>
    <w:rsid w:val="00545735"/>
    <w:rsid w:val="005457B7"/>
    <w:rsid w:val="00545817"/>
    <w:rsid w:val="0054586D"/>
    <w:rsid w:val="005459ED"/>
    <w:rsid w:val="005459F2"/>
    <w:rsid w:val="005459F8"/>
    <w:rsid w:val="00545A26"/>
    <w:rsid w:val="00545A97"/>
    <w:rsid w:val="00545B9D"/>
    <w:rsid w:val="00545BA9"/>
    <w:rsid w:val="00545CD5"/>
    <w:rsid w:val="00545FBD"/>
    <w:rsid w:val="00545FDE"/>
    <w:rsid w:val="00545FF0"/>
    <w:rsid w:val="00545FF9"/>
    <w:rsid w:val="00546032"/>
    <w:rsid w:val="00546159"/>
    <w:rsid w:val="00546184"/>
    <w:rsid w:val="00546324"/>
    <w:rsid w:val="00546361"/>
    <w:rsid w:val="0054636A"/>
    <w:rsid w:val="005463B5"/>
    <w:rsid w:val="00546483"/>
    <w:rsid w:val="005464C6"/>
    <w:rsid w:val="005464DA"/>
    <w:rsid w:val="005465B8"/>
    <w:rsid w:val="005465D7"/>
    <w:rsid w:val="005466E0"/>
    <w:rsid w:val="00546700"/>
    <w:rsid w:val="0054678C"/>
    <w:rsid w:val="005467FA"/>
    <w:rsid w:val="00546832"/>
    <w:rsid w:val="0054684A"/>
    <w:rsid w:val="0054693C"/>
    <w:rsid w:val="005469CE"/>
    <w:rsid w:val="005469E2"/>
    <w:rsid w:val="00546A39"/>
    <w:rsid w:val="00546A90"/>
    <w:rsid w:val="00546AB3"/>
    <w:rsid w:val="00546BB6"/>
    <w:rsid w:val="00546BCC"/>
    <w:rsid w:val="00546D64"/>
    <w:rsid w:val="00546D79"/>
    <w:rsid w:val="00546D83"/>
    <w:rsid w:val="00546D97"/>
    <w:rsid w:val="00546D9A"/>
    <w:rsid w:val="00546DE3"/>
    <w:rsid w:val="00546E13"/>
    <w:rsid w:val="00546F96"/>
    <w:rsid w:val="00546FBD"/>
    <w:rsid w:val="00546FC2"/>
    <w:rsid w:val="0054701F"/>
    <w:rsid w:val="0054717C"/>
    <w:rsid w:val="005471E6"/>
    <w:rsid w:val="00547216"/>
    <w:rsid w:val="00547241"/>
    <w:rsid w:val="00547296"/>
    <w:rsid w:val="005472B0"/>
    <w:rsid w:val="0054731A"/>
    <w:rsid w:val="00547320"/>
    <w:rsid w:val="00547378"/>
    <w:rsid w:val="0054747F"/>
    <w:rsid w:val="005474F1"/>
    <w:rsid w:val="005475CE"/>
    <w:rsid w:val="00547621"/>
    <w:rsid w:val="0054764D"/>
    <w:rsid w:val="005476E5"/>
    <w:rsid w:val="00547716"/>
    <w:rsid w:val="005478E0"/>
    <w:rsid w:val="00547A54"/>
    <w:rsid w:val="00547A63"/>
    <w:rsid w:val="00547A8B"/>
    <w:rsid w:val="00547AC7"/>
    <w:rsid w:val="00547B00"/>
    <w:rsid w:val="00547BB9"/>
    <w:rsid w:val="00547C92"/>
    <w:rsid w:val="00547E2C"/>
    <w:rsid w:val="00547EB7"/>
    <w:rsid w:val="00547F77"/>
    <w:rsid w:val="00550000"/>
    <w:rsid w:val="005500D7"/>
    <w:rsid w:val="00550107"/>
    <w:rsid w:val="005501E1"/>
    <w:rsid w:val="00550235"/>
    <w:rsid w:val="005502E6"/>
    <w:rsid w:val="0055037F"/>
    <w:rsid w:val="005503BA"/>
    <w:rsid w:val="00550447"/>
    <w:rsid w:val="0055051B"/>
    <w:rsid w:val="005505D8"/>
    <w:rsid w:val="00550627"/>
    <w:rsid w:val="00550721"/>
    <w:rsid w:val="00550740"/>
    <w:rsid w:val="0055076E"/>
    <w:rsid w:val="00550782"/>
    <w:rsid w:val="005507A9"/>
    <w:rsid w:val="00550838"/>
    <w:rsid w:val="00550889"/>
    <w:rsid w:val="0055088D"/>
    <w:rsid w:val="005508C0"/>
    <w:rsid w:val="0055098E"/>
    <w:rsid w:val="00550A40"/>
    <w:rsid w:val="00550A50"/>
    <w:rsid w:val="00550A57"/>
    <w:rsid w:val="00550AD1"/>
    <w:rsid w:val="00550B05"/>
    <w:rsid w:val="00550B11"/>
    <w:rsid w:val="00550B49"/>
    <w:rsid w:val="00550BB0"/>
    <w:rsid w:val="00550BE4"/>
    <w:rsid w:val="00550C23"/>
    <w:rsid w:val="00550C7D"/>
    <w:rsid w:val="00550CDE"/>
    <w:rsid w:val="00550CF0"/>
    <w:rsid w:val="00550D35"/>
    <w:rsid w:val="00550DFE"/>
    <w:rsid w:val="00550E2E"/>
    <w:rsid w:val="00550E8B"/>
    <w:rsid w:val="00550EDB"/>
    <w:rsid w:val="00550EF5"/>
    <w:rsid w:val="00550F81"/>
    <w:rsid w:val="00551016"/>
    <w:rsid w:val="005510C5"/>
    <w:rsid w:val="00551167"/>
    <w:rsid w:val="005511EB"/>
    <w:rsid w:val="005512B1"/>
    <w:rsid w:val="005512C3"/>
    <w:rsid w:val="005513BE"/>
    <w:rsid w:val="00551543"/>
    <w:rsid w:val="0055159F"/>
    <w:rsid w:val="0055163F"/>
    <w:rsid w:val="005516D9"/>
    <w:rsid w:val="0055174F"/>
    <w:rsid w:val="00551789"/>
    <w:rsid w:val="005519DE"/>
    <w:rsid w:val="00551A80"/>
    <w:rsid w:val="00551A9C"/>
    <w:rsid w:val="00551BAE"/>
    <w:rsid w:val="00551C87"/>
    <w:rsid w:val="00551DE0"/>
    <w:rsid w:val="00551E09"/>
    <w:rsid w:val="00551E23"/>
    <w:rsid w:val="00551EAC"/>
    <w:rsid w:val="00551F34"/>
    <w:rsid w:val="0055206D"/>
    <w:rsid w:val="00552140"/>
    <w:rsid w:val="00552224"/>
    <w:rsid w:val="00552389"/>
    <w:rsid w:val="0055239A"/>
    <w:rsid w:val="005523D2"/>
    <w:rsid w:val="005523ED"/>
    <w:rsid w:val="0055240A"/>
    <w:rsid w:val="00552540"/>
    <w:rsid w:val="0055257B"/>
    <w:rsid w:val="005526FC"/>
    <w:rsid w:val="00552719"/>
    <w:rsid w:val="00552816"/>
    <w:rsid w:val="00552818"/>
    <w:rsid w:val="00552866"/>
    <w:rsid w:val="0055288F"/>
    <w:rsid w:val="0055293B"/>
    <w:rsid w:val="0055298D"/>
    <w:rsid w:val="005529EF"/>
    <w:rsid w:val="00552A6D"/>
    <w:rsid w:val="00552AEA"/>
    <w:rsid w:val="00552BD3"/>
    <w:rsid w:val="00552C93"/>
    <w:rsid w:val="00552CAC"/>
    <w:rsid w:val="00552CAE"/>
    <w:rsid w:val="00552F41"/>
    <w:rsid w:val="00553112"/>
    <w:rsid w:val="00553120"/>
    <w:rsid w:val="0055313C"/>
    <w:rsid w:val="0055323F"/>
    <w:rsid w:val="00553296"/>
    <w:rsid w:val="005532AE"/>
    <w:rsid w:val="0055330C"/>
    <w:rsid w:val="00553367"/>
    <w:rsid w:val="005533C3"/>
    <w:rsid w:val="005533D2"/>
    <w:rsid w:val="00553409"/>
    <w:rsid w:val="00553439"/>
    <w:rsid w:val="005534AC"/>
    <w:rsid w:val="00553587"/>
    <w:rsid w:val="005536B6"/>
    <w:rsid w:val="005536FC"/>
    <w:rsid w:val="00553731"/>
    <w:rsid w:val="00553754"/>
    <w:rsid w:val="005537CF"/>
    <w:rsid w:val="00553804"/>
    <w:rsid w:val="00553808"/>
    <w:rsid w:val="00553832"/>
    <w:rsid w:val="0055386B"/>
    <w:rsid w:val="0055387D"/>
    <w:rsid w:val="005538B6"/>
    <w:rsid w:val="005538DA"/>
    <w:rsid w:val="00553973"/>
    <w:rsid w:val="005539F3"/>
    <w:rsid w:val="00553A17"/>
    <w:rsid w:val="00553A65"/>
    <w:rsid w:val="00553A78"/>
    <w:rsid w:val="00553B06"/>
    <w:rsid w:val="00553B5F"/>
    <w:rsid w:val="00553B9D"/>
    <w:rsid w:val="00553BB9"/>
    <w:rsid w:val="00553C2E"/>
    <w:rsid w:val="00553C9C"/>
    <w:rsid w:val="00553D07"/>
    <w:rsid w:val="00553D47"/>
    <w:rsid w:val="00553D5B"/>
    <w:rsid w:val="00553D98"/>
    <w:rsid w:val="00553D9C"/>
    <w:rsid w:val="00553DCA"/>
    <w:rsid w:val="00553F38"/>
    <w:rsid w:val="00553F68"/>
    <w:rsid w:val="005540EF"/>
    <w:rsid w:val="00554102"/>
    <w:rsid w:val="0055414C"/>
    <w:rsid w:val="0055416B"/>
    <w:rsid w:val="005541A9"/>
    <w:rsid w:val="0055422F"/>
    <w:rsid w:val="005542AD"/>
    <w:rsid w:val="0055431E"/>
    <w:rsid w:val="00554367"/>
    <w:rsid w:val="0055437B"/>
    <w:rsid w:val="005543FF"/>
    <w:rsid w:val="00554523"/>
    <w:rsid w:val="0055453A"/>
    <w:rsid w:val="00554550"/>
    <w:rsid w:val="0055456E"/>
    <w:rsid w:val="005545C3"/>
    <w:rsid w:val="005546B2"/>
    <w:rsid w:val="005546CE"/>
    <w:rsid w:val="00554820"/>
    <w:rsid w:val="005548A7"/>
    <w:rsid w:val="00554937"/>
    <w:rsid w:val="005549E8"/>
    <w:rsid w:val="005549F1"/>
    <w:rsid w:val="00554A1E"/>
    <w:rsid w:val="00554B86"/>
    <w:rsid w:val="00554C74"/>
    <w:rsid w:val="00554C7A"/>
    <w:rsid w:val="00554F4A"/>
    <w:rsid w:val="0055504E"/>
    <w:rsid w:val="0055507B"/>
    <w:rsid w:val="005550B7"/>
    <w:rsid w:val="005551AD"/>
    <w:rsid w:val="005552FD"/>
    <w:rsid w:val="00555307"/>
    <w:rsid w:val="00555375"/>
    <w:rsid w:val="00555677"/>
    <w:rsid w:val="00555787"/>
    <w:rsid w:val="005557BF"/>
    <w:rsid w:val="00555840"/>
    <w:rsid w:val="00555951"/>
    <w:rsid w:val="00555967"/>
    <w:rsid w:val="00555A27"/>
    <w:rsid w:val="00555BAD"/>
    <w:rsid w:val="00555C0B"/>
    <w:rsid w:val="00555C60"/>
    <w:rsid w:val="00555CEC"/>
    <w:rsid w:val="00555D62"/>
    <w:rsid w:val="00555FFE"/>
    <w:rsid w:val="0055600C"/>
    <w:rsid w:val="00556035"/>
    <w:rsid w:val="0055606E"/>
    <w:rsid w:val="0055610A"/>
    <w:rsid w:val="0055626E"/>
    <w:rsid w:val="00556278"/>
    <w:rsid w:val="0055632E"/>
    <w:rsid w:val="00556340"/>
    <w:rsid w:val="005563D1"/>
    <w:rsid w:val="005563ED"/>
    <w:rsid w:val="00556453"/>
    <w:rsid w:val="00556454"/>
    <w:rsid w:val="0055645E"/>
    <w:rsid w:val="005564D9"/>
    <w:rsid w:val="005565AF"/>
    <w:rsid w:val="00556681"/>
    <w:rsid w:val="005566E4"/>
    <w:rsid w:val="00556722"/>
    <w:rsid w:val="00556730"/>
    <w:rsid w:val="00556774"/>
    <w:rsid w:val="00556784"/>
    <w:rsid w:val="005567A3"/>
    <w:rsid w:val="005567CC"/>
    <w:rsid w:val="005568DC"/>
    <w:rsid w:val="0055693E"/>
    <w:rsid w:val="0055695C"/>
    <w:rsid w:val="00556A04"/>
    <w:rsid w:val="00556A82"/>
    <w:rsid w:val="00556B87"/>
    <w:rsid w:val="00556B8F"/>
    <w:rsid w:val="00556BBB"/>
    <w:rsid w:val="00556BE5"/>
    <w:rsid w:val="00556CFD"/>
    <w:rsid w:val="00556D21"/>
    <w:rsid w:val="00556E15"/>
    <w:rsid w:val="00556F79"/>
    <w:rsid w:val="0055701B"/>
    <w:rsid w:val="0055702B"/>
    <w:rsid w:val="0055703A"/>
    <w:rsid w:val="005570E6"/>
    <w:rsid w:val="0055716D"/>
    <w:rsid w:val="00557188"/>
    <w:rsid w:val="005571D6"/>
    <w:rsid w:val="00557208"/>
    <w:rsid w:val="00557223"/>
    <w:rsid w:val="00557240"/>
    <w:rsid w:val="005572D3"/>
    <w:rsid w:val="00557498"/>
    <w:rsid w:val="00557511"/>
    <w:rsid w:val="00557577"/>
    <w:rsid w:val="00557600"/>
    <w:rsid w:val="00557610"/>
    <w:rsid w:val="0055768C"/>
    <w:rsid w:val="005576A4"/>
    <w:rsid w:val="00557794"/>
    <w:rsid w:val="005579EA"/>
    <w:rsid w:val="005579F8"/>
    <w:rsid w:val="00557A16"/>
    <w:rsid w:val="00557A88"/>
    <w:rsid w:val="00557B59"/>
    <w:rsid w:val="00557B8B"/>
    <w:rsid w:val="00557B8C"/>
    <w:rsid w:val="00557BB8"/>
    <w:rsid w:val="00557BC1"/>
    <w:rsid w:val="00557BCE"/>
    <w:rsid w:val="00557C71"/>
    <w:rsid w:val="00557D7A"/>
    <w:rsid w:val="00557DC3"/>
    <w:rsid w:val="00557E1C"/>
    <w:rsid w:val="00557E41"/>
    <w:rsid w:val="00557E6F"/>
    <w:rsid w:val="00557EA9"/>
    <w:rsid w:val="00557F2B"/>
    <w:rsid w:val="00557F4D"/>
    <w:rsid w:val="00557F56"/>
    <w:rsid w:val="00557FA4"/>
    <w:rsid w:val="0056004B"/>
    <w:rsid w:val="00560086"/>
    <w:rsid w:val="00560096"/>
    <w:rsid w:val="005600AB"/>
    <w:rsid w:val="005600E5"/>
    <w:rsid w:val="0056013D"/>
    <w:rsid w:val="00560168"/>
    <w:rsid w:val="005601B0"/>
    <w:rsid w:val="005601BF"/>
    <w:rsid w:val="005601C4"/>
    <w:rsid w:val="00560344"/>
    <w:rsid w:val="0056037F"/>
    <w:rsid w:val="0056043F"/>
    <w:rsid w:val="005604EB"/>
    <w:rsid w:val="00560674"/>
    <w:rsid w:val="0056082A"/>
    <w:rsid w:val="005608CD"/>
    <w:rsid w:val="005608F0"/>
    <w:rsid w:val="00560921"/>
    <w:rsid w:val="00560A8E"/>
    <w:rsid w:val="00560A9A"/>
    <w:rsid w:val="00560B98"/>
    <w:rsid w:val="00560B9E"/>
    <w:rsid w:val="00560C59"/>
    <w:rsid w:val="00560C67"/>
    <w:rsid w:val="00560C8A"/>
    <w:rsid w:val="00560D1A"/>
    <w:rsid w:val="00560D3F"/>
    <w:rsid w:val="00560DB4"/>
    <w:rsid w:val="00560DCF"/>
    <w:rsid w:val="00560E2E"/>
    <w:rsid w:val="00560E95"/>
    <w:rsid w:val="00560ECA"/>
    <w:rsid w:val="0056107B"/>
    <w:rsid w:val="0056109D"/>
    <w:rsid w:val="005610BD"/>
    <w:rsid w:val="00561111"/>
    <w:rsid w:val="00561167"/>
    <w:rsid w:val="0056116C"/>
    <w:rsid w:val="005611A5"/>
    <w:rsid w:val="005611FD"/>
    <w:rsid w:val="005612AB"/>
    <w:rsid w:val="005614C9"/>
    <w:rsid w:val="00561683"/>
    <w:rsid w:val="00561715"/>
    <w:rsid w:val="00561722"/>
    <w:rsid w:val="0056188D"/>
    <w:rsid w:val="005618B7"/>
    <w:rsid w:val="005618B9"/>
    <w:rsid w:val="00561912"/>
    <w:rsid w:val="0056191B"/>
    <w:rsid w:val="005619C3"/>
    <w:rsid w:val="005619D3"/>
    <w:rsid w:val="00561AD3"/>
    <w:rsid w:val="00561AE8"/>
    <w:rsid w:val="00561BD8"/>
    <w:rsid w:val="00561D5D"/>
    <w:rsid w:val="00561DAB"/>
    <w:rsid w:val="00561DD1"/>
    <w:rsid w:val="00561F24"/>
    <w:rsid w:val="00561F32"/>
    <w:rsid w:val="00561F83"/>
    <w:rsid w:val="00561F90"/>
    <w:rsid w:val="005621A6"/>
    <w:rsid w:val="0056222E"/>
    <w:rsid w:val="00562274"/>
    <w:rsid w:val="00562293"/>
    <w:rsid w:val="00562390"/>
    <w:rsid w:val="005623EC"/>
    <w:rsid w:val="005624AE"/>
    <w:rsid w:val="00562521"/>
    <w:rsid w:val="0056253A"/>
    <w:rsid w:val="0056254E"/>
    <w:rsid w:val="00562716"/>
    <w:rsid w:val="00562775"/>
    <w:rsid w:val="0056285E"/>
    <w:rsid w:val="00562874"/>
    <w:rsid w:val="00562880"/>
    <w:rsid w:val="005628EB"/>
    <w:rsid w:val="00562924"/>
    <w:rsid w:val="005629B5"/>
    <w:rsid w:val="00562A08"/>
    <w:rsid w:val="00562ADD"/>
    <w:rsid w:val="00562B14"/>
    <w:rsid w:val="00562B41"/>
    <w:rsid w:val="00562C1F"/>
    <w:rsid w:val="00562CC0"/>
    <w:rsid w:val="00562DEC"/>
    <w:rsid w:val="00562E9C"/>
    <w:rsid w:val="00562EBE"/>
    <w:rsid w:val="00563043"/>
    <w:rsid w:val="005631A3"/>
    <w:rsid w:val="005631A9"/>
    <w:rsid w:val="0056326A"/>
    <w:rsid w:val="005632D0"/>
    <w:rsid w:val="00563309"/>
    <w:rsid w:val="00563345"/>
    <w:rsid w:val="00563417"/>
    <w:rsid w:val="0056344A"/>
    <w:rsid w:val="00563556"/>
    <w:rsid w:val="00563695"/>
    <w:rsid w:val="005636C4"/>
    <w:rsid w:val="0056370C"/>
    <w:rsid w:val="00563710"/>
    <w:rsid w:val="005637AC"/>
    <w:rsid w:val="005637B5"/>
    <w:rsid w:val="005637C7"/>
    <w:rsid w:val="0056380B"/>
    <w:rsid w:val="005638BD"/>
    <w:rsid w:val="0056392D"/>
    <w:rsid w:val="005639B6"/>
    <w:rsid w:val="00563A4E"/>
    <w:rsid w:val="00563A5F"/>
    <w:rsid w:val="00563AB2"/>
    <w:rsid w:val="00563ACF"/>
    <w:rsid w:val="00563AFB"/>
    <w:rsid w:val="00563CE3"/>
    <w:rsid w:val="00563D1C"/>
    <w:rsid w:val="00563D29"/>
    <w:rsid w:val="00563D89"/>
    <w:rsid w:val="00563DA2"/>
    <w:rsid w:val="00563F13"/>
    <w:rsid w:val="00563F24"/>
    <w:rsid w:val="00563FDA"/>
    <w:rsid w:val="0056402F"/>
    <w:rsid w:val="00564090"/>
    <w:rsid w:val="005640B0"/>
    <w:rsid w:val="00564149"/>
    <w:rsid w:val="00564219"/>
    <w:rsid w:val="0056421D"/>
    <w:rsid w:val="00564269"/>
    <w:rsid w:val="00564296"/>
    <w:rsid w:val="005642EB"/>
    <w:rsid w:val="005643E9"/>
    <w:rsid w:val="005643ED"/>
    <w:rsid w:val="005643FC"/>
    <w:rsid w:val="00564494"/>
    <w:rsid w:val="005644CF"/>
    <w:rsid w:val="005644E3"/>
    <w:rsid w:val="00564501"/>
    <w:rsid w:val="00564626"/>
    <w:rsid w:val="0056467B"/>
    <w:rsid w:val="00564706"/>
    <w:rsid w:val="00564791"/>
    <w:rsid w:val="005647CE"/>
    <w:rsid w:val="0056480C"/>
    <w:rsid w:val="00564812"/>
    <w:rsid w:val="00564857"/>
    <w:rsid w:val="005648F0"/>
    <w:rsid w:val="0056495B"/>
    <w:rsid w:val="00564997"/>
    <w:rsid w:val="00564A12"/>
    <w:rsid w:val="00564A15"/>
    <w:rsid w:val="00564B26"/>
    <w:rsid w:val="00564B3B"/>
    <w:rsid w:val="00564B5D"/>
    <w:rsid w:val="00564B95"/>
    <w:rsid w:val="00564BBF"/>
    <w:rsid w:val="00564C07"/>
    <w:rsid w:val="00564C22"/>
    <w:rsid w:val="00564C41"/>
    <w:rsid w:val="00564C49"/>
    <w:rsid w:val="00564CCE"/>
    <w:rsid w:val="00564CE8"/>
    <w:rsid w:val="00564D68"/>
    <w:rsid w:val="00564D94"/>
    <w:rsid w:val="00564DD9"/>
    <w:rsid w:val="00564E45"/>
    <w:rsid w:val="00564E8F"/>
    <w:rsid w:val="00564F6A"/>
    <w:rsid w:val="0056503B"/>
    <w:rsid w:val="00565040"/>
    <w:rsid w:val="0056512E"/>
    <w:rsid w:val="005651B0"/>
    <w:rsid w:val="005651F5"/>
    <w:rsid w:val="00565218"/>
    <w:rsid w:val="00565265"/>
    <w:rsid w:val="0056527F"/>
    <w:rsid w:val="005652B6"/>
    <w:rsid w:val="005653D8"/>
    <w:rsid w:val="00565416"/>
    <w:rsid w:val="00565436"/>
    <w:rsid w:val="005654CA"/>
    <w:rsid w:val="005655C8"/>
    <w:rsid w:val="005656E5"/>
    <w:rsid w:val="00565711"/>
    <w:rsid w:val="005657F8"/>
    <w:rsid w:val="0056580A"/>
    <w:rsid w:val="0056586B"/>
    <w:rsid w:val="00565914"/>
    <w:rsid w:val="00565963"/>
    <w:rsid w:val="005659C3"/>
    <w:rsid w:val="00565B12"/>
    <w:rsid w:val="00565BEF"/>
    <w:rsid w:val="00565C4F"/>
    <w:rsid w:val="00565C8C"/>
    <w:rsid w:val="00565C8E"/>
    <w:rsid w:val="00565CDF"/>
    <w:rsid w:val="00565D21"/>
    <w:rsid w:val="00565D4A"/>
    <w:rsid w:val="00565E1B"/>
    <w:rsid w:val="00565E84"/>
    <w:rsid w:val="00565F23"/>
    <w:rsid w:val="00565F24"/>
    <w:rsid w:val="00565F5F"/>
    <w:rsid w:val="00565F69"/>
    <w:rsid w:val="00566013"/>
    <w:rsid w:val="00566018"/>
    <w:rsid w:val="00566080"/>
    <w:rsid w:val="0056608C"/>
    <w:rsid w:val="0056610D"/>
    <w:rsid w:val="0056615F"/>
    <w:rsid w:val="00566165"/>
    <w:rsid w:val="005661C1"/>
    <w:rsid w:val="00566322"/>
    <w:rsid w:val="005663B4"/>
    <w:rsid w:val="00566437"/>
    <w:rsid w:val="00566590"/>
    <w:rsid w:val="00566604"/>
    <w:rsid w:val="005666EC"/>
    <w:rsid w:val="005667C2"/>
    <w:rsid w:val="005668A7"/>
    <w:rsid w:val="005668F7"/>
    <w:rsid w:val="005669B7"/>
    <w:rsid w:val="00566A2E"/>
    <w:rsid w:val="00566A8E"/>
    <w:rsid w:val="00566AA9"/>
    <w:rsid w:val="00566AB9"/>
    <w:rsid w:val="00566AED"/>
    <w:rsid w:val="00566B8C"/>
    <w:rsid w:val="00566BEC"/>
    <w:rsid w:val="00566C2E"/>
    <w:rsid w:val="00566D27"/>
    <w:rsid w:val="00566D2B"/>
    <w:rsid w:val="00566DA2"/>
    <w:rsid w:val="00566DED"/>
    <w:rsid w:val="00566E9A"/>
    <w:rsid w:val="00566F9A"/>
    <w:rsid w:val="00566FFF"/>
    <w:rsid w:val="00567011"/>
    <w:rsid w:val="0056703B"/>
    <w:rsid w:val="005670A4"/>
    <w:rsid w:val="005670CE"/>
    <w:rsid w:val="00567128"/>
    <w:rsid w:val="005671C2"/>
    <w:rsid w:val="0056721C"/>
    <w:rsid w:val="00567271"/>
    <w:rsid w:val="0056727F"/>
    <w:rsid w:val="00567376"/>
    <w:rsid w:val="005675AD"/>
    <w:rsid w:val="00567613"/>
    <w:rsid w:val="00567632"/>
    <w:rsid w:val="0056767A"/>
    <w:rsid w:val="005676A5"/>
    <w:rsid w:val="00567731"/>
    <w:rsid w:val="00567778"/>
    <w:rsid w:val="005677B8"/>
    <w:rsid w:val="005677F7"/>
    <w:rsid w:val="00567809"/>
    <w:rsid w:val="005679E5"/>
    <w:rsid w:val="00567A8B"/>
    <w:rsid w:val="00567B01"/>
    <w:rsid w:val="00567B18"/>
    <w:rsid w:val="00567BB8"/>
    <w:rsid w:val="00567BF1"/>
    <w:rsid w:val="00567BF2"/>
    <w:rsid w:val="00567CA6"/>
    <w:rsid w:val="00567D29"/>
    <w:rsid w:val="00567D54"/>
    <w:rsid w:val="00567DA9"/>
    <w:rsid w:val="00567E17"/>
    <w:rsid w:val="00567EC7"/>
    <w:rsid w:val="00567F39"/>
    <w:rsid w:val="00567F6F"/>
    <w:rsid w:val="00570145"/>
    <w:rsid w:val="00570150"/>
    <w:rsid w:val="005701E4"/>
    <w:rsid w:val="0057020A"/>
    <w:rsid w:val="0057020E"/>
    <w:rsid w:val="00570254"/>
    <w:rsid w:val="00570342"/>
    <w:rsid w:val="005703D6"/>
    <w:rsid w:val="005703D8"/>
    <w:rsid w:val="00570443"/>
    <w:rsid w:val="005704D5"/>
    <w:rsid w:val="00570506"/>
    <w:rsid w:val="00570524"/>
    <w:rsid w:val="0057063E"/>
    <w:rsid w:val="0057064B"/>
    <w:rsid w:val="0057069E"/>
    <w:rsid w:val="0057078E"/>
    <w:rsid w:val="005707AF"/>
    <w:rsid w:val="00570909"/>
    <w:rsid w:val="0057098D"/>
    <w:rsid w:val="005709B0"/>
    <w:rsid w:val="00570A2E"/>
    <w:rsid w:val="00570A6C"/>
    <w:rsid w:val="00570AF8"/>
    <w:rsid w:val="00570B18"/>
    <w:rsid w:val="00570BC9"/>
    <w:rsid w:val="00570C3F"/>
    <w:rsid w:val="00570CBF"/>
    <w:rsid w:val="00570D65"/>
    <w:rsid w:val="00570DCC"/>
    <w:rsid w:val="00570DCD"/>
    <w:rsid w:val="00570E18"/>
    <w:rsid w:val="00570FE0"/>
    <w:rsid w:val="00570FF7"/>
    <w:rsid w:val="005710DE"/>
    <w:rsid w:val="00571123"/>
    <w:rsid w:val="005711A1"/>
    <w:rsid w:val="005711AF"/>
    <w:rsid w:val="00571323"/>
    <w:rsid w:val="00571403"/>
    <w:rsid w:val="00571418"/>
    <w:rsid w:val="0057145E"/>
    <w:rsid w:val="005714BF"/>
    <w:rsid w:val="005714F5"/>
    <w:rsid w:val="00571557"/>
    <w:rsid w:val="0057161F"/>
    <w:rsid w:val="00571625"/>
    <w:rsid w:val="0057164E"/>
    <w:rsid w:val="00571660"/>
    <w:rsid w:val="0057166C"/>
    <w:rsid w:val="005716AF"/>
    <w:rsid w:val="00571703"/>
    <w:rsid w:val="00571743"/>
    <w:rsid w:val="00571809"/>
    <w:rsid w:val="00571968"/>
    <w:rsid w:val="005719B4"/>
    <w:rsid w:val="005719CB"/>
    <w:rsid w:val="00571A90"/>
    <w:rsid w:val="00571AB9"/>
    <w:rsid w:val="00571B35"/>
    <w:rsid w:val="00571BEB"/>
    <w:rsid w:val="00571BF9"/>
    <w:rsid w:val="00571C4D"/>
    <w:rsid w:val="00571CDE"/>
    <w:rsid w:val="00571CFC"/>
    <w:rsid w:val="00571E03"/>
    <w:rsid w:val="00571E07"/>
    <w:rsid w:val="00571E76"/>
    <w:rsid w:val="00571F86"/>
    <w:rsid w:val="00571FAC"/>
    <w:rsid w:val="00572009"/>
    <w:rsid w:val="00572031"/>
    <w:rsid w:val="00572089"/>
    <w:rsid w:val="00572161"/>
    <w:rsid w:val="0057237E"/>
    <w:rsid w:val="005723D8"/>
    <w:rsid w:val="0057241A"/>
    <w:rsid w:val="00572482"/>
    <w:rsid w:val="005724C1"/>
    <w:rsid w:val="005724F6"/>
    <w:rsid w:val="00572532"/>
    <w:rsid w:val="00572561"/>
    <w:rsid w:val="005725B1"/>
    <w:rsid w:val="005725BB"/>
    <w:rsid w:val="00572626"/>
    <w:rsid w:val="005726F8"/>
    <w:rsid w:val="00572716"/>
    <w:rsid w:val="0057274D"/>
    <w:rsid w:val="00572781"/>
    <w:rsid w:val="00572810"/>
    <w:rsid w:val="00572827"/>
    <w:rsid w:val="005728A4"/>
    <w:rsid w:val="005728C9"/>
    <w:rsid w:val="00572956"/>
    <w:rsid w:val="005729F1"/>
    <w:rsid w:val="00572B58"/>
    <w:rsid w:val="00572BFA"/>
    <w:rsid w:val="00572D27"/>
    <w:rsid w:val="00572D2C"/>
    <w:rsid w:val="00572E1E"/>
    <w:rsid w:val="00572FDB"/>
    <w:rsid w:val="00572FF6"/>
    <w:rsid w:val="00573004"/>
    <w:rsid w:val="0057304D"/>
    <w:rsid w:val="0057304E"/>
    <w:rsid w:val="00573114"/>
    <w:rsid w:val="00573230"/>
    <w:rsid w:val="005732B9"/>
    <w:rsid w:val="005732F1"/>
    <w:rsid w:val="00573339"/>
    <w:rsid w:val="00573480"/>
    <w:rsid w:val="0057349C"/>
    <w:rsid w:val="0057352B"/>
    <w:rsid w:val="00573568"/>
    <w:rsid w:val="005735FB"/>
    <w:rsid w:val="005735FC"/>
    <w:rsid w:val="005736B4"/>
    <w:rsid w:val="00573761"/>
    <w:rsid w:val="00573836"/>
    <w:rsid w:val="005738A3"/>
    <w:rsid w:val="005738D2"/>
    <w:rsid w:val="00573991"/>
    <w:rsid w:val="005739D3"/>
    <w:rsid w:val="005739DF"/>
    <w:rsid w:val="005739E9"/>
    <w:rsid w:val="00573A59"/>
    <w:rsid w:val="00573B2F"/>
    <w:rsid w:val="00573BC2"/>
    <w:rsid w:val="00573C8D"/>
    <w:rsid w:val="00573D8B"/>
    <w:rsid w:val="00573E93"/>
    <w:rsid w:val="00573EE6"/>
    <w:rsid w:val="00573F2C"/>
    <w:rsid w:val="00573F5A"/>
    <w:rsid w:val="00573F71"/>
    <w:rsid w:val="00573F88"/>
    <w:rsid w:val="00573F9C"/>
    <w:rsid w:val="005740E6"/>
    <w:rsid w:val="005740FF"/>
    <w:rsid w:val="00574186"/>
    <w:rsid w:val="005741CD"/>
    <w:rsid w:val="005742B9"/>
    <w:rsid w:val="00574322"/>
    <w:rsid w:val="0057438B"/>
    <w:rsid w:val="0057440A"/>
    <w:rsid w:val="005744CA"/>
    <w:rsid w:val="0057457E"/>
    <w:rsid w:val="0057458D"/>
    <w:rsid w:val="0057459D"/>
    <w:rsid w:val="005745A7"/>
    <w:rsid w:val="005745FC"/>
    <w:rsid w:val="005746CF"/>
    <w:rsid w:val="00574708"/>
    <w:rsid w:val="005747CA"/>
    <w:rsid w:val="00574817"/>
    <w:rsid w:val="00574846"/>
    <w:rsid w:val="00574872"/>
    <w:rsid w:val="005748F8"/>
    <w:rsid w:val="00574A9A"/>
    <w:rsid w:val="00574AE2"/>
    <w:rsid w:val="00574B09"/>
    <w:rsid w:val="00574DC6"/>
    <w:rsid w:val="00574E26"/>
    <w:rsid w:val="00574E78"/>
    <w:rsid w:val="00574EB9"/>
    <w:rsid w:val="00574ECA"/>
    <w:rsid w:val="00574EF9"/>
    <w:rsid w:val="00574F21"/>
    <w:rsid w:val="00574F67"/>
    <w:rsid w:val="00574F85"/>
    <w:rsid w:val="00574FBE"/>
    <w:rsid w:val="00575097"/>
    <w:rsid w:val="005750B5"/>
    <w:rsid w:val="00575156"/>
    <w:rsid w:val="0057516C"/>
    <w:rsid w:val="005751F4"/>
    <w:rsid w:val="00575205"/>
    <w:rsid w:val="0057523A"/>
    <w:rsid w:val="005752ED"/>
    <w:rsid w:val="005753FA"/>
    <w:rsid w:val="00575428"/>
    <w:rsid w:val="00575476"/>
    <w:rsid w:val="005754E5"/>
    <w:rsid w:val="005754FD"/>
    <w:rsid w:val="0057558C"/>
    <w:rsid w:val="005755E5"/>
    <w:rsid w:val="00575605"/>
    <w:rsid w:val="0057574F"/>
    <w:rsid w:val="00575799"/>
    <w:rsid w:val="005757AF"/>
    <w:rsid w:val="0057585A"/>
    <w:rsid w:val="005758A0"/>
    <w:rsid w:val="005758C1"/>
    <w:rsid w:val="005759DD"/>
    <w:rsid w:val="00575A16"/>
    <w:rsid w:val="00575AA5"/>
    <w:rsid w:val="00575AF3"/>
    <w:rsid w:val="00575B24"/>
    <w:rsid w:val="00575B74"/>
    <w:rsid w:val="00575BD3"/>
    <w:rsid w:val="00575D0D"/>
    <w:rsid w:val="00575DEB"/>
    <w:rsid w:val="00575DF3"/>
    <w:rsid w:val="00575E71"/>
    <w:rsid w:val="00575E80"/>
    <w:rsid w:val="00575E81"/>
    <w:rsid w:val="00575EE6"/>
    <w:rsid w:val="00576044"/>
    <w:rsid w:val="005760BE"/>
    <w:rsid w:val="0057629C"/>
    <w:rsid w:val="0057636F"/>
    <w:rsid w:val="005763DE"/>
    <w:rsid w:val="005763FC"/>
    <w:rsid w:val="005764CC"/>
    <w:rsid w:val="00576598"/>
    <w:rsid w:val="00576636"/>
    <w:rsid w:val="00576724"/>
    <w:rsid w:val="00576784"/>
    <w:rsid w:val="005769F5"/>
    <w:rsid w:val="00576A68"/>
    <w:rsid w:val="00576A80"/>
    <w:rsid w:val="00576BE9"/>
    <w:rsid w:val="00576CB8"/>
    <w:rsid w:val="00576CC5"/>
    <w:rsid w:val="00576DCA"/>
    <w:rsid w:val="00576E3C"/>
    <w:rsid w:val="00576E9D"/>
    <w:rsid w:val="00576EB4"/>
    <w:rsid w:val="00576EF4"/>
    <w:rsid w:val="00576F41"/>
    <w:rsid w:val="00576F62"/>
    <w:rsid w:val="00576F73"/>
    <w:rsid w:val="0057708E"/>
    <w:rsid w:val="0057718A"/>
    <w:rsid w:val="005771EA"/>
    <w:rsid w:val="005772BD"/>
    <w:rsid w:val="00577312"/>
    <w:rsid w:val="0057740D"/>
    <w:rsid w:val="00577492"/>
    <w:rsid w:val="00577541"/>
    <w:rsid w:val="005776A3"/>
    <w:rsid w:val="005776B3"/>
    <w:rsid w:val="00577719"/>
    <w:rsid w:val="00577836"/>
    <w:rsid w:val="0057784D"/>
    <w:rsid w:val="005778A5"/>
    <w:rsid w:val="005778E3"/>
    <w:rsid w:val="00577A74"/>
    <w:rsid w:val="00577A9B"/>
    <w:rsid w:val="00577B30"/>
    <w:rsid w:val="00577B67"/>
    <w:rsid w:val="00577BA9"/>
    <w:rsid w:val="00577D19"/>
    <w:rsid w:val="00577D6C"/>
    <w:rsid w:val="00577D97"/>
    <w:rsid w:val="00577DC4"/>
    <w:rsid w:val="00577DF2"/>
    <w:rsid w:val="00577F4C"/>
    <w:rsid w:val="00577FCC"/>
    <w:rsid w:val="0058001E"/>
    <w:rsid w:val="005800D3"/>
    <w:rsid w:val="005800EA"/>
    <w:rsid w:val="00580132"/>
    <w:rsid w:val="0058014F"/>
    <w:rsid w:val="005801B8"/>
    <w:rsid w:val="005801E6"/>
    <w:rsid w:val="0058029A"/>
    <w:rsid w:val="005803FA"/>
    <w:rsid w:val="00580450"/>
    <w:rsid w:val="00580503"/>
    <w:rsid w:val="00580556"/>
    <w:rsid w:val="00580562"/>
    <w:rsid w:val="0058059B"/>
    <w:rsid w:val="005805B8"/>
    <w:rsid w:val="00580607"/>
    <w:rsid w:val="00580626"/>
    <w:rsid w:val="005807AE"/>
    <w:rsid w:val="0058080E"/>
    <w:rsid w:val="0058088D"/>
    <w:rsid w:val="0058094F"/>
    <w:rsid w:val="00580A4E"/>
    <w:rsid w:val="00580ADC"/>
    <w:rsid w:val="00580AE0"/>
    <w:rsid w:val="00580B31"/>
    <w:rsid w:val="00580B5A"/>
    <w:rsid w:val="00580BBD"/>
    <w:rsid w:val="00580C1F"/>
    <w:rsid w:val="00580D23"/>
    <w:rsid w:val="00580E8B"/>
    <w:rsid w:val="00580EA3"/>
    <w:rsid w:val="00580FA5"/>
    <w:rsid w:val="0058105F"/>
    <w:rsid w:val="0058110B"/>
    <w:rsid w:val="005811E2"/>
    <w:rsid w:val="00581376"/>
    <w:rsid w:val="005814B4"/>
    <w:rsid w:val="00581511"/>
    <w:rsid w:val="0058152D"/>
    <w:rsid w:val="005815D0"/>
    <w:rsid w:val="00581663"/>
    <w:rsid w:val="00581666"/>
    <w:rsid w:val="005817A5"/>
    <w:rsid w:val="005817BE"/>
    <w:rsid w:val="0058181C"/>
    <w:rsid w:val="00581901"/>
    <w:rsid w:val="0058190F"/>
    <w:rsid w:val="00581983"/>
    <w:rsid w:val="00581988"/>
    <w:rsid w:val="0058198F"/>
    <w:rsid w:val="00581A03"/>
    <w:rsid w:val="00581A1D"/>
    <w:rsid w:val="00581AB3"/>
    <w:rsid w:val="00581AD0"/>
    <w:rsid w:val="00581AE9"/>
    <w:rsid w:val="00581AF9"/>
    <w:rsid w:val="00581BA7"/>
    <w:rsid w:val="00581C03"/>
    <w:rsid w:val="00581C14"/>
    <w:rsid w:val="00581C2F"/>
    <w:rsid w:val="00581C6A"/>
    <w:rsid w:val="00581CA3"/>
    <w:rsid w:val="00581CA5"/>
    <w:rsid w:val="00581D1A"/>
    <w:rsid w:val="00581D37"/>
    <w:rsid w:val="00581DAA"/>
    <w:rsid w:val="00581EEB"/>
    <w:rsid w:val="00581EEF"/>
    <w:rsid w:val="00581EF9"/>
    <w:rsid w:val="00581FA2"/>
    <w:rsid w:val="00581FBA"/>
    <w:rsid w:val="00582063"/>
    <w:rsid w:val="0058215D"/>
    <w:rsid w:val="00582186"/>
    <w:rsid w:val="005821DF"/>
    <w:rsid w:val="00582212"/>
    <w:rsid w:val="00582216"/>
    <w:rsid w:val="005823A8"/>
    <w:rsid w:val="00582456"/>
    <w:rsid w:val="005824DD"/>
    <w:rsid w:val="005825BC"/>
    <w:rsid w:val="005825DD"/>
    <w:rsid w:val="005825F8"/>
    <w:rsid w:val="00582768"/>
    <w:rsid w:val="00582791"/>
    <w:rsid w:val="005827DD"/>
    <w:rsid w:val="00582842"/>
    <w:rsid w:val="0058287D"/>
    <w:rsid w:val="005828CB"/>
    <w:rsid w:val="005828DC"/>
    <w:rsid w:val="0058298D"/>
    <w:rsid w:val="005829CE"/>
    <w:rsid w:val="005829E8"/>
    <w:rsid w:val="005829EE"/>
    <w:rsid w:val="005829FF"/>
    <w:rsid w:val="00582A27"/>
    <w:rsid w:val="00582A4B"/>
    <w:rsid w:val="00582A95"/>
    <w:rsid w:val="00582ACC"/>
    <w:rsid w:val="00582B74"/>
    <w:rsid w:val="00582B89"/>
    <w:rsid w:val="00582BB8"/>
    <w:rsid w:val="00582C06"/>
    <w:rsid w:val="00582C68"/>
    <w:rsid w:val="00582D3F"/>
    <w:rsid w:val="00582E14"/>
    <w:rsid w:val="00582F3A"/>
    <w:rsid w:val="00582FAD"/>
    <w:rsid w:val="00583004"/>
    <w:rsid w:val="00583013"/>
    <w:rsid w:val="0058303E"/>
    <w:rsid w:val="005830FB"/>
    <w:rsid w:val="005833F0"/>
    <w:rsid w:val="0058342C"/>
    <w:rsid w:val="00583461"/>
    <w:rsid w:val="005834B2"/>
    <w:rsid w:val="005834D3"/>
    <w:rsid w:val="00583555"/>
    <w:rsid w:val="005835CF"/>
    <w:rsid w:val="005835F8"/>
    <w:rsid w:val="00583602"/>
    <w:rsid w:val="00583697"/>
    <w:rsid w:val="005836E6"/>
    <w:rsid w:val="00583888"/>
    <w:rsid w:val="0058389A"/>
    <w:rsid w:val="005838A8"/>
    <w:rsid w:val="005838D8"/>
    <w:rsid w:val="00583921"/>
    <w:rsid w:val="00583955"/>
    <w:rsid w:val="005839A3"/>
    <w:rsid w:val="00583A4C"/>
    <w:rsid w:val="00583A7C"/>
    <w:rsid w:val="00583B51"/>
    <w:rsid w:val="00583B75"/>
    <w:rsid w:val="00583C14"/>
    <w:rsid w:val="00583D06"/>
    <w:rsid w:val="00583D0E"/>
    <w:rsid w:val="00583D5E"/>
    <w:rsid w:val="00583E6E"/>
    <w:rsid w:val="00583F48"/>
    <w:rsid w:val="00583FA9"/>
    <w:rsid w:val="0058404C"/>
    <w:rsid w:val="005841E1"/>
    <w:rsid w:val="0058421F"/>
    <w:rsid w:val="00584232"/>
    <w:rsid w:val="00584264"/>
    <w:rsid w:val="005842B1"/>
    <w:rsid w:val="0058439B"/>
    <w:rsid w:val="0058443D"/>
    <w:rsid w:val="00584456"/>
    <w:rsid w:val="005844BC"/>
    <w:rsid w:val="005844C8"/>
    <w:rsid w:val="005845B7"/>
    <w:rsid w:val="00584606"/>
    <w:rsid w:val="005846B2"/>
    <w:rsid w:val="005847AC"/>
    <w:rsid w:val="00584821"/>
    <w:rsid w:val="005849A5"/>
    <w:rsid w:val="005849A8"/>
    <w:rsid w:val="005849B6"/>
    <w:rsid w:val="00584AC8"/>
    <w:rsid w:val="00584AE5"/>
    <w:rsid w:val="00584AEB"/>
    <w:rsid w:val="00584B66"/>
    <w:rsid w:val="00584B9C"/>
    <w:rsid w:val="00584BC6"/>
    <w:rsid w:val="00584BCC"/>
    <w:rsid w:val="00584BFF"/>
    <w:rsid w:val="00584D02"/>
    <w:rsid w:val="00584D25"/>
    <w:rsid w:val="00584D7B"/>
    <w:rsid w:val="00584D99"/>
    <w:rsid w:val="00584DDD"/>
    <w:rsid w:val="00584F1B"/>
    <w:rsid w:val="00584F23"/>
    <w:rsid w:val="00584F39"/>
    <w:rsid w:val="00584FC6"/>
    <w:rsid w:val="00584FE9"/>
    <w:rsid w:val="0058508A"/>
    <w:rsid w:val="005850B0"/>
    <w:rsid w:val="0058524D"/>
    <w:rsid w:val="00585256"/>
    <w:rsid w:val="0058527A"/>
    <w:rsid w:val="00585313"/>
    <w:rsid w:val="0058533E"/>
    <w:rsid w:val="00585397"/>
    <w:rsid w:val="005854EA"/>
    <w:rsid w:val="00585566"/>
    <w:rsid w:val="00585581"/>
    <w:rsid w:val="005855E7"/>
    <w:rsid w:val="0058560A"/>
    <w:rsid w:val="005856A4"/>
    <w:rsid w:val="005856A8"/>
    <w:rsid w:val="005857A3"/>
    <w:rsid w:val="005857CF"/>
    <w:rsid w:val="00585819"/>
    <w:rsid w:val="0058581E"/>
    <w:rsid w:val="0058584F"/>
    <w:rsid w:val="0058586F"/>
    <w:rsid w:val="00585879"/>
    <w:rsid w:val="005858D1"/>
    <w:rsid w:val="00585A08"/>
    <w:rsid w:val="00585AAC"/>
    <w:rsid w:val="00585AF3"/>
    <w:rsid w:val="00585B60"/>
    <w:rsid w:val="00585B66"/>
    <w:rsid w:val="00585C87"/>
    <w:rsid w:val="00585CAE"/>
    <w:rsid w:val="00585D1D"/>
    <w:rsid w:val="00585D40"/>
    <w:rsid w:val="00585EEF"/>
    <w:rsid w:val="00585F86"/>
    <w:rsid w:val="0058614C"/>
    <w:rsid w:val="0058615A"/>
    <w:rsid w:val="00586349"/>
    <w:rsid w:val="00586363"/>
    <w:rsid w:val="005863F1"/>
    <w:rsid w:val="0058644F"/>
    <w:rsid w:val="00586518"/>
    <w:rsid w:val="005865DD"/>
    <w:rsid w:val="0058664B"/>
    <w:rsid w:val="00586776"/>
    <w:rsid w:val="005867BA"/>
    <w:rsid w:val="005867F1"/>
    <w:rsid w:val="00586949"/>
    <w:rsid w:val="0058698A"/>
    <w:rsid w:val="005869DB"/>
    <w:rsid w:val="00586AC1"/>
    <w:rsid w:val="00586B65"/>
    <w:rsid w:val="00586BB9"/>
    <w:rsid w:val="00586BF5"/>
    <w:rsid w:val="00586CC0"/>
    <w:rsid w:val="00586CC5"/>
    <w:rsid w:val="00586D5B"/>
    <w:rsid w:val="00586EA6"/>
    <w:rsid w:val="00586EAE"/>
    <w:rsid w:val="00586EEB"/>
    <w:rsid w:val="00586F95"/>
    <w:rsid w:val="005870AD"/>
    <w:rsid w:val="00587151"/>
    <w:rsid w:val="00587158"/>
    <w:rsid w:val="00587164"/>
    <w:rsid w:val="005871C6"/>
    <w:rsid w:val="0058723E"/>
    <w:rsid w:val="00587283"/>
    <w:rsid w:val="00587355"/>
    <w:rsid w:val="005873AC"/>
    <w:rsid w:val="005874C8"/>
    <w:rsid w:val="005874EC"/>
    <w:rsid w:val="005875CF"/>
    <w:rsid w:val="005879C7"/>
    <w:rsid w:val="00587A57"/>
    <w:rsid w:val="00587B8C"/>
    <w:rsid w:val="00587C0D"/>
    <w:rsid w:val="00587D90"/>
    <w:rsid w:val="00587DED"/>
    <w:rsid w:val="00587E59"/>
    <w:rsid w:val="00587E97"/>
    <w:rsid w:val="00587F17"/>
    <w:rsid w:val="0059003B"/>
    <w:rsid w:val="0059007F"/>
    <w:rsid w:val="005900AF"/>
    <w:rsid w:val="00590168"/>
    <w:rsid w:val="0059016C"/>
    <w:rsid w:val="0059023F"/>
    <w:rsid w:val="005902CE"/>
    <w:rsid w:val="005902F6"/>
    <w:rsid w:val="00590388"/>
    <w:rsid w:val="0059048C"/>
    <w:rsid w:val="005904E7"/>
    <w:rsid w:val="00590519"/>
    <w:rsid w:val="0059055F"/>
    <w:rsid w:val="00590591"/>
    <w:rsid w:val="00590625"/>
    <w:rsid w:val="0059062A"/>
    <w:rsid w:val="005906B6"/>
    <w:rsid w:val="005906C8"/>
    <w:rsid w:val="005906CF"/>
    <w:rsid w:val="00590730"/>
    <w:rsid w:val="0059075A"/>
    <w:rsid w:val="005907C6"/>
    <w:rsid w:val="00590855"/>
    <w:rsid w:val="00590898"/>
    <w:rsid w:val="005908B2"/>
    <w:rsid w:val="00590951"/>
    <w:rsid w:val="005909C8"/>
    <w:rsid w:val="00590A27"/>
    <w:rsid w:val="00590A84"/>
    <w:rsid w:val="00590B07"/>
    <w:rsid w:val="00590B71"/>
    <w:rsid w:val="00590B92"/>
    <w:rsid w:val="00590BE3"/>
    <w:rsid w:val="00590C02"/>
    <w:rsid w:val="00590C3A"/>
    <w:rsid w:val="00590C9F"/>
    <w:rsid w:val="00590DBE"/>
    <w:rsid w:val="00590DCC"/>
    <w:rsid w:val="00590DE5"/>
    <w:rsid w:val="00590E2A"/>
    <w:rsid w:val="00590E66"/>
    <w:rsid w:val="00590E8E"/>
    <w:rsid w:val="00590EA6"/>
    <w:rsid w:val="00590FC2"/>
    <w:rsid w:val="00590FD2"/>
    <w:rsid w:val="00591001"/>
    <w:rsid w:val="005910CC"/>
    <w:rsid w:val="0059114D"/>
    <w:rsid w:val="005911A3"/>
    <w:rsid w:val="005911D2"/>
    <w:rsid w:val="00591212"/>
    <w:rsid w:val="00591214"/>
    <w:rsid w:val="0059128D"/>
    <w:rsid w:val="0059137B"/>
    <w:rsid w:val="0059151F"/>
    <w:rsid w:val="005915DC"/>
    <w:rsid w:val="005915F7"/>
    <w:rsid w:val="0059165D"/>
    <w:rsid w:val="005917BE"/>
    <w:rsid w:val="0059183D"/>
    <w:rsid w:val="00591940"/>
    <w:rsid w:val="005919E0"/>
    <w:rsid w:val="005919ED"/>
    <w:rsid w:val="00591A9F"/>
    <w:rsid w:val="00591AB7"/>
    <w:rsid w:val="00591B31"/>
    <w:rsid w:val="00591BD0"/>
    <w:rsid w:val="00591C1A"/>
    <w:rsid w:val="00591C47"/>
    <w:rsid w:val="00591CBB"/>
    <w:rsid w:val="00591D00"/>
    <w:rsid w:val="00591E69"/>
    <w:rsid w:val="00591EC6"/>
    <w:rsid w:val="00591EDC"/>
    <w:rsid w:val="00591F70"/>
    <w:rsid w:val="00591F83"/>
    <w:rsid w:val="00592085"/>
    <w:rsid w:val="005920F5"/>
    <w:rsid w:val="005920F6"/>
    <w:rsid w:val="00592144"/>
    <w:rsid w:val="005921BB"/>
    <w:rsid w:val="005921BE"/>
    <w:rsid w:val="005921F1"/>
    <w:rsid w:val="005921F9"/>
    <w:rsid w:val="0059229F"/>
    <w:rsid w:val="0059235F"/>
    <w:rsid w:val="00592412"/>
    <w:rsid w:val="00592488"/>
    <w:rsid w:val="005924CF"/>
    <w:rsid w:val="00592579"/>
    <w:rsid w:val="00592683"/>
    <w:rsid w:val="00592695"/>
    <w:rsid w:val="005926DF"/>
    <w:rsid w:val="005927DB"/>
    <w:rsid w:val="00592827"/>
    <w:rsid w:val="00592973"/>
    <w:rsid w:val="00592982"/>
    <w:rsid w:val="005929A4"/>
    <w:rsid w:val="005929BB"/>
    <w:rsid w:val="005929CA"/>
    <w:rsid w:val="00592AD9"/>
    <w:rsid w:val="00592AF2"/>
    <w:rsid w:val="00592B30"/>
    <w:rsid w:val="00592BD2"/>
    <w:rsid w:val="00592C0F"/>
    <w:rsid w:val="00592C1B"/>
    <w:rsid w:val="00592CDB"/>
    <w:rsid w:val="00592D13"/>
    <w:rsid w:val="00592E39"/>
    <w:rsid w:val="00592F0F"/>
    <w:rsid w:val="00592F11"/>
    <w:rsid w:val="00592F39"/>
    <w:rsid w:val="00592F4A"/>
    <w:rsid w:val="005931E2"/>
    <w:rsid w:val="005931F4"/>
    <w:rsid w:val="005932DE"/>
    <w:rsid w:val="00593375"/>
    <w:rsid w:val="0059343E"/>
    <w:rsid w:val="00593459"/>
    <w:rsid w:val="00593478"/>
    <w:rsid w:val="005934E6"/>
    <w:rsid w:val="0059354F"/>
    <w:rsid w:val="005935AC"/>
    <w:rsid w:val="005935D1"/>
    <w:rsid w:val="00593662"/>
    <w:rsid w:val="0059378F"/>
    <w:rsid w:val="0059380E"/>
    <w:rsid w:val="0059380F"/>
    <w:rsid w:val="0059382E"/>
    <w:rsid w:val="005938E2"/>
    <w:rsid w:val="0059390D"/>
    <w:rsid w:val="0059390F"/>
    <w:rsid w:val="00593995"/>
    <w:rsid w:val="005939AC"/>
    <w:rsid w:val="005939CB"/>
    <w:rsid w:val="00593A92"/>
    <w:rsid w:val="00593ABB"/>
    <w:rsid w:val="00593CD1"/>
    <w:rsid w:val="00593D99"/>
    <w:rsid w:val="00593EE7"/>
    <w:rsid w:val="00593EFD"/>
    <w:rsid w:val="00593F0E"/>
    <w:rsid w:val="00593F54"/>
    <w:rsid w:val="00594003"/>
    <w:rsid w:val="0059409B"/>
    <w:rsid w:val="005940A0"/>
    <w:rsid w:val="005940B4"/>
    <w:rsid w:val="0059412A"/>
    <w:rsid w:val="0059415F"/>
    <w:rsid w:val="005941A6"/>
    <w:rsid w:val="005941C6"/>
    <w:rsid w:val="005941C8"/>
    <w:rsid w:val="00594295"/>
    <w:rsid w:val="005942B3"/>
    <w:rsid w:val="005942BF"/>
    <w:rsid w:val="005942ED"/>
    <w:rsid w:val="00594366"/>
    <w:rsid w:val="00594369"/>
    <w:rsid w:val="00594378"/>
    <w:rsid w:val="00594472"/>
    <w:rsid w:val="00594546"/>
    <w:rsid w:val="005945C3"/>
    <w:rsid w:val="005945D8"/>
    <w:rsid w:val="005945F1"/>
    <w:rsid w:val="0059466F"/>
    <w:rsid w:val="00594673"/>
    <w:rsid w:val="00594678"/>
    <w:rsid w:val="0059483D"/>
    <w:rsid w:val="0059484F"/>
    <w:rsid w:val="0059485E"/>
    <w:rsid w:val="00594871"/>
    <w:rsid w:val="00594905"/>
    <w:rsid w:val="0059491F"/>
    <w:rsid w:val="00594931"/>
    <w:rsid w:val="00594954"/>
    <w:rsid w:val="0059496B"/>
    <w:rsid w:val="0059496D"/>
    <w:rsid w:val="00594A34"/>
    <w:rsid w:val="00594AC9"/>
    <w:rsid w:val="00594AF8"/>
    <w:rsid w:val="00594B0B"/>
    <w:rsid w:val="00594B8C"/>
    <w:rsid w:val="00594C3B"/>
    <w:rsid w:val="00594C9F"/>
    <w:rsid w:val="00594CFA"/>
    <w:rsid w:val="00594DB7"/>
    <w:rsid w:val="00594FE6"/>
    <w:rsid w:val="005950B3"/>
    <w:rsid w:val="005950C3"/>
    <w:rsid w:val="005950D3"/>
    <w:rsid w:val="005951BB"/>
    <w:rsid w:val="005952B1"/>
    <w:rsid w:val="00595311"/>
    <w:rsid w:val="00595371"/>
    <w:rsid w:val="005953B4"/>
    <w:rsid w:val="00595486"/>
    <w:rsid w:val="005954CB"/>
    <w:rsid w:val="00595635"/>
    <w:rsid w:val="0059564A"/>
    <w:rsid w:val="0059569E"/>
    <w:rsid w:val="005956D4"/>
    <w:rsid w:val="005956FA"/>
    <w:rsid w:val="00595781"/>
    <w:rsid w:val="005957D9"/>
    <w:rsid w:val="005958E8"/>
    <w:rsid w:val="00595982"/>
    <w:rsid w:val="005959CC"/>
    <w:rsid w:val="00595A4F"/>
    <w:rsid w:val="00595ADB"/>
    <w:rsid w:val="00595B2D"/>
    <w:rsid w:val="00595B47"/>
    <w:rsid w:val="00595BBE"/>
    <w:rsid w:val="00595BEE"/>
    <w:rsid w:val="00595BFF"/>
    <w:rsid w:val="00595C09"/>
    <w:rsid w:val="00595CDD"/>
    <w:rsid w:val="00595D50"/>
    <w:rsid w:val="00595DA7"/>
    <w:rsid w:val="00595EA3"/>
    <w:rsid w:val="00595F3F"/>
    <w:rsid w:val="005960A1"/>
    <w:rsid w:val="005960B4"/>
    <w:rsid w:val="005960C5"/>
    <w:rsid w:val="00596124"/>
    <w:rsid w:val="00596165"/>
    <w:rsid w:val="005961DA"/>
    <w:rsid w:val="00596248"/>
    <w:rsid w:val="005962BA"/>
    <w:rsid w:val="0059635C"/>
    <w:rsid w:val="00596390"/>
    <w:rsid w:val="005963A4"/>
    <w:rsid w:val="005963D9"/>
    <w:rsid w:val="0059646D"/>
    <w:rsid w:val="005964BE"/>
    <w:rsid w:val="005964C2"/>
    <w:rsid w:val="005964CE"/>
    <w:rsid w:val="0059660B"/>
    <w:rsid w:val="0059661B"/>
    <w:rsid w:val="00596649"/>
    <w:rsid w:val="00596668"/>
    <w:rsid w:val="005966A3"/>
    <w:rsid w:val="0059678A"/>
    <w:rsid w:val="00596811"/>
    <w:rsid w:val="005968CE"/>
    <w:rsid w:val="005968F5"/>
    <w:rsid w:val="00596935"/>
    <w:rsid w:val="00596955"/>
    <w:rsid w:val="00596A3E"/>
    <w:rsid w:val="00596C7F"/>
    <w:rsid w:val="00596D4A"/>
    <w:rsid w:val="00596E44"/>
    <w:rsid w:val="00596F2D"/>
    <w:rsid w:val="00596FE2"/>
    <w:rsid w:val="00597042"/>
    <w:rsid w:val="00597118"/>
    <w:rsid w:val="00597174"/>
    <w:rsid w:val="0059727D"/>
    <w:rsid w:val="005972C2"/>
    <w:rsid w:val="005972CE"/>
    <w:rsid w:val="005972CF"/>
    <w:rsid w:val="0059733F"/>
    <w:rsid w:val="005973A4"/>
    <w:rsid w:val="00597532"/>
    <w:rsid w:val="00597600"/>
    <w:rsid w:val="0059761B"/>
    <w:rsid w:val="0059763E"/>
    <w:rsid w:val="00597657"/>
    <w:rsid w:val="00597902"/>
    <w:rsid w:val="0059797D"/>
    <w:rsid w:val="005979B1"/>
    <w:rsid w:val="00597AB1"/>
    <w:rsid w:val="00597B78"/>
    <w:rsid w:val="00597C64"/>
    <w:rsid w:val="00597C8B"/>
    <w:rsid w:val="00597DA1"/>
    <w:rsid w:val="00597E5E"/>
    <w:rsid w:val="00597ED1"/>
    <w:rsid w:val="00597F1F"/>
    <w:rsid w:val="00597F6F"/>
    <w:rsid w:val="00597FD7"/>
    <w:rsid w:val="00597FE4"/>
    <w:rsid w:val="005A0054"/>
    <w:rsid w:val="005A0057"/>
    <w:rsid w:val="005A0075"/>
    <w:rsid w:val="005A00F6"/>
    <w:rsid w:val="005A0110"/>
    <w:rsid w:val="005A0195"/>
    <w:rsid w:val="005A0231"/>
    <w:rsid w:val="005A02AE"/>
    <w:rsid w:val="005A02BD"/>
    <w:rsid w:val="005A02D8"/>
    <w:rsid w:val="005A031F"/>
    <w:rsid w:val="005A034D"/>
    <w:rsid w:val="005A03E5"/>
    <w:rsid w:val="005A03F0"/>
    <w:rsid w:val="005A0427"/>
    <w:rsid w:val="005A0429"/>
    <w:rsid w:val="005A04DC"/>
    <w:rsid w:val="005A056D"/>
    <w:rsid w:val="005A0581"/>
    <w:rsid w:val="005A060F"/>
    <w:rsid w:val="005A062B"/>
    <w:rsid w:val="005A081E"/>
    <w:rsid w:val="005A08E3"/>
    <w:rsid w:val="005A0903"/>
    <w:rsid w:val="005A0945"/>
    <w:rsid w:val="005A098E"/>
    <w:rsid w:val="005A0A8F"/>
    <w:rsid w:val="005A0BA1"/>
    <w:rsid w:val="005A0C41"/>
    <w:rsid w:val="005A0C99"/>
    <w:rsid w:val="005A0CE7"/>
    <w:rsid w:val="005A0CFA"/>
    <w:rsid w:val="005A0D4E"/>
    <w:rsid w:val="005A0DDE"/>
    <w:rsid w:val="005A0E2A"/>
    <w:rsid w:val="005A0E96"/>
    <w:rsid w:val="005A0EF1"/>
    <w:rsid w:val="005A0F93"/>
    <w:rsid w:val="005A0FB1"/>
    <w:rsid w:val="005A0FB3"/>
    <w:rsid w:val="005A10FA"/>
    <w:rsid w:val="005A1119"/>
    <w:rsid w:val="005A1166"/>
    <w:rsid w:val="005A11ED"/>
    <w:rsid w:val="005A1230"/>
    <w:rsid w:val="005A12C7"/>
    <w:rsid w:val="005A1357"/>
    <w:rsid w:val="005A13E5"/>
    <w:rsid w:val="005A13E8"/>
    <w:rsid w:val="005A1403"/>
    <w:rsid w:val="005A1476"/>
    <w:rsid w:val="005A1568"/>
    <w:rsid w:val="005A15ED"/>
    <w:rsid w:val="005A1620"/>
    <w:rsid w:val="005A16E5"/>
    <w:rsid w:val="005A170A"/>
    <w:rsid w:val="005A1779"/>
    <w:rsid w:val="005A17AA"/>
    <w:rsid w:val="005A17B2"/>
    <w:rsid w:val="005A17BD"/>
    <w:rsid w:val="005A17D7"/>
    <w:rsid w:val="005A18D6"/>
    <w:rsid w:val="005A1AB6"/>
    <w:rsid w:val="005A1B22"/>
    <w:rsid w:val="005A1B44"/>
    <w:rsid w:val="005A1B70"/>
    <w:rsid w:val="005A1B91"/>
    <w:rsid w:val="005A1BCB"/>
    <w:rsid w:val="005A1BF3"/>
    <w:rsid w:val="005A1C14"/>
    <w:rsid w:val="005A1C34"/>
    <w:rsid w:val="005A1CAB"/>
    <w:rsid w:val="005A1D5E"/>
    <w:rsid w:val="005A1DF8"/>
    <w:rsid w:val="005A1E34"/>
    <w:rsid w:val="005A1E3D"/>
    <w:rsid w:val="005A1F23"/>
    <w:rsid w:val="005A1F5F"/>
    <w:rsid w:val="005A1F89"/>
    <w:rsid w:val="005A1FA3"/>
    <w:rsid w:val="005A1FD9"/>
    <w:rsid w:val="005A2142"/>
    <w:rsid w:val="005A22EF"/>
    <w:rsid w:val="005A22F0"/>
    <w:rsid w:val="005A236C"/>
    <w:rsid w:val="005A2386"/>
    <w:rsid w:val="005A23D5"/>
    <w:rsid w:val="005A23F1"/>
    <w:rsid w:val="005A24F1"/>
    <w:rsid w:val="005A2529"/>
    <w:rsid w:val="005A265F"/>
    <w:rsid w:val="005A2691"/>
    <w:rsid w:val="005A26BF"/>
    <w:rsid w:val="005A272D"/>
    <w:rsid w:val="005A2754"/>
    <w:rsid w:val="005A2815"/>
    <w:rsid w:val="005A2833"/>
    <w:rsid w:val="005A285F"/>
    <w:rsid w:val="005A288E"/>
    <w:rsid w:val="005A28B1"/>
    <w:rsid w:val="005A2932"/>
    <w:rsid w:val="005A29CC"/>
    <w:rsid w:val="005A29E2"/>
    <w:rsid w:val="005A29F1"/>
    <w:rsid w:val="005A2A9A"/>
    <w:rsid w:val="005A2C06"/>
    <w:rsid w:val="005A2C54"/>
    <w:rsid w:val="005A2C72"/>
    <w:rsid w:val="005A2D02"/>
    <w:rsid w:val="005A2D37"/>
    <w:rsid w:val="005A2E0E"/>
    <w:rsid w:val="005A2EA3"/>
    <w:rsid w:val="005A2EBD"/>
    <w:rsid w:val="005A3043"/>
    <w:rsid w:val="005A3051"/>
    <w:rsid w:val="005A3084"/>
    <w:rsid w:val="005A30DA"/>
    <w:rsid w:val="005A3115"/>
    <w:rsid w:val="005A3138"/>
    <w:rsid w:val="005A31DF"/>
    <w:rsid w:val="005A3268"/>
    <w:rsid w:val="005A328A"/>
    <w:rsid w:val="005A32A6"/>
    <w:rsid w:val="005A338D"/>
    <w:rsid w:val="005A33D8"/>
    <w:rsid w:val="005A34DE"/>
    <w:rsid w:val="005A350D"/>
    <w:rsid w:val="005A353E"/>
    <w:rsid w:val="005A3550"/>
    <w:rsid w:val="005A35C2"/>
    <w:rsid w:val="005A3603"/>
    <w:rsid w:val="005A3632"/>
    <w:rsid w:val="005A3696"/>
    <w:rsid w:val="005A36C7"/>
    <w:rsid w:val="005A3716"/>
    <w:rsid w:val="005A39E0"/>
    <w:rsid w:val="005A3A21"/>
    <w:rsid w:val="005A3B82"/>
    <w:rsid w:val="005A3C8B"/>
    <w:rsid w:val="005A3CC2"/>
    <w:rsid w:val="005A3D9F"/>
    <w:rsid w:val="005A3F1F"/>
    <w:rsid w:val="005A3FCC"/>
    <w:rsid w:val="005A3FFE"/>
    <w:rsid w:val="005A401F"/>
    <w:rsid w:val="005A4053"/>
    <w:rsid w:val="005A405E"/>
    <w:rsid w:val="005A4103"/>
    <w:rsid w:val="005A41B5"/>
    <w:rsid w:val="005A426A"/>
    <w:rsid w:val="005A43AC"/>
    <w:rsid w:val="005A43B5"/>
    <w:rsid w:val="005A4540"/>
    <w:rsid w:val="005A458B"/>
    <w:rsid w:val="005A45B9"/>
    <w:rsid w:val="005A4630"/>
    <w:rsid w:val="005A471A"/>
    <w:rsid w:val="005A480C"/>
    <w:rsid w:val="005A48F1"/>
    <w:rsid w:val="005A4A87"/>
    <w:rsid w:val="005A4ACF"/>
    <w:rsid w:val="005A4AD2"/>
    <w:rsid w:val="005A4B2E"/>
    <w:rsid w:val="005A4DB9"/>
    <w:rsid w:val="005A4DEE"/>
    <w:rsid w:val="005A4E50"/>
    <w:rsid w:val="005A4F1C"/>
    <w:rsid w:val="005A4F95"/>
    <w:rsid w:val="005A5034"/>
    <w:rsid w:val="005A50BB"/>
    <w:rsid w:val="005A5114"/>
    <w:rsid w:val="005A512F"/>
    <w:rsid w:val="005A5132"/>
    <w:rsid w:val="005A515C"/>
    <w:rsid w:val="005A518B"/>
    <w:rsid w:val="005A5305"/>
    <w:rsid w:val="005A5354"/>
    <w:rsid w:val="005A53D8"/>
    <w:rsid w:val="005A53F4"/>
    <w:rsid w:val="005A53FE"/>
    <w:rsid w:val="005A5454"/>
    <w:rsid w:val="005A54BE"/>
    <w:rsid w:val="005A54D8"/>
    <w:rsid w:val="005A5548"/>
    <w:rsid w:val="005A5672"/>
    <w:rsid w:val="005A5696"/>
    <w:rsid w:val="005A5809"/>
    <w:rsid w:val="005A5852"/>
    <w:rsid w:val="005A5860"/>
    <w:rsid w:val="005A58E7"/>
    <w:rsid w:val="005A5920"/>
    <w:rsid w:val="005A5AA6"/>
    <w:rsid w:val="005A5B53"/>
    <w:rsid w:val="005A5BB8"/>
    <w:rsid w:val="005A5C02"/>
    <w:rsid w:val="005A5DD4"/>
    <w:rsid w:val="005A5DFA"/>
    <w:rsid w:val="005A5E7C"/>
    <w:rsid w:val="005A5EBF"/>
    <w:rsid w:val="005A5EC0"/>
    <w:rsid w:val="005A5F64"/>
    <w:rsid w:val="005A5F9D"/>
    <w:rsid w:val="005A6015"/>
    <w:rsid w:val="005A612B"/>
    <w:rsid w:val="005A6150"/>
    <w:rsid w:val="005A618D"/>
    <w:rsid w:val="005A6191"/>
    <w:rsid w:val="005A61BE"/>
    <w:rsid w:val="005A625C"/>
    <w:rsid w:val="005A6281"/>
    <w:rsid w:val="005A6301"/>
    <w:rsid w:val="005A632B"/>
    <w:rsid w:val="005A634B"/>
    <w:rsid w:val="005A63C9"/>
    <w:rsid w:val="005A6458"/>
    <w:rsid w:val="005A6526"/>
    <w:rsid w:val="005A65B8"/>
    <w:rsid w:val="005A6757"/>
    <w:rsid w:val="005A6761"/>
    <w:rsid w:val="005A6831"/>
    <w:rsid w:val="005A6946"/>
    <w:rsid w:val="005A698C"/>
    <w:rsid w:val="005A69E0"/>
    <w:rsid w:val="005A69F4"/>
    <w:rsid w:val="005A69F5"/>
    <w:rsid w:val="005A6A1A"/>
    <w:rsid w:val="005A6A1F"/>
    <w:rsid w:val="005A6A41"/>
    <w:rsid w:val="005A6A5B"/>
    <w:rsid w:val="005A6A9B"/>
    <w:rsid w:val="005A6AE1"/>
    <w:rsid w:val="005A6AF5"/>
    <w:rsid w:val="005A6B3E"/>
    <w:rsid w:val="005A6BC1"/>
    <w:rsid w:val="005A6BE9"/>
    <w:rsid w:val="005A6C00"/>
    <w:rsid w:val="005A6C38"/>
    <w:rsid w:val="005A6C40"/>
    <w:rsid w:val="005A6D28"/>
    <w:rsid w:val="005A6D8C"/>
    <w:rsid w:val="005A6DA4"/>
    <w:rsid w:val="005A6DFC"/>
    <w:rsid w:val="005A6E11"/>
    <w:rsid w:val="005A6E22"/>
    <w:rsid w:val="005A6E7F"/>
    <w:rsid w:val="005A6F07"/>
    <w:rsid w:val="005A6F7D"/>
    <w:rsid w:val="005A6FCD"/>
    <w:rsid w:val="005A704F"/>
    <w:rsid w:val="005A7088"/>
    <w:rsid w:val="005A70AB"/>
    <w:rsid w:val="005A712B"/>
    <w:rsid w:val="005A723F"/>
    <w:rsid w:val="005A724C"/>
    <w:rsid w:val="005A731B"/>
    <w:rsid w:val="005A7384"/>
    <w:rsid w:val="005A73BE"/>
    <w:rsid w:val="005A742C"/>
    <w:rsid w:val="005A74C7"/>
    <w:rsid w:val="005A7538"/>
    <w:rsid w:val="005A75FC"/>
    <w:rsid w:val="005A7632"/>
    <w:rsid w:val="005A765D"/>
    <w:rsid w:val="005A766F"/>
    <w:rsid w:val="005A768B"/>
    <w:rsid w:val="005A76C6"/>
    <w:rsid w:val="005A772F"/>
    <w:rsid w:val="005A7810"/>
    <w:rsid w:val="005A79FC"/>
    <w:rsid w:val="005A7AF8"/>
    <w:rsid w:val="005A7BCC"/>
    <w:rsid w:val="005A7C7E"/>
    <w:rsid w:val="005A7CAC"/>
    <w:rsid w:val="005A7CBD"/>
    <w:rsid w:val="005A7CE3"/>
    <w:rsid w:val="005A7D13"/>
    <w:rsid w:val="005A7D20"/>
    <w:rsid w:val="005A7D63"/>
    <w:rsid w:val="005A7DAF"/>
    <w:rsid w:val="005A7DE0"/>
    <w:rsid w:val="005A7E87"/>
    <w:rsid w:val="005A7FAE"/>
    <w:rsid w:val="005A7FBA"/>
    <w:rsid w:val="005A7FD0"/>
    <w:rsid w:val="005A7FF6"/>
    <w:rsid w:val="005B007E"/>
    <w:rsid w:val="005B00CB"/>
    <w:rsid w:val="005B0124"/>
    <w:rsid w:val="005B0139"/>
    <w:rsid w:val="005B0226"/>
    <w:rsid w:val="005B02E9"/>
    <w:rsid w:val="005B02EA"/>
    <w:rsid w:val="005B0317"/>
    <w:rsid w:val="005B03AD"/>
    <w:rsid w:val="005B03B6"/>
    <w:rsid w:val="005B0443"/>
    <w:rsid w:val="005B0470"/>
    <w:rsid w:val="005B04AB"/>
    <w:rsid w:val="005B0510"/>
    <w:rsid w:val="005B052C"/>
    <w:rsid w:val="005B057E"/>
    <w:rsid w:val="005B0752"/>
    <w:rsid w:val="005B075D"/>
    <w:rsid w:val="005B07D5"/>
    <w:rsid w:val="005B0855"/>
    <w:rsid w:val="005B0889"/>
    <w:rsid w:val="005B08B4"/>
    <w:rsid w:val="005B08EE"/>
    <w:rsid w:val="005B093D"/>
    <w:rsid w:val="005B0998"/>
    <w:rsid w:val="005B09C0"/>
    <w:rsid w:val="005B09DC"/>
    <w:rsid w:val="005B09DE"/>
    <w:rsid w:val="005B0A02"/>
    <w:rsid w:val="005B0AAD"/>
    <w:rsid w:val="005B0AC9"/>
    <w:rsid w:val="005B0B34"/>
    <w:rsid w:val="005B0B55"/>
    <w:rsid w:val="005B0B7B"/>
    <w:rsid w:val="005B0C37"/>
    <w:rsid w:val="005B0C93"/>
    <w:rsid w:val="005B0D04"/>
    <w:rsid w:val="005B0DB7"/>
    <w:rsid w:val="005B0ECB"/>
    <w:rsid w:val="005B0F6B"/>
    <w:rsid w:val="005B102E"/>
    <w:rsid w:val="005B10EC"/>
    <w:rsid w:val="005B10FE"/>
    <w:rsid w:val="005B110F"/>
    <w:rsid w:val="005B123A"/>
    <w:rsid w:val="005B1349"/>
    <w:rsid w:val="005B1385"/>
    <w:rsid w:val="005B13EF"/>
    <w:rsid w:val="005B14A2"/>
    <w:rsid w:val="005B1545"/>
    <w:rsid w:val="005B1546"/>
    <w:rsid w:val="005B156B"/>
    <w:rsid w:val="005B1664"/>
    <w:rsid w:val="005B17BB"/>
    <w:rsid w:val="005B1A38"/>
    <w:rsid w:val="005B1A6E"/>
    <w:rsid w:val="005B1ABE"/>
    <w:rsid w:val="005B1AD5"/>
    <w:rsid w:val="005B1AF2"/>
    <w:rsid w:val="005B1B07"/>
    <w:rsid w:val="005B1B24"/>
    <w:rsid w:val="005B1BAA"/>
    <w:rsid w:val="005B1CA7"/>
    <w:rsid w:val="005B1CD2"/>
    <w:rsid w:val="005B1D0E"/>
    <w:rsid w:val="005B1D68"/>
    <w:rsid w:val="005B1D78"/>
    <w:rsid w:val="005B1D7E"/>
    <w:rsid w:val="005B1D9E"/>
    <w:rsid w:val="005B1DD4"/>
    <w:rsid w:val="005B1E67"/>
    <w:rsid w:val="005B1E72"/>
    <w:rsid w:val="005B1EB5"/>
    <w:rsid w:val="005B1EC7"/>
    <w:rsid w:val="005B1F27"/>
    <w:rsid w:val="005B1FF4"/>
    <w:rsid w:val="005B2029"/>
    <w:rsid w:val="005B2136"/>
    <w:rsid w:val="005B218A"/>
    <w:rsid w:val="005B21D5"/>
    <w:rsid w:val="005B2209"/>
    <w:rsid w:val="005B23DA"/>
    <w:rsid w:val="005B23F1"/>
    <w:rsid w:val="005B241A"/>
    <w:rsid w:val="005B2422"/>
    <w:rsid w:val="005B244F"/>
    <w:rsid w:val="005B2550"/>
    <w:rsid w:val="005B25E4"/>
    <w:rsid w:val="005B2699"/>
    <w:rsid w:val="005B26E0"/>
    <w:rsid w:val="005B2734"/>
    <w:rsid w:val="005B2760"/>
    <w:rsid w:val="005B288D"/>
    <w:rsid w:val="005B28CE"/>
    <w:rsid w:val="005B292F"/>
    <w:rsid w:val="005B2988"/>
    <w:rsid w:val="005B2A77"/>
    <w:rsid w:val="005B2A79"/>
    <w:rsid w:val="005B2A87"/>
    <w:rsid w:val="005B2AA8"/>
    <w:rsid w:val="005B2AC1"/>
    <w:rsid w:val="005B2BCA"/>
    <w:rsid w:val="005B2C8C"/>
    <w:rsid w:val="005B2DCD"/>
    <w:rsid w:val="005B2E36"/>
    <w:rsid w:val="005B2EB4"/>
    <w:rsid w:val="005B2F5C"/>
    <w:rsid w:val="005B2F9B"/>
    <w:rsid w:val="005B2FCD"/>
    <w:rsid w:val="005B3015"/>
    <w:rsid w:val="005B310A"/>
    <w:rsid w:val="005B312B"/>
    <w:rsid w:val="005B316D"/>
    <w:rsid w:val="005B31D4"/>
    <w:rsid w:val="005B3220"/>
    <w:rsid w:val="005B325A"/>
    <w:rsid w:val="005B33E0"/>
    <w:rsid w:val="005B3407"/>
    <w:rsid w:val="005B34B6"/>
    <w:rsid w:val="005B34D5"/>
    <w:rsid w:val="005B355A"/>
    <w:rsid w:val="005B3621"/>
    <w:rsid w:val="005B36FB"/>
    <w:rsid w:val="005B37DA"/>
    <w:rsid w:val="005B38EB"/>
    <w:rsid w:val="005B3946"/>
    <w:rsid w:val="005B3967"/>
    <w:rsid w:val="005B398C"/>
    <w:rsid w:val="005B3A56"/>
    <w:rsid w:val="005B3ACC"/>
    <w:rsid w:val="005B3BAB"/>
    <w:rsid w:val="005B3BB9"/>
    <w:rsid w:val="005B3D90"/>
    <w:rsid w:val="005B4003"/>
    <w:rsid w:val="005B4039"/>
    <w:rsid w:val="005B40A6"/>
    <w:rsid w:val="005B40B2"/>
    <w:rsid w:val="005B40C2"/>
    <w:rsid w:val="005B40D3"/>
    <w:rsid w:val="005B40EC"/>
    <w:rsid w:val="005B4126"/>
    <w:rsid w:val="005B4176"/>
    <w:rsid w:val="005B41D9"/>
    <w:rsid w:val="005B4249"/>
    <w:rsid w:val="005B424B"/>
    <w:rsid w:val="005B4287"/>
    <w:rsid w:val="005B42C8"/>
    <w:rsid w:val="005B42D4"/>
    <w:rsid w:val="005B42E9"/>
    <w:rsid w:val="005B434C"/>
    <w:rsid w:val="005B43C5"/>
    <w:rsid w:val="005B4428"/>
    <w:rsid w:val="005B443B"/>
    <w:rsid w:val="005B4441"/>
    <w:rsid w:val="005B447D"/>
    <w:rsid w:val="005B4491"/>
    <w:rsid w:val="005B453C"/>
    <w:rsid w:val="005B464B"/>
    <w:rsid w:val="005B4731"/>
    <w:rsid w:val="005B4738"/>
    <w:rsid w:val="005B4761"/>
    <w:rsid w:val="005B476F"/>
    <w:rsid w:val="005B47AA"/>
    <w:rsid w:val="005B47F7"/>
    <w:rsid w:val="005B4844"/>
    <w:rsid w:val="005B48B8"/>
    <w:rsid w:val="005B48EB"/>
    <w:rsid w:val="005B48F6"/>
    <w:rsid w:val="005B493A"/>
    <w:rsid w:val="005B4990"/>
    <w:rsid w:val="005B499E"/>
    <w:rsid w:val="005B49C9"/>
    <w:rsid w:val="005B4A26"/>
    <w:rsid w:val="005B4B51"/>
    <w:rsid w:val="005B4C59"/>
    <w:rsid w:val="005B4CE0"/>
    <w:rsid w:val="005B4D42"/>
    <w:rsid w:val="005B4D70"/>
    <w:rsid w:val="005B4E50"/>
    <w:rsid w:val="005B4E7C"/>
    <w:rsid w:val="005B4EC4"/>
    <w:rsid w:val="005B4F2A"/>
    <w:rsid w:val="005B4F3E"/>
    <w:rsid w:val="005B4F56"/>
    <w:rsid w:val="005B4F65"/>
    <w:rsid w:val="005B4FF5"/>
    <w:rsid w:val="005B5117"/>
    <w:rsid w:val="005B51B6"/>
    <w:rsid w:val="005B53A2"/>
    <w:rsid w:val="005B547B"/>
    <w:rsid w:val="005B54A4"/>
    <w:rsid w:val="005B558C"/>
    <w:rsid w:val="005B56D8"/>
    <w:rsid w:val="005B5818"/>
    <w:rsid w:val="005B5883"/>
    <w:rsid w:val="005B5890"/>
    <w:rsid w:val="005B59CF"/>
    <w:rsid w:val="005B5A82"/>
    <w:rsid w:val="005B5AA6"/>
    <w:rsid w:val="005B5B4B"/>
    <w:rsid w:val="005B5B7D"/>
    <w:rsid w:val="005B5BBF"/>
    <w:rsid w:val="005B5C05"/>
    <w:rsid w:val="005B5C7B"/>
    <w:rsid w:val="005B5D53"/>
    <w:rsid w:val="005B5D5F"/>
    <w:rsid w:val="005B5DD4"/>
    <w:rsid w:val="005B5DFA"/>
    <w:rsid w:val="005B5EEF"/>
    <w:rsid w:val="005B5F9E"/>
    <w:rsid w:val="005B6036"/>
    <w:rsid w:val="005B6069"/>
    <w:rsid w:val="005B609F"/>
    <w:rsid w:val="005B6267"/>
    <w:rsid w:val="005B628A"/>
    <w:rsid w:val="005B62A0"/>
    <w:rsid w:val="005B62EC"/>
    <w:rsid w:val="005B632B"/>
    <w:rsid w:val="005B635B"/>
    <w:rsid w:val="005B63CE"/>
    <w:rsid w:val="005B6529"/>
    <w:rsid w:val="005B65B9"/>
    <w:rsid w:val="005B6688"/>
    <w:rsid w:val="005B68EB"/>
    <w:rsid w:val="005B694D"/>
    <w:rsid w:val="005B6955"/>
    <w:rsid w:val="005B69AC"/>
    <w:rsid w:val="005B6AEE"/>
    <w:rsid w:val="005B6C76"/>
    <w:rsid w:val="005B6DAE"/>
    <w:rsid w:val="005B6DE5"/>
    <w:rsid w:val="005B6ECC"/>
    <w:rsid w:val="005B6F18"/>
    <w:rsid w:val="005B6F40"/>
    <w:rsid w:val="005B6F4A"/>
    <w:rsid w:val="005B6F71"/>
    <w:rsid w:val="005B6F7C"/>
    <w:rsid w:val="005B702A"/>
    <w:rsid w:val="005B7244"/>
    <w:rsid w:val="005B724A"/>
    <w:rsid w:val="005B72B2"/>
    <w:rsid w:val="005B7331"/>
    <w:rsid w:val="005B7346"/>
    <w:rsid w:val="005B73E4"/>
    <w:rsid w:val="005B7773"/>
    <w:rsid w:val="005B7808"/>
    <w:rsid w:val="005B7972"/>
    <w:rsid w:val="005B79A8"/>
    <w:rsid w:val="005B7A90"/>
    <w:rsid w:val="005B7B09"/>
    <w:rsid w:val="005B7B26"/>
    <w:rsid w:val="005B7C2C"/>
    <w:rsid w:val="005B7D0C"/>
    <w:rsid w:val="005B7D22"/>
    <w:rsid w:val="005B7D2D"/>
    <w:rsid w:val="005B7DDF"/>
    <w:rsid w:val="005B7E2A"/>
    <w:rsid w:val="005B7E38"/>
    <w:rsid w:val="005B7F2C"/>
    <w:rsid w:val="005B7F4A"/>
    <w:rsid w:val="005B7FBB"/>
    <w:rsid w:val="005C004D"/>
    <w:rsid w:val="005C0064"/>
    <w:rsid w:val="005C006F"/>
    <w:rsid w:val="005C0104"/>
    <w:rsid w:val="005C0144"/>
    <w:rsid w:val="005C029E"/>
    <w:rsid w:val="005C03B7"/>
    <w:rsid w:val="005C04D0"/>
    <w:rsid w:val="005C051D"/>
    <w:rsid w:val="005C0659"/>
    <w:rsid w:val="005C0688"/>
    <w:rsid w:val="005C069C"/>
    <w:rsid w:val="005C071B"/>
    <w:rsid w:val="005C0747"/>
    <w:rsid w:val="005C0778"/>
    <w:rsid w:val="005C0891"/>
    <w:rsid w:val="005C0902"/>
    <w:rsid w:val="005C0911"/>
    <w:rsid w:val="005C0947"/>
    <w:rsid w:val="005C096E"/>
    <w:rsid w:val="005C09FB"/>
    <w:rsid w:val="005C0A02"/>
    <w:rsid w:val="005C0A87"/>
    <w:rsid w:val="005C0B34"/>
    <w:rsid w:val="005C0C02"/>
    <w:rsid w:val="005C0C72"/>
    <w:rsid w:val="005C0C96"/>
    <w:rsid w:val="005C0D54"/>
    <w:rsid w:val="005C0DAC"/>
    <w:rsid w:val="005C0E55"/>
    <w:rsid w:val="005C0E91"/>
    <w:rsid w:val="005C0F48"/>
    <w:rsid w:val="005C0FCD"/>
    <w:rsid w:val="005C12B5"/>
    <w:rsid w:val="005C13E0"/>
    <w:rsid w:val="005C1411"/>
    <w:rsid w:val="005C144D"/>
    <w:rsid w:val="005C1569"/>
    <w:rsid w:val="005C16FF"/>
    <w:rsid w:val="005C1772"/>
    <w:rsid w:val="005C1810"/>
    <w:rsid w:val="005C18FE"/>
    <w:rsid w:val="005C191B"/>
    <w:rsid w:val="005C1949"/>
    <w:rsid w:val="005C1993"/>
    <w:rsid w:val="005C19E4"/>
    <w:rsid w:val="005C1A3D"/>
    <w:rsid w:val="005C1A6D"/>
    <w:rsid w:val="005C1AED"/>
    <w:rsid w:val="005C1B09"/>
    <w:rsid w:val="005C1BC0"/>
    <w:rsid w:val="005C1C21"/>
    <w:rsid w:val="005C1C4A"/>
    <w:rsid w:val="005C1C5F"/>
    <w:rsid w:val="005C1C62"/>
    <w:rsid w:val="005C1CF3"/>
    <w:rsid w:val="005C1D2C"/>
    <w:rsid w:val="005C1D9E"/>
    <w:rsid w:val="005C1E3B"/>
    <w:rsid w:val="005C1F50"/>
    <w:rsid w:val="005C1F82"/>
    <w:rsid w:val="005C204E"/>
    <w:rsid w:val="005C2056"/>
    <w:rsid w:val="005C2064"/>
    <w:rsid w:val="005C2144"/>
    <w:rsid w:val="005C2205"/>
    <w:rsid w:val="005C225E"/>
    <w:rsid w:val="005C226F"/>
    <w:rsid w:val="005C2270"/>
    <w:rsid w:val="005C2282"/>
    <w:rsid w:val="005C23D5"/>
    <w:rsid w:val="005C2454"/>
    <w:rsid w:val="005C24AA"/>
    <w:rsid w:val="005C24DD"/>
    <w:rsid w:val="005C271C"/>
    <w:rsid w:val="005C27A5"/>
    <w:rsid w:val="005C27D5"/>
    <w:rsid w:val="005C27DF"/>
    <w:rsid w:val="005C28B9"/>
    <w:rsid w:val="005C2951"/>
    <w:rsid w:val="005C297B"/>
    <w:rsid w:val="005C29D2"/>
    <w:rsid w:val="005C29DD"/>
    <w:rsid w:val="005C2A32"/>
    <w:rsid w:val="005C2B37"/>
    <w:rsid w:val="005C2B95"/>
    <w:rsid w:val="005C2C22"/>
    <w:rsid w:val="005C2C4C"/>
    <w:rsid w:val="005C2E3D"/>
    <w:rsid w:val="005C2E5C"/>
    <w:rsid w:val="005C2EEC"/>
    <w:rsid w:val="005C2F4B"/>
    <w:rsid w:val="005C2F78"/>
    <w:rsid w:val="005C2FEA"/>
    <w:rsid w:val="005C3088"/>
    <w:rsid w:val="005C3090"/>
    <w:rsid w:val="005C30E7"/>
    <w:rsid w:val="005C30FB"/>
    <w:rsid w:val="005C3209"/>
    <w:rsid w:val="005C323F"/>
    <w:rsid w:val="005C3317"/>
    <w:rsid w:val="005C33BA"/>
    <w:rsid w:val="005C33E7"/>
    <w:rsid w:val="005C3602"/>
    <w:rsid w:val="005C362E"/>
    <w:rsid w:val="005C3630"/>
    <w:rsid w:val="005C363A"/>
    <w:rsid w:val="005C366F"/>
    <w:rsid w:val="005C36DD"/>
    <w:rsid w:val="005C37B0"/>
    <w:rsid w:val="005C3886"/>
    <w:rsid w:val="005C3905"/>
    <w:rsid w:val="005C393F"/>
    <w:rsid w:val="005C39E0"/>
    <w:rsid w:val="005C3B79"/>
    <w:rsid w:val="005C3C29"/>
    <w:rsid w:val="005C3CE2"/>
    <w:rsid w:val="005C3DC1"/>
    <w:rsid w:val="005C3E7D"/>
    <w:rsid w:val="005C3EC2"/>
    <w:rsid w:val="005C3EE6"/>
    <w:rsid w:val="005C3EFC"/>
    <w:rsid w:val="005C3F69"/>
    <w:rsid w:val="005C3FD4"/>
    <w:rsid w:val="005C4038"/>
    <w:rsid w:val="005C403F"/>
    <w:rsid w:val="005C404C"/>
    <w:rsid w:val="005C40ED"/>
    <w:rsid w:val="005C40F1"/>
    <w:rsid w:val="005C4213"/>
    <w:rsid w:val="005C424F"/>
    <w:rsid w:val="005C4317"/>
    <w:rsid w:val="005C43AA"/>
    <w:rsid w:val="005C43DB"/>
    <w:rsid w:val="005C447D"/>
    <w:rsid w:val="005C4566"/>
    <w:rsid w:val="005C45D2"/>
    <w:rsid w:val="005C4839"/>
    <w:rsid w:val="005C4862"/>
    <w:rsid w:val="005C486B"/>
    <w:rsid w:val="005C4946"/>
    <w:rsid w:val="005C496A"/>
    <w:rsid w:val="005C49CA"/>
    <w:rsid w:val="005C4C05"/>
    <w:rsid w:val="005C4C1D"/>
    <w:rsid w:val="005C4CA3"/>
    <w:rsid w:val="005C4CC4"/>
    <w:rsid w:val="005C4D1D"/>
    <w:rsid w:val="005C4D1F"/>
    <w:rsid w:val="005C4D64"/>
    <w:rsid w:val="005C4DA3"/>
    <w:rsid w:val="005C4DE1"/>
    <w:rsid w:val="005C4E14"/>
    <w:rsid w:val="005C4E8D"/>
    <w:rsid w:val="005C4F2D"/>
    <w:rsid w:val="005C4F5F"/>
    <w:rsid w:val="005C4F61"/>
    <w:rsid w:val="005C4FDD"/>
    <w:rsid w:val="005C50DC"/>
    <w:rsid w:val="005C51DF"/>
    <w:rsid w:val="005C5236"/>
    <w:rsid w:val="005C529F"/>
    <w:rsid w:val="005C5375"/>
    <w:rsid w:val="005C53F2"/>
    <w:rsid w:val="005C5474"/>
    <w:rsid w:val="005C54F1"/>
    <w:rsid w:val="005C5562"/>
    <w:rsid w:val="005C5592"/>
    <w:rsid w:val="005C5631"/>
    <w:rsid w:val="005C56AB"/>
    <w:rsid w:val="005C5706"/>
    <w:rsid w:val="005C5717"/>
    <w:rsid w:val="005C5786"/>
    <w:rsid w:val="005C5936"/>
    <w:rsid w:val="005C5944"/>
    <w:rsid w:val="005C59AB"/>
    <w:rsid w:val="005C59C2"/>
    <w:rsid w:val="005C5A33"/>
    <w:rsid w:val="005C5A62"/>
    <w:rsid w:val="005C5CBD"/>
    <w:rsid w:val="005C5CFD"/>
    <w:rsid w:val="005C5D9C"/>
    <w:rsid w:val="005C5DEC"/>
    <w:rsid w:val="005C5DFA"/>
    <w:rsid w:val="005C5E06"/>
    <w:rsid w:val="005C5E1B"/>
    <w:rsid w:val="005C5E1C"/>
    <w:rsid w:val="005C5E4A"/>
    <w:rsid w:val="005C5E55"/>
    <w:rsid w:val="005C5E5A"/>
    <w:rsid w:val="005C5EA9"/>
    <w:rsid w:val="005C5F08"/>
    <w:rsid w:val="005C5F9F"/>
    <w:rsid w:val="005C60BB"/>
    <w:rsid w:val="005C6161"/>
    <w:rsid w:val="005C6188"/>
    <w:rsid w:val="005C61C0"/>
    <w:rsid w:val="005C6249"/>
    <w:rsid w:val="005C62B6"/>
    <w:rsid w:val="005C6518"/>
    <w:rsid w:val="005C6558"/>
    <w:rsid w:val="005C659D"/>
    <w:rsid w:val="005C65D1"/>
    <w:rsid w:val="005C6601"/>
    <w:rsid w:val="005C663E"/>
    <w:rsid w:val="005C6718"/>
    <w:rsid w:val="005C69E8"/>
    <w:rsid w:val="005C6A1C"/>
    <w:rsid w:val="005C6AC5"/>
    <w:rsid w:val="005C6B4C"/>
    <w:rsid w:val="005C6B74"/>
    <w:rsid w:val="005C6CD2"/>
    <w:rsid w:val="005C6EC9"/>
    <w:rsid w:val="005C6F33"/>
    <w:rsid w:val="005C707B"/>
    <w:rsid w:val="005C70C0"/>
    <w:rsid w:val="005C7108"/>
    <w:rsid w:val="005C72A2"/>
    <w:rsid w:val="005C72D9"/>
    <w:rsid w:val="005C73DE"/>
    <w:rsid w:val="005C73F2"/>
    <w:rsid w:val="005C7516"/>
    <w:rsid w:val="005C7521"/>
    <w:rsid w:val="005C75DE"/>
    <w:rsid w:val="005C7703"/>
    <w:rsid w:val="005C77DC"/>
    <w:rsid w:val="005C7806"/>
    <w:rsid w:val="005C7808"/>
    <w:rsid w:val="005C78CF"/>
    <w:rsid w:val="005C78DD"/>
    <w:rsid w:val="005C7982"/>
    <w:rsid w:val="005C79B4"/>
    <w:rsid w:val="005C79DF"/>
    <w:rsid w:val="005C79E8"/>
    <w:rsid w:val="005C7A9F"/>
    <w:rsid w:val="005C7B20"/>
    <w:rsid w:val="005C7B39"/>
    <w:rsid w:val="005C7BA1"/>
    <w:rsid w:val="005C7C5D"/>
    <w:rsid w:val="005C7D8A"/>
    <w:rsid w:val="005C7E83"/>
    <w:rsid w:val="005C7F03"/>
    <w:rsid w:val="005C7F73"/>
    <w:rsid w:val="005C7F91"/>
    <w:rsid w:val="005C7FD8"/>
    <w:rsid w:val="005D0093"/>
    <w:rsid w:val="005D00B7"/>
    <w:rsid w:val="005D00DA"/>
    <w:rsid w:val="005D035F"/>
    <w:rsid w:val="005D03F3"/>
    <w:rsid w:val="005D0492"/>
    <w:rsid w:val="005D049E"/>
    <w:rsid w:val="005D04A6"/>
    <w:rsid w:val="005D04A8"/>
    <w:rsid w:val="005D059A"/>
    <w:rsid w:val="005D0658"/>
    <w:rsid w:val="005D0701"/>
    <w:rsid w:val="005D073D"/>
    <w:rsid w:val="005D083E"/>
    <w:rsid w:val="005D08E9"/>
    <w:rsid w:val="005D08EE"/>
    <w:rsid w:val="005D0930"/>
    <w:rsid w:val="005D0A16"/>
    <w:rsid w:val="005D0ABC"/>
    <w:rsid w:val="005D0ADC"/>
    <w:rsid w:val="005D0B46"/>
    <w:rsid w:val="005D0DCB"/>
    <w:rsid w:val="005D0DDA"/>
    <w:rsid w:val="005D0E0B"/>
    <w:rsid w:val="005D0E25"/>
    <w:rsid w:val="005D0E84"/>
    <w:rsid w:val="005D0E90"/>
    <w:rsid w:val="005D0F79"/>
    <w:rsid w:val="005D102C"/>
    <w:rsid w:val="005D11D4"/>
    <w:rsid w:val="005D12B0"/>
    <w:rsid w:val="005D12B7"/>
    <w:rsid w:val="005D131A"/>
    <w:rsid w:val="005D134C"/>
    <w:rsid w:val="005D13E7"/>
    <w:rsid w:val="005D1480"/>
    <w:rsid w:val="005D14CF"/>
    <w:rsid w:val="005D14FA"/>
    <w:rsid w:val="005D1532"/>
    <w:rsid w:val="005D155F"/>
    <w:rsid w:val="005D1603"/>
    <w:rsid w:val="005D1609"/>
    <w:rsid w:val="005D1628"/>
    <w:rsid w:val="005D163C"/>
    <w:rsid w:val="005D16E1"/>
    <w:rsid w:val="005D1823"/>
    <w:rsid w:val="005D185E"/>
    <w:rsid w:val="005D186E"/>
    <w:rsid w:val="005D1916"/>
    <w:rsid w:val="005D195C"/>
    <w:rsid w:val="005D19E3"/>
    <w:rsid w:val="005D1A5F"/>
    <w:rsid w:val="005D1AA4"/>
    <w:rsid w:val="005D1B50"/>
    <w:rsid w:val="005D1B51"/>
    <w:rsid w:val="005D1B57"/>
    <w:rsid w:val="005D1B9D"/>
    <w:rsid w:val="005D1CB4"/>
    <w:rsid w:val="005D1D64"/>
    <w:rsid w:val="005D1D65"/>
    <w:rsid w:val="005D1D9C"/>
    <w:rsid w:val="005D2016"/>
    <w:rsid w:val="005D201D"/>
    <w:rsid w:val="005D20AE"/>
    <w:rsid w:val="005D21FE"/>
    <w:rsid w:val="005D2230"/>
    <w:rsid w:val="005D2364"/>
    <w:rsid w:val="005D2371"/>
    <w:rsid w:val="005D23EE"/>
    <w:rsid w:val="005D2486"/>
    <w:rsid w:val="005D24ED"/>
    <w:rsid w:val="005D2566"/>
    <w:rsid w:val="005D26F4"/>
    <w:rsid w:val="005D2713"/>
    <w:rsid w:val="005D2760"/>
    <w:rsid w:val="005D27CB"/>
    <w:rsid w:val="005D2879"/>
    <w:rsid w:val="005D28AA"/>
    <w:rsid w:val="005D2907"/>
    <w:rsid w:val="005D29D7"/>
    <w:rsid w:val="005D2A04"/>
    <w:rsid w:val="005D2A7B"/>
    <w:rsid w:val="005D2B0C"/>
    <w:rsid w:val="005D2B16"/>
    <w:rsid w:val="005D2B2D"/>
    <w:rsid w:val="005D2CC3"/>
    <w:rsid w:val="005D2CE8"/>
    <w:rsid w:val="005D2D9E"/>
    <w:rsid w:val="005D2DE7"/>
    <w:rsid w:val="005D2E89"/>
    <w:rsid w:val="005D2EED"/>
    <w:rsid w:val="005D2F31"/>
    <w:rsid w:val="005D2FB8"/>
    <w:rsid w:val="005D2FE0"/>
    <w:rsid w:val="005D2FE9"/>
    <w:rsid w:val="005D309E"/>
    <w:rsid w:val="005D3100"/>
    <w:rsid w:val="005D3189"/>
    <w:rsid w:val="005D32A0"/>
    <w:rsid w:val="005D3314"/>
    <w:rsid w:val="005D331A"/>
    <w:rsid w:val="005D33B3"/>
    <w:rsid w:val="005D33EF"/>
    <w:rsid w:val="005D34D9"/>
    <w:rsid w:val="005D34F6"/>
    <w:rsid w:val="005D3501"/>
    <w:rsid w:val="005D3530"/>
    <w:rsid w:val="005D36D8"/>
    <w:rsid w:val="005D36DA"/>
    <w:rsid w:val="005D36FB"/>
    <w:rsid w:val="005D3705"/>
    <w:rsid w:val="005D37E2"/>
    <w:rsid w:val="005D384A"/>
    <w:rsid w:val="005D3882"/>
    <w:rsid w:val="005D3889"/>
    <w:rsid w:val="005D393F"/>
    <w:rsid w:val="005D39A8"/>
    <w:rsid w:val="005D39EE"/>
    <w:rsid w:val="005D3BA4"/>
    <w:rsid w:val="005D3BFB"/>
    <w:rsid w:val="005D3E38"/>
    <w:rsid w:val="005D4023"/>
    <w:rsid w:val="005D40F3"/>
    <w:rsid w:val="005D4126"/>
    <w:rsid w:val="005D414F"/>
    <w:rsid w:val="005D4193"/>
    <w:rsid w:val="005D42F3"/>
    <w:rsid w:val="005D4329"/>
    <w:rsid w:val="005D43E1"/>
    <w:rsid w:val="005D446A"/>
    <w:rsid w:val="005D44C9"/>
    <w:rsid w:val="005D456A"/>
    <w:rsid w:val="005D4684"/>
    <w:rsid w:val="005D4736"/>
    <w:rsid w:val="005D48D4"/>
    <w:rsid w:val="005D4909"/>
    <w:rsid w:val="005D4A04"/>
    <w:rsid w:val="005D4B44"/>
    <w:rsid w:val="005D4CC1"/>
    <w:rsid w:val="005D4D11"/>
    <w:rsid w:val="005D4D41"/>
    <w:rsid w:val="005D4D7C"/>
    <w:rsid w:val="005D4DD2"/>
    <w:rsid w:val="005D4EA8"/>
    <w:rsid w:val="005D4F1A"/>
    <w:rsid w:val="005D4F3D"/>
    <w:rsid w:val="005D500E"/>
    <w:rsid w:val="005D505F"/>
    <w:rsid w:val="005D50DB"/>
    <w:rsid w:val="005D51B3"/>
    <w:rsid w:val="005D5203"/>
    <w:rsid w:val="005D52DB"/>
    <w:rsid w:val="005D54CE"/>
    <w:rsid w:val="005D5501"/>
    <w:rsid w:val="005D5583"/>
    <w:rsid w:val="005D5591"/>
    <w:rsid w:val="005D5596"/>
    <w:rsid w:val="005D55B8"/>
    <w:rsid w:val="005D578D"/>
    <w:rsid w:val="005D5867"/>
    <w:rsid w:val="005D5890"/>
    <w:rsid w:val="005D590C"/>
    <w:rsid w:val="005D595C"/>
    <w:rsid w:val="005D5A00"/>
    <w:rsid w:val="005D5A4D"/>
    <w:rsid w:val="005D5AAB"/>
    <w:rsid w:val="005D5AF3"/>
    <w:rsid w:val="005D5B13"/>
    <w:rsid w:val="005D5BB7"/>
    <w:rsid w:val="005D5BC3"/>
    <w:rsid w:val="005D5C22"/>
    <w:rsid w:val="005D5D5E"/>
    <w:rsid w:val="005D5D7C"/>
    <w:rsid w:val="005D5DC0"/>
    <w:rsid w:val="005D5E0D"/>
    <w:rsid w:val="005D5E40"/>
    <w:rsid w:val="005D5F3C"/>
    <w:rsid w:val="005D609A"/>
    <w:rsid w:val="005D621D"/>
    <w:rsid w:val="005D6223"/>
    <w:rsid w:val="005D626B"/>
    <w:rsid w:val="005D6404"/>
    <w:rsid w:val="005D641F"/>
    <w:rsid w:val="005D6428"/>
    <w:rsid w:val="005D6447"/>
    <w:rsid w:val="005D644D"/>
    <w:rsid w:val="005D64F3"/>
    <w:rsid w:val="005D6509"/>
    <w:rsid w:val="005D664B"/>
    <w:rsid w:val="005D66B3"/>
    <w:rsid w:val="005D675F"/>
    <w:rsid w:val="005D6842"/>
    <w:rsid w:val="005D689F"/>
    <w:rsid w:val="005D68DA"/>
    <w:rsid w:val="005D6975"/>
    <w:rsid w:val="005D6AF1"/>
    <w:rsid w:val="005D6AF3"/>
    <w:rsid w:val="005D6B46"/>
    <w:rsid w:val="005D6BA3"/>
    <w:rsid w:val="005D6CE5"/>
    <w:rsid w:val="005D6D5B"/>
    <w:rsid w:val="005D6D8C"/>
    <w:rsid w:val="005D6DFF"/>
    <w:rsid w:val="005D6EEB"/>
    <w:rsid w:val="005D6F18"/>
    <w:rsid w:val="005D6F87"/>
    <w:rsid w:val="005D6FD8"/>
    <w:rsid w:val="005D6FFC"/>
    <w:rsid w:val="005D7048"/>
    <w:rsid w:val="005D7052"/>
    <w:rsid w:val="005D7065"/>
    <w:rsid w:val="005D71C5"/>
    <w:rsid w:val="005D71F0"/>
    <w:rsid w:val="005D71FD"/>
    <w:rsid w:val="005D7206"/>
    <w:rsid w:val="005D72CE"/>
    <w:rsid w:val="005D73BF"/>
    <w:rsid w:val="005D73F4"/>
    <w:rsid w:val="005D756D"/>
    <w:rsid w:val="005D7574"/>
    <w:rsid w:val="005D7580"/>
    <w:rsid w:val="005D75C8"/>
    <w:rsid w:val="005D763D"/>
    <w:rsid w:val="005D764F"/>
    <w:rsid w:val="005D766B"/>
    <w:rsid w:val="005D774C"/>
    <w:rsid w:val="005D7787"/>
    <w:rsid w:val="005D788C"/>
    <w:rsid w:val="005D7900"/>
    <w:rsid w:val="005D7911"/>
    <w:rsid w:val="005D7919"/>
    <w:rsid w:val="005D7930"/>
    <w:rsid w:val="005D7953"/>
    <w:rsid w:val="005D7A13"/>
    <w:rsid w:val="005D7AAC"/>
    <w:rsid w:val="005D7D88"/>
    <w:rsid w:val="005D7DBA"/>
    <w:rsid w:val="005D7F66"/>
    <w:rsid w:val="005D7F74"/>
    <w:rsid w:val="005D7FB7"/>
    <w:rsid w:val="005E0080"/>
    <w:rsid w:val="005E00BD"/>
    <w:rsid w:val="005E00D5"/>
    <w:rsid w:val="005E0186"/>
    <w:rsid w:val="005E01D1"/>
    <w:rsid w:val="005E0237"/>
    <w:rsid w:val="005E0395"/>
    <w:rsid w:val="005E045D"/>
    <w:rsid w:val="005E047F"/>
    <w:rsid w:val="005E04AB"/>
    <w:rsid w:val="005E04B9"/>
    <w:rsid w:val="005E060F"/>
    <w:rsid w:val="005E064F"/>
    <w:rsid w:val="005E06AD"/>
    <w:rsid w:val="005E06B6"/>
    <w:rsid w:val="005E06EB"/>
    <w:rsid w:val="005E07E3"/>
    <w:rsid w:val="005E085D"/>
    <w:rsid w:val="005E089B"/>
    <w:rsid w:val="005E09BA"/>
    <w:rsid w:val="005E0A56"/>
    <w:rsid w:val="005E0A5E"/>
    <w:rsid w:val="005E0B10"/>
    <w:rsid w:val="005E0B46"/>
    <w:rsid w:val="005E0B66"/>
    <w:rsid w:val="005E0BC0"/>
    <w:rsid w:val="005E0C35"/>
    <w:rsid w:val="005E0C84"/>
    <w:rsid w:val="005E0C8D"/>
    <w:rsid w:val="005E0DD0"/>
    <w:rsid w:val="005E0EB8"/>
    <w:rsid w:val="005E0F17"/>
    <w:rsid w:val="005E0F22"/>
    <w:rsid w:val="005E0F46"/>
    <w:rsid w:val="005E0F68"/>
    <w:rsid w:val="005E0F91"/>
    <w:rsid w:val="005E0FD3"/>
    <w:rsid w:val="005E101B"/>
    <w:rsid w:val="005E10BB"/>
    <w:rsid w:val="005E10C9"/>
    <w:rsid w:val="005E10E6"/>
    <w:rsid w:val="005E118C"/>
    <w:rsid w:val="005E11CE"/>
    <w:rsid w:val="005E1229"/>
    <w:rsid w:val="005E129B"/>
    <w:rsid w:val="005E129C"/>
    <w:rsid w:val="005E12D1"/>
    <w:rsid w:val="005E1469"/>
    <w:rsid w:val="005E159C"/>
    <w:rsid w:val="005E174A"/>
    <w:rsid w:val="005E1845"/>
    <w:rsid w:val="005E19A2"/>
    <w:rsid w:val="005E19A7"/>
    <w:rsid w:val="005E1AC7"/>
    <w:rsid w:val="005E1AE6"/>
    <w:rsid w:val="005E1C12"/>
    <w:rsid w:val="005E1C15"/>
    <w:rsid w:val="005E1C89"/>
    <w:rsid w:val="005E1D60"/>
    <w:rsid w:val="005E1D6B"/>
    <w:rsid w:val="005E1D99"/>
    <w:rsid w:val="005E1DA8"/>
    <w:rsid w:val="005E1DE2"/>
    <w:rsid w:val="005E1E20"/>
    <w:rsid w:val="005E1F76"/>
    <w:rsid w:val="005E1F7C"/>
    <w:rsid w:val="005E1FC7"/>
    <w:rsid w:val="005E20FB"/>
    <w:rsid w:val="005E2173"/>
    <w:rsid w:val="005E2182"/>
    <w:rsid w:val="005E2184"/>
    <w:rsid w:val="005E223D"/>
    <w:rsid w:val="005E231E"/>
    <w:rsid w:val="005E23FF"/>
    <w:rsid w:val="005E2449"/>
    <w:rsid w:val="005E2476"/>
    <w:rsid w:val="005E24AD"/>
    <w:rsid w:val="005E24EB"/>
    <w:rsid w:val="005E2591"/>
    <w:rsid w:val="005E2598"/>
    <w:rsid w:val="005E25AA"/>
    <w:rsid w:val="005E25C8"/>
    <w:rsid w:val="005E25CA"/>
    <w:rsid w:val="005E2675"/>
    <w:rsid w:val="005E269C"/>
    <w:rsid w:val="005E26E2"/>
    <w:rsid w:val="005E26EA"/>
    <w:rsid w:val="005E2722"/>
    <w:rsid w:val="005E284E"/>
    <w:rsid w:val="005E287E"/>
    <w:rsid w:val="005E28C4"/>
    <w:rsid w:val="005E28F1"/>
    <w:rsid w:val="005E2936"/>
    <w:rsid w:val="005E2964"/>
    <w:rsid w:val="005E2E5B"/>
    <w:rsid w:val="005E2EA7"/>
    <w:rsid w:val="005E3021"/>
    <w:rsid w:val="005E3077"/>
    <w:rsid w:val="005E309D"/>
    <w:rsid w:val="005E3198"/>
    <w:rsid w:val="005E31FD"/>
    <w:rsid w:val="005E32B8"/>
    <w:rsid w:val="005E33B6"/>
    <w:rsid w:val="005E33C1"/>
    <w:rsid w:val="005E34C5"/>
    <w:rsid w:val="005E3510"/>
    <w:rsid w:val="005E3595"/>
    <w:rsid w:val="005E3613"/>
    <w:rsid w:val="005E36BA"/>
    <w:rsid w:val="005E373E"/>
    <w:rsid w:val="005E3800"/>
    <w:rsid w:val="005E381D"/>
    <w:rsid w:val="005E387C"/>
    <w:rsid w:val="005E3899"/>
    <w:rsid w:val="005E38EA"/>
    <w:rsid w:val="005E3928"/>
    <w:rsid w:val="005E3965"/>
    <w:rsid w:val="005E3A41"/>
    <w:rsid w:val="005E3A5B"/>
    <w:rsid w:val="005E3AF5"/>
    <w:rsid w:val="005E3BC1"/>
    <w:rsid w:val="005E3DFD"/>
    <w:rsid w:val="005E3E25"/>
    <w:rsid w:val="005E3E4D"/>
    <w:rsid w:val="005E3E8A"/>
    <w:rsid w:val="005E3EF7"/>
    <w:rsid w:val="005E3F9D"/>
    <w:rsid w:val="005E3FA7"/>
    <w:rsid w:val="005E3FDB"/>
    <w:rsid w:val="005E4070"/>
    <w:rsid w:val="005E4128"/>
    <w:rsid w:val="005E41A7"/>
    <w:rsid w:val="005E42E2"/>
    <w:rsid w:val="005E446F"/>
    <w:rsid w:val="005E44DE"/>
    <w:rsid w:val="005E4618"/>
    <w:rsid w:val="005E462C"/>
    <w:rsid w:val="005E4634"/>
    <w:rsid w:val="005E4638"/>
    <w:rsid w:val="005E467C"/>
    <w:rsid w:val="005E46EE"/>
    <w:rsid w:val="005E47B1"/>
    <w:rsid w:val="005E4824"/>
    <w:rsid w:val="005E48CB"/>
    <w:rsid w:val="005E48FA"/>
    <w:rsid w:val="005E4959"/>
    <w:rsid w:val="005E4971"/>
    <w:rsid w:val="005E4A05"/>
    <w:rsid w:val="005E4A0F"/>
    <w:rsid w:val="005E4ABC"/>
    <w:rsid w:val="005E4AF3"/>
    <w:rsid w:val="005E4B0D"/>
    <w:rsid w:val="005E4B7A"/>
    <w:rsid w:val="005E4BA5"/>
    <w:rsid w:val="005E4D41"/>
    <w:rsid w:val="005E4D91"/>
    <w:rsid w:val="005E4DC0"/>
    <w:rsid w:val="005E4E8D"/>
    <w:rsid w:val="005E4EC1"/>
    <w:rsid w:val="005E4F05"/>
    <w:rsid w:val="005E4F34"/>
    <w:rsid w:val="005E4FA9"/>
    <w:rsid w:val="005E5071"/>
    <w:rsid w:val="005E51BD"/>
    <w:rsid w:val="005E5211"/>
    <w:rsid w:val="005E527A"/>
    <w:rsid w:val="005E527C"/>
    <w:rsid w:val="005E53F3"/>
    <w:rsid w:val="005E5480"/>
    <w:rsid w:val="005E5495"/>
    <w:rsid w:val="005E54D6"/>
    <w:rsid w:val="005E5554"/>
    <w:rsid w:val="005E565B"/>
    <w:rsid w:val="005E5797"/>
    <w:rsid w:val="005E5934"/>
    <w:rsid w:val="005E594B"/>
    <w:rsid w:val="005E5955"/>
    <w:rsid w:val="005E5A24"/>
    <w:rsid w:val="005E5A38"/>
    <w:rsid w:val="005E5A69"/>
    <w:rsid w:val="005E5ADD"/>
    <w:rsid w:val="005E5C8C"/>
    <w:rsid w:val="005E5D30"/>
    <w:rsid w:val="005E5D67"/>
    <w:rsid w:val="005E5D9B"/>
    <w:rsid w:val="005E5E85"/>
    <w:rsid w:val="005E5EC3"/>
    <w:rsid w:val="005E5F15"/>
    <w:rsid w:val="005E5F56"/>
    <w:rsid w:val="005E5F80"/>
    <w:rsid w:val="005E6024"/>
    <w:rsid w:val="005E606F"/>
    <w:rsid w:val="005E6090"/>
    <w:rsid w:val="005E612F"/>
    <w:rsid w:val="005E6197"/>
    <w:rsid w:val="005E61C6"/>
    <w:rsid w:val="005E62DC"/>
    <w:rsid w:val="005E62E1"/>
    <w:rsid w:val="005E6340"/>
    <w:rsid w:val="005E6380"/>
    <w:rsid w:val="005E643C"/>
    <w:rsid w:val="005E6442"/>
    <w:rsid w:val="005E64B0"/>
    <w:rsid w:val="005E65B6"/>
    <w:rsid w:val="005E6628"/>
    <w:rsid w:val="005E6714"/>
    <w:rsid w:val="005E68B8"/>
    <w:rsid w:val="005E68C8"/>
    <w:rsid w:val="005E6910"/>
    <w:rsid w:val="005E691E"/>
    <w:rsid w:val="005E6995"/>
    <w:rsid w:val="005E69BD"/>
    <w:rsid w:val="005E69CE"/>
    <w:rsid w:val="005E6A43"/>
    <w:rsid w:val="005E6A44"/>
    <w:rsid w:val="005E6B36"/>
    <w:rsid w:val="005E6BBA"/>
    <w:rsid w:val="005E6C16"/>
    <w:rsid w:val="005E6CD1"/>
    <w:rsid w:val="005E6CEE"/>
    <w:rsid w:val="005E6DE3"/>
    <w:rsid w:val="005E6E9B"/>
    <w:rsid w:val="005E6F02"/>
    <w:rsid w:val="005E6F22"/>
    <w:rsid w:val="005E6FCD"/>
    <w:rsid w:val="005E6FE2"/>
    <w:rsid w:val="005E704A"/>
    <w:rsid w:val="005E705F"/>
    <w:rsid w:val="005E70A0"/>
    <w:rsid w:val="005E7127"/>
    <w:rsid w:val="005E71FA"/>
    <w:rsid w:val="005E72E1"/>
    <w:rsid w:val="005E732C"/>
    <w:rsid w:val="005E73EF"/>
    <w:rsid w:val="005E73FC"/>
    <w:rsid w:val="005E744C"/>
    <w:rsid w:val="005E745C"/>
    <w:rsid w:val="005E74AB"/>
    <w:rsid w:val="005E7577"/>
    <w:rsid w:val="005E75B9"/>
    <w:rsid w:val="005E75E8"/>
    <w:rsid w:val="005E763D"/>
    <w:rsid w:val="005E76A2"/>
    <w:rsid w:val="005E7728"/>
    <w:rsid w:val="005E7765"/>
    <w:rsid w:val="005E7837"/>
    <w:rsid w:val="005E78DC"/>
    <w:rsid w:val="005E7911"/>
    <w:rsid w:val="005E7937"/>
    <w:rsid w:val="005E793F"/>
    <w:rsid w:val="005E794E"/>
    <w:rsid w:val="005E7963"/>
    <w:rsid w:val="005E7AC0"/>
    <w:rsid w:val="005E7AFD"/>
    <w:rsid w:val="005E7B8F"/>
    <w:rsid w:val="005E7B9E"/>
    <w:rsid w:val="005E7BB6"/>
    <w:rsid w:val="005E7BEF"/>
    <w:rsid w:val="005E7BF8"/>
    <w:rsid w:val="005E7C51"/>
    <w:rsid w:val="005E7C5C"/>
    <w:rsid w:val="005E7D38"/>
    <w:rsid w:val="005E7D63"/>
    <w:rsid w:val="005E7DA1"/>
    <w:rsid w:val="005E7DCF"/>
    <w:rsid w:val="005E7E18"/>
    <w:rsid w:val="005E7E38"/>
    <w:rsid w:val="005E7F1C"/>
    <w:rsid w:val="005E7F90"/>
    <w:rsid w:val="005F0043"/>
    <w:rsid w:val="005F00A9"/>
    <w:rsid w:val="005F00B9"/>
    <w:rsid w:val="005F011D"/>
    <w:rsid w:val="005F0129"/>
    <w:rsid w:val="005F0178"/>
    <w:rsid w:val="005F01C1"/>
    <w:rsid w:val="005F03B7"/>
    <w:rsid w:val="005F03D6"/>
    <w:rsid w:val="005F0466"/>
    <w:rsid w:val="005F05C6"/>
    <w:rsid w:val="005F0685"/>
    <w:rsid w:val="005F0717"/>
    <w:rsid w:val="005F0754"/>
    <w:rsid w:val="005F0838"/>
    <w:rsid w:val="005F0890"/>
    <w:rsid w:val="005F08EC"/>
    <w:rsid w:val="005F0A25"/>
    <w:rsid w:val="005F0B37"/>
    <w:rsid w:val="005F0B65"/>
    <w:rsid w:val="005F0B87"/>
    <w:rsid w:val="005F0BB0"/>
    <w:rsid w:val="005F0C18"/>
    <w:rsid w:val="005F0CB4"/>
    <w:rsid w:val="005F0CD0"/>
    <w:rsid w:val="005F0CE8"/>
    <w:rsid w:val="005F0DB9"/>
    <w:rsid w:val="005F0E99"/>
    <w:rsid w:val="005F0FB3"/>
    <w:rsid w:val="005F0FB4"/>
    <w:rsid w:val="005F1056"/>
    <w:rsid w:val="005F108A"/>
    <w:rsid w:val="005F10E0"/>
    <w:rsid w:val="005F12E1"/>
    <w:rsid w:val="005F14F9"/>
    <w:rsid w:val="005F1509"/>
    <w:rsid w:val="005F1537"/>
    <w:rsid w:val="005F154C"/>
    <w:rsid w:val="005F15FF"/>
    <w:rsid w:val="005F16D3"/>
    <w:rsid w:val="005F174B"/>
    <w:rsid w:val="005F181F"/>
    <w:rsid w:val="005F1861"/>
    <w:rsid w:val="005F18B4"/>
    <w:rsid w:val="005F1B13"/>
    <w:rsid w:val="005F1B18"/>
    <w:rsid w:val="005F1B7B"/>
    <w:rsid w:val="005F1B7E"/>
    <w:rsid w:val="005F1BE1"/>
    <w:rsid w:val="005F1C1C"/>
    <w:rsid w:val="005F1D0A"/>
    <w:rsid w:val="005F1DAC"/>
    <w:rsid w:val="005F1E91"/>
    <w:rsid w:val="005F1EA6"/>
    <w:rsid w:val="005F1F92"/>
    <w:rsid w:val="005F2025"/>
    <w:rsid w:val="005F202F"/>
    <w:rsid w:val="005F2089"/>
    <w:rsid w:val="005F20DE"/>
    <w:rsid w:val="005F218C"/>
    <w:rsid w:val="005F231B"/>
    <w:rsid w:val="005F2324"/>
    <w:rsid w:val="005F232F"/>
    <w:rsid w:val="005F2437"/>
    <w:rsid w:val="005F24B0"/>
    <w:rsid w:val="005F24D6"/>
    <w:rsid w:val="005F250B"/>
    <w:rsid w:val="005F2689"/>
    <w:rsid w:val="005F26DC"/>
    <w:rsid w:val="005F2788"/>
    <w:rsid w:val="005F2798"/>
    <w:rsid w:val="005F27CF"/>
    <w:rsid w:val="005F27ED"/>
    <w:rsid w:val="005F29C7"/>
    <w:rsid w:val="005F29E5"/>
    <w:rsid w:val="005F2A0B"/>
    <w:rsid w:val="005F2AB0"/>
    <w:rsid w:val="005F2B6B"/>
    <w:rsid w:val="005F2D99"/>
    <w:rsid w:val="005F2DE4"/>
    <w:rsid w:val="005F2E0B"/>
    <w:rsid w:val="005F2E2B"/>
    <w:rsid w:val="005F2EAD"/>
    <w:rsid w:val="005F2FFF"/>
    <w:rsid w:val="005F3172"/>
    <w:rsid w:val="005F3234"/>
    <w:rsid w:val="005F32AF"/>
    <w:rsid w:val="005F3431"/>
    <w:rsid w:val="005F344D"/>
    <w:rsid w:val="005F34C4"/>
    <w:rsid w:val="005F34CC"/>
    <w:rsid w:val="005F351C"/>
    <w:rsid w:val="005F361F"/>
    <w:rsid w:val="005F3630"/>
    <w:rsid w:val="005F36C2"/>
    <w:rsid w:val="005F375E"/>
    <w:rsid w:val="005F37AF"/>
    <w:rsid w:val="005F37F8"/>
    <w:rsid w:val="005F3800"/>
    <w:rsid w:val="005F3952"/>
    <w:rsid w:val="005F39B6"/>
    <w:rsid w:val="005F39CF"/>
    <w:rsid w:val="005F3A2A"/>
    <w:rsid w:val="005F3AA2"/>
    <w:rsid w:val="005F3ACA"/>
    <w:rsid w:val="005F3B79"/>
    <w:rsid w:val="005F3B84"/>
    <w:rsid w:val="005F3C13"/>
    <w:rsid w:val="005F3C5F"/>
    <w:rsid w:val="005F3CFD"/>
    <w:rsid w:val="005F3D5D"/>
    <w:rsid w:val="005F3EB9"/>
    <w:rsid w:val="005F3EC9"/>
    <w:rsid w:val="005F3F0A"/>
    <w:rsid w:val="005F4034"/>
    <w:rsid w:val="005F4130"/>
    <w:rsid w:val="005F4145"/>
    <w:rsid w:val="005F4180"/>
    <w:rsid w:val="005F41BC"/>
    <w:rsid w:val="005F429D"/>
    <w:rsid w:val="005F42F1"/>
    <w:rsid w:val="005F42F3"/>
    <w:rsid w:val="005F436B"/>
    <w:rsid w:val="005F4460"/>
    <w:rsid w:val="005F4471"/>
    <w:rsid w:val="005F44A3"/>
    <w:rsid w:val="005F4523"/>
    <w:rsid w:val="005F452D"/>
    <w:rsid w:val="005F47C6"/>
    <w:rsid w:val="005F4816"/>
    <w:rsid w:val="005F4838"/>
    <w:rsid w:val="005F4861"/>
    <w:rsid w:val="005F4885"/>
    <w:rsid w:val="005F4893"/>
    <w:rsid w:val="005F4A86"/>
    <w:rsid w:val="005F4AA5"/>
    <w:rsid w:val="005F4E0E"/>
    <w:rsid w:val="005F4E61"/>
    <w:rsid w:val="005F4E90"/>
    <w:rsid w:val="005F4EE2"/>
    <w:rsid w:val="005F4F45"/>
    <w:rsid w:val="005F5079"/>
    <w:rsid w:val="005F51BF"/>
    <w:rsid w:val="005F5257"/>
    <w:rsid w:val="005F52AA"/>
    <w:rsid w:val="005F52CD"/>
    <w:rsid w:val="005F52DE"/>
    <w:rsid w:val="005F534B"/>
    <w:rsid w:val="005F5368"/>
    <w:rsid w:val="005F5373"/>
    <w:rsid w:val="005F53C1"/>
    <w:rsid w:val="005F53D9"/>
    <w:rsid w:val="005F541F"/>
    <w:rsid w:val="005F5608"/>
    <w:rsid w:val="005F56D2"/>
    <w:rsid w:val="005F5755"/>
    <w:rsid w:val="005F578B"/>
    <w:rsid w:val="005F5810"/>
    <w:rsid w:val="005F58DF"/>
    <w:rsid w:val="005F58F6"/>
    <w:rsid w:val="005F5912"/>
    <w:rsid w:val="005F5983"/>
    <w:rsid w:val="005F5A0B"/>
    <w:rsid w:val="005F5A3E"/>
    <w:rsid w:val="005F5A52"/>
    <w:rsid w:val="005F5BA3"/>
    <w:rsid w:val="005F5BBB"/>
    <w:rsid w:val="005F5C45"/>
    <w:rsid w:val="005F5CF7"/>
    <w:rsid w:val="005F5D62"/>
    <w:rsid w:val="005F5DA8"/>
    <w:rsid w:val="005F5DCF"/>
    <w:rsid w:val="005F5E01"/>
    <w:rsid w:val="005F5E37"/>
    <w:rsid w:val="005F5E62"/>
    <w:rsid w:val="005F5E65"/>
    <w:rsid w:val="005F5E6F"/>
    <w:rsid w:val="005F5EDC"/>
    <w:rsid w:val="005F5EFB"/>
    <w:rsid w:val="005F5F61"/>
    <w:rsid w:val="005F5FA3"/>
    <w:rsid w:val="005F5FDE"/>
    <w:rsid w:val="005F5FF9"/>
    <w:rsid w:val="005F6053"/>
    <w:rsid w:val="005F6070"/>
    <w:rsid w:val="005F620A"/>
    <w:rsid w:val="005F628D"/>
    <w:rsid w:val="005F62AC"/>
    <w:rsid w:val="005F62BF"/>
    <w:rsid w:val="005F63EA"/>
    <w:rsid w:val="005F6498"/>
    <w:rsid w:val="005F652B"/>
    <w:rsid w:val="005F6572"/>
    <w:rsid w:val="005F6596"/>
    <w:rsid w:val="005F65C8"/>
    <w:rsid w:val="005F6609"/>
    <w:rsid w:val="005F66CF"/>
    <w:rsid w:val="005F68AD"/>
    <w:rsid w:val="005F68E2"/>
    <w:rsid w:val="005F6903"/>
    <w:rsid w:val="005F692A"/>
    <w:rsid w:val="005F6A24"/>
    <w:rsid w:val="005F6A27"/>
    <w:rsid w:val="005F6AE8"/>
    <w:rsid w:val="005F6B11"/>
    <w:rsid w:val="005F6B27"/>
    <w:rsid w:val="005F6B4A"/>
    <w:rsid w:val="005F6B66"/>
    <w:rsid w:val="005F6C83"/>
    <w:rsid w:val="005F6D5C"/>
    <w:rsid w:val="005F6E65"/>
    <w:rsid w:val="005F6E85"/>
    <w:rsid w:val="005F6EA9"/>
    <w:rsid w:val="005F6ECE"/>
    <w:rsid w:val="005F6EFC"/>
    <w:rsid w:val="005F6F70"/>
    <w:rsid w:val="005F707C"/>
    <w:rsid w:val="005F70CB"/>
    <w:rsid w:val="005F70EA"/>
    <w:rsid w:val="005F714A"/>
    <w:rsid w:val="005F7163"/>
    <w:rsid w:val="005F726B"/>
    <w:rsid w:val="005F72CE"/>
    <w:rsid w:val="005F73E8"/>
    <w:rsid w:val="005F74F6"/>
    <w:rsid w:val="005F7511"/>
    <w:rsid w:val="005F751C"/>
    <w:rsid w:val="005F75D0"/>
    <w:rsid w:val="005F75F2"/>
    <w:rsid w:val="005F7777"/>
    <w:rsid w:val="005F7849"/>
    <w:rsid w:val="005F7A02"/>
    <w:rsid w:val="005F7C5A"/>
    <w:rsid w:val="005F7CC0"/>
    <w:rsid w:val="005F7D4C"/>
    <w:rsid w:val="005F7E85"/>
    <w:rsid w:val="005F7E8E"/>
    <w:rsid w:val="005F7F0F"/>
    <w:rsid w:val="005F7F14"/>
    <w:rsid w:val="005F7F56"/>
    <w:rsid w:val="005F7F99"/>
    <w:rsid w:val="0060005F"/>
    <w:rsid w:val="0060017F"/>
    <w:rsid w:val="006001A0"/>
    <w:rsid w:val="00600242"/>
    <w:rsid w:val="00600250"/>
    <w:rsid w:val="00600320"/>
    <w:rsid w:val="00600331"/>
    <w:rsid w:val="0060034C"/>
    <w:rsid w:val="00600375"/>
    <w:rsid w:val="006003F0"/>
    <w:rsid w:val="00600634"/>
    <w:rsid w:val="006006B2"/>
    <w:rsid w:val="0060075C"/>
    <w:rsid w:val="00600802"/>
    <w:rsid w:val="00600B67"/>
    <w:rsid w:val="00600BA3"/>
    <w:rsid w:val="00600C11"/>
    <w:rsid w:val="00600C49"/>
    <w:rsid w:val="00600CD0"/>
    <w:rsid w:val="00600CEA"/>
    <w:rsid w:val="00600D4A"/>
    <w:rsid w:val="00600D94"/>
    <w:rsid w:val="00600DE4"/>
    <w:rsid w:val="00600E55"/>
    <w:rsid w:val="00600EA0"/>
    <w:rsid w:val="00600ECB"/>
    <w:rsid w:val="00600F01"/>
    <w:rsid w:val="00600FCE"/>
    <w:rsid w:val="00601098"/>
    <w:rsid w:val="006010A3"/>
    <w:rsid w:val="006010B8"/>
    <w:rsid w:val="0060113B"/>
    <w:rsid w:val="00601189"/>
    <w:rsid w:val="006011BB"/>
    <w:rsid w:val="0060120D"/>
    <w:rsid w:val="00601236"/>
    <w:rsid w:val="00601293"/>
    <w:rsid w:val="006012B9"/>
    <w:rsid w:val="006012E3"/>
    <w:rsid w:val="00601382"/>
    <w:rsid w:val="00601460"/>
    <w:rsid w:val="006016C0"/>
    <w:rsid w:val="006016D7"/>
    <w:rsid w:val="0060171C"/>
    <w:rsid w:val="00601721"/>
    <w:rsid w:val="006017B4"/>
    <w:rsid w:val="00601888"/>
    <w:rsid w:val="006018E4"/>
    <w:rsid w:val="00601946"/>
    <w:rsid w:val="00601A2A"/>
    <w:rsid w:val="00601AA6"/>
    <w:rsid w:val="00601B57"/>
    <w:rsid w:val="00601BA0"/>
    <w:rsid w:val="00601BA1"/>
    <w:rsid w:val="00601BB1"/>
    <w:rsid w:val="00601C26"/>
    <w:rsid w:val="00601C85"/>
    <w:rsid w:val="00601D24"/>
    <w:rsid w:val="00601D31"/>
    <w:rsid w:val="00601D4D"/>
    <w:rsid w:val="00601D66"/>
    <w:rsid w:val="00601DCF"/>
    <w:rsid w:val="00601DF2"/>
    <w:rsid w:val="00601E6A"/>
    <w:rsid w:val="00601E74"/>
    <w:rsid w:val="00601E7E"/>
    <w:rsid w:val="00601F3C"/>
    <w:rsid w:val="00601FE2"/>
    <w:rsid w:val="0060208D"/>
    <w:rsid w:val="006020AF"/>
    <w:rsid w:val="006020EE"/>
    <w:rsid w:val="00602103"/>
    <w:rsid w:val="00602123"/>
    <w:rsid w:val="006021B4"/>
    <w:rsid w:val="00602200"/>
    <w:rsid w:val="00602283"/>
    <w:rsid w:val="006023E0"/>
    <w:rsid w:val="006024AB"/>
    <w:rsid w:val="00602602"/>
    <w:rsid w:val="0060266A"/>
    <w:rsid w:val="0060267C"/>
    <w:rsid w:val="006026A3"/>
    <w:rsid w:val="006026CC"/>
    <w:rsid w:val="006026ED"/>
    <w:rsid w:val="0060270A"/>
    <w:rsid w:val="006027B3"/>
    <w:rsid w:val="0060284D"/>
    <w:rsid w:val="0060286F"/>
    <w:rsid w:val="0060287B"/>
    <w:rsid w:val="00602896"/>
    <w:rsid w:val="006028B0"/>
    <w:rsid w:val="00602929"/>
    <w:rsid w:val="00602A04"/>
    <w:rsid w:val="00602A42"/>
    <w:rsid w:val="00602A4E"/>
    <w:rsid w:val="00602BD8"/>
    <w:rsid w:val="00602C26"/>
    <w:rsid w:val="00602C52"/>
    <w:rsid w:val="00602C99"/>
    <w:rsid w:val="00602E27"/>
    <w:rsid w:val="00602ED6"/>
    <w:rsid w:val="00602F59"/>
    <w:rsid w:val="00602FD3"/>
    <w:rsid w:val="00603003"/>
    <w:rsid w:val="006030AD"/>
    <w:rsid w:val="006030D0"/>
    <w:rsid w:val="006030E1"/>
    <w:rsid w:val="006031CC"/>
    <w:rsid w:val="006031DF"/>
    <w:rsid w:val="00603210"/>
    <w:rsid w:val="00603266"/>
    <w:rsid w:val="00603361"/>
    <w:rsid w:val="0060351A"/>
    <w:rsid w:val="00603545"/>
    <w:rsid w:val="006035B7"/>
    <w:rsid w:val="0060366B"/>
    <w:rsid w:val="006036B1"/>
    <w:rsid w:val="00603749"/>
    <w:rsid w:val="0060374F"/>
    <w:rsid w:val="006037E1"/>
    <w:rsid w:val="006037E8"/>
    <w:rsid w:val="006037F1"/>
    <w:rsid w:val="00603856"/>
    <w:rsid w:val="0060385F"/>
    <w:rsid w:val="006038BC"/>
    <w:rsid w:val="006038CC"/>
    <w:rsid w:val="006039C1"/>
    <w:rsid w:val="00603A06"/>
    <w:rsid w:val="00603AB2"/>
    <w:rsid w:val="00603B92"/>
    <w:rsid w:val="00603BC1"/>
    <w:rsid w:val="00603BF8"/>
    <w:rsid w:val="00603D14"/>
    <w:rsid w:val="00603D43"/>
    <w:rsid w:val="00603D76"/>
    <w:rsid w:val="00603D9B"/>
    <w:rsid w:val="00603D9C"/>
    <w:rsid w:val="00603E0A"/>
    <w:rsid w:val="00603E28"/>
    <w:rsid w:val="00603E7C"/>
    <w:rsid w:val="00603ED0"/>
    <w:rsid w:val="0060400C"/>
    <w:rsid w:val="00604054"/>
    <w:rsid w:val="006040A5"/>
    <w:rsid w:val="006040A9"/>
    <w:rsid w:val="006040F8"/>
    <w:rsid w:val="00604132"/>
    <w:rsid w:val="0060420A"/>
    <w:rsid w:val="006042BA"/>
    <w:rsid w:val="00604374"/>
    <w:rsid w:val="006043A6"/>
    <w:rsid w:val="0060445A"/>
    <w:rsid w:val="0060452F"/>
    <w:rsid w:val="0060459B"/>
    <w:rsid w:val="00604600"/>
    <w:rsid w:val="00604688"/>
    <w:rsid w:val="006046B0"/>
    <w:rsid w:val="006046D4"/>
    <w:rsid w:val="0060471D"/>
    <w:rsid w:val="00604878"/>
    <w:rsid w:val="00604893"/>
    <w:rsid w:val="006048F6"/>
    <w:rsid w:val="00604908"/>
    <w:rsid w:val="0060491F"/>
    <w:rsid w:val="00604927"/>
    <w:rsid w:val="00604A3D"/>
    <w:rsid w:val="00604AC2"/>
    <w:rsid w:val="00604B48"/>
    <w:rsid w:val="00604B4C"/>
    <w:rsid w:val="00604B8A"/>
    <w:rsid w:val="00604CAC"/>
    <w:rsid w:val="00604D45"/>
    <w:rsid w:val="00604D46"/>
    <w:rsid w:val="00604ED5"/>
    <w:rsid w:val="00604EED"/>
    <w:rsid w:val="00604F06"/>
    <w:rsid w:val="00604F0D"/>
    <w:rsid w:val="00604F14"/>
    <w:rsid w:val="00604F9B"/>
    <w:rsid w:val="00604FF4"/>
    <w:rsid w:val="00605033"/>
    <w:rsid w:val="0060511B"/>
    <w:rsid w:val="00605130"/>
    <w:rsid w:val="0060513A"/>
    <w:rsid w:val="00605191"/>
    <w:rsid w:val="006051D2"/>
    <w:rsid w:val="0060524B"/>
    <w:rsid w:val="00605256"/>
    <w:rsid w:val="00605298"/>
    <w:rsid w:val="006053AD"/>
    <w:rsid w:val="006053DA"/>
    <w:rsid w:val="00605434"/>
    <w:rsid w:val="00605507"/>
    <w:rsid w:val="0060551A"/>
    <w:rsid w:val="00605608"/>
    <w:rsid w:val="006056DD"/>
    <w:rsid w:val="006056E5"/>
    <w:rsid w:val="006056FF"/>
    <w:rsid w:val="00605726"/>
    <w:rsid w:val="00605758"/>
    <w:rsid w:val="006057F0"/>
    <w:rsid w:val="006058B8"/>
    <w:rsid w:val="00605A53"/>
    <w:rsid w:val="00605AAB"/>
    <w:rsid w:val="00605B5B"/>
    <w:rsid w:val="00605C0D"/>
    <w:rsid w:val="00605CDA"/>
    <w:rsid w:val="00605D4E"/>
    <w:rsid w:val="00605DAD"/>
    <w:rsid w:val="00605E87"/>
    <w:rsid w:val="00605EE1"/>
    <w:rsid w:val="00605F83"/>
    <w:rsid w:val="00605FDA"/>
    <w:rsid w:val="00605FE6"/>
    <w:rsid w:val="0060602D"/>
    <w:rsid w:val="00606066"/>
    <w:rsid w:val="00606087"/>
    <w:rsid w:val="006060AF"/>
    <w:rsid w:val="0060615F"/>
    <w:rsid w:val="006061D5"/>
    <w:rsid w:val="0060628A"/>
    <w:rsid w:val="006062D8"/>
    <w:rsid w:val="00606477"/>
    <w:rsid w:val="00606524"/>
    <w:rsid w:val="00606590"/>
    <w:rsid w:val="00606599"/>
    <w:rsid w:val="006065D2"/>
    <w:rsid w:val="00606668"/>
    <w:rsid w:val="00606678"/>
    <w:rsid w:val="006066AC"/>
    <w:rsid w:val="006066DD"/>
    <w:rsid w:val="00606767"/>
    <w:rsid w:val="0060676E"/>
    <w:rsid w:val="0060677F"/>
    <w:rsid w:val="00606814"/>
    <w:rsid w:val="00606827"/>
    <w:rsid w:val="00606945"/>
    <w:rsid w:val="0060698F"/>
    <w:rsid w:val="00606A00"/>
    <w:rsid w:val="00606A1F"/>
    <w:rsid w:val="00606AA1"/>
    <w:rsid w:val="00606AAE"/>
    <w:rsid w:val="00606BC4"/>
    <w:rsid w:val="00606BCC"/>
    <w:rsid w:val="00606C84"/>
    <w:rsid w:val="00606C92"/>
    <w:rsid w:val="00606DDE"/>
    <w:rsid w:val="00606EC9"/>
    <w:rsid w:val="00606F78"/>
    <w:rsid w:val="00606F7D"/>
    <w:rsid w:val="00606FD0"/>
    <w:rsid w:val="0060703B"/>
    <w:rsid w:val="00607067"/>
    <w:rsid w:val="006070B5"/>
    <w:rsid w:val="006070C6"/>
    <w:rsid w:val="006070D2"/>
    <w:rsid w:val="00607159"/>
    <w:rsid w:val="006071ED"/>
    <w:rsid w:val="0060725E"/>
    <w:rsid w:val="00607298"/>
    <w:rsid w:val="006072EF"/>
    <w:rsid w:val="00607321"/>
    <w:rsid w:val="0060735B"/>
    <w:rsid w:val="00607376"/>
    <w:rsid w:val="006073DD"/>
    <w:rsid w:val="006074B0"/>
    <w:rsid w:val="006074C3"/>
    <w:rsid w:val="006074E3"/>
    <w:rsid w:val="00607671"/>
    <w:rsid w:val="0060771F"/>
    <w:rsid w:val="00607739"/>
    <w:rsid w:val="006077BC"/>
    <w:rsid w:val="006077F9"/>
    <w:rsid w:val="00607800"/>
    <w:rsid w:val="0060781F"/>
    <w:rsid w:val="00607830"/>
    <w:rsid w:val="0060783C"/>
    <w:rsid w:val="006078CD"/>
    <w:rsid w:val="006078EE"/>
    <w:rsid w:val="00607925"/>
    <w:rsid w:val="006079DC"/>
    <w:rsid w:val="00607A9F"/>
    <w:rsid w:val="00607AB6"/>
    <w:rsid w:val="00607AD8"/>
    <w:rsid w:val="00607AFF"/>
    <w:rsid w:val="00607B49"/>
    <w:rsid w:val="00607C62"/>
    <w:rsid w:val="00607CB4"/>
    <w:rsid w:val="00607D10"/>
    <w:rsid w:val="00607D56"/>
    <w:rsid w:val="00607DC6"/>
    <w:rsid w:val="00607EDC"/>
    <w:rsid w:val="00607F57"/>
    <w:rsid w:val="00607F66"/>
    <w:rsid w:val="00607FA6"/>
    <w:rsid w:val="006100A4"/>
    <w:rsid w:val="006100C8"/>
    <w:rsid w:val="006100D1"/>
    <w:rsid w:val="0061010C"/>
    <w:rsid w:val="0061010D"/>
    <w:rsid w:val="006101BA"/>
    <w:rsid w:val="006101D0"/>
    <w:rsid w:val="00610202"/>
    <w:rsid w:val="006103D3"/>
    <w:rsid w:val="00610423"/>
    <w:rsid w:val="006104A8"/>
    <w:rsid w:val="00610507"/>
    <w:rsid w:val="00610519"/>
    <w:rsid w:val="0061053B"/>
    <w:rsid w:val="0061071E"/>
    <w:rsid w:val="0061073F"/>
    <w:rsid w:val="0061074B"/>
    <w:rsid w:val="006107B4"/>
    <w:rsid w:val="006107D9"/>
    <w:rsid w:val="00610856"/>
    <w:rsid w:val="0061087E"/>
    <w:rsid w:val="006108CC"/>
    <w:rsid w:val="00610919"/>
    <w:rsid w:val="00610ADD"/>
    <w:rsid w:val="00610B7C"/>
    <w:rsid w:val="00610BBA"/>
    <w:rsid w:val="00610BD8"/>
    <w:rsid w:val="00610BE1"/>
    <w:rsid w:val="00610BE4"/>
    <w:rsid w:val="00610C43"/>
    <w:rsid w:val="00610D58"/>
    <w:rsid w:val="00610D5D"/>
    <w:rsid w:val="00610E2B"/>
    <w:rsid w:val="00610E53"/>
    <w:rsid w:val="00610E9F"/>
    <w:rsid w:val="00610EF9"/>
    <w:rsid w:val="00610F75"/>
    <w:rsid w:val="0061101F"/>
    <w:rsid w:val="00611025"/>
    <w:rsid w:val="0061103D"/>
    <w:rsid w:val="00611062"/>
    <w:rsid w:val="00611091"/>
    <w:rsid w:val="006110EB"/>
    <w:rsid w:val="0061123C"/>
    <w:rsid w:val="0061125D"/>
    <w:rsid w:val="006112C2"/>
    <w:rsid w:val="00611322"/>
    <w:rsid w:val="006113E5"/>
    <w:rsid w:val="0061156A"/>
    <w:rsid w:val="0061164E"/>
    <w:rsid w:val="00611673"/>
    <w:rsid w:val="0061169F"/>
    <w:rsid w:val="006116B2"/>
    <w:rsid w:val="00611729"/>
    <w:rsid w:val="0061172F"/>
    <w:rsid w:val="00611737"/>
    <w:rsid w:val="00611762"/>
    <w:rsid w:val="006117E2"/>
    <w:rsid w:val="00611876"/>
    <w:rsid w:val="00611878"/>
    <w:rsid w:val="00611890"/>
    <w:rsid w:val="006118A6"/>
    <w:rsid w:val="006118C8"/>
    <w:rsid w:val="006118FB"/>
    <w:rsid w:val="006119A8"/>
    <w:rsid w:val="00611A75"/>
    <w:rsid w:val="00611A7E"/>
    <w:rsid w:val="00611A92"/>
    <w:rsid w:val="00611AD9"/>
    <w:rsid w:val="00611B1D"/>
    <w:rsid w:val="00611B47"/>
    <w:rsid w:val="00611BAF"/>
    <w:rsid w:val="00611BEB"/>
    <w:rsid w:val="00611C07"/>
    <w:rsid w:val="00611C27"/>
    <w:rsid w:val="00611C9F"/>
    <w:rsid w:val="00611CA6"/>
    <w:rsid w:val="00611CC4"/>
    <w:rsid w:val="00611D0D"/>
    <w:rsid w:val="00611D1A"/>
    <w:rsid w:val="00611DB9"/>
    <w:rsid w:val="00611DBE"/>
    <w:rsid w:val="00611DD3"/>
    <w:rsid w:val="00611F32"/>
    <w:rsid w:val="00611FB7"/>
    <w:rsid w:val="00612016"/>
    <w:rsid w:val="0061202A"/>
    <w:rsid w:val="006120BB"/>
    <w:rsid w:val="00612122"/>
    <w:rsid w:val="0061213B"/>
    <w:rsid w:val="00612164"/>
    <w:rsid w:val="006122AD"/>
    <w:rsid w:val="006122D1"/>
    <w:rsid w:val="006122DF"/>
    <w:rsid w:val="00612307"/>
    <w:rsid w:val="00612322"/>
    <w:rsid w:val="00612327"/>
    <w:rsid w:val="0061233E"/>
    <w:rsid w:val="006123A4"/>
    <w:rsid w:val="006123D8"/>
    <w:rsid w:val="006124FF"/>
    <w:rsid w:val="00612534"/>
    <w:rsid w:val="006125C2"/>
    <w:rsid w:val="006125FB"/>
    <w:rsid w:val="006126D8"/>
    <w:rsid w:val="0061288A"/>
    <w:rsid w:val="00612915"/>
    <w:rsid w:val="00612926"/>
    <w:rsid w:val="00612947"/>
    <w:rsid w:val="006129A5"/>
    <w:rsid w:val="006129DC"/>
    <w:rsid w:val="006129EF"/>
    <w:rsid w:val="00612A9A"/>
    <w:rsid w:val="00612AE2"/>
    <w:rsid w:val="00612B17"/>
    <w:rsid w:val="00612CA4"/>
    <w:rsid w:val="00612DE1"/>
    <w:rsid w:val="00612E2F"/>
    <w:rsid w:val="00612E52"/>
    <w:rsid w:val="00612E9A"/>
    <w:rsid w:val="00612EAC"/>
    <w:rsid w:val="00612F00"/>
    <w:rsid w:val="00612F69"/>
    <w:rsid w:val="00612F6D"/>
    <w:rsid w:val="00612FBF"/>
    <w:rsid w:val="0061306C"/>
    <w:rsid w:val="0061310E"/>
    <w:rsid w:val="006131C1"/>
    <w:rsid w:val="00613264"/>
    <w:rsid w:val="00613265"/>
    <w:rsid w:val="006132AA"/>
    <w:rsid w:val="006132AB"/>
    <w:rsid w:val="0061332A"/>
    <w:rsid w:val="00613399"/>
    <w:rsid w:val="0061339D"/>
    <w:rsid w:val="0061342B"/>
    <w:rsid w:val="00613494"/>
    <w:rsid w:val="006134BD"/>
    <w:rsid w:val="006134E8"/>
    <w:rsid w:val="0061364C"/>
    <w:rsid w:val="00613666"/>
    <w:rsid w:val="00613674"/>
    <w:rsid w:val="00613686"/>
    <w:rsid w:val="0061370E"/>
    <w:rsid w:val="00613712"/>
    <w:rsid w:val="006138DB"/>
    <w:rsid w:val="00613A15"/>
    <w:rsid w:val="00613A56"/>
    <w:rsid w:val="00613A7E"/>
    <w:rsid w:val="00613AD9"/>
    <w:rsid w:val="00613C78"/>
    <w:rsid w:val="00613D39"/>
    <w:rsid w:val="00613ECF"/>
    <w:rsid w:val="00613F65"/>
    <w:rsid w:val="00613F6F"/>
    <w:rsid w:val="00613FAA"/>
    <w:rsid w:val="00614001"/>
    <w:rsid w:val="00614029"/>
    <w:rsid w:val="0061402C"/>
    <w:rsid w:val="0061404C"/>
    <w:rsid w:val="006140AF"/>
    <w:rsid w:val="00614131"/>
    <w:rsid w:val="00614139"/>
    <w:rsid w:val="006141D0"/>
    <w:rsid w:val="00614243"/>
    <w:rsid w:val="00614251"/>
    <w:rsid w:val="00614289"/>
    <w:rsid w:val="00614306"/>
    <w:rsid w:val="00614459"/>
    <w:rsid w:val="006144B5"/>
    <w:rsid w:val="006144DF"/>
    <w:rsid w:val="006144EB"/>
    <w:rsid w:val="006144F5"/>
    <w:rsid w:val="00614555"/>
    <w:rsid w:val="0061456C"/>
    <w:rsid w:val="006146A6"/>
    <w:rsid w:val="006146DB"/>
    <w:rsid w:val="00614705"/>
    <w:rsid w:val="006148C2"/>
    <w:rsid w:val="006148C5"/>
    <w:rsid w:val="00614A75"/>
    <w:rsid w:val="00614BBE"/>
    <w:rsid w:val="00614BEF"/>
    <w:rsid w:val="00614C36"/>
    <w:rsid w:val="00614C4E"/>
    <w:rsid w:val="00614CB6"/>
    <w:rsid w:val="00614E73"/>
    <w:rsid w:val="00614EA9"/>
    <w:rsid w:val="00614EB8"/>
    <w:rsid w:val="00614EC3"/>
    <w:rsid w:val="00614FC8"/>
    <w:rsid w:val="00615000"/>
    <w:rsid w:val="006150A6"/>
    <w:rsid w:val="0061511A"/>
    <w:rsid w:val="0061513C"/>
    <w:rsid w:val="006151F3"/>
    <w:rsid w:val="00615228"/>
    <w:rsid w:val="0061524D"/>
    <w:rsid w:val="00615258"/>
    <w:rsid w:val="00615340"/>
    <w:rsid w:val="006153B4"/>
    <w:rsid w:val="006153DB"/>
    <w:rsid w:val="006154CF"/>
    <w:rsid w:val="00615554"/>
    <w:rsid w:val="006155D9"/>
    <w:rsid w:val="006155E4"/>
    <w:rsid w:val="006155F3"/>
    <w:rsid w:val="00615700"/>
    <w:rsid w:val="006157C5"/>
    <w:rsid w:val="0061597B"/>
    <w:rsid w:val="0061599F"/>
    <w:rsid w:val="006159A1"/>
    <w:rsid w:val="00615A04"/>
    <w:rsid w:val="00615A20"/>
    <w:rsid w:val="00615ADE"/>
    <w:rsid w:val="00615C53"/>
    <w:rsid w:val="00615C8D"/>
    <w:rsid w:val="00615D9C"/>
    <w:rsid w:val="00615EDA"/>
    <w:rsid w:val="00615FF0"/>
    <w:rsid w:val="0061607D"/>
    <w:rsid w:val="006161F5"/>
    <w:rsid w:val="0061624F"/>
    <w:rsid w:val="0061625F"/>
    <w:rsid w:val="006162F6"/>
    <w:rsid w:val="0061644E"/>
    <w:rsid w:val="006164EB"/>
    <w:rsid w:val="00616514"/>
    <w:rsid w:val="00616533"/>
    <w:rsid w:val="00616551"/>
    <w:rsid w:val="00616556"/>
    <w:rsid w:val="0061656E"/>
    <w:rsid w:val="0061657C"/>
    <w:rsid w:val="0061658E"/>
    <w:rsid w:val="00616594"/>
    <w:rsid w:val="006165AD"/>
    <w:rsid w:val="006167F2"/>
    <w:rsid w:val="00616802"/>
    <w:rsid w:val="00616831"/>
    <w:rsid w:val="00616898"/>
    <w:rsid w:val="0061695D"/>
    <w:rsid w:val="00616997"/>
    <w:rsid w:val="00616A71"/>
    <w:rsid w:val="00616AFA"/>
    <w:rsid w:val="00616B44"/>
    <w:rsid w:val="00616BD4"/>
    <w:rsid w:val="00616BDA"/>
    <w:rsid w:val="00616D64"/>
    <w:rsid w:val="00616DD4"/>
    <w:rsid w:val="00616EA6"/>
    <w:rsid w:val="00616EC8"/>
    <w:rsid w:val="00616F22"/>
    <w:rsid w:val="00616F25"/>
    <w:rsid w:val="00616F4C"/>
    <w:rsid w:val="00617072"/>
    <w:rsid w:val="006170AF"/>
    <w:rsid w:val="00617117"/>
    <w:rsid w:val="006171F8"/>
    <w:rsid w:val="0061732C"/>
    <w:rsid w:val="0061733B"/>
    <w:rsid w:val="006173B0"/>
    <w:rsid w:val="006173CC"/>
    <w:rsid w:val="0061741B"/>
    <w:rsid w:val="00617455"/>
    <w:rsid w:val="00617516"/>
    <w:rsid w:val="00617534"/>
    <w:rsid w:val="0061756F"/>
    <w:rsid w:val="0061760E"/>
    <w:rsid w:val="00617727"/>
    <w:rsid w:val="006177EE"/>
    <w:rsid w:val="006177FA"/>
    <w:rsid w:val="00617877"/>
    <w:rsid w:val="00617976"/>
    <w:rsid w:val="006179A0"/>
    <w:rsid w:val="00617A2E"/>
    <w:rsid w:val="00617A79"/>
    <w:rsid w:val="00617A7D"/>
    <w:rsid w:val="00617AB6"/>
    <w:rsid w:val="00617B3D"/>
    <w:rsid w:val="00617C49"/>
    <w:rsid w:val="00617CB1"/>
    <w:rsid w:val="00617CD5"/>
    <w:rsid w:val="00617CED"/>
    <w:rsid w:val="00617D77"/>
    <w:rsid w:val="00617DA5"/>
    <w:rsid w:val="00617E02"/>
    <w:rsid w:val="00617EAD"/>
    <w:rsid w:val="00617FD4"/>
    <w:rsid w:val="00617FE4"/>
    <w:rsid w:val="006200B4"/>
    <w:rsid w:val="0062015C"/>
    <w:rsid w:val="00620240"/>
    <w:rsid w:val="0062024A"/>
    <w:rsid w:val="00620262"/>
    <w:rsid w:val="00620301"/>
    <w:rsid w:val="0062033D"/>
    <w:rsid w:val="006203CB"/>
    <w:rsid w:val="006203CE"/>
    <w:rsid w:val="00620440"/>
    <w:rsid w:val="00620465"/>
    <w:rsid w:val="0062051A"/>
    <w:rsid w:val="006205A6"/>
    <w:rsid w:val="0062061D"/>
    <w:rsid w:val="0062061E"/>
    <w:rsid w:val="00620641"/>
    <w:rsid w:val="006206C8"/>
    <w:rsid w:val="006206C9"/>
    <w:rsid w:val="00620859"/>
    <w:rsid w:val="00620B85"/>
    <w:rsid w:val="00620C11"/>
    <w:rsid w:val="00620CD7"/>
    <w:rsid w:val="00620D90"/>
    <w:rsid w:val="00620D9C"/>
    <w:rsid w:val="00620E25"/>
    <w:rsid w:val="00620F24"/>
    <w:rsid w:val="00620FCC"/>
    <w:rsid w:val="00621016"/>
    <w:rsid w:val="0062102A"/>
    <w:rsid w:val="00621089"/>
    <w:rsid w:val="0062113D"/>
    <w:rsid w:val="00621177"/>
    <w:rsid w:val="0062124C"/>
    <w:rsid w:val="00621361"/>
    <w:rsid w:val="0062138A"/>
    <w:rsid w:val="006213B2"/>
    <w:rsid w:val="006213C5"/>
    <w:rsid w:val="00621426"/>
    <w:rsid w:val="00621481"/>
    <w:rsid w:val="00621537"/>
    <w:rsid w:val="006215A6"/>
    <w:rsid w:val="0062167F"/>
    <w:rsid w:val="0062169C"/>
    <w:rsid w:val="006216C0"/>
    <w:rsid w:val="006217FA"/>
    <w:rsid w:val="006218D6"/>
    <w:rsid w:val="006218F0"/>
    <w:rsid w:val="00621934"/>
    <w:rsid w:val="00621937"/>
    <w:rsid w:val="00621A64"/>
    <w:rsid w:val="00621A97"/>
    <w:rsid w:val="00621B3F"/>
    <w:rsid w:val="00621B4C"/>
    <w:rsid w:val="00621B9D"/>
    <w:rsid w:val="00621BBD"/>
    <w:rsid w:val="00621BE9"/>
    <w:rsid w:val="00621C49"/>
    <w:rsid w:val="00621D25"/>
    <w:rsid w:val="00621DB9"/>
    <w:rsid w:val="00621E58"/>
    <w:rsid w:val="00621EDC"/>
    <w:rsid w:val="00621F81"/>
    <w:rsid w:val="00621FB4"/>
    <w:rsid w:val="00622009"/>
    <w:rsid w:val="00622036"/>
    <w:rsid w:val="006220DB"/>
    <w:rsid w:val="006220ED"/>
    <w:rsid w:val="006220FF"/>
    <w:rsid w:val="00622125"/>
    <w:rsid w:val="00622153"/>
    <w:rsid w:val="00622177"/>
    <w:rsid w:val="00622189"/>
    <w:rsid w:val="006221F4"/>
    <w:rsid w:val="0062221F"/>
    <w:rsid w:val="0062223F"/>
    <w:rsid w:val="0062244C"/>
    <w:rsid w:val="00622458"/>
    <w:rsid w:val="0062263C"/>
    <w:rsid w:val="0062265D"/>
    <w:rsid w:val="0062265E"/>
    <w:rsid w:val="006226C7"/>
    <w:rsid w:val="006227F5"/>
    <w:rsid w:val="00622862"/>
    <w:rsid w:val="00622896"/>
    <w:rsid w:val="0062289F"/>
    <w:rsid w:val="00622976"/>
    <w:rsid w:val="006229CA"/>
    <w:rsid w:val="00622BF8"/>
    <w:rsid w:val="00622C43"/>
    <w:rsid w:val="00622DBA"/>
    <w:rsid w:val="00622E54"/>
    <w:rsid w:val="00622E5F"/>
    <w:rsid w:val="00622F4B"/>
    <w:rsid w:val="00622FF9"/>
    <w:rsid w:val="00623059"/>
    <w:rsid w:val="0062305F"/>
    <w:rsid w:val="006230C1"/>
    <w:rsid w:val="006231E4"/>
    <w:rsid w:val="006231EF"/>
    <w:rsid w:val="006232D1"/>
    <w:rsid w:val="00623301"/>
    <w:rsid w:val="0062336D"/>
    <w:rsid w:val="00623399"/>
    <w:rsid w:val="006233DC"/>
    <w:rsid w:val="0062346D"/>
    <w:rsid w:val="0062359F"/>
    <w:rsid w:val="00623638"/>
    <w:rsid w:val="0062371A"/>
    <w:rsid w:val="00623727"/>
    <w:rsid w:val="00623767"/>
    <w:rsid w:val="0062376E"/>
    <w:rsid w:val="006237A2"/>
    <w:rsid w:val="006237B3"/>
    <w:rsid w:val="0062383A"/>
    <w:rsid w:val="006238FE"/>
    <w:rsid w:val="00623975"/>
    <w:rsid w:val="006239BA"/>
    <w:rsid w:val="006239CC"/>
    <w:rsid w:val="006239FD"/>
    <w:rsid w:val="00623A34"/>
    <w:rsid w:val="00623AE7"/>
    <w:rsid w:val="00623AEF"/>
    <w:rsid w:val="00623B29"/>
    <w:rsid w:val="00623B67"/>
    <w:rsid w:val="00623B68"/>
    <w:rsid w:val="00623BB4"/>
    <w:rsid w:val="00623BB8"/>
    <w:rsid w:val="00623BE9"/>
    <w:rsid w:val="00623C0A"/>
    <w:rsid w:val="00623C21"/>
    <w:rsid w:val="00623CDB"/>
    <w:rsid w:val="00623D49"/>
    <w:rsid w:val="00623D7B"/>
    <w:rsid w:val="00623DA4"/>
    <w:rsid w:val="00623DE9"/>
    <w:rsid w:val="00623E46"/>
    <w:rsid w:val="00623E62"/>
    <w:rsid w:val="00623E70"/>
    <w:rsid w:val="00623FBF"/>
    <w:rsid w:val="0062407C"/>
    <w:rsid w:val="006240C8"/>
    <w:rsid w:val="0062411B"/>
    <w:rsid w:val="0062428D"/>
    <w:rsid w:val="006242B6"/>
    <w:rsid w:val="006242C0"/>
    <w:rsid w:val="0062439E"/>
    <w:rsid w:val="006243AE"/>
    <w:rsid w:val="006243CF"/>
    <w:rsid w:val="006243E8"/>
    <w:rsid w:val="006243F5"/>
    <w:rsid w:val="00624462"/>
    <w:rsid w:val="00624484"/>
    <w:rsid w:val="0062461A"/>
    <w:rsid w:val="006247F4"/>
    <w:rsid w:val="0062484F"/>
    <w:rsid w:val="00624862"/>
    <w:rsid w:val="006248CD"/>
    <w:rsid w:val="00624920"/>
    <w:rsid w:val="00624953"/>
    <w:rsid w:val="00624A1D"/>
    <w:rsid w:val="00624A44"/>
    <w:rsid w:val="00624BFE"/>
    <w:rsid w:val="00624C28"/>
    <w:rsid w:val="00624C4A"/>
    <w:rsid w:val="00624CBA"/>
    <w:rsid w:val="00624CBE"/>
    <w:rsid w:val="00624E46"/>
    <w:rsid w:val="00624E66"/>
    <w:rsid w:val="00624F34"/>
    <w:rsid w:val="00624F47"/>
    <w:rsid w:val="00624F4F"/>
    <w:rsid w:val="00624FA0"/>
    <w:rsid w:val="00624FD8"/>
    <w:rsid w:val="00625021"/>
    <w:rsid w:val="00625119"/>
    <w:rsid w:val="0062512D"/>
    <w:rsid w:val="006251B5"/>
    <w:rsid w:val="0062525F"/>
    <w:rsid w:val="006252D8"/>
    <w:rsid w:val="006252DC"/>
    <w:rsid w:val="00625348"/>
    <w:rsid w:val="006253FD"/>
    <w:rsid w:val="00625449"/>
    <w:rsid w:val="00625477"/>
    <w:rsid w:val="00625513"/>
    <w:rsid w:val="00625621"/>
    <w:rsid w:val="006257EE"/>
    <w:rsid w:val="00625824"/>
    <w:rsid w:val="006258B6"/>
    <w:rsid w:val="006258E5"/>
    <w:rsid w:val="00625913"/>
    <w:rsid w:val="00625968"/>
    <w:rsid w:val="006259E8"/>
    <w:rsid w:val="00625A2F"/>
    <w:rsid w:val="00625A4D"/>
    <w:rsid w:val="00625B4B"/>
    <w:rsid w:val="00625C97"/>
    <w:rsid w:val="00625CE5"/>
    <w:rsid w:val="00625CEE"/>
    <w:rsid w:val="00625D42"/>
    <w:rsid w:val="00625D62"/>
    <w:rsid w:val="00625D72"/>
    <w:rsid w:val="00625D98"/>
    <w:rsid w:val="00625DDF"/>
    <w:rsid w:val="00625F30"/>
    <w:rsid w:val="00625F3E"/>
    <w:rsid w:val="00625F98"/>
    <w:rsid w:val="00626099"/>
    <w:rsid w:val="006260D8"/>
    <w:rsid w:val="00626129"/>
    <w:rsid w:val="006261A6"/>
    <w:rsid w:val="00626226"/>
    <w:rsid w:val="00626228"/>
    <w:rsid w:val="006262C6"/>
    <w:rsid w:val="006263FE"/>
    <w:rsid w:val="0062643B"/>
    <w:rsid w:val="00626455"/>
    <w:rsid w:val="00626497"/>
    <w:rsid w:val="00626608"/>
    <w:rsid w:val="006266B9"/>
    <w:rsid w:val="006266C7"/>
    <w:rsid w:val="00626723"/>
    <w:rsid w:val="0062673E"/>
    <w:rsid w:val="00626797"/>
    <w:rsid w:val="006267FD"/>
    <w:rsid w:val="0062681E"/>
    <w:rsid w:val="00626827"/>
    <w:rsid w:val="0062688D"/>
    <w:rsid w:val="00626932"/>
    <w:rsid w:val="00626951"/>
    <w:rsid w:val="006269ED"/>
    <w:rsid w:val="006269F2"/>
    <w:rsid w:val="00626A1A"/>
    <w:rsid w:val="00626ADB"/>
    <w:rsid w:val="00626AED"/>
    <w:rsid w:val="00626B20"/>
    <w:rsid w:val="00626C1D"/>
    <w:rsid w:val="00626C33"/>
    <w:rsid w:val="00626C4D"/>
    <w:rsid w:val="00626C65"/>
    <w:rsid w:val="00626CFA"/>
    <w:rsid w:val="00626E62"/>
    <w:rsid w:val="00626E94"/>
    <w:rsid w:val="00626EC7"/>
    <w:rsid w:val="00626F48"/>
    <w:rsid w:val="00626F64"/>
    <w:rsid w:val="00627056"/>
    <w:rsid w:val="00627073"/>
    <w:rsid w:val="006270CC"/>
    <w:rsid w:val="0062713C"/>
    <w:rsid w:val="00627183"/>
    <w:rsid w:val="006272A3"/>
    <w:rsid w:val="006272E8"/>
    <w:rsid w:val="0062737C"/>
    <w:rsid w:val="00627449"/>
    <w:rsid w:val="0062748E"/>
    <w:rsid w:val="006274F5"/>
    <w:rsid w:val="00627501"/>
    <w:rsid w:val="0062750C"/>
    <w:rsid w:val="0062754C"/>
    <w:rsid w:val="006275CB"/>
    <w:rsid w:val="0062770B"/>
    <w:rsid w:val="00627775"/>
    <w:rsid w:val="006277BD"/>
    <w:rsid w:val="006277E8"/>
    <w:rsid w:val="0062780E"/>
    <w:rsid w:val="006278D8"/>
    <w:rsid w:val="006279CC"/>
    <w:rsid w:val="006279F7"/>
    <w:rsid w:val="00627A1C"/>
    <w:rsid w:val="00627B88"/>
    <w:rsid w:val="00627C14"/>
    <w:rsid w:val="00627C52"/>
    <w:rsid w:val="00627CF7"/>
    <w:rsid w:val="00627D17"/>
    <w:rsid w:val="00627FEA"/>
    <w:rsid w:val="00630068"/>
    <w:rsid w:val="00630084"/>
    <w:rsid w:val="00630089"/>
    <w:rsid w:val="006300F5"/>
    <w:rsid w:val="006301AC"/>
    <w:rsid w:val="006301B2"/>
    <w:rsid w:val="006301FA"/>
    <w:rsid w:val="006304C4"/>
    <w:rsid w:val="00630592"/>
    <w:rsid w:val="00630643"/>
    <w:rsid w:val="006306A5"/>
    <w:rsid w:val="006307D4"/>
    <w:rsid w:val="006308A0"/>
    <w:rsid w:val="00630919"/>
    <w:rsid w:val="00630934"/>
    <w:rsid w:val="00630937"/>
    <w:rsid w:val="00630A24"/>
    <w:rsid w:val="00630A3D"/>
    <w:rsid w:val="00630AA4"/>
    <w:rsid w:val="00630AB0"/>
    <w:rsid w:val="00630B1C"/>
    <w:rsid w:val="00630BCC"/>
    <w:rsid w:val="00630C97"/>
    <w:rsid w:val="00630CE5"/>
    <w:rsid w:val="00630D26"/>
    <w:rsid w:val="00630DD3"/>
    <w:rsid w:val="00630DE8"/>
    <w:rsid w:val="00630F26"/>
    <w:rsid w:val="00630F5A"/>
    <w:rsid w:val="00630F7E"/>
    <w:rsid w:val="00630F82"/>
    <w:rsid w:val="00630F92"/>
    <w:rsid w:val="00630FD2"/>
    <w:rsid w:val="00630FE7"/>
    <w:rsid w:val="00631049"/>
    <w:rsid w:val="00631084"/>
    <w:rsid w:val="00631202"/>
    <w:rsid w:val="00631221"/>
    <w:rsid w:val="0063123D"/>
    <w:rsid w:val="00631258"/>
    <w:rsid w:val="00631280"/>
    <w:rsid w:val="006312B4"/>
    <w:rsid w:val="00631428"/>
    <w:rsid w:val="00631510"/>
    <w:rsid w:val="0063153B"/>
    <w:rsid w:val="006315D4"/>
    <w:rsid w:val="0063162E"/>
    <w:rsid w:val="00631673"/>
    <w:rsid w:val="006316EA"/>
    <w:rsid w:val="006316FF"/>
    <w:rsid w:val="00631710"/>
    <w:rsid w:val="00631720"/>
    <w:rsid w:val="00631919"/>
    <w:rsid w:val="006319CD"/>
    <w:rsid w:val="006319DB"/>
    <w:rsid w:val="00631A9E"/>
    <w:rsid w:val="00631B09"/>
    <w:rsid w:val="00631B4C"/>
    <w:rsid w:val="00631B78"/>
    <w:rsid w:val="00631BA4"/>
    <w:rsid w:val="00631BD3"/>
    <w:rsid w:val="00631BF6"/>
    <w:rsid w:val="00631C08"/>
    <w:rsid w:val="00631C3A"/>
    <w:rsid w:val="00631D19"/>
    <w:rsid w:val="00631EBF"/>
    <w:rsid w:val="00632056"/>
    <w:rsid w:val="0063207F"/>
    <w:rsid w:val="006320B8"/>
    <w:rsid w:val="0063210B"/>
    <w:rsid w:val="0063216A"/>
    <w:rsid w:val="0063217F"/>
    <w:rsid w:val="006321D2"/>
    <w:rsid w:val="00632333"/>
    <w:rsid w:val="0063235C"/>
    <w:rsid w:val="006323E9"/>
    <w:rsid w:val="00632426"/>
    <w:rsid w:val="00632462"/>
    <w:rsid w:val="00632477"/>
    <w:rsid w:val="0063251A"/>
    <w:rsid w:val="006326D3"/>
    <w:rsid w:val="006326EF"/>
    <w:rsid w:val="00632833"/>
    <w:rsid w:val="0063285E"/>
    <w:rsid w:val="006328DF"/>
    <w:rsid w:val="006328E1"/>
    <w:rsid w:val="0063290E"/>
    <w:rsid w:val="00632A3D"/>
    <w:rsid w:val="00632AFB"/>
    <w:rsid w:val="00632B0E"/>
    <w:rsid w:val="00632B1C"/>
    <w:rsid w:val="00632BBD"/>
    <w:rsid w:val="00632BC3"/>
    <w:rsid w:val="00632BC5"/>
    <w:rsid w:val="00632BCE"/>
    <w:rsid w:val="00632BD3"/>
    <w:rsid w:val="00632C05"/>
    <w:rsid w:val="00632C13"/>
    <w:rsid w:val="00632CAD"/>
    <w:rsid w:val="00632D40"/>
    <w:rsid w:val="00632D97"/>
    <w:rsid w:val="00632DA6"/>
    <w:rsid w:val="00632DC3"/>
    <w:rsid w:val="00632DDB"/>
    <w:rsid w:val="00632E0E"/>
    <w:rsid w:val="00632E13"/>
    <w:rsid w:val="00632F7B"/>
    <w:rsid w:val="00632FE4"/>
    <w:rsid w:val="00633093"/>
    <w:rsid w:val="00633096"/>
    <w:rsid w:val="006330DF"/>
    <w:rsid w:val="006330EF"/>
    <w:rsid w:val="00633189"/>
    <w:rsid w:val="006331BE"/>
    <w:rsid w:val="006332F2"/>
    <w:rsid w:val="006332F3"/>
    <w:rsid w:val="006333DD"/>
    <w:rsid w:val="00633494"/>
    <w:rsid w:val="006334EA"/>
    <w:rsid w:val="0063360A"/>
    <w:rsid w:val="00633613"/>
    <w:rsid w:val="00633660"/>
    <w:rsid w:val="0063373E"/>
    <w:rsid w:val="0063394F"/>
    <w:rsid w:val="0063398B"/>
    <w:rsid w:val="00633A05"/>
    <w:rsid w:val="00633B59"/>
    <w:rsid w:val="00633B9C"/>
    <w:rsid w:val="00633BA1"/>
    <w:rsid w:val="00633C89"/>
    <w:rsid w:val="00633CAF"/>
    <w:rsid w:val="00633E82"/>
    <w:rsid w:val="00633E95"/>
    <w:rsid w:val="00633F12"/>
    <w:rsid w:val="00633F4F"/>
    <w:rsid w:val="00633F9C"/>
    <w:rsid w:val="00633FB5"/>
    <w:rsid w:val="0063401C"/>
    <w:rsid w:val="00634024"/>
    <w:rsid w:val="0063417B"/>
    <w:rsid w:val="00634277"/>
    <w:rsid w:val="0063432E"/>
    <w:rsid w:val="006343B7"/>
    <w:rsid w:val="006343C0"/>
    <w:rsid w:val="006343F3"/>
    <w:rsid w:val="00634474"/>
    <w:rsid w:val="006344D4"/>
    <w:rsid w:val="00634557"/>
    <w:rsid w:val="0063459A"/>
    <w:rsid w:val="006345A3"/>
    <w:rsid w:val="0063460C"/>
    <w:rsid w:val="00634610"/>
    <w:rsid w:val="00634681"/>
    <w:rsid w:val="006346AC"/>
    <w:rsid w:val="006346FC"/>
    <w:rsid w:val="00634727"/>
    <w:rsid w:val="006347B2"/>
    <w:rsid w:val="0063482C"/>
    <w:rsid w:val="00634974"/>
    <w:rsid w:val="00634997"/>
    <w:rsid w:val="006349EE"/>
    <w:rsid w:val="00634AEE"/>
    <w:rsid w:val="00634B3B"/>
    <w:rsid w:val="00634BAD"/>
    <w:rsid w:val="00634CAB"/>
    <w:rsid w:val="00634CAF"/>
    <w:rsid w:val="00634CCC"/>
    <w:rsid w:val="00634D82"/>
    <w:rsid w:val="00634E6C"/>
    <w:rsid w:val="00634F1D"/>
    <w:rsid w:val="00634F64"/>
    <w:rsid w:val="006350BE"/>
    <w:rsid w:val="006351A9"/>
    <w:rsid w:val="006351BB"/>
    <w:rsid w:val="00635261"/>
    <w:rsid w:val="00635277"/>
    <w:rsid w:val="00635456"/>
    <w:rsid w:val="006354ED"/>
    <w:rsid w:val="00635542"/>
    <w:rsid w:val="006355FB"/>
    <w:rsid w:val="0063570D"/>
    <w:rsid w:val="006358C4"/>
    <w:rsid w:val="006358E1"/>
    <w:rsid w:val="006358FD"/>
    <w:rsid w:val="0063593B"/>
    <w:rsid w:val="00635A4E"/>
    <w:rsid w:val="00635AC8"/>
    <w:rsid w:val="00635AD2"/>
    <w:rsid w:val="00635AEF"/>
    <w:rsid w:val="00635AFF"/>
    <w:rsid w:val="00635B4E"/>
    <w:rsid w:val="00635B9E"/>
    <w:rsid w:val="00635BDA"/>
    <w:rsid w:val="00635C54"/>
    <w:rsid w:val="00635CC6"/>
    <w:rsid w:val="00635DBF"/>
    <w:rsid w:val="00635DE3"/>
    <w:rsid w:val="00635DFE"/>
    <w:rsid w:val="00635E7E"/>
    <w:rsid w:val="00635E9F"/>
    <w:rsid w:val="00635F6C"/>
    <w:rsid w:val="0063601F"/>
    <w:rsid w:val="00636025"/>
    <w:rsid w:val="00636038"/>
    <w:rsid w:val="00636155"/>
    <w:rsid w:val="00636257"/>
    <w:rsid w:val="006362EE"/>
    <w:rsid w:val="006364A6"/>
    <w:rsid w:val="006365AE"/>
    <w:rsid w:val="006365B1"/>
    <w:rsid w:val="006365BB"/>
    <w:rsid w:val="006365C6"/>
    <w:rsid w:val="0063669B"/>
    <w:rsid w:val="006366A3"/>
    <w:rsid w:val="0063670C"/>
    <w:rsid w:val="00636784"/>
    <w:rsid w:val="0063698B"/>
    <w:rsid w:val="00636990"/>
    <w:rsid w:val="006369D7"/>
    <w:rsid w:val="00636A32"/>
    <w:rsid w:val="00636A33"/>
    <w:rsid w:val="00636AD7"/>
    <w:rsid w:val="00636B16"/>
    <w:rsid w:val="00636C23"/>
    <w:rsid w:val="00636CDE"/>
    <w:rsid w:val="00636D80"/>
    <w:rsid w:val="00636D91"/>
    <w:rsid w:val="00636DF8"/>
    <w:rsid w:val="00636E76"/>
    <w:rsid w:val="00636EEE"/>
    <w:rsid w:val="00636F20"/>
    <w:rsid w:val="00636F48"/>
    <w:rsid w:val="0063705F"/>
    <w:rsid w:val="00637144"/>
    <w:rsid w:val="0063716E"/>
    <w:rsid w:val="00637176"/>
    <w:rsid w:val="00637264"/>
    <w:rsid w:val="00637265"/>
    <w:rsid w:val="006372C6"/>
    <w:rsid w:val="006372CD"/>
    <w:rsid w:val="006372E6"/>
    <w:rsid w:val="00637358"/>
    <w:rsid w:val="006373B4"/>
    <w:rsid w:val="00637426"/>
    <w:rsid w:val="00637437"/>
    <w:rsid w:val="006374A1"/>
    <w:rsid w:val="00637500"/>
    <w:rsid w:val="0063754A"/>
    <w:rsid w:val="0063757F"/>
    <w:rsid w:val="00637638"/>
    <w:rsid w:val="00637672"/>
    <w:rsid w:val="006376A2"/>
    <w:rsid w:val="006376CB"/>
    <w:rsid w:val="006376E8"/>
    <w:rsid w:val="00637784"/>
    <w:rsid w:val="006377DE"/>
    <w:rsid w:val="006377E5"/>
    <w:rsid w:val="006379DE"/>
    <w:rsid w:val="00637A82"/>
    <w:rsid w:val="00637ABC"/>
    <w:rsid w:val="00637B1F"/>
    <w:rsid w:val="00637BE8"/>
    <w:rsid w:val="00637D37"/>
    <w:rsid w:val="00637DAF"/>
    <w:rsid w:val="00637E1D"/>
    <w:rsid w:val="00637E62"/>
    <w:rsid w:val="00637EA9"/>
    <w:rsid w:val="00637FD3"/>
    <w:rsid w:val="0064002C"/>
    <w:rsid w:val="006400AC"/>
    <w:rsid w:val="0064012C"/>
    <w:rsid w:val="0064012F"/>
    <w:rsid w:val="00640250"/>
    <w:rsid w:val="0064034B"/>
    <w:rsid w:val="0064040C"/>
    <w:rsid w:val="00640451"/>
    <w:rsid w:val="00640463"/>
    <w:rsid w:val="00640541"/>
    <w:rsid w:val="00640576"/>
    <w:rsid w:val="0064057A"/>
    <w:rsid w:val="0064061E"/>
    <w:rsid w:val="0064078F"/>
    <w:rsid w:val="00640848"/>
    <w:rsid w:val="006408B3"/>
    <w:rsid w:val="006408D1"/>
    <w:rsid w:val="00640989"/>
    <w:rsid w:val="006409D2"/>
    <w:rsid w:val="00640A33"/>
    <w:rsid w:val="00640A3E"/>
    <w:rsid w:val="00640B44"/>
    <w:rsid w:val="00640C00"/>
    <w:rsid w:val="00640C14"/>
    <w:rsid w:val="00640C45"/>
    <w:rsid w:val="00640CEC"/>
    <w:rsid w:val="00640D2F"/>
    <w:rsid w:val="00640DE8"/>
    <w:rsid w:val="00640DEC"/>
    <w:rsid w:val="00640E65"/>
    <w:rsid w:val="006411FC"/>
    <w:rsid w:val="00641215"/>
    <w:rsid w:val="00641389"/>
    <w:rsid w:val="006413EF"/>
    <w:rsid w:val="00641485"/>
    <w:rsid w:val="00641490"/>
    <w:rsid w:val="00641529"/>
    <w:rsid w:val="0064155D"/>
    <w:rsid w:val="006415B4"/>
    <w:rsid w:val="00641626"/>
    <w:rsid w:val="006416B4"/>
    <w:rsid w:val="006416FB"/>
    <w:rsid w:val="00641890"/>
    <w:rsid w:val="006418E5"/>
    <w:rsid w:val="00641AE9"/>
    <w:rsid w:val="00641B11"/>
    <w:rsid w:val="00641C27"/>
    <w:rsid w:val="00641C2B"/>
    <w:rsid w:val="00641C57"/>
    <w:rsid w:val="00641CCA"/>
    <w:rsid w:val="00641D1A"/>
    <w:rsid w:val="00641D7D"/>
    <w:rsid w:val="00641E3F"/>
    <w:rsid w:val="00641FBE"/>
    <w:rsid w:val="00642043"/>
    <w:rsid w:val="00642064"/>
    <w:rsid w:val="00642074"/>
    <w:rsid w:val="006420DB"/>
    <w:rsid w:val="00642102"/>
    <w:rsid w:val="0064216E"/>
    <w:rsid w:val="006421DB"/>
    <w:rsid w:val="006421E6"/>
    <w:rsid w:val="006421F6"/>
    <w:rsid w:val="00642237"/>
    <w:rsid w:val="006422D1"/>
    <w:rsid w:val="0064230B"/>
    <w:rsid w:val="00642480"/>
    <w:rsid w:val="006425C2"/>
    <w:rsid w:val="006425F6"/>
    <w:rsid w:val="0064260A"/>
    <w:rsid w:val="00642640"/>
    <w:rsid w:val="0064269C"/>
    <w:rsid w:val="00642700"/>
    <w:rsid w:val="00642713"/>
    <w:rsid w:val="006427AB"/>
    <w:rsid w:val="0064298A"/>
    <w:rsid w:val="00642A08"/>
    <w:rsid w:val="00642A73"/>
    <w:rsid w:val="00642AA0"/>
    <w:rsid w:val="00642AFF"/>
    <w:rsid w:val="00642B4E"/>
    <w:rsid w:val="00642C70"/>
    <w:rsid w:val="00642D99"/>
    <w:rsid w:val="00642D9D"/>
    <w:rsid w:val="00642DCA"/>
    <w:rsid w:val="00642E73"/>
    <w:rsid w:val="00642EC3"/>
    <w:rsid w:val="00642F28"/>
    <w:rsid w:val="00642F87"/>
    <w:rsid w:val="00642F9D"/>
    <w:rsid w:val="00643025"/>
    <w:rsid w:val="00643057"/>
    <w:rsid w:val="0064308F"/>
    <w:rsid w:val="006430B5"/>
    <w:rsid w:val="006430E6"/>
    <w:rsid w:val="006430EC"/>
    <w:rsid w:val="006431AE"/>
    <w:rsid w:val="00643207"/>
    <w:rsid w:val="006432D3"/>
    <w:rsid w:val="006432E9"/>
    <w:rsid w:val="0064330E"/>
    <w:rsid w:val="0064331F"/>
    <w:rsid w:val="006433E1"/>
    <w:rsid w:val="0064340D"/>
    <w:rsid w:val="00643492"/>
    <w:rsid w:val="0064349C"/>
    <w:rsid w:val="0064354F"/>
    <w:rsid w:val="006435B6"/>
    <w:rsid w:val="00643619"/>
    <w:rsid w:val="006436B4"/>
    <w:rsid w:val="006437C9"/>
    <w:rsid w:val="00643806"/>
    <w:rsid w:val="00643856"/>
    <w:rsid w:val="00643963"/>
    <w:rsid w:val="00643987"/>
    <w:rsid w:val="00643A5A"/>
    <w:rsid w:val="00643B3B"/>
    <w:rsid w:val="00643B6D"/>
    <w:rsid w:val="00643C0D"/>
    <w:rsid w:val="00643C15"/>
    <w:rsid w:val="00643C1D"/>
    <w:rsid w:val="00643CC2"/>
    <w:rsid w:val="00643DD0"/>
    <w:rsid w:val="00643DDE"/>
    <w:rsid w:val="00643E7D"/>
    <w:rsid w:val="00643E92"/>
    <w:rsid w:val="00643F2E"/>
    <w:rsid w:val="00643F3F"/>
    <w:rsid w:val="00643F4C"/>
    <w:rsid w:val="00643F7F"/>
    <w:rsid w:val="00643F94"/>
    <w:rsid w:val="00644006"/>
    <w:rsid w:val="00644009"/>
    <w:rsid w:val="0064405D"/>
    <w:rsid w:val="006440A6"/>
    <w:rsid w:val="006440D4"/>
    <w:rsid w:val="00644107"/>
    <w:rsid w:val="00644185"/>
    <w:rsid w:val="006441D3"/>
    <w:rsid w:val="006441EF"/>
    <w:rsid w:val="00644254"/>
    <w:rsid w:val="0064434B"/>
    <w:rsid w:val="00644505"/>
    <w:rsid w:val="006445BC"/>
    <w:rsid w:val="006445BF"/>
    <w:rsid w:val="006445C2"/>
    <w:rsid w:val="00644621"/>
    <w:rsid w:val="00644633"/>
    <w:rsid w:val="006446D7"/>
    <w:rsid w:val="00644704"/>
    <w:rsid w:val="0064471A"/>
    <w:rsid w:val="00644792"/>
    <w:rsid w:val="00644827"/>
    <w:rsid w:val="00644842"/>
    <w:rsid w:val="00644933"/>
    <w:rsid w:val="00644935"/>
    <w:rsid w:val="00644A81"/>
    <w:rsid w:val="00644A8B"/>
    <w:rsid w:val="00644B56"/>
    <w:rsid w:val="00644BEC"/>
    <w:rsid w:val="00644C23"/>
    <w:rsid w:val="00644C5D"/>
    <w:rsid w:val="00644C68"/>
    <w:rsid w:val="00644D42"/>
    <w:rsid w:val="00644D45"/>
    <w:rsid w:val="00644DE3"/>
    <w:rsid w:val="00644E3D"/>
    <w:rsid w:val="00644E5B"/>
    <w:rsid w:val="00644EAB"/>
    <w:rsid w:val="00644EEB"/>
    <w:rsid w:val="00644F00"/>
    <w:rsid w:val="00644F59"/>
    <w:rsid w:val="00645080"/>
    <w:rsid w:val="0064512F"/>
    <w:rsid w:val="00645243"/>
    <w:rsid w:val="006453EC"/>
    <w:rsid w:val="00645493"/>
    <w:rsid w:val="006454A8"/>
    <w:rsid w:val="006454B5"/>
    <w:rsid w:val="006454CB"/>
    <w:rsid w:val="006454ED"/>
    <w:rsid w:val="0064554E"/>
    <w:rsid w:val="00645593"/>
    <w:rsid w:val="006455AA"/>
    <w:rsid w:val="006455AB"/>
    <w:rsid w:val="006455B0"/>
    <w:rsid w:val="006455F9"/>
    <w:rsid w:val="00645643"/>
    <w:rsid w:val="0064564A"/>
    <w:rsid w:val="006456A9"/>
    <w:rsid w:val="006456B6"/>
    <w:rsid w:val="006456FA"/>
    <w:rsid w:val="00645726"/>
    <w:rsid w:val="00645788"/>
    <w:rsid w:val="006457A8"/>
    <w:rsid w:val="00645807"/>
    <w:rsid w:val="00645809"/>
    <w:rsid w:val="0064586E"/>
    <w:rsid w:val="00645907"/>
    <w:rsid w:val="00645985"/>
    <w:rsid w:val="00645BBD"/>
    <w:rsid w:val="00645C8B"/>
    <w:rsid w:val="00645D4B"/>
    <w:rsid w:val="00645DCD"/>
    <w:rsid w:val="00645DEE"/>
    <w:rsid w:val="00645F30"/>
    <w:rsid w:val="00645FB5"/>
    <w:rsid w:val="00645FC9"/>
    <w:rsid w:val="00646027"/>
    <w:rsid w:val="00646073"/>
    <w:rsid w:val="006460D0"/>
    <w:rsid w:val="006460E3"/>
    <w:rsid w:val="0064612A"/>
    <w:rsid w:val="00646197"/>
    <w:rsid w:val="006461A2"/>
    <w:rsid w:val="006461FC"/>
    <w:rsid w:val="006462BF"/>
    <w:rsid w:val="006462EA"/>
    <w:rsid w:val="0064645D"/>
    <w:rsid w:val="006464CA"/>
    <w:rsid w:val="006464CF"/>
    <w:rsid w:val="00646518"/>
    <w:rsid w:val="006465B6"/>
    <w:rsid w:val="00646638"/>
    <w:rsid w:val="00646643"/>
    <w:rsid w:val="00646832"/>
    <w:rsid w:val="0064684C"/>
    <w:rsid w:val="0064686D"/>
    <w:rsid w:val="00646877"/>
    <w:rsid w:val="006468D7"/>
    <w:rsid w:val="006468E7"/>
    <w:rsid w:val="00646B3F"/>
    <w:rsid w:val="00646BA9"/>
    <w:rsid w:val="00646C21"/>
    <w:rsid w:val="00646C51"/>
    <w:rsid w:val="00646C65"/>
    <w:rsid w:val="00646D99"/>
    <w:rsid w:val="00646E1D"/>
    <w:rsid w:val="00646E2F"/>
    <w:rsid w:val="00646E71"/>
    <w:rsid w:val="006471A8"/>
    <w:rsid w:val="00647232"/>
    <w:rsid w:val="0064728D"/>
    <w:rsid w:val="0064733B"/>
    <w:rsid w:val="00647354"/>
    <w:rsid w:val="00647359"/>
    <w:rsid w:val="006473A4"/>
    <w:rsid w:val="00647436"/>
    <w:rsid w:val="0064745E"/>
    <w:rsid w:val="00647470"/>
    <w:rsid w:val="006474BE"/>
    <w:rsid w:val="00647534"/>
    <w:rsid w:val="006475AD"/>
    <w:rsid w:val="0064761C"/>
    <w:rsid w:val="0064763E"/>
    <w:rsid w:val="0064769A"/>
    <w:rsid w:val="00647708"/>
    <w:rsid w:val="00647761"/>
    <w:rsid w:val="006477E5"/>
    <w:rsid w:val="00647804"/>
    <w:rsid w:val="006478AB"/>
    <w:rsid w:val="006479B8"/>
    <w:rsid w:val="00647B6E"/>
    <w:rsid w:val="00647BE5"/>
    <w:rsid w:val="00647BE6"/>
    <w:rsid w:val="00647C6A"/>
    <w:rsid w:val="00647D20"/>
    <w:rsid w:val="00647D33"/>
    <w:rsid w:val="00647DC3"/>
    <w:rsid w:val="00647E50"/>
    <w:rsid w:val="00647E72"/>
    <w:rsid w:val="00647EEB"/>
    <w:rsid w:val="00647F71"/>
    <w:rsid w:val="00647F9A"/>
    <w:rsid w:val="00647FDD"/>
    <w:rsid w:val="00647FEB"/>
    <w:rsid w:val="00650035"/>
    <w:rsid w:val="0065028A"/>
    <w:rsid w:val="0065037D"/>
    <w:rsid w:val="006503F1"/>
    <w:rsid w:val="00650499"/>
    <w:rsid w:val="00650511"/>
    <w:rsid w:val="00650530"/>
    <w:rsid w:val="0065056D"/>
    <w:rsid w:val="0065077E"/>
    <w:rsid w:val="00650842"/>
    <w:rsid w:val="00650876"/>
    <w:rsid w:val="006509F1"/>
    <w:rsid w:val="006509FA"/>
    <w:rsid w:val="00650B1C"/>
    <w:rsid w:val="00650B47"/>
    <w:rsid w:val="00650B8D"/>
    <w:rsid w:val="00650D3E"/>
    <w:rsid w:val="00650D95"/>
    <w:rsid w:val="00650E3D"/>
    <w:rsid w:val="00650EB5"/>
    <w:rsid w:val="00650EB6"/>
    <w:rsid w:val="00650F1B"/>
    <w:rsid w:val="00650F56"/>
    <w:rsid w:val="00650F69"/>
    <w:rsid w:val="00650FF7"/>
    <w:rsid w:val="00651017"/>
    <w:rsid w:val="00651023"/>
    <w:rsid w:val="006510B3"/>
    <w:rsid w:val="006510EB"/>
    <w:rsid w:val="00651160"/>
    <w:rsid w:val="00651182"/>
    <w:rsid w:val="006511AE"/>
    <w:rsid w:val="00651234"/>
    <w:rsid w:val="00651274"/>
    <w:rsid w:val="0065128C"/>
    <w:rsid w:val="0065131E"/>
    <w:rsid w:val="00651334"/>
    <w:rsid w:val="006513E7"/>
    <w:rsid w:val="00651435"/>
    <w:rsid w:val="00651446"/>
    <w:rsid w:val="00651450"/>
    <w:rsid w:val="006514DC"/>
    <w:rsid w:val="00651518"/>
    <w:rsid w:val="006515CE"/>
    <w:rsid w:val="00651851"/>
    <w:rsid w:val="00651879"/>
    <w:rsid w:val="00651893"/>
    <w:rsid w:val="006519FA"/>
    <w:rsid w:val="00651A2B"/>
    <w:rsid w:val="00651A94"/>
    <w:rsid w:val="00651BAD"/>
    <w:rsid w:val="00651BAE"/>
    <w:rsid w:val="00651C38"/>
    <w:rsid w:val="00651D07"/>
    <w:rsid w:val="00651D3C"/>
    <w:rsid w:val="00651E39"/>
    <w:rsid w:val="00651F27"/>
    <w:rsid w:val="00651F65"/>
    <w:rsid w:val="0065215E"/>
    <w:rsid w:val="0065220D"/>
    <w:rsid w:val="00652312"/>
    <w:rsid w:val="00652346"/>
    <w:rsid w:val="006523DD"/>
    <w:rsid w:val="00652476"/>
    <w:rsid w:val="006524D1"/>
    <w:rsid w:val="0065251E"/>
    <w:rsid w:val="00652547"/>
    <w:rsid w:val="00652724"/>
    <w:rsid w:val="00652858"/>
    <w:rsid w:val="00652902"/>
    <w:rsid w:val="0065296C"/>
    <w:rsid w:val="00652A87"/>
    <w:rsid w:val="00652B37"/>
    <w:rsid w:val="00652BE4"/>
    <w:rsid w:val="00652C63"/>
    <w:rsid w:val="00652C75"/>
    <w:rsid w:val="00652CDC"/>
    <w:rsid w:val="00652D05"/>
    <w:rsid w:val="00652D52"/>
    <w:rsid w:val="00652E3E"/>
    <w:rsid w:val="00652F21"/>
    <w:rsid w:val="00652F56"/>
    <w:rsid w:val="00652F5D"/>
    <w:rsid w:val="00652F66"/>
    <w:rsid w:val="00652FBD"/>
    <w:rsid w:val="00652FD0"/>
    <w:rsid w:val="00652FEB"/>
    <w:rsid w:val="00653039"/>
    <w:rsid w:val="006530DB"/>
    <w:rsid w:val="0065314B"/>
    <w:rsid w:val="00653183"/>
    <w:rsid w:val="006531A8"/>
    <w:rsid w:val="006531A9"/>
    <w:rsid w:val="0065327D"/>
    <w:rsid w:val="006533B9"/>
    <w:rsid w:val="006533FC"/>
    <w:rsid w:val="0065341E"/>
    <w:rsid w:val="00653476"/>
    <w:rsid w:val="006535FF"/>
    <w:rsid w:val="00653695"/>
    <w:rsid w:val="006536F1"/>
    <w:rsid w:val="00653709"/>
    <w:rsid w:val="00653867"/>
    <w:rsid w:val="006538B8"/>
    <w:rsid w:val="006538DE"/>
    <w:rsid w:val="006538E3"/>
    <w:rsid w:val="006539D7"/>
    <w:rsid w:val="00653A22"/>
    <w:rsid w:val="00653ACE"/>
    <w:rsid w:val="00653B3E"/>
    <w:rsid w:val="00653B84"/>
    <w:rsid w:val="00653BDD"/>
    <w:rsid w:val="00653C49"/>
    <w:rsid w:val="00653D16"/>
    <w:rsid w:val="00653D31"/>
    <w:rsid w:val="00653DDE"/>
    <w:rsid w:val="00653E0D"/>
    <w:rsid w:val="00653EF5"/>
    <w:rsid w:val="00653F22"/>
    <w:rsid w:val="00653F74"/>
    <w:rsid w:val="00653FC5"/>
    <w:rsid w:val="00654032"/>
    <w:rsid w:val="00654049"/>
    <w:rsid w:val="0065406F"/>
    <w:rsid w:val="0065407B"/>
    <w:rsid w:val="006540CA"/>
    <w:rsid w:val="00654116"/>
    <w:rsid w:val="0065413E"/>
    <w:rsid w:val="00654146"/>
    <w:rsid w:val="0065415D"/>
    <w:rsid w:val="0065418D"/>
    <w:rsid w:val="006541A0"/>
    <w:rsid w:val="006542D0"/>
    <w:rsid w:val="006542D8"/>
    <w:rsid w:val="006542DD"/>
    <w:rsid w:val="006542EC"/>
    <w:rsid w:val="00654310"/>
    <w:rsid w:val="006543BC"/>
    <w:rsid w:val="006543BF"/>
    <w:rsid w:val="00654450"/>
    <w:rsid w:val="0065445B"/>
    <w:rsid w:val="006544C3"/>
    <w:rsid w:val="006544F8"/>
    <w:rsid w:val="00654507"/>
    <w:rsid w:val="00654508"/>
    <w:rsid w:val="006545F7"/>
    <w:rsid w:val="0065465E"/>
    <w:rsid w:val="0065485C"/>
    <w:rsid w:val="00654895"/>
    <w:rsid w:val="0065489F"/>
    <w:rsid w:val="0065490A"/>
    <w:rsid w:val="00654922"/>
    <w:rsid w:val="00654950"/>
    <w:rsid w:val="00654966"/>
    <w:rsid w:val="006549B9"/>
    <w:rsid w:val="00654AA6"/>
    <w:rsid w:val="00654AA9"/>
    <w:rsid w:val="00654BCA"/>
    <w:rsid w:val="00654C7B"/>
    <w:rsid w:val="00654D0C"/>
    <w:rsid w:val="00654D62"/>
    <w:rsid w:val="00654DAD"/>
    <w:rsid w:val="00654DEC"/>
    <w:rsid w:val="00654DEE"/>
    <w:rsid w:val="00654E54"/>
    <w:rsid w:val="00654EA3"/>
    <w:rsid w:val="00654EE2"/>
    <w:rsid w:val="00654F12"/>
    <w:rsid w:val="00654F15"/>
    <w:rsid w:val="00654F76"/>
    <w:rsid w:val="00654F9F"/>
    <w:rsid w:val="00654FAA"/>
    <w:rsid w:val="006551EA"/>
    <w:rsid w:val="00655258"/>
    <w:rsid w:val="006553F8"/>
    <w:rsid w:val="0065540A"/>
    <w:rsid w:val="0065555D"/>
    <w:rsid w:val="00655710"/>
    <w:rsid w:val="0065576E"/>
    <w:rsid w:val="006557BD"/>
    <w:rsid w:val="006557FF"/>
    <w:rsid w:val="0065581C"/>
    <w:rsid w:val="00655865"/>
    <w:rsid w:val="00655890"/>
    <w:rsid w:val="006559A8"/>
    <w:rsid w:val="006559E5"/>
    <w:rsid w:val="006559FF"/>
    <w:rsid w:val="00655A16"/>
    <w:rsid w:val="00655A22"/>
    <w:rsid w:val="00655B2F"/>
    <w:rsid w:val="00655B33"/>
    <w:rsid w:val="00655B50"/>
    <w:rsid w:val="00655B5A"/>
    <w:rsid w:val="00655B6D"/>
    <w:rsid w:val="00655BD8"/>
    <w:rsid w:val="00655C41"/>
    <w:rsid w:val="00655CEA"/>
    <w:rsid w:val="00655D06"/>
    <w:rsid w:val="00655E5B"/>
    <w:rsid w:val="00655F92"/>
    <w:rsid w:val="00655FCD"/>
    <w:rsid w:val="006561BD"/>
    <w:rsid w:val="006561F4"/>
    <w:rsid w:val="0065636C"/>
    <w:rsid w:val="00656376"/>
    <w:rsid w:val="00656407"/>
    <w:rsid w:val="0065658A"/>
    <w:rsid w:val="00656594"/>
    <w:rsid w:val="0065663A"/>
    <w:rsid w:val="0065665A"/>
    <w:rsid w:val="006566D2"/>
    <w:rsid w:val="006566FC"/>
    <w:rsid w:val="0065670D"/>
    <w:rsid w:val="0065672D"/>
    <w:rsid w:val="00656818"/>
    <w:rsid w:val="006568D8"/>
    <w:rsid w:val="006568EC"/>
    <w:rsid w:val="00656953"/>
    <w:rsid w:val="006569A8"/>
    <w:rsid w:val="00656A12"/>
    <w:rsid w:val="00656A4D"/>
    <w:rsid w:val="00656AD9"/>
    <w:rsid w:val="00656AE9"/>
    <w:rsid w:val="00656B2C"/>
    <w:rsid w:val="00656BCC"/>
    <w:rsid w:val="00656BEA"/>
    <w:rsid w:val="00656C7C"/>
    <w:rsid w:val="00656D8A"/>
    <w:rsid w:val="00656DB3"/>
    <w:rsid w:val="00656DFA"/>
    <w:rsid w:val="00656E1F"/>
    <w:rsid w:val="00656E28"/>
    <w:rsid w:val="00656E3F"/>
    <w:rsid w:val="00656E53"/>
    <w:rsid w:val="00656F09"/>
    <w:rsid w:val="00657061"/>
    <w:rsid w:val="00657075"/>
    <w:rsid w:val="006570BB"/>
    <w:rsid w:val="006570BD"/>
    <w:rsid w:val="006570CC"/>
    <w:rsid w:val="006570E2"/>
    <w:rsid w:val="00657107"/>
    <w:rsid w:val="00657195"/>
    <w:rsid w:val="00657261"/>
    <w:rsid w:val="006572AB"/>
    <w:rsid w:val="00657327"/>
    <w:rsid w:val="00657454"/>
    <w:rsid w:val="00657499"/>
    <w:rsid w:val="006574C9"/>
    <w:rsid w:val="006574D0"/>
    <w:rsid w:val="006574E2"/>
    <w:rsid w:val="00657506"/>
    <w:rsid w:val="00657539"/>
    <w:rsid w:val="00657575"/>
    <w:rsid w:val="006575C7"/>
    <w:rsid w:val="006575CE"/>
    <w:rsid w:val="0065765D"/>
    <w:rsid w:val="0065766D"/>
    <w:rsid w:val="006576C6"/>
    <w:rsid w:val="006576F4"/>
    <w:rsid w:val="00657743"/>
    <w:rsid w:val="00657779"/>
    <w:rsid w:val="006578B8"/>
    <w:rsid w:val="006578D4"/>
    <w:rsid w:val="00657960"/>
    <w:rsid w:val="00657983"/>
    <w:rsid w:val="006579A6"/>
    <w:rsid w:val="006579C5"/>
    <w:rsid w:val="00657A5D"/>
    <w:rsid w:val="00657AE6"/>
    <w:rsid w:val="00657B21"/>
    <w:rsid w:val="00657B32"/>
    <w:rsid w:val="00657C4C"/>
    <w:rsid w:val="00657C5E"/>
    <w:rsid w:val="00657D3E"/>
    <w:rsid w:val="00657DB5"/>
    <w:rsid w:val="00657EA7"/>
    <w:rsid w:val="00657ED5"/>
    <w:rsid w:val="00657F28"/>
    <w:rsid w:val="00657F77"/>
    <w:rsid w:val="00657F84"/>
    <w:rsid w:val="00657FD1"/>
    <w:rsid w:val="00657FD7"/>
    <w:rsid w:val="0066000C"/>
    <w:rsid w:val="0066006F"/>
    <w:rsid w:val="00660076"/>
    <w:rsid w:val="006600F1"/>
    <w:rsid w:val="00660233"/>
    <w:rsid w:val="00660251"/>
    <w:rsid w:val="006602B6"/>
    <w:rsid w:val="0066030E"/>
    <w:rsid w:val="0066034A"/>
    <w:rsid w:val="006603B8"/>
    <w:rsid w:val="006603E8"/>
    <w:rsid w:val="006603FC"/>
    <w:rsid w:val="0066042D"/>
    <w:rsid w:val="0066059B"/>
    <w:rsid w:val="006606A7"/>
    <w:rsid w:val="006606AD"/>
    <w:rsid w:val="0066074B"/>
    <w:rsid w:val="00660777"/>
    <w:rsid w:val="006607F2"/>
    <w:rsid w:val="006608ED"/>
    <w:rsid w:val="00660909"/>
    <w:rsid w:val="00660977"/>
    <w:rsid w:val="006609F2"/>
    <w:rsid w:val="00660A14"/>
    <w:rsid w:val="00660A60"/>
    <w:rsid w:val="00660AC4"/>
    <w:rsid w:val="00660CED"/>
    <w:rsid w:val="00660D6D"/>
    <w:rsid w:val="00660D98"/>
    <w:rsid w:val="00660E82"/>
    <w:rsid w:val="00660ED8"/>
    <w:rsid w:val="00660F53"/>
    <w:rsid w:val="00660F76"/>
    <w:rsid w:val="00660F7C"/>
    <w:rsid w:val="0066110D"/>
    <w:rsid w:val="00661121"/>
    <w:rsid w:val="006611BF"/>
    <w:rsid w:val="00661227"/>
    <w:rsid w:val="00661301"/>
    <w:rsid w:val="0066151B"/>
    <w:rsid w:val="00661548"/>
    <w:rsid w:val="006615D0"/>
    <w:rsid w:val="006616E5"/>
    <w:rsid w:val="0066178F"/>
    <w:rsid w:val="006617BF"/>
    <w:rsid w:val="0066192A"/>
    <w:rsid w:val="00661A7C"/>
    <w:rsid w:val="00661B84"/>
    <w:rsid w:val="00661B8E"/>
    <w:rsid w:val="00661CBD"/>
    <w:rsid w:val="00661CEC"/>
    <w:rsid w:val="00661D54"/>
    <w:rsid w:val="00661DA9"/>
    <w:rsid w:val="00661E50"/>
    <w:rsid w:val="00661EA0"/>
    <w:rsid w:val="00661F75"/>
    <w:rsid w:val="00661F89"/>
    <w:rsid w:val="0066202E"/>
    <w:rsid w:val="00662031"/>
    <w:rsid w:val="0066203D"/>
    <w:rsid w:val="00662055"/>
    <w:rsid w:val="006620A2"/>
    <w:rsid w:val="00662128"/>
    <w:rsid w:val="0066212A"/>
    <w:rsid w:val="006621A3"/>
    <w:rsid w:val="006621B6"/>
    <w:rsid w:val="006621FD"/>
    <w:rsid w:val="006622D9"/>
    <w:rsid w:val="006624B0"/>
    <w:rsid w:val="0066254C"/>
    <w:rsid w:val="00662594"/>
    <w:rsid w:val="00662632"/>
    <w:rsid w:val="0066269B"/>
    <w:rsid w:val="006626E7"/>
    <w:rsid w:val="0066276A"/>
    <w:rsid w:val="0066279F"/>
    <w:rsid w:val="006627B7"/>
    <w:rsid w:val="006627F7"/>
    <w:rsid w:val="006628DE"/>
    <w:rsid w:val="0066293C"/>
    <w:rsid w:val="00662945"/>
    <w:rsid w:val="0066296B"/>
    <w:rsid w:val="00662B22"/>
    <w:rsid w:val="00662B55"/>
    <w:rsid w:val="00662B5E"/>
    <w:rsid w:val="00662CBB"/>
    <w:rsid w:val="00662D09"/>
    <w:rsid w:val="00662D97"/>
    <w:rsid w:val="00662E77"/>
    <w:rsid w:val="00662E84"/>
    <w:rsid w:val="00662E9C"/>
    <w:rsid w:val="00662EC1"/>
    <w:rsid w:val="0066311D"/>
    <w:rsid w:val="00663301"/>
    <w:rsid w:val="0066339A"/>
    <w:rsid w:val="006634EB"/>
    <w:rsid w:val="00663525"/>
    <w:rsid w:val="0066353D"/>
    <w:rsid w:val="0066355C"/>
    <w:rsid w:val="0066368E"/>
    <w:rsid w:val="00663695"/>
    <w:rsid w:val="006637BB"/>
    <w:rsid w:val="006637FB"/>
    <w:rsid w:val="00663936"/>
    <w:rsid w:val="0066394D"/>
    <w:rsid w:val="006639B8"/>
    <w:rsid w:val="006639F5"/>
    <w:rsid w:val="00663A81"/>
    <w:rsid w:val="00663B59"/>
    <w:rsid w:val="00663F31"/>
    <w:rsid w:val="00663FA2"/>
    <w:rsid w:val="0066403F"/>
    <w:rsid w:val="0066417F"/>
    <w:rsid w:val="006641BF"/>
    <w:rsid w:val="006641C3"/>
    <w:rsid w:val="00664277"/>
    <w:rsid w:val="006642F2"/>
    <w:rsid w:val="0066430B"/>
    <w:rsid w:val="006643A2"/>
    <w:rsid w:val="0066440E"/>
    <w:rsid w:val="0066443A"/>
    <w:rsid w:val="0066445B"/>
    <w:rsid w:val="006644D6"/>
    <w:rsid w:val="0066454F"/>
    <w:rsid w:val="00664592"/>
    <w:rsid w:val="00664663"/>
    <w:rsid w:val="0066466F"/>
    <w:rsid w:val="00664687"/>
    <w:rsid w:val="0066469E"/>
    <w:rsid w:val="00664799"/>
    <w:rsid w:val="006647B8"/>
    <w:rsid w:val="006647C4"/>
    <w:rsid w:val="00664802"/>
    <w:rsid w:val="0066487E"/>
    <w:rsid w:val="00664896"/>
    <w:rsid w:val="006648CA"/>
    <w:rsid w:val="006649C5"/>
    <w:rsid w:val="006649CC"/>
    <w:rsid w:val="00664AD7"/>
    <w:rsid w:val="00664B23"/>
    <w:rsid w:val="00664C26"/>
    <w:rsid w:val="00664C6D"/>
    <w:rsid w:val="00664D55"/>
    <w:rsid w:val="00664E5A"/>
    <w:rsid w:val="00664EB4"/>
    <w:rsid w:val="00664EB5"/>
    <w:rsid w:val="00664ECB"/>
    <w:rsid w:val="00664F55"/>
    <w:rsid w:val="00664F60"/>
    <w:rsid w:val="00664FA9"/>
    <w:rsid w:val="00665045"/>
    <w:rsid w:val="0066511F"/>
    <w:rsid w:val="006651CC"/>
    <w:rsid w:val="006651F4"/>
    <w:rsid w:val="0066523E"/>
    <w:rsid w:val="006652C6"/>
    <w:rsid w:val="00665319"/>
    <w:rsid w:val="00665337"/>
    <w:rsid w:val="00665365"/>
    <w:rsid w:val="00665480"/>
    <w:rsid w:val="006654AB"/>
    <w:rsid w:val="00665505"/>
    <w:rsid w:val="0066550D"/>
    <w:rsid w:val="0066552C"/>
    <w:rsid w:val="0066554A"/>
    <w:rsid w:val="00665597"/>
    <w:rsid w:val="0066559B"/>
    <w:rsid w:val="006655BA"/>
    <w:rsid w:val="00665648"/>
    <w:rsid w:val="00665705"/>
    <w:rsid w:val="006657D6"/>
    <w:rsid w:val="00665807"/>
    <w:rsid w:val="0066586A"/>
    <w:rsid w:val="006658A6"/>
    <w:rsid w:val="006658A8"/>
    <w:rsid w:val="0066593D"/>
    <w:rsid w:val="006659C1"/>
    <w:rsid w:val="006659E6"/>
    <w:rsid w:val="00665A58"/>
    <w:rsid w:val="00665AB7"/>
    <w:rsid w:val="00665B6C"/>
    <w:rsid w:val="00665D0E"/>
    <w:rsid w:val="00665D71"/>
    <w:rsid w:val="00665E14"/>
    <w:rsid w:val="00665E3A"/>
    <w:rsid w:val="00665F42"/>
    <w:rsid w:val="00665F4C"/>
    <w:rsid w:val="00666005"/>
    <w:rsid w:val="00666044"/>
    <w:rsid w:val="0066604E"/>
    <w:rsid w:val="00666060"/>
    <w:rsid w:val="006660A4"/>
    <w:rsid w:val="006661D9"/>
    <w:rsid w:val="00666268"/>
    <w:rsid w:val="006662DB"/>
    <w:rsid w:val="006662E1"/>
    <w:rsid w:val="0066634F"/>
    <w:rsid w:val="006664DB"/>
    <w:rsid w:val="00666550"/>
    <w:rsid w:val="00666671"/>
    <w:rsid w:val="006666D3"/>
    <w:rsid w:val="00666765"/>
    <w:rsid w:val="006668BF"/>
    <w:rsid w:val="0066690B"/>
    <w:rsid w:val="0066695D"/>
    <w:rsid w:val="0066699C"/>
    <w:rsid w:val="00666A19"/>
    <w:rsid w:val="00666A44"/>
    <w:rsid w:val="00666A49"/>
    <w:rsid w:val="00666ACF"/>
    <w:rsid w:val="00666C3C"/>
    <w:rsid w:val="00666C3E"/>
    <w:rsid w:val="00666C47"/>
    <w:rsid w:val="00666CAE"/>
    <w:rsid w:val="00666D0C"/>
    <w:rsid w:val="00666DAB"/>
    <w:rsid w:val="00666E14"/>
    <w:rsid w:val="00666FAC"/>
    <w:rsid w:val="00666FF9"/>
    <w:rsid w:val="00667032"/>
    <w:rsid w:val="00667075"/>
    <w:rsid w:val="0066707B"/>
    <w:rsid w:val="00667187"/>
    <w:rsid w:val="0066721B"/>
    <w:rsid w:val="0066732E"/>
    <w:rsid w:val="00667343"/>
    <w:rsid w:val="00667413"/>
    <w:rsid w:val="00667486"/>
    <w:rsid w:val="006674F0"/>
    <w:rsid w:val="006675D3"/>
    <w:rsid w:val="00667671"/>
    <w:rsid w:val="006676B0"/>
    <w:rsid w:val="00667724"/>
    <w:rsid w:val="00667740"/>
    <w:rsid w:val="006677BA"/>
    <w:rsid w:val="006677DA"/>
    <w:rsid w:val="00667808"/>
    <w:rsid w:val="00667828"/>
    <w:rsid w:val="0066783A"/>
    <w:rsid w:val="00667862"/>
    <w:rsid w:val="006678DF"/>
    <w:rsid w:val="00667A08"/>
    <w:rsid w:val="00667A1D"/>
    <w:rsid w:val="00667AA1"/>
    <w:rsid w:val="00667AD7"/>
    <w:rsid w:val="00667B3F"/>
    <w:rsid w:val="00667BB7"/>
    <w:rsid w:val="00667C9A"/>
    <w:rsid w:val="00667E7B"/>
    <w:rsid w:val="00667EBE"/>
    <w:rsid w:val="00667F47"/>
    <w:rsid w:val="00667FE6"/>
    <w:rsid w:val="00670033"/>
    <w:rsid w:val="00670083"/>
    <w:rsid w:val="0067009A"/>
    <w:rsid w:val="00670110"/>
    <w:rsid w:val="00670129"/>
    <w:rsid w:val="00670199"/>
    <w:rsid w:val="00670272"/>
    <w:rsid w:val="00670324"/>
    <w:rsid w:val="006703C5"/>
    <w:rsid w:val="0067051B"/>
    <w:rsid w:val="0067055D"/>
    <w:rsid w:val="006705D0"/>
    <w:rsid w:val="00670786"/>
    <w:rsid w:val="00670809"/>
    <w:rsid w:val="00670849"/>
    <w:rsid w:val="0067085B"/>
    <w:rsid w:val="0067087A"/>
    <w:rsid w:val="006708DF"/>
    <w:rsid w:val="00670906"/>
    <w:rsid w:val="0067098F"/>
    <w:rsid w:val="006709C9"/>
    <w:rsid w:val="00670A8D"/>
    <w:rsid w:val="00670B67"/>
    <w:rsid w:val="00670B77"/>
    <w:rsid w:val="00670BCA"/>
    <w:rsid w:val="00670BE6"/>
    <w:rsid w:val="00670CC7"/>
    <w:rsid w:val="00670D68"/>
    <w:rsid w:val="00670DA3"/>
    <w:rsid w:val="00670DE5"/>
    <w:rsid w:val="00670DEE"/>
    <w:rsid w:val="00670E08"/>
    <w:rsid w:val="00670E90"/>
    <w:rsid w:val="00670F10"/>
    <w:rsid w:val="00670F4A"/>
    <w:rsid w:val="00670FFA"/>
    <w:rsid w:val="00671041"/>
    <w:rsid w:val="0067108B"/>
    <w:rsid w:val="006710EF"/>
    <w:rsid w:val="00671109"/>
    <w:rsid w:val="00671293"/>
    <w:rsid w:val="006712AC"/>
    <w:rsid w:val="00671341"/>
    <w:rsid w:val="00671493"/>
    <w:rsid w:val="006714B9"/>
    <w:rsid w:val="006714C9"/>
    <w:rsid w:val="006715A2"/>
    <w:rsid w:val="006715AA"/>
    <w:rsid w:val="0067165A"/>
    <w:rsid w:val="00671680"/>
    <w:rsid w:val="006716DF"/>
    <w:rsid w:val="0067175C"/>
    <w:rsid w:val="0067177C"/>
    <w:rsid w:val="006717BE"/>
    <w:rsid w:val="006718F0"/>
    <w:rsid w:val="006719C8"/>
    <w:rsid w:val="006719D5"/>
    <w:rsid w:val="00671A77"/>
    <w:rsid w:val="00671AFE"/>
    <w:rsid w:val="00671B26"/>
    <w:rsid w:val="00671C21"/>
    <w:rsid w:val="00671D72"/>
    <w:rsid w:val="00671D9F"/>
    <w:rsid w:val="00671E1F"/>
    <w:rsid w:val="00671F0D"/>
    <w:rsid w:val="006720E5"/>
    <w:rsid w:val="00672112"/>
    <w:rsid w:val="00672118"/>
    <w:rsid w:val="00672171"/>
    <w:rsid w:val="0067222F"/>
    <w:rsid w:val="00672244"/>
    <w:rsid w:val="00672260"/>
    <w:rsid w:val="00672279"/>
    <w:rsid w:val="006723E0"/>
    <w:rsid w:val="00672492"/>
    <w:rsid w:val="006724F6"/>
    <w:rsid w:val="006724F9"/>
    <w:rsid w:val="00672518"/>
    <w:rsid w:val="006725CB"/>
    <w:rsid w:val="006725FE"/>
    <w:rsid w:val="00672710"/>
    <w:rsid w:val="0067282F"/>
    <w:rsid w:val="006728AA"/>
    <w:rsid w:val="006728B2"/>
    <w:rsid w:val="006728BB"/>
    <w:rsid w:val="006728DA"/>
    <w:rsid w:val="00672978"/>
    <w:rsid w:val="0067297B"/>
    <w:rsid w:val="0067299F"/>
    <w:rsid w:val="00672A79"/>
    <w:rsid w:val="00672AB3"/>
    <w:rsid w:val="00672B06"/>
    <w:rsid w:val="00672B35"/>
    <w:rsid w:val="00672B6C"/>
    <w:rsid w:val="00672B8F"/>
    <w:rsid w:val="00672BD0"/>
    <w:rsid w:val="00672C2B"/>
    <w:rsid w:val="00672D12"/>
    <w:rsid w:val="00672DD6"/>
    <w:rsid w:val="00672DFB"/>
    <w:rsid w:val="00672E84"/>
    <w:rsid w:val="00672F32"/>
    <w:rsid w:val="00672F4E"/>
    <w:rsid w:val="006730CA"/>
    <w:rsid w:val="00673122"/>
    <w:rsid w:val="0067317A"/>
    <w:rsid w:val="00673193"/>
    <w:rsid w:val="006731E4"/>
    <w:rsid w:val="006731EA"/>
    <w:rsid w:val="006731ED"/>
    <w:rsid w:val="006732E4"/>
    <w:rsid w:val="00673336"/>
    <w:rsid w:val="0067335B"/>
    <w:rsid w:val="006733EF"/>
    <w:rsid w:val="0067341A"/>
    <w:rsid w:val="0067364F"/>
    <w:rsid w:val="006736D1"/>
    <w:rsid w:val="0067377D"/>
    <w:rsid w:val="006738AD"/>
    <w:rsid w:val="006738ED"/>
    <w:rsid w:val="00673997"/>
    <w:rsid w:val="0067399C"/>
    <w:rsid w:val="00673A5C"/>
    <w:rsid w:val="00673AAE"/>
    <w:rsid w:val="00673C19"/>
    <w:rsid w:val="00673C28"/>
    <w:rsid w:val="00673CC1"/>
    <w:rsid w:val="00673D0D"/>
    <w:rsid w:val="00673D15"/>
    <w:rsid w:val="00673D34"/>
    <w:rsid w:val="00673E8B"/>
    <w:rsid w:val="00673EA5"/>
    <w:rsid w:val="00673ED3"/>
    <w:rsid w:val="00673F05"/>
    <w:rsid w:val="00673F9A"/>
    <w:rsid w:val="00673FA9"/>
    <w:rsid w:val="00673FF9"/>
    <w:rsid w:val="00674004"/>
    <w:rsid w:val="00674056"/>
    <w:rsid w:val="00674081"/>
    <w:rsid w:val="00674124"/>
    <w:rsid w:val="0067414D"/>
    <w:rsid w:val="006741AF"/>
    <w:rsid w:val="006741E3"/>
    <w:rsid w:val="006741EA"/>
    <w:rsid w:val="0067424F"/>
    <w:rsid w:val="00674350"/>
    <w:rsid w:val="00674448"/>
    <w:rsid w:val="0067450D"/>
    <w:rsid w:val="0067456F"/>
    <w:rsid w:val="0067463C"/>
    <w:rsid w:val="00674685"/>
    <w:rsid w:val="006746A8"/>
    <w:rsid w:val="00674761"/>
    <w:rsid w:val="006747FD"/>
    <w:rsid w:val="00674897"/>
    <w:rsid w:val="006748F2"/>
    <w:rsid w:val="0067495F"/>
    <w:rsid w:val="00674A0E"/>
    <w:rsid w:val="00674A84"/>
    <w:rsid w:val="00674ABC"/>
    <w:rsid w:val="00674CAB"/>
    <w:rsid w:val="00674CFC"/>
    <w:rsid w:val="00674D46"/>
    <w:rsid w:val="00674DAE"/>
    <w:rsid w:val="00674FA4"/>
    <w:rsid w:val="00674FF5"/>
    <w:rsid w:val="00675018"/>
    <w:rsid w:val="0067503B"/>
    <w:rsid w:val="0067510E"/>
    <w:rsid w:val="00675211"/>
    <w:rsid w:val="0067528F"/>
    <w:rsid w:val="00675336"/>
    <w:rsid w:val="0067535D"/>
    <w:rsid w:val="00675397"/>
    <w:rsid w:val="0067542B"/>
    <w:rsid w:val="006754F2"/>
    <w:rsid w:val="00675720"/>
    <w:rsid w:val="00675756"/>
    <w:rsid w:val="006757A2"/>
    <w:rsid w:val="006757CC"/>
    <w:rsid w:val="006757E0"/>
    <w:rsid w:val="006758E9"/>
    <w:rsid w:val="00675B16"/>
    <w:rsid w:val="00675C49"/>
    <w:rsid w:val="00675C66"/>
    <w:rsid w:val="00675C81"/>
    <w:rsid w:val="00675D00"/>
    <w:rsid w:val="00675D68"/>
    <w:rsid w:val="00675D84"/>
    <w:rsid w:val="00675E36"/>
    <w:rsid w:val="00675F66"/>
    <w:rsid w:val="00675F9F"/>
    <w:rsid w:val="00675FA4"/>
    <w:rsid w:val="00675FA7"/>
    <w:rsid w:val="00675FAC"/>
    <w:rsid w:val="00675FCD"/>
    <w:rsid w:val="00675FE9"/>
    <w:rsid w:val="00676156"/>
    <w:rsid w:val="0067639D"/>
    <w:rsid w:val="0067647E"/>
    <w:rsid w:val="00676531"/>
    <w:rsid w:val="00676804"/>
    <w:rsid w:val="0067684B"/>
    <w:rsid w:val="0067685C"/>
    <w:rsid w:val="0067688E"/>
    <w:rsid w:val="006768F6"/>
    <w:rsid w:val="00676981"/>
    <w:rsid w:val="006769B8"/>
    <w:rsid w:val="00676A9D"/>
    <w:rsid w:val="00676AC2"/>
    <w:rsid w:val="00676B46"/>
    <w:rsid w:val="00676BB0"/>
    <w:rsid w:val="00676CA1"/>
    <w:rsid w:val="00676CF5"/>
    <w:rsid w:val="00676D9F"/>
    <w:rsid w:val="00676E7E"/>
    <w:rsid w:val="00676E88"/>
    <w:rsid w:val="00676EFA"/>
    <w:rsid w:val="00676F75"/>
    <w:rsid w:val="00676FC9"/>
    <w:rsid w:val="00676FE5"/>
    <w:rsid w:val="00677018"/>
    <w:rsid w:val="00677031"/>
    <w:rsid w:val="006770BD"/>
    <w:rsid w:val="006771A6"/>
    <w:rsid w:val="006771EB"/>
    <w:rsid w:val="00677299"/>
    <w:rsid w:val="0067738D"/>
    <w:rsid w:val="00677539"/>
    <w:rsid w:val="006775E0"/>
    <w:rsid w:val="0067764D"/>
    <w:rsid w:val="00677650"/>
    <w:rsid w:val="0067770C"/>
    <w:rsid w:val="006777C5"/>
    <w:rsid w:val="006777EB"/>
    <w:rsid w:val="00677856"/>
    <w:rsid w:val="0067795D"/>
    <w:rsid w:val="00677996"/>
    <w:rsid w:val="006779AF"/>
    <w:rsid w:val="00677B52"/>
    <w:rsid w:val="00677B68"/>
    <w:rsid w:val="00677C0C"/>
    <w:rsid w:val="00677C81"/>
    <w:rsid w:val="00677CC3"/>
    <w:rsid w:val="00677CE8"/>
    <w:rsid w:val="00677DA0"/>
    <w:rsid w:val="00677DA5"/>
    <w:rsid w:val="00677ED5"/>
    <w:rsid w:val="00677F08"/>
    <w:rsid w:val="00677F1C"/>
    <w:rsid w:val="00677F61"/>
    <w:rsid w:val="00680208"/>
    <w:rsid w:val="006802C0"/>
    <w:rsid w:val="0068039F"/>
    <w:rsid w:val="006803BF"/>
    <w:rsid w:val="00680406"/>
    <w:rsid w:val="00680441"/>
    <w:rsid w:val="006804CD"/>
    <w:rsid w:val="0068050E"/>
    <w:rsid w:val="00680514"/>
    <w:rsid w:val="0068052A"/>
    <w:rsid w:val="006805A4"/>
    <w:rsid w:val="006805D8"/>
    <w:rsid w:val="006805FB"/>
    <w:rsid w:val="00680608"/>
    <w:rsid w:val="00680613"/>
    <w:rsid w:val="00680618"/>
    <w:rsid w:val="00680698"/>
    <w:rsid w:val="00680699"/>
    <w:rsid w:val="00680746"/>
    <w:rsid w:val="0068075A"/>
    <w:rsid w:val="00680786"/>
    <w:rsid w:val="006807DC"/>
    <w:rsid w:val="006807E0"/>
    <w:rsid w:val="00680883"/>
    <w:rsid w:val="00680953"/>
    <w:rsid w:val="00680A63"/>
    <w:rsid w:val="00680A7C"/>
    <w:rsid w:val="00680AC9"/>
    <w:rsid w:val="00680B1C"/>
    <w:rsid w:val="00680B44"/>
    <w:rsid w:val="00680B8F"/>
    <w:rsid w:val="00680BDD"/>
    <w:rsid w:val="00680BE8"/>
    <w:rsid w:val="00680C46"/>
    <w:rsid w:val="00680D5F"/>
    <w:rsid w:val="00680D61"/>
    <w:rsid w:val="00680DBD"/>
    <w:rsid w:val="00680DD0"/>
    <w:rsid w:val="00680F6F"/>
    <w:rsid w:val="00680FD5"/>
    <w:rsid w:val="0068102B"/>
    <w:rsid w:val="00681099"/>
    <w:rsid w:val="006810A7"/>
    <w:rsid w:val="00681189"/>
    <w:rsid w:val="0068123F"/>
    <w:rsid w:val="00681304"/>
    <w:rsid w:val="0068135C"/>
    <w:rsid w:val="00681372"/>
    <w:rsid w:val="00681488"/>
    <w:rsid w:val="00681571"/>
    <w:rsid w:val="006815B4"/>
    <w:rsid w:val="006815EA"/>
    <w:rsid w:val="006816B4"/>
    <w:rsid w:val="0068172A"/>
    <w:rsid w:val="006817B3"/>
    <w:rsid w:val="00681876"/>
    <w:rsid w:val="006818B9"/>
    <w:rsid w:val="006818F5"/>
    <w:rsid w:val="0068192C"/>
    <w:rsid w:val="00681975"/>
    <w:rsid w:val="006819E9"/>
    <w:rsid w:val="00681ADE"/>
    <w:rsid w:val="00681B1C"/>
    <w:rsid w:val="00681B55"/>
    <w:rsid w:val="00681B91"/>
    <w:rsid w:val="00681BB1"/>
    <w:rsid w:val="00681C8E"/>
    <w:rsid w:val="00681C90"/>
    <w:rsid w:val="00681CEA"/>
    <w:rsid w:val="00681D05"/>
    <w:rsid w:val="00681DBC"/>
    <w:rsid w:val="00681DCD"/>
    <w:rsid w:val="00681DEF"/>
    <w:rsid w:val="00681DFE"/>
    <w:rsid w:val="00681E15"/>
    <w:rsid w:val="00681E2F"/>
    <w:rsid w:val="00681E39"/>
    <w:rsid w:val="00681E4A"/>
    <w:rsid w:val="00681E5C"/>
    <w:rsid w:val="00681E6F"/>
    <w:rsid w:val="00681EC2"/>
    <w:rsid w:val="00681EE3"/>
    <w:rsid w:val="00681F47"/>
    <w:rsid w:val="00681F69"/>
    <w:rsid w:val="00681F9C"/>
    <w:rsid w:val="00681FC7"/>
    <w:rsid w:val="0068208F"/>
    <w:rsid w:val="0068216D"/>
    <w:rsid w:val="00682199"/>
    <w:rsid w:val="006821A0"/>
    <w:rsid w:val="006821B6"/>
    <w:rsid w:val="006821E2"/>
    <w:rsid w:val="00682217"/>
    <w:rsid w:val="006822CE"/>
    <w:rsid w:val="006822E2"/>
    <w:rsid w:val="00682550"/>
    <w:rsid w:val="0068255D"/>
    <w:rsid w:val="0068267F"/>
    <w:rsid w:val="0068271B"/>
    <w:rsid w:val="00682781"/>
    <w:rsid w:val="006827F2"/>
    <w:rsid w:val="006828E9"/>
    <w:rsid w:val="00682947"/>
    <w:rsid w:val="00682955"/>
    <w:rsid w:val="006829E0"/>
    <w:rsid w:val="00682A14"/>
    <w:rsid w:val="00682B07"/>
    <w:rsid w:val="00682C25"/>
    <w:rsid w:val="00682CF3"/>
    <w:rsid w:val="00682DC1"/>
    <w:rsid w:val="00682DDE"/>
    <w:rsid w:val="00682E3E"/>
    <w:rsid w:val="00682E72"/>
    <w:rsid w:val="00682E9C"/>
    <w:rsid w:val="00682EDF"/>
    <w:rsid w:val="00682F84"/>
    <w:rsid w:val="0068306E"/>
    <w:rsid w:val="006830D9"/>
    <w:rsid w:val="0068319C"/>
    <w:rsid w:val="00683259"/>
    <w:rsid w:val="0068325D"/>
    <w:rsid w:val="006832A5"/>
    <w:rsid w:val="006832B6"/>
    <w:rsid w:val="006832DB"/>
    <w:rsid w:val="00683446"/>
    <w:rsid w:val="0068348C"/>
    <w:rsid w:val="006834F0"/>
    <w:rsid w:val="0068352E"/>
    <w:rsid w:val="006835E1"/>
    <w:rsid w:val="006838A8"/>
    <w:rsid w:val="00683916"/>
    <w:rsid w:val="00683967"/>
    <w:rsid w:val="00683994"/>
    <w:rsid w:val="00683A22"/>
    <w:rsid w:val="00683A7B"/>
    <w:rsid w:val="00683B3F"/>
    <w:rsid w:val="00683BE5"/>
    <w:rsid w:val="00683C8F"/>
    <w:rsid w:val="00683C90"/>
    <w:rsid w:val="00683D87"/>
    <w:rsid w:val="00683E14"/>
    <w:rsid w:val="00683E4F"/>
    <w:rsid w:val="00683E60"/>
    <w:rsid w:val="00683E7C"/>
    <w:rsid w:val="00683E9E"/>
    <w:rsid w:val="00683E9F"/>
    <w:rsid w:val="00683F23"/>
    <w:rsid w:val="00683F26"/>
    <w:rsid w:val="00683FBB"/>
    <w:rsid w:val="00684002"/>
    <w:rsid w:val="0068401E"/>
    <w:rsid w:val="00684186"/>
    <w:rsid w:val="00684209"/>
    <w:rsid w:val="0068422B"/>
    <w:rsid w:val="0068429C"/>
    <w:rsid w:val="00684340"/>
    <w:rsid w:val="00684399"/>
    <w:rsid w:val="00684415"/>
    <w:rsid w:val="0068445E"/>
    <w:rsid w:val="006844CB"/>
    <w:rsid w:val="0068450A"/>
    <w:rsid w:val="00684547"/>
    <w:rsid w:val="00684649"/>
    <w:rsid w:val="00684675"/>
    <w:rsid w:val="00684676"/>
    <w:rsid w:val="0068468E"/>
    <w:rsid w:val="0068470C"/>
    <w:rsid w:val="006847BA"/>
    <w:rsid w:val="006847CA"/>
    <w:rsid w:val="006847DD"/>
    <w:rsid w:val="0068488F"/>
    <w:rsid w:val="00684907"/>
    <w:rsid w:val="00684A19"/>
    <w:rsid w:val="00684A99"/>
    <w:rsid w:val="00684AAF"/>
    <w:rsid w:val="00684B67"/>
    <w:rsid w:val="00684C24"/>
    <w:rsid w:val="00684C5B"/>
    <w:rsid w:val="00684DCF"/>
    <w:rsid w:val="00684DD5"/>
    <w:rsid w:val="00684DE8"/>
    <w:rsid w:val="00684E47"/>
    <w:rsid w:val="00684E79"/>
    <w:rsid w:val="00684ECC"/>
    <w:rsid w:val="00684F59"/>
    <w:rsid w:val="00685057"/>
    <w:rsid w:val="006850EC"/>
    <w:rsid w:val="0068513A"/>
    <w:rsid w:val="00685304"/>
    <w:rsid w:val="0068531A"/>
    <w:rsid w:val="00685366"/>
    <w:rsid w:val="0068546F"/>
    <w:rsid w:val="00685514"/>
    <w:rsid w:val="0068559A"/>
    <w:rsid w:val="006855D4"/>
    <w:rsid w:val="0068560C"/>
    <w:rsid w:val="00685626"/>
    <w:rsid w:val="0068578D"/>
    <w:rsid w:val="0068582B"/>
    <w:rsid w:val="00685850"/>
    <w:rsid w:val="006859A2"/>
    <w:rsid w:val="00685A1D"/>
    <w:rsid w:val="00685D60"/>
    <w:rsid w:val="00685D79"/>
    <w:rsid w:val="00685D9C"/>
    <w:rsid w:val="00685F21"/>
    <w:rsid w:val="00685FA2"/>
    <w:rsid w:val="00686005"/>
    <w:rsid w:val="00686097"/>
    <w:rsid w:val="00686274"/>
    <w:rsid w:val="006862E7"/>
    <w:rsid w:val="00686336"/>
    <w:rsid w:val="0068639D"/>
    <w:rsid w:val="006863A6"/>
    <w:rsid w:val="006863D9"/>
    <w:rsid w:val="006863F4"/>
    <w:rsid w:val="0068647F"/>
    <w:rsid w:val="00686493"/>
    <w:rsid w:val="006865BD"/>
    <w:rsid w:val="006865C8"/>
    <w:rsid w:val="006865EB"/>
    <w:rsid w:val="00686692"/>
    <w:rsid w:val="0068678C"/>
    <w:rsid w:val="006867B9"/>
    <w:rsid w:val="006868D6"/>
    <w:rsid w:val="006869AA"/>
    <w:rsid w:val="006869AB"/>
    <w:rsid w:val="006869E1"/>
    <w:rsid w:val="00686A87"/>
    <w:rsid w:val="00686B48"/>
    <w:rsid w:val="00686B81"/>
    <w:rsid w:val="00686BF0"/>
    <w:rsid w:val="00686C4D"/>
    <w:rsid w:val="00686C97"/>
    <w:rsid w:val="00686DBD"/>
    <w:rsid w:val="00686DF3"/>
    <w:rsid w:val="00686DF7"/>
    <w:rsid w:val="00686EBF"/>
    <w:rsid w:val="00686EDC"/>
    <w:rsid w:val="00686EF5"/>
    <w:rsid w:val="00686F53"/>
    <w:rsid w:val="00686F60"/>
    <w:rsid w:val="00686FAE"/>
    <w:rsid w:val="00686FDC"/>
    <w:rsid w:val="0068700C"/>
    <w:rsid w:val="00687016"/>
    <w:rsid w:val="00687024"/>
    <w:rsid w:val="00687038"/>
    <w:rsid w:val="0068714E"/>
    <w:rsid w:val="00687186"/>
    <w:rsid w:val="006871A0"/>
    <w:rsid w:val="00687296"/>
    <w:rsid w:val="00687299"/>
    <w:rsid w:val="006872F5"/>
    <w:rsid w:val="006873A9"/>
    <w:rsid w:val="006873BB"/>
    <w:rsid w:val="0068740F"/>
    <w:rsid w:val="0068742F"/>
    <w:rsid w:val="006874CE"/>
    <w:rsid w:val="006874E2"/>
    <w:rsid w:val="006875AF"/>
    <w:rsid w:val="00687628"/>
    <w:rsid w:val="00687681"/>
    <w:rsid w:val="006876BB"/>
    <w:rsid w:val="006876DD"/>
    <w:rsid w:val="00687706"/>
    <w:rsid w:val="0068777B"/>
    <w:rsid w:val="0068783C"/>
    <w:rsid w:val="0068783D"/>
    <w:rsid w:val="00687867"/>
    <w:rsid w:val="006878A9"/>
    <w:rsid w:val="00687A2E"/>
    <w:rsid w:val="00687A3E"/>
    <w:rsid w:val="00687A40"/>
    <w:rsid w:val="00687A8E"/>
    <w:rsid w:val="00687B26"/>
    <w:rsid w:val="00687BD7"/>
    <w:rsid w:val="00687C39"/>
    <w:rsid w:val="00687C3C"/>
    <w:rsid w:val="00687D35"/>
    <w:rsid w:val="00687E24"/>
    <w:rsid w:val="00690012"/>
    <w:rsid w:val="0069004C"/>
    <w:rsid w:val="00690111"/>
    <w:rsid w:val="0069015D"/>
    <w:rsid w:val="0069016D"/>
    <w:rsid w:val="006901C5"/>
    <w:rsid w:val="006902F0"/>
    <w:rsid w:val="0069036A"/>
    <w:rsid w:val="00690416"/>
    <w:rsid w:val="0069043A"/>
    <w:rsid w:val="00690447"/>
    <w:rsid w:val="00690454"/>
    <w:rsid w:val="00690499"/>
    <w:rsid w:val="0069049C"/>
    <w:rsid w:val="006904ED"/>
    <w:rsid w:val="006904F9"/>
    <w:rsid w:val="00690564"/>
    <w:rsid w:val="0069063B"/>
    <w:rsid w:val="00690649"/>
    <w:rsid w:val="006907C0"/>
    <w:rsid w:val="006908A0"/>
    <w:rsid w:val="006908F7"/>
    <w:rsid w:val="0069090E"/>
    <w:rsid w:val="006909D1"/>
    <w:rsid w:val="00690A16"/>
    <w:rsid w:val="00690A6F"/>
    <w:rsid w:val="00690B74"/>
    <w:rsid w:val="00690B7C"/>
    <w:rsid w:val="00690C45"/>
    <w:rsid w:val="00690C5B"/>
    <w:rsid w:val="00690C9C"/>
    <w:rsid w:val="00690C9E"/>
    <w:rsid w:val="00690D04"/>
    <w:rsid w:val="00690D4F"/>
    <w:rsid w:val="00690D9C"/>
    <w:rsid w:val="00690E4A"/>
    <w:rsid w:val="00690EA2"/>
    <w:rsid w:val="00690EEA"/>
    <w:rsid w:val="0069105A"/>
    <w:rsid w:val="0069105E"/>
    <w:rsid w:val="00691068"/>
    <w:rsid w:val="006910E1"/>
    <w:rsid w:val="0069116B"/>
    <w:rsid w:val="0069117C"/>
    <w:rsid w:val="006912DB"/>
    <w:rsid w:val="006913A7"/>
    <w:rsid w:val="00691449"/>
    <w:rsid w:val="0069148C"/>
    <w:rsid w:val="006914EC"/>
    <w:rsid w:val="00691557"/>
    <w:rsid w:val="006915A5"/>
    <w:rsid w:val="006915F0"/>
    <w:rsid w:val="0069161A"/>
    <w:rsid w:val="00691621"/>
    <w:rsid w:val="00691793"/>
    <w:rsid w:val="0069186F"/>
    <w:rsid w:val="006918E3"/>
    <w:rsid w:val="006918F6"/>
    <w:rsid w:val="0069192B"/>
    <w:rsid w:val="006919A3"/>
    <w:rsid w:val="006919AC"/>
    <w:rsid w:val="00691A3B"/>
    <w:rsid w:val="00691A62"/>
    <w:rsid w:val="00691B02"/>
    <w:rsid w:val="00691B7D"/>
    <w:rsid w:val="00691C4B"/>
    <w:rsid w:val="00691D03"/>
    <w:rsid w:val="00691D5D"/>
    <w:rsid w:val="00691ECF"/>
    <w:rsid w:val="00691F3C"/>
    <w:rsid w:val="00691F41"/>
    <w:rsid w:val="00691F76"/>
    <w:rsid w:val="006923BC"/>
    <w:rsid w:val="006923E8"/>
    <w:rsid w:val="0069242E"/>
    <w:rsid w:val="0069250A"/>
    <w:rsid w:val="00692581"/>
    <w:rsid w:val="00692591"/>
    <w:rsid w:val="00692684"/>
    <w:rsid w:val="0069268C"/>
    <w:rsid w:val="00692697"/>
    <w:rsid w:val="006926A5"/>
    <w:rsid w:val="00692713"/>
    <w:rsid w:val="00692735"/>
    <w:rsid w:val="0069277E"/>
    <w:rsid w:val="006927E7"/>
    <w:rsid w:val="006928CF"/>
    <w:rsid w:val="006928F7"/>
    <w:rsid w:val="006928FB"/>
    <w:rsid w:val="00692907"/>
    <w:rsid w:val="0069292C"/>
    <w:rsid w:val="0069297B"/>
    <w:rsid w:val="006929B8"/>
    <w:rsid w:val="006929F7"/>
    <w:rsid w:val="00692A21"/>
    <w:rsid w:val="00692A61"/>
    <w:rsid w:val="00692AA8"/>
    <w:rsid w:val="00692B1B"/>
    <w:rsid w:val="00692B29"/>
    <w:rsid w:val="00692B66"/>
    <w:rsid w:val="00692B8D"/>
    <w:rsid w:val="00692BDC"/>
    <w:rsid w:val="00692BE3"/>
    <w:rsid w:val="00692C35"/>
    <w:rsid w:val="00692C6B"/>
    <w:rsid w:val="00692DD0"/>
    <w:rsid w:val="00692E47"/>
    <w:rsid w:val="00692EB7"/>
    <w:rsid w:val="00692ECE"/>
    <w:rsid w:val="00692F2E"/>
    <w:rsid w:val="006930A3"/>
    <w:rsid w:val="00693126"/>
    <w:rsid w:val="00693145"/>
    <w:rsid w:val="00693196"/>
    <w:rsid w:val="006932BE"/>
    <w:rsid w:val="006933A7"/>
    <w:rsid w:val="006933E9"/>
    <w:rsid w:val="00693475"/>
    <w:rsid w:val="00693505"/>
    <w:rsid w:val="00693538"/>
    <w:rsid w:val="006935E0"/>
    <w:rsid w:val="006936A9"/>
    <w:rsid w:val="006936CC"/>
    <w:rsid w:val="0069374A"/>
    <w:rsid w:val="0069377B"/>
    <w:rsid w:val="00693797"/>
    <w:rsid w:val="0069379B"/>
    <w:rsid w:val="006937CB"/>
    <w:rsid w:val="0069383D"/>
    <w:rsid w:val="0069387C"/>
    <w:rsid w:val="006938E7"/>
    <w:rsid w:val="0069396E"/>
    <w:rsid w:val="006939D2"/>
    <w:rsid w:val="006939ED"/>
    <w:rsid w:val="00693A25"/>
    <w:rsid w:val="00693A34"/>
    <w:rsid w:val="00693A3C"/>
    <w:rsid w:val="00693A77"/>
    <w:rsid w:val="00693B12"/>
    <w:rsid w:val="00693B41"/>
    <w:rsid w:val="00693BE9"/>
    <w:rsid w:val="00693C97"/>
    <w:rsid w:val="00693CA7"/>
    <w:rsid w:val="00693CC6"/>
    <w:rsid w:val="00693D32"/>
    <w:rsid w:val="00693DA6"/>
    <w:rsid w:val="00693FBE"/>
    <w:rsid w:val="00693FF2"/>
    <w:rsid w:val="00694000"/>
    <w:rsid w:val="006941F9"/>
    <w:rsid w:val="00694239"/>
    <w:rsid w:val="006942B4"/>
    <w:rsid w:val="006942CE"/>
    <w:rsid w:val="006942DA"/>
    <w:rsid w:val="00694306"/>
    <w:rsid w:val="00694422"/>
    <w:rsid w:val="00694423"/>
    <w:rsid w:val="00694441"/>
    <w:rsid w:val="0069448A"/>
    <w:rsid w:val="00694494"/>
    <w:rsid w:val="006944C3"/>
    <w:rsid w:val="006944F3"/>
    <w:rsid w:val="006945D7"/>
    <w:rsid w:val="00694655"/>
    <w:rsid w:val="0069465A"/>
    <w:rsid w:val="006946F2"/>
    <w:rsid w:val="0069475E"/>
    <w:rsid w:val="006947B6"/>
    <w:rsid w:val="00694809"/>
    <w:rsid w:val="00694821"/>
    <w:rsid w:val="00694892"/>
    <w:rsid w:val="00694974"/>
    <w:rsid w:val="00694A83"/>
    <w:rsid w:val="00694AB8"/>
    <w:rsid w:val="00694C3D"/>
    <w:rsid w:val="00694C68"/>
    <w:rsid w:val="00694DD0"/>
    <w:rsid w:val="00694DEE"/>
    <w:rsid w:val="00694E02"/>
    <w:rsid w:val="00694E29"/>
    <w:rsid w:val="00694F10"/>
    <w:rsid w:val="00694F6B"/>
    <w:rsid w:val="00694F7D"/>
    <w:rsid w:val="00694F90"/>
    <w:rsid w:val="00694FB7"/>
    <w:rsid w:val="0069514F"/>
    <w:rsid w:val="0069516C"/>
    <w:rsid w:val="0069523F"/>
    <w:rsid w:val="00695278"/>
    <w:rsid w:val="006952EB"/>
    <w:rsid w:val="00695306"/>
    <w:rsid w:val="0069534F"/>
    <w:rsid w:val="006953EB"/>
    <w:rsid w:val="006953F1"/>
    <w:rsid w:val="00695582"/>
    <w:rsid w:val="006955AC"/>
    <w:rsid w:val="006955FA"/>
    <w:rsid w:val="006955FB"/>
    <w:rsid w:val="00695612"/>
    <w:rsid w:val="00695643"/>
    <w:rsid w:val="00695805"/>
    <w:rsid w:val="0069583B"/>
    <w:rsid w:val="0069593C"/>
    <w:rsid w:val="00695977"/>
    <w:rsid w:val="0069599C"/>
    <w:rsid w:val="006959BA"/>
    <w:rsid w:val="006959D2"/>
    <w:rsid w:val="00695B5A"/>
    <w:rsid w:val="00695C9E"/>
    <w:rsid w:val="00695CD8"/>
    <w:rsid w:val="00695D92"/>
    <w:rsid w:val="00695E31"/>
    <w:rsid w:val="00695E74"/>
    <w:rsid w:val="00695E97"/>
    <w:rsid w:val="00695EEB"/>
    <w:rsid w:val="00695EF0"/>
    <w:rsid w:val="00695EF7"/>
    <w:rsid w:val="00695F6E"/>
    <w:rsid w:val="00696013"/>
    <w:rsid w:val="006960A2"/>
    <w:rsid w:val="006960B0"/>
    <w:rsid w:val="006960C6"/>
    <w:rsid w:val="00696146"/>
    <w:rsid w:val="0069618E"/>
    <w:rsid w:val="006961AF"/>
    <w:rsid w:val="006962AD"/>
    <w:rsid w:val="00696303"/>
    <w:rsid w:val="00696355"/>
    <w:rsid w:val="00696386"/>
    <w:rsid w:val="00696415"/>
    <w:rsid w:val="00696465"/>
    <w:rsid w:val="006964B1"/>
    <w:rsid w:val="00696573"/>
    <w:rsid w:val="006965D8"/>
    <w:rsid w:val="006965F7"/>
    <w:rsid w:val="00696731"/>
    <w:rsid w:val="0069677B"/>
    <w:rsid w:val="00696794"/>
    <w:rsid w:val="0069683E"/>
    <w:rsid w:val="00696852"/>
    <w:rsid w:val="0069688A"/>
    <w:rsid w:val="0069688B"/>
    <w:rsid w:val="006968AC"/>
    <w:rsid w:val="0069699D"/>
    <w:rsid w:val="00696ACA"/>
    <w:rsid w:val="00696AED"/>
    <w:rsid w:val="00696B94"/>
    <w:rsid w:val="00696B9E"/>
    <w:rsid w:val="00696BFA"/>
    <w:rsid w:val="00696D64"/>
    <w:rsid w:val="00696D73"/>
    <w:rsid w:val="00696F3C"/>
    <w:rsid w:val="00696FAA"/>
    <w:rsid w:val="00696FC2"/>
    <w:rsid w:val="0069700B"/>
    <w:rsid w:val="00697088"/>
    <w:rsid w:val="006970CC"/>
    <w:rsid w:val="00697107"/>
    <w:rsid w:val="0069710A"/>
    <w:rsid w:val="00697154"/>
    <w:rsid w:val="006971A1"/>
    <w:rsid w:val="006971C6"/>
    <w:rsid w:val="00697203"/>
    <w:rsid w:val="006972A9"/>
    <w:rsid w:val="0069732B"/>
    <w:rsid w:val="00697442"/>
    <w:rsid w:val="0069746B"/>
    <w:rsid w:val="0069753A"/>
    <w:rsid w:val="0069755A"/>
    <w:rsid w:val="006975E8"/>
    <w:rsid w:val="00697606"/>
    <w:rsid w:val="0069780B"/>
    <w:rsid w:val="00697887"/>
    <w:rsid w:val="006978B9"/>
    <w:rsid w:val="00697933"/>
    <w:rsid w:val="0069793F"/>
    <w:rsid w:val="006979E8"/>
    <w:rsid w:val="00697A45"/>
    <w:rsid w:val="00697A58"/>
    <w:rsid w:val="00697AE5"/>
    <w:rsid w:val="00697B59"/>
    <w:rsid w:val="00697C23"/>
    <w:rsid w:val="00697D3C"/>
    <w:rsid w:val="00697D62"/>
    <w:rsid w:val="00697DFD"/>
    <w:rsid w:val="00697F06"/>
    <w:rsid w:val="00697FA5"/>
    <w:rsid w:val="006A016A"/>
    <w:rsid w:val="006A016C"/>
    <w:rsid w:val="006A0251"/>
    <w:rsid w:val="006A02DB"/>
    <w:rsid w:val="006A0376"/>
    <w:rsid w:val="006A0379"/>
    <w:rsid w:val="006A0384"/>
    <w:rsid w:val="006A03F1"/>
    <w:rsid w:val="006A0419"/>
    <w:rsid w:val="006A04AD"/>
    <w:rsid w:val="006A0547"/>
    <w:rsid w:val="006A0556"/>
    <w:rsid w:val="006A05F1"/>
    <w:rsid w:val="006A061B"/>
    <w:rsid w:val="006A06CD"/>
    <w:rsid w:val="006A0727"/>
    <w:rsid w:val="006A0880"/>
    <w:rsid w:val="006A0A14"/>
    <w:rsid w:val="006A0A23"/>
    <w:rsid w:val="006A0A57"/>
    <w:rsid w:val="006A0B21"/>
    <w:rsid w:val="006A0BB6"/>
    <w:rsid w:val="006A0C80"/>
    <w:rsid w:val="006A0C87"/>
    <w:rsid w:val="006A0CC8"/>
    <w:rsid w:val="006A0F05"/>
    <w:rsid w:val="006A10C4"/>
    <w:rsid w:val="006A10C6"/>
    <w:rsid w:val="006A112E"/>
    <w:rsid w:val="006A11C9"/>
    <w:rsid w:val="006A1222"/>
    <w:rsid w:val="006A1231"/>
    <w:rsid w:val="006A1232"/>
    <w:rsid w:val="006A123C"/>
    <w:rsid w:val="006A12C2"/>
    <w:rsid w:val="006A13DA"/>
    <w:rsid w:val="006A13E0"/>
    <w:rsid w:val="006A1461"/>
    <w:rsid w:val="006A14BE"/>
    <w:rsid w:val="006A150B"/>
    <w:rsid w:val="006A1560"/>
    <w:rsid w:val="006A1577"/>
    <w:rsid w:val="006A15A4"/>
    <w:rsid w:val="006A15E3"/>
    <w:rsid w:val="006A16DE"/>
    <w:rsid w:val="006A16E4"/>
    <w:rsid w:val="006A1736"/>
    <w:rsid w:val="006A1812"/>
    <w:rsid w:val="006A184A"/>
    <w:rsid w:val="006A1959"/>
    <w:rsid w:val="006A1A06"/>
    <w:rsid w:val="006A1B30"/>
    <w:rsid w:val="006A1B74"/>
    <w:rsid w:val="006A1B98"/>
    <w:rsid w:val="006A1B9C"/>
    <w:rsid w:val="006A1BA3"/>
    <w:rsid w:val="006A1BD1"/>
    <w:rsid w:val="006A1BD8"/>
    <w:rsid w:val="006A1CAC"/>
    <w:rsid w:val="006A1D1E"/>
    <w:rsid w:val="006A1D7F"/>
    <w:rsid w:val="006A1D84"/>
    <w:rsid w:val="006A1D9D"/>
    <w:rsid w:val="006A1DD1"/>
    <w:rsid w:val="006A1E2F"/>
    <w:rsid w:val="006A1EA6"/>
    <w:rsid w:val="006A1EAB"/>
    <w:rsid w:val="006A1FB1"/>
    <w:rsid w:val="006A1FC0"/>
    <w:rsid w:val="006A1FDF"/>
    <w:rsid w:val="006A2093"/>
    <w:rsid w:val="006A20A5"/>
    <w:rsid w:val="006A20CD"/>
    <w:rsid w:val="006A2192"/>
    <w:rsid w:val="006A21F1"/>
    <w:rsid w:val="006A2241"/>
    <w:rsid w:val="006A2283"/>
    <w:rsid w:val="006A22F7"/>
    <w:rsid w:val="006A2382"/>
    <w:rsid w:val="006A2385"/>
    <w:rsid w:val="006A241F"/>
    <w:rsid w:val="006A2614"/>
    <w:rsid w:val="006A261B"/>
    <w:rsid w:val="006A261E"/>
    <w:rsid w:val="006A2629"/>
    <w:rsid w:val="006A2678"/>
    <w:rsid w:val="006A26E0"/>
    <w:rsid w:val="006A26ED"/>
    <w:rsid w:val="006A2771"/>
    <w:rsid w:val="006A2819"/>
    <w:rsid w:val="006A2926"/>
    <w:rsid w:val="006A29A1"/>
    <w:rsid w:val="006A2ADD"/>
    <w:rsid w:val="006A2C0C"/>
    <w:rsid w:val="006A2CAC"/>
    <w:rsid w:val="006A2DB2"/>
    <w:rsid w:val="006A2E2D"/>
    <w:rsid w:val="006A2E54"/>
    <w:rsid w:val="006A2E86"/>
    <w:rsid w:val="006A2EC9"/>
    <w:rsid w:val="006A3001"/>
    <w:rsid w:val="006A308A"/>
    <w:rsid w:val="006A3186"/>
    <w:rsid w:val="006A319A"/>
    <w:rsid w:val="006A32A8"/>
    <w:rsid w:val="006A3332"/>
    <w:rsid w:val="006A34C4"/>
    <w:rsid w:val="006A3532"/>
    <w:rsid w:val="006A354F"/>
    <w:rsid w:val="006A3578"/>
    <w:rsid w:val="006A3642"/>
    <w:rsid w:val="006A3690"/>
    <w:rsid w:val="006A369C"/>
    <w:rsid w:val="006A383F"/>
    <w:rsid w:val="006A391B"/>
    <w:rsid w:val="006A3972"/>
    <w:rsid w:val="006A39A1"/>
    <w:rsid w:val="006A39CD"/>
    <w:rsid w:val="006A39D8"/>
    <w:rsid w:val="006A3A20"/>
    <w:rsid w:val="006A3A80"/>
    <w:rsid w:val="006A3AC3"/>
    <w:rsid w:val="006A3AE5"/>
    <w:rsid w:val="006A3AFE"/>
    <w:rsid w:val="006A3B06"/>
    <w:rsid w:val="006A3B5E"/>
    <w:rsid w:val="006A3BD1"/>
    <w:rsid w:val="006A3BDE"/>
    <w:rsid w:val="006A3C94"/>
    <w:rsid w:val="006A3CDE"/>
    <w:rsid w:val="006A3E15"/>
    <w:rsid w:val="006A3E1B"/>
    <w:rsid w:val="006A3F89"/>
    <w:rsid w:val="006A3FD4"/>
    <w:rsid w:val="006A4041"/>
    <w:rsid w:val="006A417E"/>
    <w:rsid w:val="006A4190"/>
    <w:rsid w:val="006A4241"/>
    <w:rsid w:val="006A4244"/>
    <w:rsid w:val="006A4249"/>
    <w:rsid w:val="006A42CC"/>
    <w:rsid w:val="006A431B"/>
    <w:rsid w:val="006A446D"/>
    <w:rsid w:val="006A447D"/>
    <w:rsid w:val="006A44DF"/>
    <w:rsid w:val="006A45A9"/>
    <w:rsid w:val="006A45ED"/>
    <w:rsid w:val="006A45F5"/>
    <w:rsid w:val="006A4600"/>
    <w:rsid w:val="006A464F"/>
    <w:rsid w:val="006A46C2"/>
    <w:rsid w:val="006A46C8"/>
    <w:rsid w:val="006A46E7"/>
    <w:rsid w:val="006A4700"/>
    <w:rsid w:val="006A4706"/>
    <w:rsid w:val="006A4739"/>
    <w:rsid w:val="006A480C"/>
    <w:rsid w:val="006A4852"/>
    <w:rsid w:val="006A488F"/>
    <w:rsid w:val="006A4894"/>
    <w:rsid w:val="006A48EE"/>
    <w:rsid w:val="006A490E"/>
    <w:rsid w:val="006A49A3"/>
    <w:rsid w:val="006A49E0"/>
    <w:rsid w:val="006A4A43"/>
    <w:rsid w:val="006A4A76"/>
    <w:rsid w:val="006A4AD8"/>
    <w:rsid w:val="006A4B18"/>
    <w:rsid w:val="006A4B57"/>
    <w:rsid w:val="006A4B90"/>
    <w:rsid w:val="006A4BEF"/>
    <w:rsid w:val="006A4CAC"/>
    <w:rsid w:val="006A4D2C"/>
    <w:rsid w:val="006A4D39"/>
    <w:rsid w:val="006A4D8E"/>
    <w:rsid w:val="006A4EAD"/>
    <w:rsid w:val="006A4EB2"/>
    <w:rsid w:val="006A4F02"/>
    <w:rsid w:val="006A4F58"/>
    <w:rsid w:val="006A4F6A"/>
    <w:rsid w:val="006A4F80"/>
    <w:rsid w:val="006A51AB"/>
    <w:rsid w:val="006A521D"/>
    <w:rsid w:val="006A5269"/>
    <w:rsid w:val="006A528A"/>
    <w:rsid w:val="006A52A6"/>
    <w:rsid w:val="006A52C0"/>
    <w:rsid w:val="006A54FB"/>
    <w:rsid w:val="006A55DB"/>
    <w:rsid w:val="006A561F"/>
    <w:rsid w:val="006A56A8"/>
    <w:rsid w:val="006A56DF"/>
    <w:rsid w:val="006A5783"/>
    <w:rsid w:val="006A57DE"/>
    <w:rsid w:val="006A585D"/>
    <w:rsid w:val="006A5878"/>
    <w:rsid w:val="006A587A"/>
    <w:rsid w:val="006A5887"/>
    <w:rsid w:val="006A589A"/>
    <w:rsid w:val="006A5909"/>
    <w:rsid w:val="006A59E3"/>
    <w:rsid w:val="006A5AA0"/>
    <w:rsid w:val="006A5AFC"/>
    <w:rsid w:val="006A5B88"/>
    <w:rsid w:val="006A5BE7"/>
    <w:rsid w:val="006A5C21"/>
    <w:rsid w:val="006A5D34"/>
    <w:rsid w:val="006A5DD0"/>
    <w:rsid w:val="006A5E2F"/>
    <w:rsid w:val="006A5E8C"/>
    <w:rsid w:val="006A5E9E"/>
    <w:rsid w:val="006A5F40"/>
    <w:rsid w:val="006A5F56"/>
    <w:rsid w:val="006A5F5B"/>
    <w:rsid w:val="006A5F99"/>
    <w:rsid w:val="006A5FFE"/>
    <w:rsid w:val="006A6003"/>
    <w:rsid w:val="006A601C"/>
    <w:rsid w:val="006A605E"/>
    <w:rsid w:val="006A60B8"/>
    <w:rsid w:val="006A60E6"/>
    <w:rsid w:val="006A6118"/>
    <w:rsid w:val="006A611A"/>
    <w:rsid w:val="006A6134"/>
    <w:rsid w:val="006A619D"/>
    <w:rsid w:val="006A61AD"/>
    <w:rsid w:val="006A61D9"/>
    <w:rsid w:val="006A6233"/>
    <w:rsid w:val="006A62D6"/>
    <w:rsid w:val="006A6303"/>
    <w:rsid w:val="006A63C8"/>
    <w:rsid w:val="006A63CA"/>
    <w:rsid w:val="006A63DF"/>
    <w:rsid w:val="006A642B"/>
    <w:rsid w:val="006A6445"/>
    <w:rsid w:val="006A6497"/>
    <w:rsid w:val="006A64B4"/>
    <w:rsid w:val="006A65A1"/>
    <w:rsid w:val="006A65D1"/>
    <w:rsid w:val="006A6732"/>
    <w:rsid w:val="006A673F"/>
    <w:rsid w:val="006A686F"/>
    <w:rsid w:val="006A6905"/>
    <w:rsid w:val="006A69D4"/>
    <w:rsid w:val="006A6A6F"/>
    <w:rsid w:val="006A6AEA"/>
    <w:rsid w:val="006A6B4C"/>
    <w:rsid w:val="006A6BD6"/>
    <w:rsid w:val="006A6CAB"/>
    <w:rsid w:val="006A6DEC"/>
    <w:rsid w:val="006A6E08"/>
    <w:rsid w:val="006A6E2C"/>
    <w:rsid w:val="006A6E63"/>
    <w:rsid w:val="006A6EE1"/>
    <w:rsid w:val="006A6F9A"/>
    <w:rsid w:val="006A702F"/>
    <w:rsid w:val="006A717C"/>
    <w:rsid w:val="006A71BC"/>
    <w:rsid w:val="006A71D7"/>
    <w:rsid w:val="006A720B"/>
    <w:rsid w:val="006A722C"/>
    <w:rsid w:val="006A73EB"/>
    <w:rsid w:val="006A742F"/>
    <w:rsid w:val="006A7440"/>
    <w:rsid w:val="006A7445"/>
    <w:rsid w:val="006A757A"/>
    <w:rsid w:val="006A75AA"/>
    <w:rsid w:val="006A75C5"/>
    <w:rsid w:val="006A761E"/>
    <w:rsid w:val="006A763E"/>
    <w:rsid w:val="006A76BF"/>
    <w:rsid w:val="006A76DD"/>
    <w:rsid w:val="006A76EA"/>
    <w:rsid w:val="006A772F"/>
    <w:rsid w:val="006A77AA"/>
    <w:rsid w:val="006A7842"/>
    <w:rsid w:val="006A78A6"/>
    <w:rsid w:val="006A791B"/>
    <w:rsid w:val="006A7985"/>
    <w:rsid w:val="006A79A8"/>
    <w:rsid w:val="006A79C6"/>
    <w:rsid w:val="006A7AA5"/>
    <w:rsid w:val="006A7B14"/>
    <w:rsid w:val="006A7BE1"/>
    <w:rsid w:val="006A7BEE"/>
    <w:rsid w:val="006A7C17"/>
    <w:rsid w:val="006A7C4C"/>
    <w:rsid w:val="006A7D01"/>
    <w:rsid w:val="006A7E60"/>
    <w:rsid w:val="006A7E86"/>
    <w:rsid w:val="006A7EF5"/>
    <w:rsid w:val="006A7F62"/>
    <w:rsid w:val="006A7FBB"/>
    <w:rsid w:val="006A7FF5"/>
    <w:rsid w:val="006B0106"/>
    <w:rsid w:val="006B0108"/>
    <w:rsid w:val="006B0110"/>
    <w:rsid w:val="006B0140"/>
    <w:rsid w:val="006B0157"/>
    <w:rsid w:val="006B0189"/>
    <w:rsid w:val="006B01D3"/>
    <w:rsid w:val="006B030E"/>
    <w:rsid w:val="006B0399"/>
    <w:rsid w:val="006B03C5"/>
    <w:rsid w:val="006B03C8"/>
    <w:rsid w:val="006B0407"/>
    <w:rsid w:val="006B050C"/>
    <w:rsid w:val="006B0527"/>
    <w:rsid w:val="006B065A"/>
    <w:rsid w:val="006B065B"/>
    <w:rsid w:val="006B066A"/>
    <w:rsid w:val="006B0698"/>
    <w:rsid w:val="006B073E"/>
    <w:rsid w:val="006B07B6"/>
    <w:rsid w:val="006B07C8"/>
    <w:rsid w:val="006B0829"/>
    <w:rsid w:val="006B08F5"/>
    <w:rsid w:val="006B0904"/>
    <w:rsid w:val="006B093A"/>
    <w:rsid w:val="006B096E"/>
    <w:rsid w:val="006B0992"/>
    <w:rsid w:val="006B09A2"/>
    <w:rsid w:val="006B0A2F"/>
    <w:rsid w:val="006B0AA3"/>
    <w:rsid w:val="006B0B1D"/>
    <w:rsid w:val="006B0B8B"/>
    <w:rsid w:val="006B0C56"/>
    <w:rsid w:val="006B0CBC"/>
    <w:rsid w:val="006B0CBE"/>
    <w:rsid w:val="006B0D9A"/>
    <w:rsid w:val="006B0E0A"/>
    <w:rsid w:val="006B0F9D"/>
    <w:rsid w:val="006B1034"/>
    <w:rsid w:val="006B105D"/>
    <w:rsid w:val="006B1074"/>
    <w:rsid w:val="006B112C"/>
    <w:rsid w:val="006B1137"/>
    <w:rsid w:val="006B11F6"/>
    <w:rsid w:val="006B1207"/>
    <w:rsid w:val="006B12C5"/>
    <w:rsid w:val="006B131F"/>
    <w:rsid w:val="006B136E"/>
    <w:rsid w:val="006B13B8"/>
    <w:rsid w:val="006B13CE"/>
    <w:rsid w:val="006B1516"/>
    <w:rsid w:val="006B151D"/>
    <w:rsid w:val="006B15DD"/>
    <w:rsid w:val="006B15E7"/>
    <w:rsid w:val="006B166D"/>
    <w:rsid w:val="006B167D"/>
    <w:rsid w:val="006B172D"/>
    <w:rsid w:val="006B1784"/>
    <w:rsid w:val="006B17A5"/>
    <w:rsid w:val="006B182B"/>
    <w:rsid w:val="006B1856"/>
    <w:rsid w:val="006B18EC"/>
    <w:rsid w:val="006B190A"/>
    <w:rsid w:val="006B190C"/>
    <w:rsid w:val="006B194B"/>
    <w:rsid w:val="006B199D"/>
    <w:rsid w:val="006B1ADD"/>
    <w:rsid w:val="006B1B4A"/>
    <w:rsid w:val="006B1B7A"/>
    <w:rsid w:val="006B1BCB"/>
    <w:rsid w:val="006B1C36"/>
    <w:rsid w:val="006B1CB2"/>
    <w:rsid w:val="006B1D3E"/>
    <w:rsid w:val="006B1D69"/>
    <w:rsid w:val="006B1DB8"/>
    <w:rsid w:val="006B1DCE"/>
    <w:rsid w:val="006B1E5B"/>
    <w:rsid w:val="006B1ED5"/>
    <w:rsid w:val="006B1EE9"/>
    <w:rsid w:val="006B2054"/>
    <w:rsid w:val="006B211C"/>
    <w:rsid w:val="006B21C0"/>
    <w:rsid w:val="006B21EB"/>
    <w:rsid w:val="006B220E"/>
    <w:rsid w:val="006B2213"/>
    <w:rsid w:val="006B2239"/>
    <w:rsid w:val="006B2387"/>
    <w:rsid w:val="006B23C8"/>
    <w:rsid w:val="006B240C"/>
    <w:rsid w:val="006B2462"/>
    <w:rsid w:val="006B2467"/>
    <w:rsid w:val="006B24C0"/>
    <w:rsid w:val="006B2599"/>
    <w:rsid w:val="006B25A7"/>
    <w:rsid w:val="006B2638"/>
    <w:rsid w:val="006B2712"/>
    <w:rsid w:val="006B275E"/>
    <w:rsid w:val="006B2851"/>
    <w:rsid w:val="006B285D"/>
    <w:rsid w:val="006B2881"/>
    <w:rsid w:val="006B28AD"/>
    <w:rsid w:val="006B28CC"/>
    <w:rsid w:val="006B2A32"/>
    <w:rsid w:val="006B2A4C"/>
    <w:rsid w:val="006B2A75"/>
    <w:rsid w:val="006B2A8E"/>
    <w:rsid w:val="006B2BA2"/>
    <w:rsid w:val="006B2BBE"/>
    <w:rsid w:val="006B2BFE"/>
    <w:rsid w:val="006B2C51"/>
    <w:rsid w:val="006B2C53"/>
    <w:rsid w:val="006B2DCC"/>
    <w:rsid w:val="006B2F4D"/>
    <w:rsid w:val="006B2FCB"/>
    <w:rsid w:val="006B3005"/>
    <w:rsid w:val="006B307E"/>
    <w:rsid w:val="006B311D"/>
    <w:rsid w:val="006B3143"/>
    <w:rsid w:val="006B314B"/>
    <w:rsid w:val="006B31EC"/>
    <w:rsid w:val="006B31EF"/>
    <w:rsid w:val="006B3233"/>
    <w:rsid w:val="006B324C"/>
    <w:rsid w:val="006B32AB"/>
    <w:rsid w:val="006B3316"/>
    <w:rsid w:val="006B333C"/>
    <w:rsid w:val="006B3360"/>
    <w:rsid w:val="006B3377"/>
    <w:rsid w:val="006B3469"/>
    <w:rsid w:val="006B34AC"/>
    <w:rsid w:val="006B3595"/>
    <w:rsid w:val="006B3626"/>
    <w:rsid w:val="006B379F"/>
    <w:rsid w:val="006B383D"/>
    <w:rsid w:val="006B3880"/>
    <w:rsid w:val="006B397F"/>
    <w:rsid w:val="006B3995"/>
    <w:rsid w:val="006B39AD"/>
    <w:rsid w:val="006B3A8A"/>
    <w:rsid w:val="006B3AC1"/>
    <w:rsid w:val="006B3ACA"/>
    <w:rsid w:val="006B3AF9"/>
    <w:rsid w:val="006B3B48"/>
    <w:rsid w:val="006B3CEF"/>
    <w:rsid w:val="006B3F78"/>
    <w:rsid w:val="006B4007"/>
    <w:rsid w:val="006B402C"/>
    <w:rsid w:val="006B40B2"/>
    <w:rsid w:val="006B40C9"/>
    <w:rsid w:val="006B41C2"/>
    <w:rsid w:val="006B41D2"/>
    <w:rsid w:val="006B4216"/>
    <w:rsid w:val="006B4219"/>
    <w:rsid w:val="006B4224"/>
    <w:rsid w:val="006B4256"/>
    <w:rsid w:val="006B429F"/>
    <w:rsid w:val="006B42E5"/>
    <w:rsid w:val="006B4411"/>
    <w:rsid w:val="006B4492"/>
    <w:rsid w:val="006B44EF"/>
    <w:rsid w:val="006B4537"/>
    <w:rsid w:val="006B4539"/>
    <w:rsid w:val="006B4568"/>
    <w:rsid w:val="006B458D"/>
    <w:rsid w:val="006B45E5"/>
    <w:rsid w:val="006B467A"/>
    <w:rsid w:val="006B46F3"/>
    <w:rsid w:val="006B46FD"/>
    <w:rsid w:val="006B470B"/>
    <w:rsid w:val="006B473F"/>
    <w:rsid w:val="006B47F8"/>
    <w:rsid w:val="006B4880"/>
    <w:rsid w:val="006B4893"/>
    <w:rsid w:val="006B490F"/>
    <w:rsid w:val="006B494E"/>
    <w:rsid w:val="006B49C9"/>
    <w:rsid w:val="006B49CE"/>
    <w:rsid w:val="006B4ACD"/>
    <w:rsid w:val="006B4AFC"/>
    <w:rsid w:val="006B4B29"/>
    <w:rsid w:val="006B4BE5"/>
    <w:rsid w:val="006B4C2E"/>
    <w:rsid w:val="006B4C40"/>
    <w:rsid w:val="006B4C84"/>
    <w:rsid w:val="006B4D0B"/>
    <w:rsid w:val="006B4D10"/>
    <w:rsid w:val="006B4D65"/>
    <w:rsid w:val="006B4D76"/>
    <w:rsid w:val="006B4E17"/>
    <w:rsid w:val="006B4E62"/>
    <w:rsid w:val="006B4FA4"/>
    <w:rsid w:val="006B4FC2"/>
    <w:rsid w:val="006B50BC"/>
    <w:rsid w:val="006B50FA"/>
    <w:rsid w:val="006B5112"/>
    <w:rsid w:val="006B511D"/>
    <w:rsid w:val="006B519C"/>
    <w:rsid w:val="006B5201"/>
    <w:rsid w:val="006B52AE"/>
    <w:rsid w:val="006B543E"/>
    <w:rsid w:val="006B546B"/>
    <w:rsid w:val="006B54B1"/>
    <w:rsid w:val="006B554E"/>
    <w:rsid w:val="006B555A"/>
    <w:rsid w:val="006B5571"/>
    <w:rsid w:val="006B55C7"/>
    <w:rsid w:val="006B55CB"/>
    <w:rsid w:val="006B5633"/>
    <w:rsid w:val="006B563F"/>
    <w:rsid w:val="006B56A8"/>
    <w:rsid w:val="006B56F5"/>
    <w:rsid w:val="006B57C4"/>
    <w:rsid w:val="006B593E"/>
    <w:rsid w:val="006B5992"/>
    <w:rsid w:val="006B59B7"/>
    <w:rsid w:val="006B5AA9"/>
    <w:rsid w:val="006B5B57"/>
    <w:rsid w:val="006B5CEC"/>
    <w:rsid w:val="006B5D1C"/>
    <w:rsid w:val="006B5D92"/>
    <w:rsid w:val="006B5DBE"/>
    <w:rsid w:val="006B5EF8"/>
    <w:rsid w:val="006B5F65"/>
    <w:rsid w:val="006B5FF4"/>
    <w:rsid w:val="006B60D5"/>
    <w:rsid w:val="006B617E"/>
    <w:rsid w:val="006B61AB"/>
    <w:rsid w:val="006B6231"/>
    <w:rsid w:val="006B62FE"/>
    <w:rsid w:val="006B635B"/>
    <w:rsid w:val="006B6361"/>
    <w:rsid w:val="006B63BB"/>
    <w:rsid w:val="006B63EA"/>
    <w:rsid w:val="006B6436"/>
    <w:rsid w:val="006B650E"/>
    <w:rsid w:val="006B659B"/>
    <w:rsid w:val="006B65BC"/>
    <w:rsid w:val="006B6607"/>
    <w:rsid w:val="006B665A"/>
    <w:rsid w:val="006B667B"/>
    <w:rsid w:val="006B66A7"/>
    <w:rsid w:val="006B66DD"/>
    <w:rsid w:val="006B6707"/>
    <w:rsid w:val="006B690D"/>
    <w:rsid w:val="006B6995"/>
    <w:rsid w:val="006B69A4"/>
    <w:rsid w:val="006B6B0F"/>
    <w:rsid w:val="006B6B42"/>
    <w:rsid w:val="006B6D68"/>
    <w:rsid w:val="006B6E97"/>
    <w:rsid w:val="006B6F18"/>
    <w:rsid w:val="006B6F64"/>
    <w:rsid w:val="006B6F90"/>
    <w:rsid w:val="006B6FBE"/>
    <w:rsid w:val="006B702B"/>
    <w:rsid w:val="006B7093"/>
    <w:rsid w:val="006B7157"/>
    <w:rsid w:val="006B7159"/>
    <w:rsid w:val="006B723D"/>
    <w:rsid w:val="006B7260"/>
    <w:rsid w:val="006B74CA"/>
    <w:rsid w:val="006B74D5"/>
    <w:rsid w:val="006B75B6"/>
    <w:rsid w:val="006B75D5"/>
    <w:rsid w:val="006B7618"/>
    <w:rsid w:val="006B76A7"/>
    <w:rsid w:val="006B7772"/>
    <w:rsid w:val="006B78DA"/>
    <w:rsid w:val="006B790C"/>
    <w:rsid w:val="006B7926"/>
    <w:rsid w:val="006B7945"/>
    <w:rsid w:val="006B79FF"/>
    <w:rsid w:val="006B7A43"/>
    <w:rsid w:val="006B7A87"/>
    <w:rsid w:val="006B7A8C"/>
    <w:rsid w:val="006B7AC2"/>
    <w:rsid w:val="006B7B1B"/>
    <w:rsid w:val="006B7B23"/>
    <w:rsid w:val="006B7B64"/>
    <w:rsid w:val="006B7BE9"/>
    <w:rsid w:val="006B7C0E"/>
    <w:rsid w:val="006B7CA9"/>
    <w:rsid w:val="006B7D35"/>
    <w:rsid w:val="006C0094"/>
    <w:rsid w:val="006C00CF"/>
    <w:rsid w:val="006C0138"/>
    <w:rsid w:val="006C0163"/>
    <w:rsid w:val="006C025B"/>
    <w:rsid w:val="006C0335"/>
    <w:rsid w:val="006C0441"/>
    <w:rsid w:val="006C0471"/>
    <w:rsid w:val="006C04FB"/>
    <w:rsid w:val="006C0529"/>
    <w:rsid w:val="006C0568"/>
    <w:rsid w:val="006C05B1"/>
    <w:rsid w:val="006C05EA"/>
    <w:rsid w:val="006C05EE"/>
    <w:rsid w:val="006C05F4"/>
    <w:rsid w:val="006C070B"/>
    <w:rsid w:val="006C07DF"/>
    <w:rsid w:val="006C087B"/>
    <w:rsid w:val="006C08F3"/>
    <w:rsid w:val="006C08F8"/>
    <w:rsid w:val="006C0929"/>
    <w:rsid w:val="006C0988"/>
    <w:rsid w:val="006C0A33"/>
    <w:rsid w:val="006C0A50"/>
    <w:rsid w:val="006C0B16"/>
    <w:rsid w:val="006C0BF0"/>
    <w:rsid w:val="006C0C71"/>
    <w:rsid w:val="006C0D08"/>
    <w:rsid w:val="006C0DB0"/>
    <w:rsid w:val="006C0DFA"/>
    <w:rsid w:val="006C0E29"/>
    <w:rsid w:val="006C0E3C"/>
    <w:rsid w:val="006C0E5C"/>
    <w:rsid w:val="006C0F3D"/>
    <w:rsid w:val="006C1028"/>
    <w:rsid w:val="006C104E"/>
    <w:rsid w:val="006C11A1"/>
    <w:rsid w:val="006C130A"/>
    <w:rsid w:val="006C135A"/>
    <w:rsid w:val="006C135C"/>
    <w:rsid w:val="006C13D4"/>
    <w:rsid w:val="006C14A5"/>
    <w:rsid w:val="006C14B4"/>
    <w:rsid w:val="006C1518"/>
    <w:rsid w:val="006C1605"/>
    <w:rsid w:val="006C162B"/>
    <w:rsid w:val="006C1691"/>
    <w:rsid w:val="006C1848"/>
    <w:rsid w:val="006C1974"/>
    <w:rsid w:val="006C19D3"/>
    <w:rsid w:val="006C1A3D"/>
    <w:rsid w:val="006C1A88"/>
    <w:rsid w:val="006C1AF1"/>
    <w:rsid w:val="006C1C3F"/>
    <w:rsid w:val="006C1C87"/>
    <w:rsid w:val="006C1C8C"/>
    <w:rsid w:val="006C1D4D"/>
    <w:rsid w:val="006C1DC8"/>
    <w:rsid w:val="006C1E0D"/>
    <w:rsid w:val="006C1E48"/>
    <w:rsid w:val="006C1EA4"/>
    <w:rsid w:val="006C1FB4"/>
    <w:rsid w:val="006C1FE5"/>
    <w:rsid w:val="006C20DB"/>
    <w:rsid w:val="006C2134"/>
    <w:rsid w:val="006C217B"/>
    <w:rsid w:val="006C2217"/>
    <w:rsid w:val="006C22A5"/>
    <w:rsid w:val="006C22D9"/>
    <w:rsid w:val="006C22EF"/>
    <w:rsid w:val="006C2344"/>
    <w:rsid w:val="006C23FA"/>
    <w:rsid w:val="006C249B"/>
    <w:rsid w:val="006C2548"/>
    <w:rsid w:val="006C255C"/>
    <w:rsid w:val="006C25FC"/>
    <w:rsid w:val="006C2628"/>
    <w:rsid w:val="006C26B7"/>
    <w:rsid w:val="006C2807"/>
    <w:rsid w:val="006C287C"/>
    <w:rsid w:val="006C2A43"/>
    <w:rsid w:val="006C2A47"/>
    <w:rsid w:val="006C2CB6"/>
    <w:rsid w:val="006C2D60"/>
    <w:rsid w:val="006C2DA9"/>
    <w:rsid w:val="006C2E21"/>
    <w:rsid w:val="006C2E24"/>
    <w:rsid w:val="006C308B"/>
    <w:rsid w:val="006C3094"/>
    <w:rsid w:val="006C30AE"/>
    <w:rsid w:val="006C3139"/>
    <w:rsid w:val="006C3167"/>
    <w:rsid w:val="006C3181"/>
    <w:rsid w:val="006C31C1"/>
    <w:rsid w:val="006C31F2"/>
    <w:rsid w:val="006C3246"/>
    <w:rsid w:val="006C3269"/>
    <w:rsid w:val="006C32BF"/>
    <w:rsid w:val="006C332E"/>
    <w:rsid w:val="006C33F0"/>
    <w:rsid w:val="006C33F9"/>
    <w:rsid w:val="006C3414"/>
    <w:rsid w:val="006C34ED"/>
    <w:rsid w:val="006C352E"/>
    <w:rsid w:val="006C3588"/>
    <w:rsid w:val="006C35D6"/>
    <w:rsid w:val="006C35EE"/>
    <w:rsid w:val="006C35F5"/>
    <w:rsid w:val="006C3646"/>
    <w:rsid w:val="006C368E"/>
    <w:rsid w:val="006C3733"/>
    <w:rsid w:val="006C375B"/>
    <w:rsid w:val="006C379C"/>
    <w:rsid w:val="006C37BD"/>
    <w:rsid w:val="006C3833"/>
    <w:rsid w:val="006C38DD"/>
    <w:rsid w:val="006C3914"/>
    <w:rsid w:val="006C3964"/>
    <w:rsid w:val="006C399F"/>
    <w:rsid w:val="006C39F0"/>
    <w:rsid w:val="006C3A46"/>
    <w:rsid w:val="006C3A99"/>
    <w:rsid w:val="006C3BD4"/>
    <w:rsid w:val="006C3D12"/>
    <w:rsid w:val="006C3D2D"/>
    <w:rsid w:val="006C3D32"/>
    <w:rsid w:val="006C3D8E"/>
    <w:rsid w:val="006C3E94"/>
    <w:rsid w:val="006C3ECA"/>
    <w:rsid w:val="006C3FC4"/>
    <w:rsid w:val="006C4077"/>
    <w:rsid w:val="006C40F9"/>
    <w:rsid w:val="006C411E"/>
    <w:rsid w:val="006C42B2"/>
    <w:rsid w:val="006C42E5"/>
    <w:rsid w:val="006C42FD"/>
    <w:rsid w:val="006C4399"/>
    <w:rsid w:val="006C43BC"/>
    <w:rsid w:val="006C43DC"/>
    <w:rsid w:val="006C449E"/>
    <w:rsid w:val="006C44A1"/>
    <w:rsid w:val="006C460B"/>
    <w:rsid w:val="006C4741"/>
    <w:rsid w:val="006C48BA"/>
    <w:rsid w:val="006C48BC"/>
    <w:rsid w:val="006C4A32"/>
    <w:rsid w:val="006C4BAA"/>
    <w:rsid w:val="006C4BC8"/>
    <w:rsid w:val="006C4BCB"/>
    <w:rsid w:val="006C4D12"/>
    <w:rsid w:val="006C4DED"/>
    <w:rsid w:val="006C4EE0"/>
    <w:rsid w:val="006C4F97"/>
    <w:rsid w:val="006C502C"/>
    <w:rsid w:val="006C5103"/>
    <w:rsid w:val="006C51F1"/>
    <w:rsid w:val="006C5230"/>
    <w:rsid w:val="006C5319"/>
    <w:rsid w:val="006C5321"/>
    <w:rsid w:val="006C539E"/>
    <w:rsid w:val="006C53FF"/>
    <w:rsid w:val="006C5427"/>
    <w:rsid w:val="006C5572"/>
    <w:rsid w:val="006C5630"/>
    <w:rsid w:val="006C564C"/>
    <w:rsid w:val="006C5666"/>
    <w:rsid w:val="006C5669"/>
    <w:rsid w:val="006C56A3"/>
    <w:rsid w:val="006C571A"/>
    <w:rsid w:val="006C5739"/>
    <w:rsid w:val="006C578A"/>
    <w:rsid w:val="006C57DF"/>
    <w:rsid w:val="006C57F0"/>
    <w:rsid w:val="006C57F9"/>
    <w:rsid w:val="006C5864"/>
    <w:rsid w:val="006C58BE"/>
    <w:rsid w:val="006C5977"/>
    <w:rsid w:val="006C59F0"/>
    <w:rsid w:val="006C5A4F"/>
    <w:rsid w:val="006C5ABC"/>
    <w:rsid w:val="006C5AD9"/>
    <w:rsid w:val="006C5B5B"/>
    <w:rsid w:val="006C5B86"/>
    <w:rsid w:val="006C5D52"/>
    <w:rsid w:val="006C5E57"/>
    <w:rsid w:val="006C5F0D"/>
    <w:rsid w:val="006C5F4D"/>
    <w:rsid w:val="006C5F56"/>
    <w:rsid w:val="006C5FC2"/>
    <w:rsid w:val="006C610D"/>
    <w:rsid w:val="006C61AA"/>
    <w:rsid w:val="006C61D9"/>
    <w:rsid w:val="006C6320"/>
    <w:rsid w:val="006C6343"/>
    <w:rsid w:val="006C634E"/>
    <w:rsid w:val="006C63B8"/>
    <w:rsid w:val="006C63BE"/>
    <w:rsid w:val="006C63D6"/>
    <w:rsid w:val="006C63F7"/>
    <w:rsid w:val="006C640D"/>
    <w:rsid w:val="006C649F"/>
    <w:rsid w:val="006C656B"/>
    <w:rsid w:val="006C65A9"/>
    <w:rsid w:val="006C65E3"/>
    <w:rsid w:val="006C65E5"/>
    <w:rsid w:val="006C65F7"/>
    <w:rsid w:val="006C662E"/>
    <w:rsid w:val="006C6638"/>
    <w:rsid w:val="006C665F"/>
    <w:rsid w:val="006C666C"/>
    <w:rsid w:val="006C6699"/>
    <w:rsid w:val="006C66CE"/>
    <w:rsid w:val="006C6722"/>
    <w:rsid w:val="006C67AA"/>
    <w:rsid w:val="006C67DC"/>
    <w:rsid w:val="006C67E8"/>
    <w:rsid w:val="006C682B"/>
    <w:rsid w:val="006C695D"/>
    <w:rsid w:val="006C695E"/>
    <w:rsid w:val="006C697A"/>
    <w:rsid w:val="006C6AA3"/>
    <w:rsid w:val="006C6AE1"/>
    <w:rsid w:val="006C6B82"/>
    <w:rsid w:val="006C6BF6"/>
    <w:rsid w:val="006C6C39"/>
    <w:rsid w:val="006C6CB5"/>
    <w:rsid w:val="006C6D00"/>
    <w:rsid w:val="006C6E2F"/>
    <w:rsid w:val="006C6E4F"/>
    <w:rsid w:val="006C6E64"/>
    <w:rsid w:val="006C6E77"/>
    <w:rsid w:val="006C6E79"/>
    <w:rsid w:val="006C6F34"/>
    <w:rsid w:val="006C6F61"/>
    <w:rsid w:val="006C6F65"/>
    <w:rsid w:val="006C6F8D"/>
    <w:rsid w:val="006C6FEF"/>
    <w:rsid w:val="006C7006"/>
    <w:rsid w:val="006C70C1"/>
    <w:rsid w:val="006C70CD"/>
    <w:rsid w:val="006C70E8"/>
    <w:rsid w:val="006C7133"/>
    <w:rsid w:val="006C723D"/>
    <w:rsid w:val="006C7253"/>
    <w:rsid w:val="006C72AF"/>
    <w:rsid w:val="006C72EE"/>
    <w:rsid w:val="006C7309"/>
    <w:rsid w:val="006C7361"/>
    <w:rsid w:val="006C74DF"/>
    <w:rsid w:val="006C7502"/>
    <w:rsid w:val="006C75DD"/>
    <w:rsid w:val="006C75E7"/>
    <w:rsid w:val="006C771C"/>
    <w:rsid w:val="006C7754"/>
    <w:rsid w:val="006C7779"/>
    <w:rsid w:val="006C77DE"/>
    <w:rsid w:val="006C783F"/>
    <w:rsid w:val="006C792B"/>
    <w:rsid w:val="006C79C3"/>
    <w:rsid w:val="006C7A14"/>
    <w:rsid w:val="006C7A3C"/>
    <w:rsid w:val="006C7B07"/>
    <w:rsid w:val="006C7BF7"/>
    <w:rsid w:val="006C7C11"/>
    <w:rsid w:val="006C7CAC"/>
    <w:rsid w:val="006D002E"/>
    <w:rsid w:val="006D0077"/>
    <w:rsid w:val="006D00B7"/>
    <w:rsid w:val="006D00DB"/>
    <w:rsid w:val="006D00E8"/>
    <w:rsid w:val="006D015C"/>
    <w:rsid w:val="006D01C9"/>
    <w:rsid w:val="006D01E0"/>
    <w:rsid w:val="006D0267"/>
    <w:rsid w:val="006D02A8"/>
    <w:rsid w:val="006D02F5"/>
    <w:rsid w:val="006D0319"/>
    <w:rsid w:val="006D0368"/>
    <w:rsid w:val="006D039B"/>
    <w:rsid w:val="006D0582"/>
    <w:rsid w:val="006D0583"/>
    <w:rsid w:val="006D059E"/>
    <w:rsid w:val="006D05D6"/>
    <w:rsid w:val="006D0601"/>
    <w:rsid w:val="006D06BC"/>
    <w:rsid w:val="006D07B3"/>
    <w:rsid w:val="006D07D6"/>
    <w:rsid w:val="006D07F9"/>
    <w:rsid w:val="006D08AB"/>
    <w:rsid w:val="006D0924"/>
    <w:rsid w:val="006D0980"/>
    <w:rsid w:val="006D09AE"/>
    <w:rsid w:val="006D09D2"/>
    <w:rsid w:val="006D0B10"/>
    <w:rsid w:val="006D0BFD"/>
    <w:rsid w:val="006D0C17"/>
    <w:rsid w:val="006D0C36"/>
    <w:rsid w:val="006D0C40"/>
    <w:rsid w:val="006D0C48"/>
    <w:rsid w:val="006D0C8F"/>
    <w:rsid w:val="006D0D0F"/>
    <w:rsid w:val="006D0D4F"/>
    <w:rsid w:val="006D0DA0"/>
    <w:rsid w:val="006D0E71"/>
    <w:rsid w:val="006D0F51"/>
    <w:rsid w:val="006D0F9C"/>
    <w:rsid w:val="006D107F"/>
    <w:rsid w:val="006D10CC"/>
    <w:rsid w:val="006D10EB"/>
    <w:rsid w:val="006D110E"/>
    <w:rsid w:val="006D1148"/>
    <w:rsid w:val="006D12CC"/>
    <w:rsid w:val="006D1439"/>
    <w:rsid w:val="006D14C5"/>
    <w:rsid w:val="006D153A"/>
    <w:rsid w:val="006D159E"/>
    <w:rsid w:val="006D15B5"/>
    <w:rsid w:val="006D1666"/>
    <w:rsid w:val="006D166F"/>
    <w:rsid w:val="006D16B9"/>
    <w:rsid w:val="006D1753"/>
    <w:rsid w:val="006D17E3"/>
    <w:rsid w:val="006D1821"/>
    <w:rsid w:val="006D18DC"/>
    <w:rsid w:val="006D19C1"/>
    <w:rsid w:val="006D1A2C"/>
    <w:rsid w:val="006D1C7D"/>
    <w:rsid w:val="006D1C82"/>
    <w:rsid w:val="006D1C90"/>
    <w:rsid w:val="006D1D8D"/>
    <w:rsid w:val="006D1E76"/>
    <w:rsid w:val="006D1E7A"/>
    <w:rsid w:val="006D1ECC"/>
    <w:rsid w:val="006D1F97"/>
    <w:rsid w:val="006D20B0"/>
    <w:rsid w:val="006D2129"/>
    <w:rsid w:val="006D21C5"/>
    <w:rsid w:val="006D2209"/>
    <w:rsid w:val="006D224F"/>
    <w:rsid w:val="006D22EF"/>
    <w:rsid w:val="006D22F5"/>
    <w:rsid w:val="006D2301"/>
    <w:rsid w:val="006D230E"/>
    <w:rsid w:val="006D242D"/>
    <w:rsid w:val="006D24A9"/>
    <w:rsid w:val="006D24CE"/>
    <w:rsid w:val="006D2640"/>
    <w:rsid w:val="006D2743"/>
    <w:rsid w:val="006D2771"/>
    <w:rsid w:val="006D2819"/>
    <w:rsid w:val="006D2885"/>
    <w:rsid w:val="006D28C0"/>
    <w:rsid w:val="006D28DF"/>
    <w:rsid w:val="006D2918"/>
    <w:rsid w:val="006D295E"/>
    <w:rsid w:val="006D2968"/>
    <w:rsid w:val="006D29EF"/>
    <w:rsid w:val="006D2A56"/>
    <w:rsid w:val="006D2AED"/>
    <w:rsid w:val="006D2C14"/>
    <w:rsid w:val="006D2C45"/>
    <w:rsid w:val="006D2C51"/>
    <w:rsid w:val="006D2DC0"/>
    <w:rsid w:val="006D2DF2"/>
    <w:rsid w:val="006D2EB4"/>
    <w:rsid w:val="006D2F03"/>
    <w:rsid w:val="006D2FCD"/>
    <w:rsid w:val="006D2FE1"/>
    <w:rsid w:val="006D309C"/>
    <w:rsid w:val="006D30A0"/>
    <w:rsid w:val="006D30E9"/>
    <w:rsid w:val="006D3122"/>
    <w:rsid w:val="006D3148"/>
    <w:rsid w:val="006D3183"/>
    <w:rsid w:val="006D31E5"/>
    <w:rsid w:val="006D32C8"/>
    <w:rsid w:val="006D334F"/>
    <w:rsid w:val="006D3419"/>
    <w:rsid w:val="006D3438"/>
    <w:rsid w:val="006D347D"/>
    <w:rsid w:val="006D34C4"/>
    <w:rsid w:val="006D3503"/>
    <w:rsid w:val="006D35D1"/>
    <w:rsid w:val="006D360C"/>
    <w:rsid w:val="006D36B4"/>
    <w:rsid w:val="006D36E7"/>
    <w:rsid w:val="006D388E"/>
    <w:rsid w:val="006D38AB"/>
    <w:rsid w:val="006D38B9"/>
    <w:rsid w:val="006D3924"/>
    <w:rsid w:val="006D394A"/>
    <w:rsid w:val="006D3969"/>
    <w:rsid w:val="006D3A6F"/>
    <w:rsid w:val="006D3AF7"/>
    <w:rsid w:val="006D3AFB"/>
    <w:rsid w:val="006D3B6B"/>
    <w:rsid w:val="006D3BA6"/>
    <w:rsid w:val="006D3BD7"/>
    <w:rsid w:val="006D3C5F"/>
    <w:rsid w:val="006D3C6C"/>
    <w:rsid w:val="006D3CE1"/>
    <w:rsid w:val="006D3D6F"/>
    <w:rsid w:val="006D3DE1"/>
    <w:rsid w:val="006D3E37"/>
    <w:rsid w:val="006D3F66"/>
    <w:rsid w:val="006D3F8D"/>
    <w:rsid w:val="006D4045"/>
    <w:rsid w:val="006D4068"/>
    <w:rsid w:val="006D40EA"/>
    <w:rsid w:val="006D4145"/>
    <w:rsid w:val="006D41B0"/>
    <w:rsid w:val="006D41E2"/>
    <w:rsid w:val="006D4286"/>
    <w:rsid w:val="006D4289"/>
    <w:rsid w:val="006D42FB"/>
    <w:rsid w:val="006D44D6"/>
    <w:rsid w:val="006D44E6"/>
    <w:rsid w:val="006D44F0"/>
    <w:rsid w:val="006D4538"/>
    <w:rsid w:val="006D453F"/>
    <w:rsid w:val="006D4587"/>
    <w:rsid w:val="006D4600"/>
    <w:rsid w:val="006D464E"/>
    <w:rsid w:val="006D465C"/>
    <w:rsid w:val="006D4661"/>
    <w:rsid w:val="006D46B2"/>
    <w:rsid w:val="006D46B7"/>
    <w:rsid w:val="006D4754"/>
    <w:rsid w:val="006D4784"/>
    <w:rsid w:val="006D4792"/>
    <w:rsid w:val="006D47EE"/>
    <w:rsid w:val="006D4880"/>
    <w:rsid w:val="006D4889"/>
    <w:rsid w:val="006D4943"/>
    <w:rsid w:val="006D4A67"/>
    <w:rsid w:val="006D4A97"/>
    <w:rsid w:val="006D4ACD"/>
    <w:rsid w:val="006D4B16"/>
    <w:rsid w:val="006D4B36"/>
    <w:rsid w:val="006D4B90"/>
    <w:rsid w:val="006D4CB9"/>
    <w:rsid w:val="006D4DD5"/>
    <w:rsid w:val="006D4E15"/>
    <w:rsid w:val="006D4E1F"/>
    <w:rsid w:val="006D4E55"/>
    <w:rsid w:val="006D4EEA"/>
    <w:rsid w:val="006D5153"/>
    <w:rsid w:val="006D51FA"/>
    <w:rsid w:val="006D52FF"/>
    <w:rsid w:val="006D530F"/>
    <w:rsid w:val="006D5380"/>
    <w:rsid w:val="006D5451"/>
    <w:rsid w:val="006D54C6"/>
    <w:rsid w:val="006D555A"/>
    <w:rsid w:val="006D57D4"/>
    <w:rsid w:val="006D5862"/>
    <w:rsid w:val="006D5898"/>
    <w:rsid w:val="006D595A"/>
    <w:rsid w:val="006D5A18"/>
    <w:rsid w:val="006D5A87"/>
    <w:rsid w:val="006D5AC9"/>
    <w:rsid w:val="006D5ACD"/>
    <w:rsid w:val="006D5AD6"/>
    <w:rsid w:val="006D5B4B"/>
    <w:rsid w:val="006D5B64"/>
    <w:rsid w:val="006D5B75"/>
    <w:rsid w:val="006D5BD9"/>
    <w:rsid w:val="006D5C03"/>
    <w:rsid w:val="006D5C11"/>
    <w:rsid w:val="006D5C22"/>
    <w:rsid w:val="006D5C2C"/>
    <w:rsid w:val="006D5C3F"/>
    <w:rsid w:val="006D5C4F"/>
    <w:rsid w:val="006D5C71"/>
    <w:rsid w:val="006D5D26"/>
    <w:rsid w:val="006D5E71"/>
    <w:rsid w:val="006D5ECD"/>
    <w:rsid w:val="006D5F1C"/>
    <w:rsid w:val="006D600A"/>
    <w:rsid w:val="006D601B"/>
    <w:rsid w:val="006D604C"/>
    <w:rsid w:val="006D607C"/>
    <w:rsid w:val="006D60C0"/>
    <w:rsid w:val="006D618E"/>
    <w:rsid w:val="006D62C8"/>
    <w:rsid w:val="006D63A1"/>
    <w:rsid w:val="006D6491"/>
    <w:rsid w:val="006D64E0"/>
    <w:rsid w:val="006D6509"/>
    <w:rsid w:val="006D6623"/>
    <w:rsid w:val="006D6694"/>
    <w:rsid w:val="006D66ED"/>
    <w:rsid w:val="006D6807"/>
    <w:rsid w:val="006D683F"/>
    <w:rsid w:val="006D6850"/>
    <w:rsid w:val="006D6928"/>
    <w:rsid w:val="006D69D7"/>
    <w:rsid w:val="006D69DA"/>
    <w:rsid w:val="006D69DC"/>
    <w:rsid w:val="006D6A05"/>
    <w:rsid w:val="006D6A7B"/>
    <w:rsid w:val="006D6B3A"/>
    <w:rsid w:val="006D6B58"/>
    <w:rsid w:val="006D6C50"/>
    <w:rsid w:val="006D6C91"/>
    <w:rsid w:val="006D6D30"/>
    <w:rsid w:val="006D6D64"/>
    <w:rsid w:val="006D6DC7"/>
    <w:rsid w:val="006D6DC9"/>
    <w:rsid w:val="006D6E38"/>
    <w:rsid w:val="006D6E95"/>
    <w:rsid w:val="006D6ED0"/>
    <w:rsid w:val="006D6F1B"/>
    <w:rsid w:val="006D6F98"/>
    <w:rsid w:val="006D7025"/>
    <w:rsid w:val="006D706A"/>
    <w:rsid w:val="006D7178"/>
    <w:rsid w:val="006D7265"/>
    <w:rsid w:val="006D72CD"/>
    <w:rsid w:val="006D733A"/>
    <w:rsid w:val="006D73BA"/>
    <w:rsid w:val="006D73F0"/>
    <w:rsid w:val="006D7478"/>
    <w:rsid w:val="006D7526"/>
    <w:rsid w:val="006D757F"/>
    <w:rsid w:val="006D75AE"/>
    <w:rsid w:val="006D769A"/>
    <w:rsid w:val="006D76A9"/>
    <w:rsid w:val="006D7798"/>
    <w:rsid w:val="006D7808"/>
    <w:rsid w:val="006D7927"/>
    <w:rsid w:val="006D792C"/>
    <w:rsid w:val="006D7947"/>
    <w:rsid w:val="006D7964"/>
    <w:rsid w:val="006D799A"/>
    <w:rsid w:val="006D79CA"/>
    <w:rsid w:val="006D79F2"/>
    <w:rsid w:val="006D7BD8"/>
    <w:rsid w:val="006D7CF1"/>
    <w:rsid w:val="006D7DB1"/>
    <w:rsid w:val="006D7E41"/>
    <w:rsid w:val="006D7E85"/>
    <w:rsid w:val="006D7F6A"/>
    <w:rsid w:val="006D7FF2"/>
    <w:rsid w:val="006E00A9"/>
    <w:rsid w:val="006E0122"/>
    <w:rsid w:val="006E015C"/>
    <w:rsid w:val="006E0165"/>
    <w:rsid w:val="006E01B8"/>
    <w:rsid w:val="006E0243"/>
    <w:rsid w:val="006E0244"/>
    <w:rsid w:val="006E02BB"/>
    <w:rsid w:val="006E0345"/>
    <w:rsid w:val="006E0464"/>
    <w:rsid w:val="006E047B"/>
    <w:rsid w:val="006E0696"/>
    <w:rsid w:val="006E0741"/>
    <w:rsid w:val="006E0850"/>
    <w:rsid w:val="006E085B"/>
    <w:rsid w:val="006E09B9"/>
    <w:rsid w:val="006E0A27"/>
    <w:rsid w:val="006E0A46"/>
    <w:rsid w:val="006E0ADF"/>
    <w:rsid w:val="006E0AEC"/>
    <w:rsid w:val="006E0B9E"/>
    <w:rsid w:val="006E0BBD"/>
    <w:rsid w:val="006E0BF8"/>
    <w:rsid w:val="006E0CD4"/>
    <w:rsid w:val="006E0D90"/>
    <w:rsid w:val="006E0DDD"/>
    <w:rsid w:val="006E0E74"/>
    <w:rsid w:val="006E0EA7"/>
    <w:rsid w:val="006E0EE3"/>
    <w:rsid w:val="006E0EFA"/>
    <w:rsid w:val="006E0F6E"/>
    <w:rsid w:val="006E0F84"/>
    <w:rsid w:val="006E0F92"/>
    <w:rsid w:val="006E0FE8"/>
    <w:rsid w:val="006E1170"/>
    <w:rsid w:val="006E11E2"/>
    <w:rsid w:val="006E139A"/>
    <w:rsid w:val="006E13CE"/>
    <w:rsid w:val="006E141E"/>
    <w:rsid w:val="006E154E"/>
    <w:rsid w:val="006E15CD"/>
    <w:rsid w:val="006E1621"/>
    <w:rsid w:val="006E16B8"/>
    <w:rsid w:val="006E16CA"/>
    <w:rsid w:val="006E180B"/>
    <w:rsid w:val="006E1835"/>
    <w:rsid w:val="006E1885"/>
    <w:rsid w:val="006E19B0"/>
    <w:rsid w:val="006E1A54"/>
    <w:rsid w:val="006E1AD3"/>
    <w:rsid w:val="006E1BE0"/>
    <w:rsid w:val="006E1C70"/>
    <w:rsid w:val="006E1C91"/>
    <w:rsid w:val="006E1CEC"/>
    <w:rsid w:val="006E1DBB"/>
    <w:rsid w:val="006E1DDC"/>
    <w:rsid w:val="006E1E89"/>
    <w:rsid w:val="006E1ED1"/>
    <w:rsid w:val="006E1EF5"/>
    <w:rsid w:val="006E1F17"/>
    <w:rsid w:val="006E1F3C"/>
    <w:rsid w:val="006E20E0"/>
    <w:rsid w:val="006E2144"/>
    <w:rsid w:val="006E221C"/>
    <w:rsid w:val="006E228C"/>
    <w:rsid w:val="006E22F4"/>
    <w:rsid w:val="006E2301"/>
    <w:rsid w:val="006E2352"/>
    <w:rsid w:val="006E23E5"/>
    <w:rsid w:val="006E2460"/>
    <w:rsid w:val="006E2461"/>
    <w:rsid w:val="006E248E"/>
    <w:rsid w:val="006E2557"/>
    <w:rsid w:val="006E2592"/>
    <w:rsid w:val="006E25B0"/>
    <w:rsid w:val="006E25C9"/>
    <w:rsid w:val="006E270F"/>
    <w:rsid w:val="006E2738"/>
    <w:rsid w:val="006E276C"/>
    <w:rsid w:val="006E2786"/>
    <w:rsid w:val="006E2823"/>
    <w:rsid w:val="006E2886"/>
    <w:rsid w:val="006E28F7"/>
    <w:rsid w:val="006E2902"/>
    <w:rsid w:val="006E29B2"/>
    <w:rsid w:val="006E29D7"/>
    <w:rsid w:val="006E29D9"/>
    <w:rsid w:val="006E2AA2"/>
    <w:rsid w:val="006E2AAA"/>
    <w:rsid w:val="006E2B11"/>
    <w:rsid w:val="006E2B40"/>
    <w:rsid w:val="006E2BC6"/>
    <w:rsid w:val="006E2C21"/>
    <w:rsid w:val="006E2C24"/>
    <w:rsid w:val="006E2C48"/>
    <w:rsid w:val="006E2C6F"/>
    <w:rsid w:val="006E2D40"/>
    <w:rsid w:val="006E2F7A"/>
    <w:rsid w:val="006E302E"/>
    <w:rsid w:val="006E30A9"/>
    <w:rsid w:val="006E30F5"/>
    <w:rsid w:val="006E310E"/>
    <w:rsid w:val="006E3144"/>
    <w:rsid w:val="006E3288"/>
    <w:rsid w:val="006E32AF"/>
    <w:rsid w:val="006E3345"/>
    <w:rsid w:val="006E3346"/>
    <w:rsid w:val="006E3383"/>
    <w:rsid w:val="006E3385"/>
    <w:rsid w:val="006E3396"/>
    <w:rsid w:val="006E342B"/>
    <w:rsid w:val="006E345C"/>
    <w:rsid w:val="006E34E3"/>
    <w:rsid w:val="006E3576"/>
    <w:rsid w:val="006E35E4"/>
    <w:rsid w:val="006E36DF"/>
    <w:rsid w:val="006E3751"/>
    <w:rsid w:val="006E3757"/>
    <w:rsid w:val="006E3795"/>
    <w:rsid w:val="006E3821"/>
    <w:rsid w:val="006E387E"/>
    <w:rsid w:val="006E39B4"/>
    <w:rsid w:val="006E3A9E"/>
    <w:rsid w:val="006E3AA0"/>
    <w:rsid w:val="006E3D28"/>
    <w:rsid w:val="006E3D63"/>
    <w:rsid w:val="006E3D80"/>
    <w:rsid w:val="006E3DC2"/>
    <w:rsid w:val="006E3DD7"/>
    <w:rsid w:val="006E3DDB"/>
    <w:rsid w:val="006E3EA6"/>
    <w:rsid w:val="006E3F3F"/>
    <w:rsid w:val="006E4000"/>
    <w:rsid w:val="006E4142"/>
    <w:rsid w:val="006E4188"/>
    <w:rsid w:val="006E41C7"/>
    <w:rsid w:val="006E41CF"/>
    <w:rsid w:val="006E423F"/>
    <w:rsid w:val="006E4244"/>
    <w:rsid w:val="006E42C6"/>
    <w:rsid w:val="006E42CD"/>
    <w:rsid w:val="006E43E1"/>
    <w:rsid w:val="006E4456"/>
    <w:rsid w:val="006E446B"/>
    <w:rsid w:val="006E44A3"/>
    <w:rsid w:val="006E4710"/>
    <w:rsid w:val="006E472C"/>
    <w:rsid w:val="006E476F"/>
    <w:rsid w:val="006E477D"/>
    <w:rsid w:val="006E4860"/>
    <w:rsid w:val="006E48F6"/>
    <w:rsid w:val="006E4931"/>
    <w:rsid w:val="006E4A53"/>
    <w:rsid w:val="006E4A6F"/>
    <w:rsid w:val="006E4A9E"/>
    <w:rsid w:val="006E4AA9"/>
    <w:rsid w:val="006E4AFC"/>
    <w:rsid w:val="006E4AFD"/>
    <w:rsid w:val="006E4B2E"/>
    <w:rsid w:val="006E4BB4"/>
    <w:rsid w:val="006E4BB5"/>
    <w:rsid w:val="006E4BF9"/>
    <w:rsid w:val="006E4D29"/>
    <w:rsid w:val="006E4E30"/>
    <w:rsid w:val="006E4ED0"/>
    <w:rsid w:val="006E503E"/>
    <w:rsid w:val="006E5077"/>
    <w:rsid w:val="006E514C"/>
    <w:rsid w:val="006E517B"/>
    <w:rsid w:val="006E543F"/>
    <w:rsid w:val="006E5494"/>
    <w:rsid w:val="006E5570"/>
    <w:rsid w:val="006E55A1"/>
    <w:rsid w:val="006E5636"/>
    <w:rsid w:val="006E56B4"/>
    <w:rsid w:val="006E5884"/>
    <w:rsid w:val="006E589E"/>
    <w:rsid w:val="006E58BB"/>
    <w:rsid w:val="006E58CF"/>
    <w:rsid w:val="006E5907"/>
    <w:rsid w:val="006E59D5"/>
    <w:rsid w:val="006E5B8C"/>
    <w:rsid w:val="006E5B94"/>
    <w:rsid w:val="006E5C50"/>
    <w:rsid w:val="006E5CA0"/>
    <w:rsid w:val="006E5DA6"/>
    <w:rsid w:val="006E5DBA"/>
    <w:rsid w:val="006E5DCC"/>
    <w:rsid w:val="006E5F37"/>
    <w:rsid w:val="006E5FAF"/>
    <w:rsid w:val="006E624A"/>
    <w:rsid w:val="006E62A9"/>
    <w:rsid w:val="006E6380"/>
    <w:rsid w:val="006E63E6"/>
    <w:rsid w:val="006E64BC"/>
    <w:rsid w:val="006E6581"/>
    <w:rsid w:val="006E65C9"/>
    <w:rsid w:val="006E65DF"/>
    <w:rsid w:val="006E6635"/>
    <w:rsid w:val="006E664E"/>
    <w:rsid w:val="006E66C9"/>
    <w:rsid w:val="006E67A2"/>
    <w:rsid w:val="006E67B3"/>
    <w:rsid w:val="006E68D4"/>
    <w:rsid w:val="006E68DE"/>
    <w:rsid w:val="006E68EC"/>
    <w:rsid w:val="006E68F0"/>
    <w:rsid w:val="006E69AD"/>
    <w:rsid w:val="006E6A23"/>
    <w:rsid w:val="006E6A5E"/>
    <w:rsid w:val="006E6A90"/>
    <w:rsid w:val="006E6B61"/>
    <w:rsid w:val="006E6B86"/>
    <w:rsid w:val="006E6BC4"/>
    <w:rsid w:val="006E6C0B"/>
    <w:rsid w:val="006E6C59"/>
    <w:rsid w:val="006E6CB0"/>
    <w:rsid w:val="006E6E00"/>
    <w:rsid w:val="006E6E0A"/>
    <w:rsid w:val="006E6E27"/>
    <w:rsid w:val="006E6E87"/>
    <w:rsid w:val="006E6EF0"/>
    <w:rsid w:val="006E6F17"/>
    <w:rsid w:val="006E6F8F"/>
    <w:rsid w:val="006E6F98"/>
    <w:rsid w:val="006E706C"/>
    <w:rsid w:val="006E7077"/>
    <w:rsid w:val="006E7138"/>
    <w:rsid w:val="006E71BF"/>
    <w:rsid w:val="006E71CD"/>
    <w:rsid w:val="006E7437"/>
    <w:rsid w:val="006E7485"/>
    <w:rsid w:val="006E74CD"/>
    <w:rsid w:val="006E756A"/>
    <w:rsid w:val="006E7583"/>
    <w:rsid w:val="006E75AE"/>
    <w:rsid w:val="006E7619"/>
    <w:rsid w:val="006E7823"/>
    <w:rsid w:val="006E7867"/>
    <w:rsid w:val="006E786B"/>
    <w:rsid w:val="006E78B9"/>
    <w:rsid w:val="006E78D8"/>
    <w:rsid w:val="006E78E6"/>
    <w:rsid w:val="006E7967"/>
    <w:rsid w:val="006E79B5"/>
    <w:rsid w:val="006E79D4"/>
    <w:rsid w:val="006E7A21"/>
    <w:rsid w:val="006E7A74"/>
    <w:rsid w:val="006E7A92"/>
    <w:rsid w:val="006E7A9E"/>
    <w:rsid w:val="006E7AAB"/>
    <w:rsid w:val="006E7ABA"/>
    <w:rsid w:val="006E7C2E"/>
    <w:rsid w:val="006E7C59"/>
    <w:rsid w:val="006E7CBE"/>
    <w:rsid w:val="006E7D15"/>
    <w:rsid w:val="006E7D57"/>
    <w:rsid w:val="006E7D6B"/>
    <w:rsid w:val="006E7DE4"/>
    <w:rsid w:val="006E7DF0"/>
    <w:rsid w:val="006E7DF3"/>
    <w:rsid w:val="006E7F25"/>
    <w:rsid w:val="006E7F57"/>
    <w:rsid w:val="006E7F67"/>
    <w:rsid w:val="006E7FCF"/>
    <w:rsid w:val="006E7FDB"/>
    <w:rsid w:val="006F0036"/>
    <w:rsid w:val="006F0165"/>
    <w:rsid w:val="006F017B"/>
    <w:rsid w:val="006F03A5"/>
    <w:rsid w:val="006F0412"/>
    <w:rsid w:val="006F05DD"/>
    <w:rsid w:val="006F0631"/>
    <w:rsid w:val="006F07E9"/>
    <w:rsid w:val="006F08C3"/>
    <w:rsid w:val="006F097D"/>
    <w:rsid w:val="006F098F"/>
    <w:rsid w:val="006F0A3E"/>
    <w:rsid w:val="006F0A5B"/>
    <w:rsid w:val="006F0AA2"/>
    <w:rsid w:val="006F0AF5"/>
    <w:rsid w:val="006F0B4E"/>
    <w:rsid w:val="006F0C64"/>
    <w:rsid w:val="006F0C9E"/>
    <w:rsid w:val="006F0CA4"/>
    <w:rsid w:val="006F0D7F"/>
    <w:rsid w:val="006F0DF1"/>
    <w:rsid w:val="006F0E54"/>
    <w:rsid w:val="006F0E6D"/>
    <w:rsid w:val="006F0E84"/>
    <w:rsid w:val="006F0F97"/>
    <w:rsid w:val="006F102D"/>
    <w:rsid w:val="006F10C5"/>
    <w:rsid w:val="006F1192"/>
    <w:rsid w:val="006F11A3"/>
    <w:rsid w:val="006F11C1"/>
    <w:rsid w:val="006F1220"/>
    <w:rsid w:val="006F1293"/>
    <w:rsid w:val="006F1299"/>
    <w:rsid w:val="006F134D"/>
    <w:rsid w:val="006F148C"/>
    <w:rsid w:val="006F1507"/>
    <w:rsid w:val="006F165E"/>
    <w:rsid w:val="006F17C9"/>
    <w:rsid w:val="006F182D"/>
    <w:rsid w:val="006F188C"/>
    <w:rsid w:val="006F188F"/>
    <w:rsid w:val="006F1957"/>
    <w:rsid w:val="006F1972"/>
    <w:rsid w:val="006F19E1"/>
    <w:rsid w:val="006F1AF2"/>
    <w:rsid w:val="006F1AF8"/>
    <w:rsid w:val="006F1B1A"/>
    <w:rsid w:val="006F1B83"/>
    <w:rsid w:val="006F1BDB"/>
    <w:rsid w:val="006F1BF0"/>
    <w:rsid w:val="006F1CA9"/>
    <w:rsid w:val="006F1D54"/>
    <w:rsid w:val="006F1DE5"/>
    <w:rsid w:val="006F1E5D"/>
    <w:rsid w:val="006F1EF7"/>
    <w:rsid w:val="006F1F24"/>
    <w:rsid w:val="006F1F5D"/>
    <w:rsid w:val="006F1FB0"/>
    <w:rsid w:val="006F2008"/>
    <w:rsid w:val="006F207C"/>
    <w:rsid w:val="006F20F2"/>
    <w:rsid w:val="006F2175"/>
    <w:rsid w:val="006F2187"/>
    <w:rsid w:val="006F2190"/>
    <w:rsid w:val="006F2237"/>
    <w:rsid w:val="006F2265"/>
    <w:rsid w:val="006F22C7"/>
    <w:rsid w:val="006F2308"/>
    <w:rsid w:val="006F2466"/>
    <w:rsid w:val="006F24B6"/>
    <w:rsid w:val="006F24CA"/>
    <w:rsid w:val="006F24F3"/>
    <w:rsid w:val="006F259D"/>
    <w:rsid w:val="006F25C7"/>
    <w:rsid w:val="006F2645"/>
    <w:rsid w:val="006F2655"/>
    <w:rsid w:val="006F265E"/>
    <w:rsid w:val="006F26BB"/>
    <w:rsid w:val="006F26D1"/>
    <w:rsid w:val="006F2857"/>
    <w:rsid w:val="006F290F"/>
    <w:rsid w:val="006F29C9"/>
    <w:rsid w:val="006F2A53"/>
    <w:rsid w:val="006F2A98"/>
    <w:rsid w:val="006F2ADA"/>
    <w:rsid w:val="006F2B27"/>
    <w:rsid w:val="006F2B57"/>
    <w:rsid w:val="006F2BFB"/>
    <w:rsid w:val="006F2C0A"/>
    <w:rsid w:val="006F2C0C"/>
    <w:rsid w:val="006F2CA2"/>
    <w:rsid w:val="006F2CBB"/>
    <w:rsid w:val="006F2D24"/>
    <w:rsid w:val="006F2D6A"/>
    <w:rsid w:val="006F2D8A"/>
    <w:rsid w:val="006F2E32"/>
    <w:rsid w:val="006F2F46"/>
    <w:rsid w:val="006F3034"/>
    <w:rsid w:val="006F31A9"/>
    <w:rsid w:val="006F31DA"/>
    <w:rsid w:val="006F3234"/>
    <w:rsid w:val="006F3507"/>
    <w:rsid w:val="006F35BA"/>
    <w:rsid w:val="006F35F1"/>
    <w:rsid w:val="006F3688"/>
    <w:rsid w:val="006F36FA"/>
    <w:rsid w:val="006F379B"/>
    <w:rsid w:val="006F37A1"/>
    <w:rsid w:val="006F37B3"/>
    <w:rsid w:val="006F38F1"/>
    <w:rsid w:val="006F3913"/>
    <w:rsid w:val="006F3A5D"/>
    <w:rsid w:val="006F3A87"/>
    <w:rsid w:val="006F3AAC"/>
    <w:rsid w:val="006F3BE3"/>
    <w:rsid w:val="006F3C63"/>
    <w:rsid w:val="006F3CF2"/>
    <w:rsid w:val="006F3D19"/>
    <w:rsid w:val="006F3D9D"/>
    <w:rsid w:val="006F3DD6"/>
    <w:rsid w:val="006F3DF7"/>
    <w:rsid w:val="006F3E07"/>
    <w:rsid w:val="006F3E0E"/>
    <w:rsid w:val="006F3EDE"/>
    <w:rsid w:val="006F3EE2"/>
    <w:rsid w:val="006F4130"/>
    <w:rsid w:val="006F41E1"/>
    <w:rsid w:val="006F4227"/>
    <w:rsid w:val="006F4295"/>
    <w:rsid w:val="006F42A3"/>
    <w:rsid w:val="006F4375"/>
    <w:rsid w:val="006F4512"/>
    <w:rsid w:val="006F453C"/>
    <w:rsid w:val="006F4567"/>
    <w:rsid w:val="006F461A"/>
    <w:rsid w:val="006F46E4"/>
    <w:rsid w:val="006F4724"/>
    <w:rsid w:val="006F476F"/>
    <w:rsid w:val="006F4818"/>
    <w:rsid w:val="006F4937"/>
    <w:rsid w:val="006F4948"/>
    <w:rsid w:val="006F4B0C"/>
    <w:rsid w:val="006F4C10"/>
    <w:rsid w:val="006F4C34"/>
    <w:rsid w:val="006F4CDA"/>
    <w:rsid w:val="006F4D4B"/>
    <w:rsid w:val="006F4DC6"/>
    <w:rsid w:val="006F4E1D"/>
    <w:rsid w:val="006F4E8D"/>
    <w:rsid w:val="006F4F0E"/>
    <w:rsid w:val="006F4F39"/>
    <w:rsid w:val="006F4FFD"/>
    <w:rsid w:val="006F5020"/>
    <w:rsid w:val="006F5033"/>
    <w:rsid w:val="006F503B"/>
    <w:rsid w:val="006F508A"/>
    <w:rsid w:val="006F50D0"/>
    <w:rsid w:val="006F52E3"/>
    <w:rsid w:val="006F538A"/>
    <w:rsid w:val="006F5395"/>
    <w:rsid w:val="006F53D7"/>
    <w:rsid w:val="006F5522"/>
    <w:rsid w:val="006F552B"/>
    <w:rsid w:val="006F555A"/>
    <w:rsid w:val="006F556C"/>
    <w:rsid w:val="006F5598"/>
    <w:rsid w:val="006F55A8"/>
    <w:rsid w:val="006F5611"/>
    <w:rsid w:val="006F573E"/>
    <w:rsid w:val="006F57E1"/>
    <w:rsid w:val="006F582F"/>
    <w:rsid w:val="006F5836"/>
    <w:rsid w:val="006F5862"/>
    <w:rsid w:val="006F5937"/>
    <w:rsid w:val="006F5994"/>
    <w:rsid w:val="006F59AE"/>
    <w:rsid w:val="006F59F1"/>
    <w:rsid w:val="006F5A1C"/>
    <w:rsid w:val="006F5A6F"/>
    <w:rsid w:val="006F5A9C"/>
    <w:rsid w:val="006F5A9E"/>
    <w:rsid w:val="006F5D39"/>
    <w:rsid w:val="006F5E20"/>
    <w:rsid w:val="006F5F7C"/>
    <w:rsid w:val="006F6006"/>
    <w:rsid w:val="006F6010"/>
    <w:rsid w:val="006F6012"/>
    <w:rsid w:val="006F601C"/>
    <w:rsid w:val="006F604C"/>
    <w:rsid w:val="006F614D"/>
    <w:rsid w:val="006F61AA"/>
    <w:rsid w:val="006F61BD"/>
    <w:rsid w:val="006F61D8"/>
    <w:rsid w:val="006F6239"/>
    <w:rsid w:val="006F62B0"/>
    <w:rsid w:val="006F62D2"/>
    <w:rsid w:val="006F6302"/>
    <w:rsid w:val="006F637C"/>
    <w:rsid w:val="006F640A"/>
    <w:rsid w:val="006F646B"/>
    <w:rsid w:val="006F64AE"/>
    <w:rsid w:val="006F64F6"/>
    <w:rsid w:val="006F65B8"/>
    <w:rsid w:val="006F65C2"/>
    <w:rsid w:val="006F661A"/>
    <w:rsid w:val="006F669E"/>
    <w:rsid w:val="006F6751"/>
    <w:rsid w:val="006F6777"/>
    <w:rsid w:val="006F67E4"/>
    <w:rsid w:val="006F6906"/>
    <w:rsid w:val="006F696C"/>
    <w:rsid w:val="006F69C1"/>
    <w:rsid w:val="006F6AA2"/>
    <w:rsid w:val="006F6AF1"/>
    <w:rsid w:val="006F6B16"/>
    <w:rsid w:val="006F6C3D"/>
    <w:rsid w:val="006F6C75"/>
    <w:rsid w:val="006F6C90"/>
    <w:rsid w:val="006F6DC2"/>
    <w:rsid w:val="006F6E47"/>
    <w:rsid w:val="006F6EAF"/>
    <w:rsid w:val="006F6F2B"/>
    <w:rsid w:val="006F6FB0"/>
    <w:rsid w:val="006F6FC1"/>
    <w:rsid w:val="006F7030"/>
    <w:rsid w:val="006F708E"/>
    <w:rsid w:val="006F7172"/>
    <w:rsid w:val="006F7176"/>
    <w:rsid w:val="006F71A6"/>
    <w:rsid w:val="006F733C"/>
    <w:rsid w:val="006F7345"/>
    <w:rsid w:val="006F742C"/>
    <w:rsid w:val="006F747B"/>
    <w:rsid w:val="006F7554"/>
    <w:rsid w:val="006F75E5"/>
    <w:rsid w:val="006F7647"/>
    <w:rsid w:val="006F7683"/>
    <w:rsid w:val="006F768C"/>
    <w:rsid w:val="006F76BB"/>
    <w:rsid w:val="006F76C1"/>
    <w:rsid w:val="006F77BC"/>
    <w:rsid w:val="006F77F1"/>
    <w:rsid w:val="006F77F6"/>
    <w:rsid w:val="006F7857"/>
    <w:rsid w:val="006F78A4"/>
    <w:rsid w:val="006F792A"/>
    <w:rsid w:val="006F7A06"/>
    <w:rsid w:val="006F7A21"/>
    <w:rsid w:val="006F7A4A"/>
    <w:rsid w:val="006F7A70"/>
    <w:rsid w:val="006F7AF1"/>
    <w:rsid w:val="006F7B1E"/>
    <w:rsid w:val="006F7BB0"/>
    <w:rsid w:val="006F7BC9"/>
    <w:rsid w:val="006F7C06"/>
    <w:rsid w:val="006F7C98"/>
    <w:rsid w:val="006F7CBD"/>
    <w:rsid w:val="006F7D0B"/>
    <w:rsid w:val="006F7D81"/>
    <w:rsid w:val="006F7D82"/>
    <w:rsid w:val="006F7E5A"/>
    <w:rsid w:val="006F7F18"/>
    <w:rsid w:val="007000B6"/>
    <w:rsid w:val="007001B2"/>
    <w:rsid w:val="00700261"/>
    <w:rsid w:val="007002B1"/>
    <w:rsid w:val="0070031A"/>
    <w:rsid w:val="00700350"/>
    <w:rsid w:val="00700399"/>
    <w:rsid w:val="00700424"/>
    <w:rsid w:val="00700454"/>
    <w:rsid w:val="007004A5"/>
    <w:rsid w:val="0070070B"/>
    <w:rsid w:val="0070076C"/>
    <w:rsid w:val="00700837"/>
    <w:rsid w:val="0070088A"/>
    <w:rsid w:val="00700997"/>
    <w:rsid w:val="00700A17"/>
    <w:rsid w:val="00700A26"/>
    <w:rsid w:val="00700A71"/>
    <w:rsid w:val="00700B07"/>
    <w:rsid w:val="00700B8B"/>
    <w:rsid w:val="00700D41"/>
    <w:rsid w:val="00700E1C"/>
    <w:rsid w:val="00700EED"/>
    <w:rsid w:val="00700F13"/>
    <w:rsid w:val="00700F81"/>
    <w:rsid w:val="00700FDF"/>
    <w:rsid w:val="0070104E"/>
    <w:rsid w:val="0070108E"/>
    <w:rsid w:val="00701122"/>
    <w:rsid w:val="00701160"/>
    <w:rsid w:val="00701173"/>
    <w:rsid w:val="00701178"/>
    <w:rsid w:val="007011C1"/>
    <w:rsid w:val="007011DA"/>
    <w:rsid w:val="007011FA"/>
    <w:rsid w:val="00701215"/>
    <w:rsid w:val="00701372"/>
    <w:rsid w:val="007015C1"/>
    <w:rsid w:val="0070161E"/>
    <w:rsid w:val="00701769"/>
    <w:rsid w:val="0070198C"/>
    <w:rsid w:val="00701A4B"/>
    <w:rsid w:val="00701AD1"/>
    <w:rsid w:val="00701B18"/>
    <w:rsid w:val="00701B74"/>
    <w:rsid w:val="00701C18"/>
    <w:rsid w:val="00701C62"/>
    <w:rsid w:val="00701CCB"/>
    <w:rsid w:val="00701D28"/>
    <w:rsid w:val="00701DFC"/>
    <w:rsid w:val="00701E17"/>
    <w:rsid w:val="00701E6E"/>
    <w:rsid w:val="00701E9B"/>
    <w:rsid w:val="00701EEC"/>
    <w:rsid w:val="00701F62"/>
    <w:rsid w:val="00702001"/>
    <w:rsid w:val="00702048"/>
    <w:rsid w:val="0070221F"/>
    <w:rsid w:val="0070222E"/>
    <w:rsid w:val="00702283"/>
    <w:rsid w:val="007022AA"/>
    <w:rsid w:val="007023D5"/>
    <w:rsid w:val="00702400"/>
    <w:rsid w:val="00702411"/>
    <w:rsid w:val="0070252F"/>
    <w:rsid w:val="0070256F"/>
    <w:rsid w:val="00702632"/>
    <w:rsid w:val="00702663"/>
    <w:rsid w:val="00702733"/>
    <w:rsid w:val="00702736"/>
    <w:rsid w:val="00702779"/>
    <w:rsid w:val="00702811"/>
    <w:rsid w:val="0070286B"/>
    <w:rsid w:val="007028B1"/>
    <w:rsid w:val="007028DF"/>
    <w:rsid w:val="0070290D"/>
    <w:rsid w:val="0070294D"/>
    <w:rsid w:val="00702A36"/>
    <w:rsid w:val="00702A5A"/>
    <w:rsid w:val="00702BC9"/>
    <w:rsid w:val="00702BE4"/>
    <w:rsid w:val="00702C72"/>
    <w:rsid w:val="00702D2C"/>
    <w:rsid w:val="00702D5A"/>
    <w:rsid w:val="00702DDC"/>
    <w:rsid w:val="00702EA3"/>
    <w:rsid w:val="00702EE0"/>
    <w:rsid w:val="00702EE7"/>
    <w:rsid w:val="00702F29"/>
    <w:rsid w:val="007030E9"/>
    <w:rsid w:val="00703119"/>
    <w:rsid w:val="007031AE"/>
    <w:rsid w:val="007031D2"/>
    <w:rsid w:val="007033B8"/>
    <w:rsid w:val="00703460"/>
    <w:rsid w:val="0070350D"/>
    <w:rsid w:val="00703536"/>
    <w:rsid w:val="007035A5"/>
    <w:rsid w:val="00703779"/>
    <w:rsid w:val="007037FC"/>
    <w:rsid w:val="0070384F"/>
    <w:rsid w:val="00703891"/>
    <w:rsid w:val="0070391F"/>
    <w:rsid w:val="00703935"/>
    <w:rsid w:val="00703979"/>
    <w:rsid w:val="007039B4"/>
    <w:rsid w:val="00703A27"/>
    <w:rsid w:val="00703A31"/>
    <w:rsid w:val="00703B33"/>
    <w:rsid w:val="00703B74"/>
    <w:rsid w:val="00703BF4"/>
    <w:rsid w:val="00703C1F"/>
    <w:rsid w:val="00703C42"/>
    <w:rsid w:val="00703CBF"/>
    <w:rsid w:val="00703DCA"/>
    <w:rsid w:val="00703DCD"/>
    <w:rsid w:val="00703E7F"/>
    <w:rsid w:val="00703F68"/>
    <w:rsid w:val="007041F1"/>
    <w:rsid w:val="0070423E"/>
    <w:rsid w:val="007043B1"/>
    <w:rsid w:val="007043C0"/>
    <w:rsid w:val="007044EC"/>
    <w:rsid w:val="0070452E"/>
    <w:rsid w:val="007045E4"/>
    <w:rsid w:val="007046E4"/>
    <w:rsid w:val="007047DA"/>
    <w:rsid w:val="00704813"/>
    <w:rsid w:val="00704852"/>
    <w:rsid w:val="007048AC"/>
    <w:rsid w:val="00704B19"/>
    <w:rsid w:val="00704B20"/>
    <w:rsid w:val="00704B32"/>
    <w:rsid w:val="00704BAB"/>
    <w:rsid w:val="00704BB6"/>
    <w:rsid w:val="00704C88"/>
    <w:rsid w:val="00704C94"/>
    <w:rsid w:val="00704D07"/>
    <w:rsid w:val="00704E26"/>
    <w:rsid w:val="00704EB7"/>
    <w:rsid w:val="00704EB8"/>
    <w:rsid w:val="00704F07"/>
    <w:rsid w:val="00704FBA"/>
    <w:rsid w:val="00704FDB"/>
    <w:rsid w:val="00704FE6"/>
    <w:rsid w:val="00704FF4"/>
    <w:rsid w:val="00705015"/>
    <w:rsid w:val="0070503A"/>
    <w:rsid w:val="007050A3"/>
    <w:rsid w:val="0070514F"/>
    <w:rsid w:val="007051A0"/>
    <w:rsid w:val="007051DA"/>
    <w:rsid w:val="007051F6"/>
    <w:rsid w:val="00705384"/>
    <w:rsid w:val="007053F2"/>
    <w:rsid w:val="00705429"/>
    <w:rsid w:val="0070557A"/>
    <w:rsid w:val="007055C3"/>
    <w:rsid w:val="007055F8"/>
    <w:rsid w:val="00705625"/>
    <w:rsid w:val="00705626"/>
    <w:rsid w:val="007056B8"/>
    <w:rsid w:val="007056CB"/>
    <w:rsid w:val="00705742"/>
    <w:rsid w:val="0070587E"/>
    <w:rsid w:val="00705888"/>
    <w:rsid w:val="007058A6"/>
    <w:rsid w:val="007059C6"/>
    <w:rsid w:val="00705A49"/>
    <w:rsid w:val="00705A79"/>
    <w:rsid w:val="00705B06"/>
    <w:rsid w:val="00705B7E"/>
    <w:rsid w:val="00705B94"/>
    <w:rsid w:val="00705C12"/>
    <w:rsid w:val="00705C26"/>
    <w:rsid w:val="00705D10"/>
    <w:rsid w:val="00705D22"/>
    <w:rsid w:val="00705D71"/>
    <w:rsid w:val="00705D96"/>
    <w:rsid w:val="00705E87"/>
    <w:rsid w:val="00705F3E"/>
    <w:rsid w:val="00705F5E"/>
    <w:rsid w:val="00705FBA"/>
    <w:rsid w:val="00706071"/>
    <w:rsid w:val="00706114"/>
    <w:rsid w:val="00706118"/>
    <w:rsid w:val="00706119"/>
    <w:rsid w:val="0070614B"/>
    <w:rsid w:val="00706232"/>
    <w:rsid w:val="00706241"/>
    <w:rsid w:val="00706308"/>
    <w:rsid w:val="007063A4"/>
    <w:rsid w:val="007063C5"/>
    <w:rsid w:val="007063F1"/>
    <w:rsid w:val="00706478"/>
    <w:rsid w:val="00706482"/>
    <w:rsid w:val="007064DF"/>
    <w:rsid w:val="00706650"/>
    <w:rsid w:val="007066E0"/>
    <w:rsid w:val="0070670C"/>
    <w:rsid w:val="0070679A"/>
    <w:rsid w:val="007067C7"/>
    <w:rsid w:val="00706804"/>
    <w:rsid w:val="007068E8"/>
    <w:rsid w:val="0070696D"/>
    <w:rsid w:val="00706997"/>
    <w:rsid w:val="007069A5"/>
    <w:rsid w:val="00706B86"/>
    <w:rsid w:val="00706B8C"/>
    <w:rsid w:val="00706C56"/>
    <w:rsid w:val="00706CEE"/>
    <w:rsid w:val="00706D05"/>
    <w:rsid w:val="00706D7C"/>
    <w:rsid w:val="00706E87"/>
    <w:rsid w:val="00706F15"/>
    <w:rsid w:val="00706F6E"/>
    <w:rsid w:val="0070712C"/>
    <w:rsid w:val="0070724E"/>
    <w:rsid w:val="00707258"/>
    <w:rsid w:val="007073F1"/>
    <w:rsid w:val="007073FB"/>
    <w:rsid w:val="00707520"/>
    <w:rsid w:val="00707567"/>
    <w:rsid w:val="00707612"/>
    <w:rsid w:val="00707618"/>
    <w:rsid w:val="007076BF"/>
    <w:rsid w:val="007076F0"/>
    <w:rsid w:val="00707757"/>
    <w:rsid w:val="0070775A"/>
    <w:rsid w:val="007077B5"/>
    <w:rsid w:val="007077F2"/>
    <w:rsid w:val="007078BC"/>
    <w:rsid w:val="007078DB"/>
    <w:rsid w:val="007079E2"/>
    <w:rsid w:val="00707A42"/>
    <w:rsid w:val="00707BB8"/>
    <w:rsid w:val="00707BFD"/>
    <w:rsid w:val="00707C3A"/>
    <w:rsid w:val="00707C76"/>
    <w:rsid w:val="00707CE9"/>
    <w:rsid w:val="00707D2D"/>
    <w:rsid w:val="00707D37"/>
    <w:rsid w:val="00707DCA"/>
    <w:rsid w:val="00707E17"/>
    <w:rsid w:val="00707E73"/>
    <w:rsid w:val="00707EEC"/>
    <w:rsid w:val="00707F2C"/>
    <w:rsid w:val="00707F32"/>
    <w:rsid w:val="00707F9A"/>
    <w:rsid w:val="0071007E"/>
    <w:rsid w:val="0071029B"/>
    <w:rsid w:val="007102C1"/>
    <w:rsid w:val="00710310"/>
    <w:rsid w:val="00710365"/>
    <w:rsid w:val="00710386"/>
    <w:rsid w:val="007103CB"/>
    <w:rsid w:val="00710483"/>
    <w:rsid w:val="007104FE"/>
    <w:rsid w:val="00710513"/>
    <w:rsid w:val="007106EE"/>
    <w:rsid w:val="00710705"/>
    <w:rsid w:val="0071076C"/>
    <w:rsid w:val="0071077B"/>
    <w:rsid w:val="007107B4"/>
    <w:rsid w:val="0071083B"/>
    <w:rsid w:val="00710961"/>
    <w:rsid w:val="00710B6C"/>
    <w:rsid w:val="00710C77"/>
    <w:rsid w:val="00710D0A"/>
    <w:rsid w:val="00710D43"/>
    <w:rsid w:val="00710E30"/>
    <w:rsid w:val="00710F5B"/>
    <w:rsid w:val="00710F9D"/>
    <w:rsid w:val="00710FF3"/>
    <w:rsid w:val="00711003"/>
    <w:rsid w:val="0071104C"/>
    <w:rsid w:val="00711062"/>
    <w:rsid w:val="007110F1"/>
    <w:rsid w:val="00711134"/>
    <w:rsid w:val="00711156"/>
    <w:rsid w:val="007111D3"/>
    <w:rsid w:val="007111DC"/>
    <w:rsid w:val="007111DD"/>
    <w:rsid w:val="0071121F"/>
    <w:rsid w:val="00711254"/>
    <w:rsid w:val="007113AD"/>
    <w:rsid w:val="0071141A"/>
    <w:rsid w:val="00711593"/>
    <w:rsid w:val="007116D7"/>
    <w:rsid w:val="00711711"/>
    <w:rsid w:val="00711727"/>
    <w:rsid w:val="0071173D"/>
    <w:rsid w:val="007117F1"/>
    <w:rsid w:val="0071189B"/>
    <w:rsid w:val="00711943"/>
    <w:rsid w:val="0071195C"/>
    <w:rsid w:val="007119F8"/>
    <w:rsid w:val="00711A27"/>
    <w:rsid w:val="00711A39"/>
    <w:rsid w:val="00711A69"/>
    <w:rsid w:val="00711ABE"/>
    <w:rsid w:val="00711AE0"/>
    <w:rsid w:val="00711B0C"/>
    <w:rsid w:val="00711B37"/>
    <w:rsid w:val="00711BCF"/>
    <w:rsid w:val="00711C21"/>
    <w:rsid w:val="00711C42"/>
    <w:rsid w:val="00711CFD"/>
    <w:rsid w:val="00711E52"/>
    <w:rsid w:val="00711E5A"/>
    <w:rsid w:val="00711E92"/>
    <w:rsid w:val="00711F30"/>
    <w:rsid w:val="00711F7C"/>
    <w:rsid w:val="007120A8"/>
    <w:rsid w:val="0071219D"/>
    <w:rsid w:val="007121A2"/>
    <w:rsid w:val="00712243"/>
    <w:rsid w:val="0071239E"/>
    <w:rsid w:val="007123FA"/>
    <w:rsid w:val="0071242F"/>
    <w:rsid w:val="0071243A"/>
    <w:rsid w:val="007124E9"/>
    <w:rsid w:val="007125A6"/>
    <w:rsid w:val="007125EE"/>
    <w:rsid w:val="0071267C"/>
    <w:rsid w:val="00712725"/>
    <w:rsid w:val="0071293B"/>
    <w:rsid w:val="00712966"/>
    <w:rsid w:val="00712987"/>
    <w:rsid w:val="00712A49"/>
    <w:rsid w:val="00712AF1"/>
    <w:rsid w:val="00712B68"/>
    <w:rsid w:val="00712C73"/>
    <w:rsid w:val="00712CBE"/>
    <w:rsid w:val="00712D6E"/>
    <w:rsid w:val="00712D8E"/>
    <w:rsid w:val="00712E0F"/>
    <w:rsid w:val="00712EF3"/>
    <w:rsid w:val="00712F16"/>
    <w:rsid w:val="00712F5C"/>
    <w:rsid w:val="00712F6A"/>
    <w:rsid w:val="00712FF6"/>
    <w:rsid w:val="0071305D"/>
    <w:rsid w:val="007130F0"/>
    <w:rsid w:val="007130F4"/>
    <w:rsid w:val="00713124"/>
    <w:rsid w:val="0071314E"/>
    <w:rsid w:val="007131BD"/>
    <w:rsid w:val="00713279"/>
    <w:rsid w:val="007133CE"/>
    <w:rsid w:val="007134E8"/>
    <w:rsid w:val="007135B5"/>
    <w:rsid w:val="00713605"/>
    <w:rsid w:val="00713659"/>
    <w:rsid w:val="007137C9"/>
    <w:rsid w:val="0071384C"/>
    <w:rsid w:val="007138C2"/>
    <w:rsid w:val="0071390D"/>
    <w:rsid w:val="00713981"/>
    <w:rsid w:val="00713999"/>
    <w:rsid w:val="00713A69"/>
    <w:rsid w:val="00713A77"/>
    <w:rsid w:val="00713A8F"/>
    <w:rsid w:val="00713B0C"/>
    <w:rsid w:val="00713B4D"/>
    <w:rsid w:val="00713C0B"/>
    <w:rsid w:val="00713C3B"/>
    <w:rsid w:val="00713D27"/>
    <w:rsid w:val="00713D29"/>
    <w:rsid w:val="00713E3B"/>
    <w:rsid w:val="00713EAF"/>
    <w:rsid w:val="00713ED5"/>
    <w:rsid w:val="00713EFF"/>
    <w:rsid w:val="00713F40"/>
    <w:rsid w:val="0071401A"/>
    <w:rsid w:val="00714022"/>
    <w:rsid w:val="00714063"/>
    <w:rsid w:val="007140B1"/>
    <w:rsid w:val="007140DF"/>
    <w:rsid w:val="007140F1"/>
    <w:rsid w:val="0071417F"/>
    <w:rsid w:val="0071419C"/>
    <w:rsid w:val="007141DC"/>
    <w:rsid w:val="007141DE"/>
    <w:rsid w:val="007142B5"/>
    <w:rsid w:val="007142DD"/>
    <w:rsid w:val="00714321"/>
    <w:rsid w:val="00714391"/>
    <w:rsid w:val="00714463"/>
    <w:rsid w:val="0071446F"/>
    <w:rsid w:val="0071447B"/>
    <w:rsid w:val="00714484"/>
    <w:rsid w:val="00714499"/>
    <w:rsid w:val="007144D0"/>
    <w:rsid w:val="007144E9"/>
    <w:rsid w:val="00714519"/>
    <w:rsid w:val="0071459A"/>
    <w:rsid w:val="007145BD"/>
    <w:rsid w:val="00714728"/>
    <w:rsid w:val="0071477D"/>
    <w:rsid w:val="00714A40"/>
    <w:rsid w:val="00714ADF"/>
    <w:rsid w:val="00714B76"/>
    <w:rsid w:val="00714B98"/>
    <w:rsid w:val="00714C39"/>
    <w:rsid w:val="00714C82"/>
    <w:rsid w:val="00714DBE"/>
    <w:rsid w:val="00714EAE"/>
    <w:rsid w:val="00714F8C"/>
    <w:rsid w:val="00714FED"/>
    <w:rsid w:val="00714FFA"/>
    <w:rsid w:val="00714FFC"/>
    <w:rsid w:val="00715058"/>
    <w:rsid w:val="0071508A"/>
    <w:rsid w:val="00715118"/>
    <w:rsid w:val="007151AE"/>
    <w:rsid w:val="007151F5"/>
    <w:rsid w:val="00715307"/>
    <w:rsid w:val="00715348"/>
    <w:rsid w:val="00715451"/>
    <w:rsid w:val="0071546D"/>
    <w:rsid w:val="0071557C"/>
    <w:rsid w:val="007155B5"/>
    <w:rsid w:val="007155F3"/>
    <w:rsid w:val="00715766"/>
    <w:rsid w:val="00715830"/>
    <w:rsid w:val="00715893"/>
    <w:rsid w:val="007158BB"/>
    <w:rsid w:val="007159C8"/>
    <w:rsid w:val="007159D5"/>
    <w:rsid w:val="007159E9"/>
    <w:rsid w:val="00715A2C"/>
    <w:rsid w:val="00715A2E"/>
    <w:rsid w:val="00715A72"/>
    <w:rsid w:val="00715B40"/>
    <w:rsid w:val="00715B59"/>
    <w:rsid w:val="00715B68"/>
    <w:rsid w:val="00715C6F"/>
    <w:rsid w:val="00715CF2"/>
    <w:rsid w:val="00715D54"/>
    <w:rsid w:val="00715D6D"/>
    <w:rsid w:val="00715D73"/>
    <w:rsid w:val="00715DA8"/>
    <w:rsid w:val="00715DDE"/>
    <w:rsid w:val="00715E9A"/>
    <w:rsid w:val="00715F28"/>
    <w:rsid w:val="00715F40"/>
    <w:rsid w:val="00715F45"/>
    <w:rsid w:val="007160B1"/>
    <w:rsid w:val="007160F7"/>
    <w:rsid w:val="0071611E"/>
    <w:rsid w:val="007161B3"/>
    <w:rsid w:val="007163C3"/>
    <w:rsid w:val="007163ED"/>
    <w:rsid w:val="00716532"/>
    <w:rsid w:val="0071663C"/>
    <w:rsid w:val="007166FE"/>
    <w:rsid w:val="00716784"/>
    <w:rsid w:val="007167F3"/>
    <w:rsid w:val="00716801"/>
    <w:rsid w:val="00716968"/>
    <w:rsid w:val="00716984"/>
    <w:rsid w:val="0071698C"/>
    <w:rsid w:val="007169BC"/>
    <w:rsid w:val="007169C0"/>
    <w:rsid w:val="00716B46"/>
    <w:rsid w:val="00716B7B"/>
    <w:rsid w:val="00716B94"/>
    <w:rsid w:val="00716BBB"/>
    <w:rsid w:val="00716C81"/>
    <w:rsid w:val="00716CA2"/>
    <w:rsid w:val="00716D9E"/>
    <w:rsid w:val="00716DB7"/>
    <w:rsid w:val="00716DD1"/>
    <w:rsid w:val="00716E8B"/>
    <w:rsid w:val="00716EB9"/>
    <w:rsid w:val="00716F1E"/>
    <w:rsid w:val="00716F46"/>
    <w:rsid w:val="00716F94"/>
    <w:rsid w:val="00716FE6"/>
    <w:rsid w:val="00717025"/>
    <w:rsid w:val="00717109"/>
    <w:rsid w:val="0071710E"/>
    <w:rsid w:val="00717118"/>
    <w:rsid w:val="00717141"/>
    <w:rsid w:val="0071719A"/>
    <w:rsid w:val="007171DB"/>
    <w:rsid w:val="00717204"/>
    <w:rsid w:val="00717217"/>
    <w:rsid w:val="0071721F"/>
    <w:rsid w:val="00717291"/>
    <w:rsid w:val="007172A6"/>
    <w:rsid w:val="007172BF"/>
    <w:rsid w:val="007172E2"/>
    <w:rsid w:val="00717307"/>
    <w:rsid w:val="00717383"/>
    <w:rsid w:val="00717622"/>
    <w:rsid w:val="0071768F"/>
    <w:rsid w:val="007176D6"/>
    <w:rsid w:val="00717729"/>
    <w:rsid w:val="007177A2"/>
    <w:rsid w:val="00717819"/>
    <w:rsid w:val="0071799B"/>
    <w:rsid w:val="00717B11"/>
    <w:rsid w:val="00717B2A"/>
    <w:rsid w:val="00717B8C"/>
    <w:rsid w:val="00717BE5"/>
    <w:rsid w:val="00717C0A"/>
    <w:rsid w:val="00717C4E"/>
    <w:rsid w:val="00717C80"/>
    <w:rsid w:val="00717CD5"/>
    <w:rsid w:val="00717CDB"/>
    <w:rsid w:val="00717D68"/>
    <w:rsid w:val="00717D98"/>
    <w:rsid w:val="00717DA0"/>
    <w:rsid w:val="00717F05"/>
    <w:rsid w:val="00717F09"/>
    <w:rsid w:val="00717F91"/>
    <w:rsid w:val="00717F92"/>
    <w:rsid w:val="00717FD6"/>
    <w:rsid w:val="00717FD8"/>
    <w:rsid w:val="00717FFA"/>
    <w:rsid w:val="00720054"/>
    <w:rsid w:val="0072006A"/>
    <w:rsid w:val="007200A1"/>
    <w:rsid w:val="007200D3"/>
    <w:rsid w:val="0072018B"/>
    <w:rsid w:val="007201CE"/>
    <w:rsid w:val="007201FB"/>
    <w:rsid w:val="00720268"/>
    <w:rsid w:val="00720283"/>
    <w:rsid w:val="0072038C"/>
    <w:rsid w:val="007203AC"/>
    <w:rsid w:val="007206B9"/>
    <w:rsid w:val="007207CC"/>
    <w:rsid w:val="00720832"/>
    <w:rsid w:val="00720928"/>
    <w:rsid w:val="007209B3"/>
    <w:rsid w:val="00720A51"/>
    <w:rsid w:val="00720AC9"/>
    <w:rsid w:val="00720AE8"/>
    <w:rsid w:val="00720B24"/>
    <w:rsid w:val="00720B46"/>
    <w:rsid w:val="00720B58"/>
    <w:rsid w:val="00720BD2"/>
    <w:rsid w:val="00720BDE"/>
    <w:rsid w:val="00720D99"/>
    <w:rsid w:val="00720EDA"/>
    <w:rsid w:val="00720F15"/>
    <w:rsid w:val="0072107B"/>
    <w:rsid w:val="007210C0"/>
    <w:rsid w:val="00721120"/>
    <w:rsid w:val="007211DA"/>
    <w:rsid w:val="007211F2"/>
    <w:rsid w:val="00721221"/>
    <w:rsid w:val="0072122A"/>
    <w:rsid w:val="0072128C"/>
    <w:rsid w:val="007212B4"/>
    <w:rsid w:val="0072132F"/>
    <w:rsid w:val="00721337"/>
    <w:rsid w:val="0072139B"/>
    <w:rsid w:val="007213F2"/>
    <w:rsid w:val="00721405"/>
    <w:rsid w:val="0072140A"/>
    <w:rsid w:val="007214BC"/>
    <w:rsid w:val="00721571"/>
    <w:rsid w:val="0072157D"/>
    <w:rsid w:val="0072164E"/>
    <w:rsid w:val="00721686"/>
    <w:rsid w:val="0072168E"/>
    <w:rsid w:val="007216B2"/>
    <w:rsid w:val="0072172F"/>
    <w:rsid w:val="007217F8"/>
    <w:rsid w:val="007217FB"/>
    <w:rsid w:val="00721876"/>
    <w:rsid w:val="00721A4F"/>
    <w:rsid w:val="00721ACC"/>
    <w:rsid w:val="00721D16"/>
    <w:rsid w:val="00721D4A"/>
    <w:rsid w:val="00721E1F"/>
    <w:rsid w:val="00721E4F"/>
    <w:rsid w:val="00721ED2"/>
    <w:rsid w:val="00721EDD"/>
    <w:rsid w:val="00721F33"/>
    <w:rsid w:val="00721FED"/>
    <w:rsid w:val="0072201F"/>
    <w:rsid w:val="00722076"/>
    <w:rsid w:val="00722120"/>
    <w:rsid w:val="00722155"/>
    <w:rsid w:val="00722237"/>
    <w:rsid w:val="00722243"/>
    <w:rsid w:val="0072232D"/>
    <w:rsid w:val="007223D4"/>
    <w:rsid w:val="00722547"/>
    <w:rsid w:val="00722554"/>
    <w:rsid w:val="0072259B"/>
    <w:rsid w:val="0072259D"/>
    <w:rsid w:val="00722670"/>
    <w:rsid w:val="00722701"/>
    <w:rsid w:val="007227CC"/>
    <w:rsid w:val="007227D2"/>
    <w:rsid w:val="00722913"/>
    <w:rsid w:val="00722942"/>
    <w:rsid w:val="0072296C"/>
    <w:rsid w:val="0072299A"/>
    <w:rsid w:val="0072299D"/>
    <w:rsid w:val="00722A12"/>
    <w:rsid w:val="00722A24"/>
    <w:rsid w:val="00722A37"/>
    <w:rsid w:val="00722A72"/>
    <w:rsid w:val="00722AAA"/>
    <w:rsid w:val="00722B24"/>
    <w:rsid w:val="00722BF0"/>
    <w:rsid w:val="00722C26"/>
    <w:rsid w:val="00722C4F"/>
    <w:rsid w:val="00722D1C"/>
    <w:rsid w:val="00722D67"/>
    <w:rsid w:val="00722D75"/>
    <w:rsid w:val="00722E3F"/>
    <w:rsid w:val="00722EFC"/>
    <w:rsid w:val="00722F34"/>
    <w:rsid w:val="00722F59"/>
    <w:rsid w:val="00723037"/>
    <w:rsid w:val="0072310D"/>
    <w:rsid w:val="00723174"/>
    <w:rsid w:val="007231ED"/>
    <w:rsid w:val="00723221"/>
    <w:rsid w:val="00723266"/>
    <w:rsid w:val="00723269"/>
    <w:rsid w:val="00723319"/>
    <w:rsid w:val="00723335"/>
    <w:rsid w:val="007233A1"/>
    <w:rsid w:val="00723480"/>
    <w:rsid w:val="007234B0"/>
    <w:rsid w:val="007234B8"/>
    <w:rsid w:val="00723516"/>
    <w:rsid w:val="0072353F"/>
    <w:rsid w:val="00723567"/>
    <w:rsid w:val="007235A8"/>
    <w:rsid w:val="007235BE"/>
    <w:rsid w:val="00723637"/>
    <w:rsid w:val="0072367C"/>
    <w:rsid w:val="007236CB"/>
    <w:rsid w:val="007236ED"/>
    <w:rsid w:val="00723729"/>
    <w:rsid w:val="00723752"/>
    <w:rsid w:val="0072379D"/>
    <w:rsid w:val="007237BC"/>
    <w:rsid w:val="007237E1"/>
    <w:rsid w:val="00723847"/>
    <w:rsid w:val="0072384A"/>
    <w:rsid w:val="0072388B"/>
    <w:rsid w:val="0072390B"/>
    <w:rsid w:val="007239D2"/>
    <w:rsid w:val="00723A04"/>
    <w:rsid w:val="00723A6E"/>
    <w:rsid w:val="00723AD9"/>
    <w:rsid w:val="00723BAA"/>
    <w:rsid w:val="00723BE1"/>
    <w:rsid w:val="00723C1C"/>
    <w:rsid w:val="00723C9B"/>
    <w:rsid w:val="00723D82"/>
    <w:rsid w:val="00723D90"/>
    <w:rsid w:val="00723DA1"/>
    <w:rsid w:val="00723E70"/>
    <w:rsid w:val="00723E86"/>
    <w:rsid w:val="00723FBE"/>
    <w:rsid w:val="00724063"/>
    <w:rsid w:val="00724064"/>
    <w:rsid w:val="007240AE"/>
    <w:rsid w:val="007240CA"/>
    <w:rsid w:val="00724167"/>
    <w:rsid w:val="00724233"/>
    <w:rsid w:val="00724258"/>
    <w:rsid w:val="00724262"/>
    <w:rsid w:val="007242CB"/>
    <w:rsid w:val="00724335"/>
    <w:rsid w:val="0072438E"/>
    <w:rsid w:val="007243A7"/>
    <w:rsid w:val="0072444B"/>
    <w:rsid w:val="00724456"/>
    <w:rsid w:val="007244B1"/>
    <w:rsid w:val="007244C3"/>
    <w:rsid w:val="00724554"/>
    <w:rsid w:val="0072459B"/>
    <w:rsid w:val="007246FA"/>
    <w:rsid w:val="0072472E"/>
    <w:rsid w:val="00724735"/>
    <w:rsid w:val="00724840"/>
    <w:rsid w:val="00724874"/>
    <w:rsid w:val="00724904"/>
    <w:rsid w:val="0072495B"/>
    <w:rsid w:val="00724969"/>
    <w:rsid w:val="00724B0D"/>
    <w:rsid w:val="00724B11"/>
    <w:rsid w:val="00724B70"/>
    <w:rsid w:val="00724BB8"/>
    <w:rsid w:val="00724BF4"/>
    <w:rsid w:val="00724DC5"/>
    <w:rsid w:val="00724E08"/>
    <w:rsid w:val="00724E63"/>
    <w:rsid w:val="00724E77"/>
    <w:rsid w:val="00724F03"/>
    <w:rsid w:val="00725064"/>
    <w:rsid w:val="0072521A"/>
    <w:rsid w:val="007252BE"/>
    <w:rsid w:val="007252D7"/>
    <w:rsid w:val="0072537D"/>
    <w:rsid w:val="00725381"/>
    <w:rsid w:val="00725429"/>
    <w:rsid w:val="007254A2"/>
    <w:rsid w:val="007254C1"/>
    <w:rsid w:val="00725590"/>
    <w:rsid w:val="007255B6"/>
    <w:rsid w:val="007256FC"/>
    <w:rsid w:val="0072578F"/>
    <w:rsid w:val="00725799"/>
    <w:rsid w:val="0072584A"/>
    <w:rsid w:val="00725931"/>
    <w:rsid w:val="00725975"/>
    <w:rsid w:val="00725A2E"/>
    <w:rsid w:val="00725A5A"/>
    <w:rsid w:val="00725ABD"/>
    <w:rsid w:val="00725B84"/>
    <w:rsid w:val="00725BD1"/>
    <w:rsid w:val="00725C93"/>
    <w:rsid w:val="00725E9B"/>
    <w:rsid w:val="00725EC2"/>
    <w:rsid w:val="00725FB0"/>
    <w:rsid w:val="0072603D"/>
    <w:rsid w:val="00726088"/>
    <w:rsid w:val="0072636A"/>
    <w:rsid w:val="00726493"/>
    <w:rsid w:val="007264B0"/>
    <w:rsid w:val="00726501"/>
    <w:rsid w:val="0072655F"/>
    <w:rsid w:val="007265DD"/>
    <w:rsid w:val="007265F5"/>
    <w:rsid w:val="00726639"/>
    <w:rsid w:val="007266A9"/>
    <w:rsid w:val="00726A1B"/>
    <w:rsid w:val="00726A88"/>
    <w:rsid w:val="00726AB3"/>
    <w:rsid w:val="00726ABA"/>
    <w:rsid w:val="00726BA0"/>
    <w:rsid w:val="00726C0F"/>
    <w:rsid w:val="00726C1E"/>
    <w:rsid w:val="00726C5C"/>
    <w:rsid w:val="00726CA0"/>
    <w:rsid w:val="00726CD6"/>
    <w:rsid w:val="00726D5A"/>
    <w:rsid w:val="00726DDA"/>
    <w:rsid w:val="00726E06"/>
    <w:rsid w:val="00726F18"/>
    <w:rsid w:val="00726F33"/>
    <w:rsid w:val="00726F46"/>
    <w:rsid w:val="0072710C"/>
    <w:rsid w:val="00727114"/>
    <w:rsid w:val="0072718A"/>
    <w:rsid w:val="00727192"/>
    <w:rsid w:val="007271A7"/>
    <w:rsid w:val="007271D5"/>
    <w:rsid w:val="007272CF"/>
    <w:rsid w:val="007272DE"/>
    <w:rsid w:val="007272EC"/>
    <w:rsid w:val="007273B8"/>
    <w:rsid w:val="007273BC"/>
    <w:rsid w:val="00727408"/>
    <w:rsid w:val="00727413"/>
    <w:rsid w:val="00727532"/>
    <w:rsid w:val="0072755B"/>
    <w:rsid w:val="00727598"/>
    <w:rsid w:val="00727612"/>
    <w:rsid w:val="007276BC"/>
    <w:rsid w:val="00727701"/>
    <w:rsid w:val="00727744"/>
    <w:rsid w:val="00727806"/>
    <w:rsid w:val="0072782A"/>
    <w:rsid w:val="00727875"/>
    <w:rsid w:val="007279A5"/>
    <w:rsid w:val="00727A89"/>
    <w:rsid w:val="00727ABA"/>
    <w:rsid w:val="00727B74"/>
    <w:rsid w:val="00727BC8"/>
    <w:rsid w:val="00727C13"/>
    <w:rsid w:val="00727C30"/>
    <w:rsid w:val="00727CDB"/>
    <w:rsid w:val="00727D24"/>
    <w:rsid w:val="00727D54"/>
    <w:rsid w:val="00727E24"/>
    <w:rsid w:val="00727ED1"/>
    <w:rsid w:val="00727F38"/>
    <w:rsid w:val="00727F71"/>
    <w:rsid w:val="00727FDB"/>
    <w:rsid w:val="00730096"/>
    <w:rsid w:val="00730208"/>
    <w:rsid w:val="0073021C"/>
    <w:rsid w:val="00730370"/>
    <w:rsid w:val="00730438"/>
    <w:rsid w:val="0073051A"/>
    <w:rsid w:val="00730527"/>
    <w:rsid w:val="007305E0"/>
    <w:rsid w:val="00730644"/>
    <w:rsid w:val="0073064C"/>
    <w:rsid w:val="007306CE"/>
    <w:rsid w:val="0073074F"/>
    <w:rsid w:val="0073077C"/>
    <w:rsid w:val="00730807"/>
    <w:rsid w:val="0073080A"/>
    <w:rsid w:val="0073081A"/>
    <w:rsid w:val="0073083A"/>
    <w:rsid w:val="0073098A"/>
    <w:rsid w:val="00730B23"/>
    <w:rsid w:val="00730B4B"/>
    <w:rsid w:val="00730BB7"/>
    <w:rsid w:val="00730C17"/>
    <w:rsid w:val="00730C9F"/>
    <w:rsid w:val="00730D19"/>
    <w:rsid w:val="00730D42"/>
    <w:rsid w:val="00730DC8"/>
    <w:rsid w:val="00730DE2"/>
    <w:rsid w:val="00730E42"/>
    <w:rsid w:val="00730FD9"/>
    <w:rsid w:val="00730FDB"/>
    <w:rsid w:val="0073108F"/>
    <w:rsid w:val="007310DA"/>
    <w:rsid w:val="007310F7"/>
    <w:rsid w:val="0073113A"/>
    <w:rsid w:val="0073123E"/>
    <w:rsid w:val="0073139A"/>
    <w:rsid w:val="007313B1"/>
    <w:rsid w:val="007314B6"/>
    <w:rsid w:val="00731522"/>
    <w:rsid w:val="007315AF"/>
    <w:rsid w:val="007315BC"/>
    <w:rsid w:val="0073162B"/>
    <w:rsid w:val="00731640"/>
    <w:rsid w:val="00731692"/>
    <w:rsid w:val="007316B6"/>
    <w:rsid w:val="007316F7"/>
    <w:rsid w:val="007316FD"/>
    <w:rsid w:val="00731798"/>
    <w:rsid w:val="0073188F"/>
    <w:rsid w:val="007318FC"/>
    <w:rsid w:val="00731A34"/>
    <w:rsid w:val="00731AA9"/>
    <w:rsid w:val="00731B3E"/>
    <w:rsid w:val="00731BAB"/>
    <w:rsid w:val="00731BC0"/>
    <w:rsid w:val="00731C6A"/>
    <w:rsid w:val="00731CFB"/>
    <w:rsid w:val="00731E91"/>
    <w:rsid w:val="00731EF2"/>
    <w:rsid w:val="00731EF4"/>
    <w:rsid w:val="00731F49"/>
    <w:rsid w:val="00731F54"/>
    <w:rsid w:val="00731FC1"/>
    <w:rsid w:val="00731FFE"/>
    <w:rsid w:val="007320A6"/>
    <w:rsid w:val="00732104"/>
    <w:rsid w:val="00732219"/>
    <w:rsid w:val="00732229"/>
    <w:rsid w:val="00732415"/>
    <w:rsid w:val="00732431"/>
    <w:rsid w:val="007324E5"/>
    <w:rsid w:val="007325B8"/>
    <w:rsid w:val="00732706"/>
    <w:rsid w:val="00732778"/>
    <w:rsid w:val="007327EA"/>
    <w:rsid w:val="00732818"/>
    <w:rsid w:val="007328A6"/>
    <w:rsid w:val="00732922"/>
    <w:rsid w:val="00732923"/>
    <w:rsid w:val="007329D2"/>
    <w:rsid w:val="00732A43"/>
    <w:rsid w:val="00732A8B"/>
    <w:rsid w:val="00732ABC"/>
    <w:rsid w:val="00732BCC"/>
    <w:rsid w:val="00732C6C"/>
    <w:rsid w:val="00732C92"/>
    <w:rsid w:val="00732CC7"/>
    <w:rsid w:val="00732FAE"/>
    <w:rsid w:val="00732FCB"/>
    <w:rsid w:val="00732FD3"/>
    <w:rsid w:val="00732FE9"/>
    <w:rsid w:val="00732FF8"/>
    <w:rsid w:val="00733017"/>
    <w:rsid w:val="00733095"/>
    <w:rsid w:val="0073313A"/>
    <w:rsid w:val="007332AA"/>
    <w:rsid w:val="007332FD"/>
    <w:rsid w:val="00733375"/>
    <w:rsid w:val="0073338C"/>
    <w:rsid w:val="007333CC"/>
    <w:rsid w:val="00733413"/>
    <w:rsid w:val="00733448"/>
    <w:rsid w:val="0073347C"/>
    <w:rsid w:val="007334DF"/>
    <w:rsid w:val="00733674"/>
    <w:rsid w:val="00733699"/>
    <w:rsid w:val="007336BE"/>
    <w:rsid w:val="007336F7"/>
    <w:rsid w:val="00733732"/>
    <w:rsid w:val="00733747"/>
    <w:rsid w:val="00733779"/>
    <w:rsid w:val="00733853"/>
    <w:rsid w:val="00733869"/>
    <w:rsid w:val="007338A2"/>
    <w:rsid w:val="00733924"/>
    <w:rsid w:val="00733B02"/>
    <w:rsid w:val="00733B34"/>
    <w:rsid w:val="00733C1F"/>
    <w:rsid w:val="00733C5F"/>
    <w:rsid w:val="00733C75"/>
    <w:rsid w:val="00733CCE"/>
    <w:rsid w:val="00733CE5"/>
    <w:rsid w:val="00733D2D"/>
    <w:rsid w:val="00733D4F"/>
    <w:rsid w:val="00733D73"/>
    <w:rsid w:val="00733DE5"/>
    <w:rsid w:val="00733EA5"/>
    <w:rsid w:val="00733EC9"/>
    <w:rsid w:val="00733EFD"/>
    <w:rsid w:val="00733F69"/>
    <w:rsid w:val="00733F98"/>
    <w:rsid w:val="00734114"/>
    <w:rsid w:val="00734117"/>
    <w:rsid w:val="0073413D"/>
    <w:rsid w:val="0073416E"/>
    <w:rsid w:val="007341E4"/>
    <w:rsid w:val="00734215"/>
    <w:rsid w:val="007342AD"/>
    <w:rsid w:val="007342F7"/>
    <w:rsid w:val="00734305"/>
    <w:rsid w:val="00734399"/>
    <w:rsid w:val="007343D0"/>
    <w:rsid w:val="00734486"/>
    <w:rsid w:val="007344C5"/>
    <w:rsid w:val="007344E7"/>
    <w:rsid w:val="00734605"/>
    <w:rsid w:val="007346BE"/>
    <w:rsid w:val="0073472C"/>
    <w:rsid w:val="007347F9"/>
    <w:rsid w:val="00734810"/>
    <w:rsid w:val="007348D7"/>
    <w:rsid w:val="00734931"/>
    <w:rsid w:val="00734959"/>
    <w:rsid w:val="00734976"/>
    <w:rsid w:val="00734A44"/>
    <w:rsid w:val="00734AD0"/>
    <w:rsid w:val="00734AD1"/>
    <w:rsid w:val="00734C3D"/>
    <w:rsid w:val="00734D8A"/>
    <w:rsid w:val="00734DE4"/>
    <w:rsid w:val="00734E50"/>
    <w:rsid w:val="00734E7A"/>
    <w:rsid w:val="00734EE9"/>
    <w:rsid w:val="00734F12"/>
    <w:rsid w:val="00734F6A"/>
    <w:rsid w:val="007350DE"/>
    <w:rsid w:val="007350FF"/>
    <w:rsid w:val="00735117"/>
    <w:rsid w:val="00735137"/>
    <w:rsid w:val="007351FA"/>
    <w:rsid w:val="0073520D"/>
    <w:rsid w:val="007352A4"/>
    <w:rsid w:val="00735309"/>
    <w:rsid w:val="00735411"/>
    <w:rsid w:val="007354EE"/>
    <w:rsid w:val="00735533"/>
    <w:rsid w:val="0073553B"/>
    <w:rsid w:val="00735633"/>
    <w:rsid w:val="007356B8"/>
    <w:rsid w:val="007356F0"/>
    <w:rsid w:val="007356F2"/>
    <w:rsid w:val="00735840"/>
    <w:rsid w:val="00735855"/>
    <w:rsid w:val="007358DA"/>
    <w:rsid w:val="00735985"/>
    <w:rsid w:val="0073599B"/>
    <w:rsid w:val="007359C2"/>
    <w:rsid w:val="007359E5"/>
    <w:rsid w:val="00735B05"/>
    <w:rsid w:val="00735B2A"/>
    <w:rsid w:val="00735B70"/>
    <w:rsid w:val="00735B74"/>
    <w:rsid w:val="00735BED"/>
    <w:rsid w:val="00735CB9"/>
    <w:rsid w:val="00735CF5"/>
    <w:rsid w:val="00735D5D"/>
    <w:rsid w:val="00735DE7"/>
    <w:rsid w:val="00735E45"/>
    <w:rsid w:val="00735EAD"/>
    <w:rsid w:val="00735EEA"/>
    <w:rsid w:val="00735F01"/>
    <w:rsid w:val="007360F8"/>
    <w:rsid w:val="00736124"/>
    <w:rsid w:val="00736288"/>
    <w:rsid w:val="00736299"/>
    <w:rsid w:val="007362EF"/>
    <w:rsid w:val="00736345"/>
    <w:rsid w:val="0073637C"/>
    <w:rsid w:val="007363F5"/>
    <w:rsid w:val="007364AB"/>
    <w:rsid w:val="00736508"/>
    <w:rsid w:val="0073652B"/>
    <w:rsid w:val="0073652E"/>
    <w:rsid w:val="00736536"/>
    <w:rsid w:val="0073653D"/>
    <w:rsid w:val="00736561"/>
    <w:rsid w:val="007365B9"/>
    <w:rsid w:val="007365BF"/>
    <w:rsid w:val="00736740"/>
    <w:rsid w:val="00736775"/>
    <w:rsid w:val="0073679D"/>
    <w:rsid w:val="00736891"/>
    <w:rsid w:val="007368BD"/>
    <w:rsid w:val="007368CA"/>
    <w:rsid w:val="00736902"/>
    <w:rsid w:val="00736944"/>
    <w:rsid w:val="00736996"/>
    <w:rsid w:val="007369A3"/>
    <w:rsid w:val="00736A63"/>
    <w:rsid w:val="00736A78"/>
    <w:rsid w:val="00736B04"/>
    <w:rsid w:val="00736B16"/>
    <w:rsid w:val="00736B4C"/>
    <w:rsid w:val="00736B7D"/>
    <w:rsid w:val="00736BE8"/>
    <w:rsid w:val="00736BEB"/>
    <w:rsid w:val="00736C61"/>
    <w:rsid w:val="00736C7A"/>
    <w:rsid w:val="00736CD6"/>
    <w:rsid w:val="00736CF6"/>
    <w:rsid w:val="00736D82"/>
    <w:rsid w:val="00736E60"/>
    <w:rsid w:val="00736EAE"/>
    <w:rsid w:val="00736ED5"/>
    <w:rsid w:val="00736EFA"/>
    <w:rsid w:val="00736F72"/>
    <w:rsid w:val="00736F90"/>
    <w:rsid w:val="00736F94"/>
    <w:rsid w:val="007371E8"/>
    <w:rsid w:val="00737279"/>
    <w:rsid w:val="00737320"/>
    <w:rsid w:val="0073734F"/>
    <w:rsid w:val="0073736E"/>
    <w:rsid w:val="00737717"/>
    <w:rsid w:val="0073772A"/>
    <w:rsid w:val="0073773D"/>
    <w:rsid w:val="00737748"/>
    <w:rsid w:val="00737786"/>
    <w:rsid w:val="00737787"/>
    <w:rsid w:val="007377FE"/>
    <w:rsid w:val="007378DA"/>
    <w:rsid w:val="00737999"/>
    <w:rsid w:val="00737A4D"/>
    <w:rsid w:val="00737A50"/>
    <w:rsid w:val="00737A5F"/>
    <w:rsid w:val="00737A97"/>
    <w:rsid w:val="00737B82"/>
    <w:rsid w:val="00737B98"/>
    <w:rsid w:val="00737C1A"/>
    <w:rsid w:val="00737C88"/>
    <w:rsid w:val="00737DAD"/>
    <w:rsid w:val="00737E30"/>
    <w:rsid w:val="00737E47"/>
    <w:rsid w:val="00737EBC"/>
    <w:rsid w:val="00737FD7"/>
    <w:rsid w:val="00740093"/>
    <w:rsid w:val="007400B8"/>
    <w:rsid w:val="007400BC"/>
    <w:rsid w:val="00740214"/>
    <w:rsid w:val="00740218"/>
    <w:rsid w:val="00740317"/>
    <w:rsid w:val="00740355"/>
    <w:rsid w:val="0074037B"/>
    <w:rsid w:val="007403CF"/>
    <w:rsid w:val="007404CF"/>
    <w:rsid w:val="00740582"/>
    <w:rsid w:val="00740640"/>
    <w:rsid w:val="00740675"/>
    <w:rsid w:val="00740689"/>
    <w:rsid w:val="0074069B"/>
    <w:rsid w:val="007406AE"/>
    <w:rsid w:val="0074073C"/>
    <w:rsid w:val="00740745"/>
    <w:rsid w:val="007407EA"/>
    <w:rsid w:val="00740837"/>
    <w:rsid w:val="007408B2"/>
    <w:rsid w:val="00740992"/>
    <w:rsid w:val="007409B8"/>
    <w:rsid w:val="00740A51"/>
    <w:rsid w:val="00740AED"/>
    <w:rsid w:val="00740AF1"/>
    <w:rsid w:val="00740B14"/>
    <w:rsid w:val="00740B58"/>
    <w:rsid w:val="00740B66"/>
    <w:rsid w:val="00740C07"/>
    <w:rsid w:val="00740C1F"/>
    <w:rsid w:val="00740CA2"/>
    <w:rsid w:val="00740DCB"/>
    <w:rsid w:val="00740E33"/>
    <w:rsid w:val="00740E77"/>
    <w:rsid w:val="00740EEB"/>
    <w:rsid w:val="00740EF7"/>
    <w:rsid w:val="00740F61"/>
    <w:rsid w:val="00740F69"/>
    <w:rsid w:val="00740FA0"/>
    <w:rsid w:val="00741153"/>
    <w:rsid w:val="007412CB"/>
    <w:rsid w:val="007412DE"/>
    <w:rsid w:val="00741318"/>
    <w:rsid w:val="0074138A"/>
    <w:rsid w:val="00741422"/>
    <w:rsid w:val="0074145B"/>
    <w:rsid w:val="0074153F"/>
    <w:rsid w:val="00741589"/>
    <w:rsid w:val="00741618"/>
    <w:rsid w:val="0074163D"/>
    <w:rsid w:val="007416E4"/>
    <w:rsid w:val="007418B8"/>
    <w:rsid w:val="0074194D"/>
    <w:rsid w:val="007419B7"/>
    <w:rsid w:val="007419E5"/>
    <w:rsid w:val="00741A08"/>
    <w:rsid w:val="00741A61"/>
    <w:rsid w:val="00741A90"/>
    <w:rsid w:val="00741AB5"/>
    <w:rsid w:val="00741ABA"/>
    <w:rsid w:val="00741AC5"/>
    <w:rsid w:val="00741AD9"/>
    <w:rsid w:val="00741B7D"/>
    <w:rsid w:val="00741B8B"/>
    <w:rsid w:val="00741BBC"/>
    <w:rsid w:val="00741C49"/>
    <w:rsid w:val="00741D04"/>
    <w:rsid w:val="00741EE3"/>
    <w:rsid w:val="00741F83"/>
    <w:rsid w:val="007420C0"/>
    <w:rsid w:val="007420EE"/>
    <w:rsid w:val="007421B9"/>
    <w:rsid w:val="007421D0"/>
    <w:rsid w:val="00742304"/>
    <w:rsid w:val="00742325"/>
    <w:rsid w:val="0074232F"/>
    <w:rsid w:val="007423B7"/>
    <w:rsid w:val="0074241F"/>
    <w:rsid w:val="0074242E"/>
    <w:rsid w:val="00742460"/>
    <w:rsid w:val="0074247A"/>
    <w:rsid w:val="007424AF"/>
    <w:rsid w:val="007424E9"/>
    <w:rsid w:val="00742515"/>
    <w:rsid w:val="007427F5"/>
    <w:rsid w:val="00742859"/>
    <w:rsid w:val="00742905"/>
    <w:rsid w:val="00742A96"/>
    <w:rsid w:val="00742B5C"/>
    <w:rsid w:val="00742BA2"/>
    <w:rsid w:val="00742BAE"/>
    <w:rsid w:val="00742C93"/>
    <w:rsid w:val="00742D05"/>
    <w:rsid w:val="00742D75"/>
    <w:rsid w:val="00742DF6"/>
    <w:rsid w:val="00742EEE"/>
    <w:rsid w:val="00742F70"/>
    <w:rsid w:val="00743029"/>
    <w:rsid w:val="0074303D"/>
    <w:rsid w:val="00743066"/>
    <w:rsid w:val="007430F8"/>
    <w:rsid w:val="0074310D"/>
    <w:rsid w:val="00743230"/>
    <w:rsid w:val="00743252"/>
    <w:rsid w:val="00743292"/>
    <w:rsid w:val="00743313"/>
    <w:rsid w:val="00743318"/>
    <w:rsid w:val="00743411"/>
    <w:rsid w:val="0074353D"/>
    <w:rsid w:val="00743557"/>
    <w:rsid w:val="00743631"/>
    <w:rsid w:val="0074364D"/>
    <w:rsid w:val="00743695"/>
    <w:rsid w:val="007436BC"/>
    <w:rsid w:val="00743752"/>
    <w:rsid w:val="0074375B"/>
    <w:rsid w:val="00743799"/>
    <w:rsid w:val="007437F1"/>
    <w:rsid w:val="007438C9"/>
    <w:rsid w:val="00743915"/>
    <w:rsid w:val="00743929"/>
    <w:rsid w:val="00743A7A"/>
    <w:rsid w:val="00743B0C"/>
    <w:rsid w:val="00743B5D"/>
    <w:rsid w:val="00743B9E"/>
    <w:rsid w:val="00743BE0"/>
    <w:rsid w:val="00743C30"/>
    <w:rsid w:val="00743C4F"/>
    <w:rsid w:val="00743D18"/>
    <w:rsid w:val="00743DDE"/>
    <w:rsid w:val="00743E5D"/>
    <w:rsid w:val="00743E63"/>
    <w:rsid w:val="00743F4B"/>
    <w:rsid w:val="00743FCF"/>
    <w:rsid w:val="0074402C"/>
    <w:rsid w:val="00744036"/>
    <w:rsid w:val="0074408F"/>
    <w:rsid w:val="00744122"/>
    <w:rsid w:val="0074414E"/>
    <w:rsid w:val="00744163"/>
    <w:rsid w:val="0074420A"/>
    <w:rsid w:val="00744275"/>
    <w:rsid w:val="0074429C"/>
    <w:rsid w:val="007443E8"/>
    <w:rsid w:val="0074447D"/>
    <w:rsid w:val="00744495"/>
    <w:rsid w:val="00744535"/>
    <w:rsid w:val="0074464A"/>
    <w:rsid w:val="007447A5"/>
    <w:rsid w:val="007447BA"/>
    <w:rsid w:val="007447F3"/>
    <w:rsid w:val="0074484E"/>
    <w:rsid w:val="00744864"/>
    <w:rsid w:val="0074488A"/>
    <w:rsid w:val="007448F2"/>
    <w:rsid w:val="00744999"/>
    <w:rsid w:val="00744AE2"/>
    <w:rsid w:val="00744BBD"/>
    <w:rsid w:val="00744BCD"/>
    <w:rsid w:val="00744C83"/>
    <w:rsid w:val="00744D79"/>
    <w:rsid w:val="00744DB1"/>
    <w:rsid w:val="00744E4B"/>
    <w:rsid w:val="00744E76"/>
    <w:rsid w:val="00744ECB"/>
    <w:rsid w:val="00744EDE"/>
    <w:rsid w:val="00744F49"/>
    <w:rsid w:val="00744F77"/>
    <w:rsid w:val="00744FCE"/>
    <w:rsid w:val="00744FDC"/>
    <w:rsid w:val="00745009"/>
    <w:rsid w:val="007451CB"/>
    <w:rsid w:val="007451FB"/>
    <w:rsid w:val="00745203"/>
    <w:rsid w:val="00745240"/>
    <w:rsid w:val="0074525D"/>
    <w:rsid w:val="00745348"/>
    <w:rsid w:val="00745361"/>
    <w:rsid w:val="00745370"/>
    <w:rsid w:val="007453A5"/>
    <w:rsid w:val="007453DA"/>
    <w:rsid w:val="00745472"/>
    <w:rsid w:val="00745478"/>
    <w:rsid w:val="00745499"/>
    <w:rsid w:val="007454A5"/>
    <w:rsid w:val="007456B9"/>
    <w:rsid w:val="007456ED"/>
    <w:rsid w:val="007456FD"/>
    <w:rsid w:val="0074571F"/>
    <w:rsid w:val="0074580F"/>
    <w:rsid w:val="00745861"/>
    <w:rsid w:val="007458E0"/>
    <w:rsid w:val="0074590C"/>
    <w:rsid w:val="00745934"/>
    <w:rsid w:val="00745B27"/>
    <w:rsid w:val="00745B62"/>
    <w:rsid w:val="00745BD6"/>
    <w:rsid w:val="00745BE5"/>
    <w:rsid w:val="00745C14"/>
    <w:rsid w:val="00745C1A"/>
    <w:rsid w:val="00745C62"/>
    <w:rsid w:val="00745C83"/>
    <w:rsid w:val="00745D1B"/>
    <w:rsid w:val="00745DBF"/>
    <w:rsid w:val="00745E20"/>
    <w:rsid w:val="00745E6F"/>
    <w:rsid w:val="00745F72"/>
    <w:rsid w:val="00745FAE"/>
    <w:rsid w:val="0074608D"/>
    <w:rsid w:val="007461DD"/>
    <w:rsid w:val="0074624E"/>
    <w:rsid w:val="00746347"/>
    <w:rsid w:val="00746443"/>
    <w:rsid w:val="0074644C"/>
    <w:rsid w:val="0074647E"/>
    <w:rsid w:val="00746481"/>
    <w:rsid w:val="00746557"/>
    <w:rsid w:val="007465D3"/>
    <w:rsid w:val="007466A9"/>
    <w:rsid w:val="007466C0"/>
    <w:rsid w:val="00746704"/>
    <w:rsid w:val="00746838"/>
    <w:rsid w:val="0074691C"/>
    <w:rsid w:val="00746947"/>
    <w:rsid w:val="0074698B"/>
    <w:rsid w:val="007469D6"/>
    <w:rsid w:val="00746A31"/>
    <w:rsid w:val="00746A3D"/>
    <w:rsid w:val="00746AD9"/>
    <w:rsid w:val="00746ADE"/>
    <w:rsid w:val="00746B04"/>
    <w:rsid w:val="00746B54"/>
    <w:rsid w:val="00746B64"/>
    <w:rsid w:val="00746B6A"/>
    <w:rsid w:val="00746B89"/>
    <w:rsid w:val="00746C4D"/>
    <w:rsid w:val="00746C60"/>
    <w:rsid w:val="00746CA4"/>
    <w:rsid w:val="00746CEE"/>
    <w:rsid w:val="00746CF2"/>
    <w:rsid w:val="00746CFF"/>
    <w:rsid w:val="00746D7F"/>
    <w:rsid w:val="00746D87"/>
    <w:rsid w:val="00746DFD"/>
    <w:rsid w:val="00746E83"/>
    <w:rsid w:val="00746F14"/>
    <w:rsid w:val="00746F59"/>
    <w:rsid w:val="00746F5E"/>
    <w:rsid w:val="00746F73"/>
    <w:rsid w:val="00746F88"/>
    <w:rsid w:val="00746FA3"/>
    <w:rsid w:val="00747007"/>
    <w:rsid w:val="00747158"/>
    <w:rsid w:val="0074716E"/>
    <w:rsid w:val="00747179"/>
    <w:rsid w:val="0074717E"/>
    <w:rsid w:val="007471DE"/>
    <w:rsid w:val="007471E1"/>
    <w:rsid w:val="007471F4"/>
    <w:rsid w:val="007471FE"/>
    <w:rsid w:val="00747299"/>
    <w:rsid w:val="007472A9"/>
    <w:rsid w:val="00747321"/>
    <w:rsid w:val="00747338"/>
    <w:rsid w:val="00747367"/>
    <w:rsid w:val="00747381"/>
    <w:rsid w:val="00747389"/>
    <w:rsid w:val="007473CF"/>
    <w:rsid w:val="007473E3"/>
    <w:rsid w:val="007474C4"/>
    <w:rsid w:val="00747596"/>
    <w:rsid w:val="0074759D"/>
    <w:rsid w:val="007476E3"/>
    <w:rsid w:val="007476EE"/>
    <w:rsid w:val="00747744"/>
    <w:rsid w:val="007477BA"/>
    <w:rsid w:val="007477D9"/>
    <w:rsid w:val="00747827"/>
    <w:rsid w:val="00747945"/>
    <w:rsid w:val="0074794D"/>
    <w:rsid w:val="00747952"/>
    <w:rsid w:val="00747A89"/>
    <w:rsid w:val="00747AA3"/>
    <w:rsid w:val="00747BD0"/>
    <w:rsid w:val="00747C78"/>
    <w:rsid w:val="00747CA5"/>
    <w:rsid w:val="00747D5C"/>
    <w:rsid w:val="00747DEA"/>
    <w:rsid w:val="00747E8E"/>
    <w:rsid w:val="00747F03"/>
    <w:rsid w:val="00747FA6"/>
    <w:rsid w:val="00750038"/>
    <w:rsid w:val="007500D0"/>
    <w:rsid w:val="007500E7"/>
    <w:rsid w:val="007501C2"/>
    <w:rsid w:val="00750287"/>
    <w:rsid w:val="0075029B"/>
    <w:rsid w:val="007502BA"/>
    <w:rsid w:val="007502C3"/>
    <w:rsid w:val="00750377"/>
    <w:rsid w:val="007503E2"/>
    <w:rsid w:val="007503E6"/>
    <w:rsid w:val="007505A6"/>
    <w:rsid w:val="0075062C"/>
    <w:rsid w:val="007506A0"/>
    <w:rsid w:val="007506A2"/>
    <w:rsid w:val="007506B3"/>
    <w:rsid w:val="007506FE"/>
    <w:rsid w:val="007507E4"/>
    <w:rsid w:val="007508E5"/>
    <w:rsid w:val="00750A64"/>
    <w:rsid w:val="00750A94"/>
    <w:rsid w:val="00750B23"/>
    <w:rsid w:val="00750C13"/>
    <w:rsid w:val="00750CF3"/>
    <w:rsid w:val="00750D7E"/>
    <w:rsid w:val="00750E2B"/>
    <w:rsid w:val="00750E4F"/>
    <w:rsid w:val="00750E60"/>
    <w:rsid w:val="00750EFB"/>
    <w:rsid w:val="00750F01"/>
    <w:rsid w:val="00750F81"/>
    <w:rsid w:val="00750FBA"/>
    <w:rsid w:val="00750FC9"/>
    <w:rsid w:val="00751065"/>
    <w:rsid w:val="0075109A"/>
    <w:rsid w:val="007510AF"/>
    <w:rsid w:val="007510CF"/>
    <w:rsid w:val="0075119A"/>
    <w:rsid w:val="007511C5"/>
    <w:rsid w:val="00751247"/>
    <w:rsid w:val="0075128A"/>
    <w:rsid w:val="007512E2"/>
    <w:rsid w:val="00751369"/>
    <w:rsid w:val="007513FC"/>
    <w:rsid w:val="0075141B"/>
    <w:rsid w:val="0075147D"/>
    <w:rsid w:val="007514EC"/>
    <w:rsid w:val="007515D3"/>
    <w:rsid w:val="00751653"/>
    <w:rsid w:val="007516DC"/>
    <w:rsid w:val="00751716"/>
    <w:rsid w:val="0075173B"/>
    <w:rsid w:val="00751741"/>
    <w:rsid w:val="00751767"/>
    <w:rsid w:val="0075177D"/>
    <w:rsid w:val="00751822"/>
    <w:rsid w:val="0075186F"/>
    <w:rsid w:val="007518AC"/>
    <w:rsid w:val="00751925"/>
    <w:rsid w:val="00751A48"/>
    <w:rsid w:val="00751ABD"/>
    <w:rsid w:val="00751B1F"/>
    <w:rsid w:val="00751B88"/>
    <w:rsid w:val="00751BAB"/>
    <w:rsid w:val="00751C42"/>
    <w:rsid w:val="00751D17"/>
    <w:rsid w:val="00751D68"/>
    <w:rsid w:val="00751DCC"/>
    <w:rsid w:val="00751DF2"/>
    <w:rsid w:val="00751F1D"/>
    <w:rsid w:val="00751F7F"/>
    <w:rsid w:val="00751FB3"/>
    <w:rsid w:val="007520C5"/>
    <w:rsid w:val="007521AF"/>
    <w:rsid w:val="00752316"/>
    <w:rsid w:val="007523B0"/>
    <w:rsid w:val="007523CB"/>
    <w:rsid w:val="007524A3"/>
    <w:rsid w:val="007524B0"/>
    <w:rsid w:val="0075257B"/>
    <w:rsid w:val="0075267B"/>
    <w:rsid w:val="00752723"/>
    <w:rsid w:val="00752751"/>
    <w:rsid w:val="00752756"/>
    <w:rsid w:val="00752834"/>
    <w:rsid w:val="007528AA"/>
    <w:rsid w:val="007528C9"/>
    <w:rsid w:val="007528D8"/>
    <w:rsid w:val="007529C1"/>
    <w:rsid w:val="00752A29"/>
    <w:rsid w:val="00752A47"/>
    <w:rsid w:val="00752BE6"/>
    <w:rsid w:val="00752C4E"/>
    <w:rsid w:val="00752D65"/>
    <w:rsid w:val="00752DDF"/>
    <w:rsid w:val="00752E06"/>
    <w:rsid w:val="00752E84"/>
    <w:rsid w:val="00752EB5"/>
    <w:rsid w:val="00752F2A"/>
    <w:rsid w:val="00752F9F"/>
    <w:rsid w:val="00752FE4"/>
    <w:rsid w:val="00753006"/>
    <w:rsid w:val="00753048"/>
    <w:rsid w:val="0075311A"/>
    <w:rsid w:val="0075312D"/>
    <w:rsid w:val="00753164"/>
    <w:rsid w:val="00753230"/>
    <w:rsid w:val="0075324F"/>
    <w:rsid w:val="00753251"/>
    <w:rsid w:val="0075331E"/>
    <w:rsid w:val="0075334F"/>
    <w:rsid w:val="0075336B"/>
    <w:rsid w:val="0075354F"/>
    <w:rsid w:val="00753564"/>
    <w:rsid w:val="007535ED"/>
    <w:rsid w:val="00753671"/>
    <w:rsid w:val="007536B3"/>
    <w:rsid w:val="0075370B"/>
    <w:rsid w:val="007537AB"/>
    <w:rsid w:val="007537C7"/>
    <w:rsid w:val="0075386F"/>
    <w:rsid w:val="00753901"/>
    <w:rsid w:val="00753932"/>
    <w:rsid w:val="00753A0E"/>
    <w:rsid w:val="00753A65"/>
    <w:rsid w:val="00753AA0"/>
    <w:rsid w:val="00753B78"/>
    <w:rsid w:val="00753B9E"/>
    <w:rsid w:val="00753BAC"/>
    <w:rsid w:val="00753BF7"/>
    <w:rsid w:val="00753CC7"/>
    <w:rsid w:val="00753D90"/>
    <w:rsid w:val="00753E3D"/>
    <w:rsid w:val="00753E69"/>
    <w:rsid w:val="00753F13"/>
    <w:rsid w:val="007540B0"/>
    <w:rsid w:val="007540C9"/>
    <w:rsid w:val="00754167"/>
    <w:rsid w:val="00754207"/>
    <w:rsid w:val="007542B7"/>
    <w:rsid w:val="00754333"/>
    <w:rsid w:val="00754427"/>
    <w:rsid w:val="007545B9"/>
    <w:rsid w:val="00754632"/>
    <w:rsid w:val="0075466B"/>
    <w:rsid w:val="00754692"/>
    <w:rsid w:val="007546E3"/>
    <w:rsid w:val="0075480B"/>
    <w:rsid w:val="0075482C"/>
    <w:rsid w:val="00754831"/>
    <w:rsid w:val="0075492F"/>
    <w:rsid w:val="00754B3B"/>
    <w:rsid w:val="00754D0C"/>
    <w:rsid w:val="00754D3A"/>
    <w:rsid w:val="00754D78"/>
    <w:rsid w:val="00754E4D"/>
    <w:rsid w:val="00754F80"/>
    <w:rsid w:val="00754FFD"/>
    <w:rsid w:val="00755001"/>
    <w:rsid w:val="00755032"/>
    <w:rsid w:val="0075504A"/>
    <w:rsid w:val="0075506C"/>
    <w:rsid w:val="007550D3"/>
    <w:rsid w:val="00755169"/>
    <w:rsid w:val="007551AE"/>
    <w:rsid w:val="00755276"/>
    <w:rsid w:val="007552C2"/>
    <w:rsid w:val="007552D7"/>
    <w:rsid w:val="007552FF"/>
    <w:rsid w:val="00755383"/>
    <w:rsid w:val="007554EC"/>
    <w:rsid w:val="0075555E"/>
    <w:rsid w:val="0075563F"/>
    <w:rsid w:val="00755669"/>
    <w:rsid w:val="0075568A"/>
    <w:rsid w:val="00755842"/>
    <w:rsid w:val="00755919"/>
    <w:rsid w:val="00755A65"/>
    <w:rsid w:val="00755A8C"/>
    <w:rsid w:val="00755ADB"/>
    <w:rsid w:val="00755C1B"/>
    <w:rsid w:val="00755C58"/>
    <w:rsid w:val="00755C63"/>
    <w:rsid w:val="00755D46"/>
    <w:rsid w:val="00755D6E"/>
    <w:rsid w:val="00755EC2"/>
    <w:rsid w:val="00755EF8"/>
    <w:rsid w:val="00755F0C"/>
    <w:rsid w:val="00755F3E"/>
    <w:rsid w:val="0075608F"/>
    <w:rsid w:val="007560AF"/>
    <w:rsid w:val="007561A7"/>
    <w:rsid w:val="007561B4"/>
    <w:rsid w:val="00756234"/>
    <w:rsid w:val="00756337"/>
    <w:rsid w:val="00756546"/>
    <w:rsid w:val="0075656A"/>
    <w:rsid w:val="00756655"/>
    <w:rsid w:val="0075668B"/>
    <w:rsid w:val="0075673D"/>
    <w:rsid w:val="00756755"/>
    <w:rsid w:val="007567FA"/>
    <w:rsid w:val="00756869"/>
    <w:rsid w:val="007568B9"/>
    <w:rsid w:val="00756906"/>
    <w:rsid w:val="00756A31"/>
    <w:rsid w:val="00756A94"/>
    <w:rsid w:val="00756AC2"/>
    <w:rsid w:val="00756C2D"/>
    <w:rsid w:val="00756C38"/>
    <w:rsid w:val="00756D05"/>
    <w:rsid w:val="00756E83"/>
    <w:rsid w:val="00756E9F"/>
    <w:rsid w:val="00756EB6"/>
    <w:rsid w:val="00756EC3"/>
    <w:rsid w:val="00756EF2"/>
    <w:rsid w:val="00756F0E"/>
    <w:rsid w:val="00756F51"/>
    <w:rsid w:val="00756FAA"/>
    <w:rsid w:val="0075704A"/>
    <w:rsid w:val="00757074"/>
    <w:rsid w:val="0075707A"/>
    <w:rsid w:val="00757082"/>
    <w:rsid w:val="007570B5"/>
    <w:rsid w:val="007570BD"/>
    <w:rsid w:val="007570D8"/>
    <w:rsid w:val="007570F1"/>
    <w:rsid w:val="007572CA"/>
    <w:rsid w:val="00757319"/>
    <w:rsid w:val="0075731F"/>
    <w:rsid w:val="0075744B"/>
    <w:rsid w:val="00757492"/>
    <w:rsid w:val="007574D7"/>
    <w:rsid w:val="0075750E"/>
    <w:rsid w:val="00757585"/>
    <w:rsid w:val="00757598"/>
    <w:rsid w:val="00757630"/>
    <w:rsid w:val="00757660"/>
    <w:rsid w:val="00757688"/>
    <w:rsid w:val="007576B9"/>
    <w:rsid w:val="00757750"/>
    <w:rsid w:val="0075776E"/>
    <w:rsid w:val="007577B0"/>
    <w:rsid w:val="00757802"/>
    <w:rsid w:val="0075792D"/>
    <w:rsid w:val="00757935"/>
    <w:rsid w:val="00757939"/>
    <w:rsid w:val="00757990"/>
    <w:rsid w:val="0075799E"/>
    <w:rsid w:val="007579D4"/>
    <w:rsid w:val="00757A37"/>
    <w:rsid w:val="00757A6C"/>
    <w:rsid w:val="00757AEE"/>
    <w:rsid w:val="00757AF1"/>
    <w:rsid w:val="00757B4B"/>
    <w:rsid w:val="00757BB3"/>
    <w:rsid w:val="00757CAF"/>
    <w:rsid w:val="00757D79"/>
    <w:rsid w:val="00757EBF"/>
    <w:rsid w:val="00757F0B"/>
    <w:rsid w:val="00760016"/>
    <w:rsid w:val="00760091"/>
    <w:rsid w:val="007600BA"/>
    <w:rsid w:val="007600EC"/>
    <w:rsid w:val="00760123"/>
    <w:rsid w:val="00760166"/>
    <w:rsid w:val="007601CD"/>
    <w:rsid w:val="00760212"/>
    <w:rsid w:val="007603EF"/>
    <w:rsid w:val="0076042A"/>
    <w:rsid w:val="00760441"/>
    <w:rsid w:val="00760461"/>
    <w:rsid w:val="0076054B"/>
    <w:rsid w:val="007605C1"/>
    <w:rsid w:val="007605E7"/>
    <w:rsid w:val="00760609"/>
    <w:rsid w:val="00760651"/>
    <w:rsid w:val="00760679"/>
    <w:rsid w:val="007606A6"/>
    <w:rsid w:val="007606DD"/>
    <w:rsid w:val="00760971"/>
    <w:rsid w:val="007609A3"/>
    <w:rsid w:val="007609CF"/>
    <w:rsid w:val="00760A87"/>
    <w:rsid w:val="00760A96"/>
    <w:rsid w:val="00760BDA"/>
    <w:rsid w:val="00760BFC"/>
    <w:rsid w:val="00760C45"/>
    <w:rsid w:val="00760C49"/>
    <w:rsid w:val="00760CA4"/>
    <w:rsid w:val="00760D2E"/>
    <w:rsid w:val="00760EE6"/>
    <w:rsid w:val="00760F46"/>
    <w:rsid w:val="00760F4F"/>
    <w:rsid w:val="00760FC4"/>
    <w:rsid w:val="00760FC8"/>
    <w:rsid w:val="0076101D"/>
    <w:rsid w:val="007610F4"/>
    <w:rsid w:val="00761229"/>
    <w:rsid w:val="007612E2"/>
    <w:rsid w:val="007612FC"/>
    <w:rsid w:val="00761324"/>
    <w:rsid w:val="0076142A"/>
    <w:rsid w:val="00761483"/>
    <w:rsid w:val="0076149E"/>
    <w:rsid w:val="00761501"/>
    <w:rsid w:val="0076150F"/>
    <w:rsid w:val="00761596"/>
    <w:rsid w:val="007615A3"/>
    <w:rsid w:val="007615B6"/>
    <w:rsid w:val="0076162B"/>
    <w:rsid w:val="007617CB"/>
    <w:rsid w:val="007617CF"/>
    <w:rsid w:val="00761844"/>
    <w:rsid w:val="0076187E"/>
    <w:rsid w:val="007619B8"/>
    <w:rsid w:val="007619DA"/>
    <w:rsid w:val="00761A0C"/>
    <w:rsid w:val="00761A59"/>
    <w:rsid w:val="00761AD2"/>
    <w:rsid w:val="00761AEF"/>
    <w:rsid w:val="00761B05"/>
    <w:rsid w:val="00761B4D"/>
    <w:rsid w:val="00761BEC"/>
    <w:rsid w:val="00761C7D"/>
    <w:rsid w:val="00761C88"/>
    <w:rsid w:val="00761C96"/>
    <w:rsid w:val="00761CA5"/>
    <w:rsid w:val="00761D39"/>
    <w:rsid w:val="00761DD5"/>
    <w:rsid w:val="00761DE0"/>
    <w:rsid w:val="00761DE6"/>
    <w:rsid w:val="00761E8C"/>
    <w:rsid w:val="00761EDD"/>
    <w:rsid w:val="00761EF6"/>
    <w:rsid w:val="00761F17"/>
    <w:rsid w:val="00761F7E"/>
    <w:rsid w:val="00761FF3"/>
    <w:rsid w:val="007620B0"/>
    <w:rsid w:val="00762135"/>
    <w:rsid w:val="007621F1"/>
    <w:rsid w:val="0076222D"/>
    <w:rsid w:val="00762275"/>
    <w:rsid w:val="007622D9"/>
    <w:rsid w:val="00762313"/>
    <w:rsid w:val="0076231C"/>
    <w:rsid w:val="0076232F"/>
    <w:rsid w:val="00762389"/>
    <w:rsid w:val="007624BA"/>
    <w:rsid w:val="007624DA"/>
    <w:rsid w:val="00762520"/>
    <w:rsid w:val="007625B3"/>
    <w:rsid w:val="0076262C"/>
    <w:rsid w:val="0076264B"/>
    <w:rsid w:val="0076267F"/>
    <w:rsid w:val="00762755"/>
    <w:rsid w:val="0076275A"/>
    <w:rsid w:val="00762761"/>
    <w:rsid w:val="00762A13"/>
    <w:rsid w:val="00762AEA"/>
    <w:rsid w:val="00762BE0"/>
    <w:rsid w:val="00762D1E"/>
    <w:rsid w:val="00762EB2"/>
    <w:rsid w:val="00762ED4"/>
    <w:rsid w:val="00762F13"/>
    <w:rsid w:val="00762F2F"/>
    <w:rsid w:val="00762F6B"/>
    <w:rsid w:val="00762FF7"/>
    <w:rsid w:val="00763055"/>
    <w:rsid w:val="00763113"/>
    <w:rsid w:val="0076313A"/>
    <w:rsid w:val="007631D9"/>
    <w:rsid w:val="007631E2"/>
    <w:rsid w:val="00763216"/>
    <w:rsid w:val="0076325F"/>
    <w:rsid w:val="0076327B"/>
    <w:rsid w:val="007632E2"/>
    <w:rsid w:val="00763444"/>
    <w:rsid w:val="0076347A"/>
    <w:rsid w:val="007634FE"/>
    <w:rsid w:val="0076351F"/>
    <w:rsid w:val="007635F8"/>
    <w:rsid w:val="007637CE"/>
    <w:rsid w:val="007638D4"/>
    <w:rsid w:val="00763903"/>
    <w:rsid w:val="0076390A"/>
    <w:rsid w:val="00763921"/>
    <w:rsid w:val="00763956"/>
    <w:rsid w:val="007639FF"/>
    <w:rsid w:val="00763AB6"/>
    <w:rsid w:val="00763B59"/>
    <w:rsid w:val="00763BF6"/>
    <w:rsid w:val="00763C77"/>
    <w:rsid w:val="00763CB4"/>
    <w:rsid w:val="00763CDA"/>
    <w:rsid w:val="00763D1B"/>
    <w:rsid w:val="00763D79"/>
    <w:rsid w:val="00763EAD"/>
    <w:rsid w:val="0076406E"/>
    <w:rsid w:val="00764169"/>
    <w:rsid w:val="00764176"/>
    <w:rsid w:val="00764212"/>
    <w:rsid w:val="007642B6"/>
    <w:rsid w:val="007642CE"/>
    <w:rsid w:val="007642D5"/>
    <w:rsid w:val="00764306"/>
    <w:rsid w:val="007643E8"/>
    <w:rsid w:val="0076449E"/>
    <w:rsid w:val="0076457C"/>
    <w:rsid w:val="0076460E"/>
    <w:rsid w:val="0076461C"/>
    <w:rsid w:val="00764679"/>
    <w:rsid w:val="0076479D"/>
    <w:rsid w:val="00764804"/>
    <w:rsid w:val="00764963"/>
    <w:rsid w:val="00764A26"/>
    <w:rsid w:val="00764A49"/>
    <w:rsid w:val="00764AA0"/>
    <w:rsid w:val="00764AE9"/>
    <w:rsid w:val="00764B24"/>
    <w:rsid w:val="00764B77"/>
    <w:rsid w:val="00764C2F"/>
    <w:rsid w:val="00764C42"/>
    <w:rsid w:val="00764C75"/>
    <w:rsid w:val="00764CE4"/>
    <w:rsid w:val="00764CEA"/>
    <w:rsid w:val="00764D4E"/>
    <w:rsid w:val="00764D51"/>
    <w:rsid w:val="00764DA0"/>
    <w:rsid w:val="00764DE0"/>
    <w:rsid w:val="00764E59"/>
    <w:rsid w:val="00764F2B"/>
    <w:rsid w:val="00764FA9"/>
    <w:rsid w:val="0076501F"/>
    <w:rsid w:val="00765068"/>
    <w:rsid w:val="007650C5"/>
    <w:rsid w:val="00765142"/>
    <w:rsid w:val="00765171"/>
    <w:rsid w:val="0076527C"/>
    <w:rsid w:val="007652BC"/>
    <w:rsid w:val="007653A2"/>
    <w:rsid w:val="007653D4"/>
    <w:rsid w:val="0076548F"/>
    <w:rsid w:val="007654C2"/>
    <w:rsid w:val="007654CB"/>
    <w:rsid w:val="007654F1"/>
    <w:rsid w:val="00765518"/>
    <w:rsid w:val="0076552A"/>
    <w:rsid w:val="00765634"/>
    <w:rsid w:val="0076565A"/>
    <w:rsid w:val="007656F9"/>
    <w:rsid w:val="0076570C"/>
    <w:rsid w:val="00765781"/>
    <w:rsid w:val="007657A3"/>
    <w:rsid w:val="007657F0"/>
    <w:rsid w:val="007659BE"/>
    <w:rsid w:val="007659FB"/>
    <w:rsid w:val="00765A7E"/>
    <w:rsid w:val="00765BAD"/>
    <w:rsid w:val="00765C10"/>
    <w:rsid w:val="00765C3A"/>
    <w:rsid w:val="00765C4C"/>
    <w:rsid w:val="00765CA7"/>
    <w:rsid w:val="00765D48"/>
    <w:rsid w:val="00765D8F"/>
    <w:rsid w:val="00766030"/>
    <w:rsid w:val="0076608F"/>
    <w:rsid w:val="007660E0"/>
    <w:rsid w:val="007661AC"/>
    <w:rsid w:val="00766286"/>
    <w:rsid w:val="007662DE"/>
    <w:rsid w:val="007663DF"/>
    <w:rsid w:val="007664CF"/>
    <w:rsid w:val="0076650D"/>
    <w:rsid w:val="00766517"/>
    <w:rsid w:val="00766541"/>
    <w:rsid w:val="00766704"/>
    <w:rsid w:val="007667AF"/>
    <w:rsid w:val="007667F3"/>
    <w:rsid w:val="00766843"/>
    <w:rsid w:val="0076684F"/>
    <w:rsid w:val="0076689C"/>
    <w:rsid w:val="00766931"/>
    <w:rsid w:val="00766960"/>
    <w:rsid w:val="007669B3"/>
    <w:rsid w:val="00766A17"/>
    <w:rsid w:val="00766A27"/>
    <w:rsid w:val="00766B48"/>
    <w:rsid w:val="00766C13"/>
    <w:rsid w:val="00766D66"/>
    <w:rsid w:val="00766DAB"/>
    <w:rsid w:val="00766F72"/>
    <w:rsid w:val="00766F83"/>
    <w:rsid w:val="00766FF6"/>
    <w:rsid w:val="0076712F"/>
    <w:rsid w:val="007672D9"/>
    <w:rsid w:val="007672F3"/>
    <w:rsid w:val="007672FD"/>
    <w:rsid w:val="007674DB"/>
    <w:rsid w:val="00767545"/>
    <w:rsid w:val="007675B8"/>
    <w:rsid w:val="007675CD"/>
    <w:rsid w:val="007675D5"/>
    <w:rsid w:val="00767621"/>
    <w:rsid w:val="00767702"/>
    <w:rsid w:val="00767723"/>
    <w:rsid w:val="00767756"/>
    <w:rsid w:val="00767757"/>
    <w:rsid w:val="007677CF"/>
    <w:rsid w:val="007678EB"/>
    <w:rsid w:val="00767992"/>
    <w:rsid w:val="00767994"/>
    <w:rsid w:val="007679DA"/>
    <w:rsid w:val="00767A2B"/>
    <w:rsid w:val="00767A64"/>
    <w:rsid w:val="00767BCE"/>
    <w:rsid w:val="00767C16"/>
    <w:rsid w:val="00767C3A"/>
    <w:rsid w:val="00767C4F"/>
    <w:rsid w:val="00767D34"/>
    <w:rsid w:val="00767E63"/>
    <w:rsid w:val="00767EA9"/>
    <w:rsid w:val="00767F85"/>
    <w:rsid w:val="00767F93"/>
    <w:rsid w:val="00770051"/>
    <w:rsid w:val="007700A4"/>
    <w:rsid w:val="007700D5"/>
    <w:rsid w:val="0077024B"/>
    <w:rsid w:val="0077026D"/>
    <w:rsid w:val="0077028A"/>
    <w:rsid w:val="00770459"/>
    <w:rsid w:val="007704B4"/>
    <w:rsid w:val="00770533"/>
    <w:rsid w:val="00770560"/>
    <w:rsid w:val="00770567"/>
    <w:rsid w:val="007705E2"/>
    <w:rsid w:val="0077061D"/>
    <w:rsid w:val="0077070A"/>
    <w:rsid w:val="0077084D"/>
    <w:rsid w:val="007708B1"/>
    <w:rsid w:val="007708CC"/>
    <w:rsid w:val="007708D2"/>
    <w:rsid w:val="00770939"/>
    <w:rsid w:val="0077094F"/>
    <w:rsid w:val="00770968"/>
    <w:rsid w:val="00770B3C"/>
    <w:rsid w:val="00770B56"/>
    <w:rsid w:val="00770B63"/>
    <w:rsid w:val="00770B64"/>
    <w:rsid w:val="00770B9A"/>
    <w:rsid w:val="00770BAA"/>
    <w:rsid w:val="00770BD8"/>
    <w:rsid w:val="00770D11"/>
    <w:rsid w:val="00770D9D"/>
    <w:rsid w:val="00770DED"/>
    <w:rsid w:val="00770E52"/>
    <w:rsid w:val="00770F0E"/>
    <w:rsid w:val="00770F4E"/>
    <w:rsid w:val="00770F8F"/>
    <w:rsid w:val="00771001"/>
    <w:rsid w:val="00771073"/>
    <w:rsid w:val="00771077"/>
    <w:rsid w:val="007710BB"/>
    <w:rsid w:val="007710F2"/>
    <w:rsid w:val="0077116B"/>
    <w:rsid w:val="007711F5"/>
    <w:rsid w:val="00771391"/>
    <w:rsid w:val="007713E8"/>
    <w:rsid w:val="00771426"/>
    <w:rsid w:val="0077155E"/>
    <w:rsid w:val="00771573"/>
    <w:rsid w:val="007715A3"/>
    <w:rsid w:val="007715AF"/>
    <w:rsid w:val="007715DF"/>
    <w:rsid w:val="00771662"/>
    <w:rsid w:val="007717AF"/>
    <w:rsid w:val="007718AC"/>
    <w:rsid w:val="007719BF"/>
    <w:rsid w:val="00771A22"/>
    <w:rsid w:val="00771A33"/>
    <w:rsid w:val="00771A55"/>
    <w:rsid w:val="00771AF3"/>
    <w:rsid w:val="00771B0D"/>
    <w:rsid w:val="00771BA5"/>
    <w:rsid w:val="00771BD5"/>
    <w:rsid w:val="00771C36"/>
    <w:rsid w:val="00771C3C"/>
    <w:rsid w:val="00771C7B"/>
    <w:rsid w:val="00771CB2"/>
    <w:rsid w:val="00771F04"/>
    <w:rsid w:val="00771FDB"/>
    <w:rsid w:val="00772108"/>
    <w:rsid w:val="00772129"/>
    <w:rsid w:val="00772151"/>
    <w:rsid w:val="007721C0"/>
    <w:rsid w:val="007721ED"/>
    <w:rsid w:val="0077223F"/>
    <w:rsid w:val="00772265"/>
    <w:rsid w:val="007722AD"/>
    <w:rsid w:val="007723B6"/>
    <w:rsid w:val="007723FD"/>
    <w:rsid w:val="0077242B"/>
    <w:rsid w:val="007724D6"/>
    <w:rsid w:val="007725F0"/>
    <w:rsid w:val="00772626"/>
    <w:rsid w:val="00772637"/>
    <w:rsid w:val="007726B0"/>
    <w:rsid w:val="007726B1"/>
    <w:rsid w:val="0077276F"/>
    <w:rsid w:val="00772796"/>
    <w:rsid w:val="007727E6"/>
    <w:rsid w:val="00772867"/>
    <w:rsid w:val="00772950"/>
    <w:rsid w:val="00772965"/>
    <w:rsid w:val="00772A80"/>
    <w:rsid w:val="00772AB8"/>
    <w:rsid w:val="00772AD7"/>
    <w:rsid w:val="00772BF4"/>
    <w:rsid w:val="00772C10"/>
    <w:rsid w:val="00772C17"/>
    <w:rsid w:val="00772C56"/>
    <w:rsid w:val="00772CFF"/>
    <w:rsid w:val="00772DAE"/>
    <w:rsid w:val="00772E27"/>
    <w:rsid w:val="00772E92"/>
    <w:rsid w:val="00772F5B"/>
    <w:rsid w:val="00772FB5"/>
    <w:rsid w:val="0077309C"/>
    <w:rsid w:val="007730AF"/>
    <w:rsid w:val="0077318F"/>
    <w:rsid w:val="00773305"/>
    <w:rsid w:val="007733CB"/>
    <w:rsid w:val="0077342D"/>
    <w:rsid w:val="00773475"/>
    <w:rsid w:val="007734A8"/>
    <w:rsid w:val="007734B8"/>
    <w:rsid w:val="00773506"/>
    <w:rsid w:val="0077363E"/>
    <w:rsid w:val="007736EE"/>
    <w:rsid w:val="0077372F"/>
    <w:rsid w:val="00773764"/>
    <w:rsid w:val="007737E1"/>
    <w:rsid w:val="007737F3"/>
    <w:rsid w:val="007738C2"/>
    <w:rsid w:val="007739AF"/>
    <w:rsid w:val="007739DE"/>
    <w:rsid w:val="00773ADF"/>
    <w:rsid w:val="00773B6F"/>
    <w:rsid w:val="00773BB4"/>
    <w:rsid w:val="00773C0B"/>
    <w:rsid w:val="00773C43"/>
    <w:rsid w:val="00773CC1"/>
    <w:rsid w:val="00773CCA"/>
    <w:rsid w:val="00773D9D"/>
    <w:rsid w:val="00773DF4"/>
    <w:rsid w:val="00773DFF"/>
    <w:rsid w:val="00773F16"/>
    <w:rsid w:val="00773F51"/>
    <w:rsid w:val="00773F61"/>
    <w:rsid w:val="00773FAD"/>
    <w:rsid w:val="007740AE"/>
    <w:rsid w:val="007741AB"/>
    <w:rsid w:val="0077420F"/>
    <w:rsid w:val="00774280"/>
    <w:rsid w:val="007742A7"/>
    <w:rsid w:val="0077432B"/>
    <w:rsid w:val="00774379"/>
    <w:rsid w:val="007743EB"/>
    <w:rsid w:val="007743FD"/>
    <w:rsid w:val="00774463"/>
    <w:rsid w:val="0077446C"/>
    <w:rsid w:val="00774492"/>
    <w:rsid w:val="00774509"/>
    <w:rsid w:val="00774545"/>
    <w:rsid w:val="00774580"/>
    <w:rsid w:val="007746A4"/>
    <w:rsid w:val="0077476D"/>
    <w:rsid w:val="00774800"/>
    <w:rsid w:val="00774848"/>
    <w:rsid w:val="00774911"/>
    <w:rsid w:val="00774988"/>
    <w:rsid w:val="007749B5"/>
    <w:rsid w:val="00774B74"/>
    <w:rsid w:val="00774BC0"/>
    <w:rsid w:val="00774C67"/>
    <w:rsid w:val="00774E76"/>
    <w:rsid w:val="00774ECA"/>
    <w:rsid w:val="00774F0F"/>
    <w:rsid w:val="00774F2A"/>
    <w:rsid w:val="00774F43"/>
    <w:rsid w:val="00774F6C"/>
    <w:rsid w:val="00774FC8"/>
    <w:rsid w:val="0077509F"/>
    <w:rsid w:val="007750E0"/>
    <w:rsid w:val="00775162"/>
    <w:rsid w:val="00775216"/>
    <w:rsid w:val="007753B3"/>
    <w:rsid w:val="007753DC"/>
    <w:rsid w:val="007754A6"/>
    <w:rsid w:val="007755B8"/>
    <w:rsid w:val="007755DF"/>
    <w:rsid w:val="0077564C"/>
    <w:rsid w:val="00775683"/>
    <w:rsid w:val="00775723"/>
    <w:rsid w:val="0077588E"/>
    <w:rsid w:val="0077594C"/>
    <w:rsid w:val="00775BB9"/>
    <w:rsid w:val="00775C19"/>
    <w:rsid w:val="00775CFD"/>
    <w:rsid w:val="00775D49"/>
    <w:rsid w:val="00775D8B"/>
    <w:rsid w:val="00775D90"/>
    <w:rsid w:val="00775DB0"/>
    <w:rsid w:val="00775DBD"/>
    <w:rsid w:val="00775DF5"/>
    <w:rsid w:val="00775E4F"/>
    <w:rsid w:val="00775EBF"/>
    <w:rsid w:val="00775F84"/>
    <w:rsid w:val="00775F92"/>
    <w:rsid w:val="0077604E"/>
    <w:rsid w:val="00776111"/>
    <w:rsid w:val="00776140"/>
    <w:rsid w:val="00776167"/>
    <w:rsid w:val="0077617D"/>
    <w:rsid w:val="0077617F"/>
    <w:rsid w:val="00776278"/>
    <w:rsid w:val="007762D4"/>
    <w:rsid w:val="007762EA"/>
    <w:rsid w:val="00776332"/>
    <w:rsid w:val="007763E1"/>
    <w:rsid w:val="00776414"/>
    <w:rsid w:val="00776433"/>
    <w:rsid w:val="0077644A"/>
    <w:rsid w:val="00776612"/>
    <w:rsid w:val="00776687"/>
    <w:rsid w:val="00776733"/>
    <w:rsid w:val="00776782"/>
    <w:rsid w:val="007767A4"/>
    <w:rsid w:val="00776847"/>
    <w:rsid w:val="00776871"/>
    <w:rsid w:val="00776914"/>
    <w:rsid w:val="00776A75"/>
    <w:rsid w:val="00776B01"/>
    <w:rsid w:val="00776B27"/>
    <w:rsid w:val="00776B97"/>
    <w:rsid w:val="00776BC4"/>
    <w:rsid w:val="00776BEF"/>
    <w:rsid w:val="00776BFA"/>
    <w:rsid w:val="00776CA1"/>
    <w:rsid w:val="00776CE1"/>
    <w:rsid w:val="00776D76"/>
    <w:rsid w:val="00776F9C"/>
    <w:rsid w:val="00776FA0"/>
    <w:rsid w:val="00776FA8"/>
    <w:rsid w:val="0077725F"/>
    <w:rsid w:val="007772BA"/>
    <w:rsid w:val="00777359"/>
    <w:rsid w:val="0077746D"/>
    <w:rsid w:val="0077751A"/>
    <w:rsid w:val="0077755A"/>
    <w:rsid w:val="007775C1"/>
    <w:rsid w:val="007775EB"/>
    <w:rsid w:val="007776B8"/>
    <w:rsid w:val="0077775A"/>
    <w:rsid w:val="007777C7"/>
    <w:rsid w:val="007778CB"/>
    <w:rsid w:val="00777958"/>
    <w:rsid w:val="007779CF"/>
    <w:rsid w:val="00777A3E"/>
    <w:rsid w:val="00777AB5"/>
    <w:rsid w:val="00777B46"/>
    <w:rsid w:val="00777B87"/>
    <w:rsid w:val="00777C3F"/>
    <w:rsid w:val="00777CD8"/>
    <w:rsid w:val="00777CDF"/>
    <w:rsid w:val="00777D2A"/>
    <w:rsid w:val="00777E08"/>
    <w:rsid w:val="00777E1D"/>
    <w:rsid w:val="00777EC0"/>
    <w:rsid w:val="00777EE7"/>
    <w:rsid w:val="00777F9B"/>
    <w:rsid w:val="00780042"/>
    <w:rsid w:val="00780049"/>
    <w:rsid w:val="00780094"/>
    <w:rsid w:val="007800B9"/>
    <w:rsid w:val="00780133"/>
    <w:rsid w:val="007801EA"/>
    <w:rsid w:val="0078020A"/>
    <w:rsid w:val="00780226"/>
    <w:rsid w:val="00780270"/>
    <w:rsid w:val="007803A1"/>
    <w:rsid w:val="00780445"/>
    <w:rsid w:val="00780455"/>
    <w:rsid w:val="0078046A"/>
    <w:rsid w:val="007804C8"/>
    <w:rsid w:val="007804D6"/>
    <w:rsid w:val="0078050E"/>
    <w:rsid w:val="00780510"/>
    <w:rsid w:val="0078053E"/>
    <w:rsid w:val="00780560"/>
    <w:rsid w:val="0078064D"/>
    <w:rsid w:val="007807A4"/>
    <w:rsid w:val="00780811"/>
    <w:rsid w:val="0078083B"/>
    <w:rsid w:val="007808B4"/>
    <w:rsid w:val="007808F2"/>
    <w:rsid w:val="00780B69"/>
    <w:rsid w:val="00780BC3"/>
    <w:rsid w:val="00780BD0"/>
    <w:rsid w:val="00780D0F"/>
    <w:rsid w:val="00780D17"/>
    <w:rsid w:val="00780DC8"/>
    <w:rsid w:val="00780E40"/>
    <w:rsid w:val="00780E56"/>
    <w:rsid w:val="00780E69"/>
    <w:rsid w:val="00780E96"/>
    <w:rsid w:val="00780FEE"/>
    <w:rsid w:val="00781098"/>
    <w:rsid w:val="007810AD"/>
    <w:rsid w:val="007810FE"/>
    <w:rsid w:val="0078112D"/>
    <w:rsid w:val="0078116D"/>
    <w:rsid w:val="007811CE"/>
    <w:rsid w:val="00781263"/>
    <w:rsid w:val="0078129E"/>
    <w:rsid w:val="007812F7"/>
    <w:rsid w:val="0078148B"/>
    <w:rsid w:val="0078149F"/>
    <w:rsid w:val="007814C9"/>
    <w:rsid w:val="007814E1"/>
    <w:rsid w:val="00781538"/>
    <w:rsid w:val="007815DE"/>
    <w:rsid w:val="007816CB"/>
    <w:rsid w:val="007817E2"/>
    <w:rsid w:val="00781810"/>
    <w:rsid w:val="0078189C"/>
    <w:rsid w:val="0078189D"/>
    <w:rsid w:val="00781947"/>
    <w:rsid w:val="0078198D"/>
    <w:rsid w:val="00781A43"/>
    <w:rsid w:val="00781AB4"/>
    <w:rsid w:val="00781AD9"/>
    <w:rsid w:val="00781B62"/>
    <w:rsid w:val="00781C0C"/>
    <w:rsid w:val="00781C8B"/>
    <w:rsid w:val="00781D4A"/>
    <w:rsid w:val="00781DF0"/>
    <w:rsid w:val="00781DF2"/>
    <w:rsid w:val="00781E31"/>
    <w:rsid w:val="00781ED6"/>
    <w:rsid w:val="00781F28"/>
    <w:rsid w:val="00782099"/>
    <w:rsid w:val="007820A1"/>
    <w:rsid w:val="007820EB"/>
    <w:rsid w:val="007820F1"/>
    <w:rsid w:val="00782117"/>
    <w:rsid w:val="00782129"/>
    <w:rsid w:val="0078213F"/>
    <w:rsid w:val="007821CC"/>
    <w:rsid w:val="007822A5"/>
    <w:rsid w:val="0078233F"/>
    <w:rsid w:val="0078234F"/>
    <w:rsid w:val="00782520"/>
    <w:rsid w:val="0078254A"/>
    <w:rsid w:val="0078259B"/>
    <w:rsid w:val="007825B8"/>
    <w:rsid w:val="007825E3"/>
    <w:rsid w:val="007825E7"/>
    <w:rsid w:val="00782624"/>
    <w:rsid w:val="00782674"/>
    <w:rsid w:val="00782679"/>
    <w:rsid w:val="00782815"/>
    <w:rsid w:val="00782835"/>
    <w:rsid w:val="0078287B"/>
    <w:rsid w:val="0078293C"/>
    <w:rsid w:val="00782AED"/>
    <w:rsid w:val="00782BB7"/>
    <w:rsid w:val="00782BF0"/>
    <w:rsid w:val="00782BF8"/>
    <w:rsid w:val="00782C01"/>
    <w:rsid w:val="00782CF4"/>
    <w:rsid w:val="00782D64"/>
    <w:rsid w:val="00782E41"/>
    <w:rsid w:val="00782E6F"/>
    <w:rsid w:val="00782F3F"/>
    <w:rsid w:val="00782FB4"/>
    <w:rsid w:val="00783050"/>
    <w:rsid w:val="00783125"/>
    <w:rsid w:val="00783145"/>
    <w:rsid w:val="00783182"/>
    <w:rsid w:val="007831AD"/>
    <w:rsid w:val="00783205"/>
    <w:rsid w:val="00783222"/>
    <w:rsid w:val="0078323E"/>
    <w:rsid w:val="007832B2"/>
    <w:rsid w:val="007832D9"/>
    <w:rsid w:val="007832E1"/>
    <w:rsid w:val="0078333E"/>
    <w:rsid w:val="00783393"/>
    <w:rsid w:val="00783395"/>
    <w:rsid w:val="007833C4"/>
    <w:rsid w:val="007833F1"/>
    <w:rsid w:val="00783411"/>
    <w:rsid w:val="00783438"/>
    <w:rsid w:val="00783476"/>
    <w:rsid w:val="00783486"/>
    <w:rsid w:val="007834DB"/>
    <w:rsid w:val="00783596"/>
    <w:rsid w:val="00783623"/>
    <w:rsid w:val="0078366E"/>
    <w:rsid w:val="007836B9"/>
    <w:rsid w:val="007837A4"/>
    <w:rsid w:val="0078383B"/>
    <w:rsid w:val="00783953"/>
    <w:rsid w:val="00783A2C"/>
    <w:rsid w:val="00783A4C"/>
    <w:rsid w:val="00783B36"/>
    <w:rsid w:val="00783BD3"/>
    <w:rsid w:val="00783C89"/>
    <w:rsid w:val="00783C95"/>
    <w:rsid w:val="00783D0D"/>
    <w:rsid w:val="00783D10"/>
    <w:rsid w:val="00783D3C"/>
    <w:rsid w:val="00783DB2"/>
    <w:rsid w:val="00783DD0"/>
    <w:rsid w:val="00783DF7"/>
    <w:rsid w:val="00783EFC"/>
    <w:rsid w:val="00783F46"/>
    <w:rsid w:val="0078402C"/>
    <w:rsid w:val="007840AA"/>
    <w:rsid w:val="0078413A"/>
    <w:rsid w:val="00784189"/>
    <w:rsid w:val="00784295"/>
    <w:rsid w:val="0078429F"/>
    <w:rsid w:val="00784341"/>
    <w:rsid w:val="00784351"/>
    <w:rsid w:val="00784361"/>
    <w:rsid w:val="00784398"/>
    <w:rsid w:val="00784451"/>
    <w:rsid w:val="00784470"/>
    <w:rsid w:val="00784523"/>
    <w:rsid w:val="007845E2"/>
    <w:rsid w:val="007845F3"/>
    <w:rsid w:val="0078463E"/>
    <w:rsid w:val="00784645"/>
    <w:rsid w:val="007846B2"/>
    <w:rsid w:val="00784717"/>
    <w:rsid w:val="0078481E"/>
    <w:rsid w:val="00784909"/>
    <w:rsid w:val="0078495E"/>
    <w:rsid w:val="007849B2"/>
    <w:rsid w:val="00784A0A"/>
    <w:rsid w:val="00784A34"/>
    <w:rsid w:val="00784A50"/>
    <w:rsid w:val="00784AC1"/>
    <w:rsid w:val="00784B0B"/>
    <w:rsid w:val="00784B55"/>
    <w:rsid w:val="00784BB2"/>
    <w:rsid w:val="00784BE4"/>
    <w:rsid w:val="00784C5F"/>
    <w:rsid w:val="00784CA0"/>
    <w:rsid w:val="00784CE3"/>
    <w:rsid w:val="00784D2C"/>
    <w:rsid w:val="00784DAA"/>
    <w:rsid w:val="00784E4F"/>
    <w:rsid w:val="00784E5D"/>
    <w:rsid w:val="00784E6A"/>
    <w:rsid w:val="00784F8C"/>
    <w:rsid w:val="00785025"/>
    <w:rsid w:val="00785081"/>
    <w:rsid w:val="00785140"/>
    <w:rsid w:val="0078524A"/>
    <w:rsid w:val="007852A1"/>
    <w:rsid w:val="0078531B"/>
    <w:rsid w:val="0078538E"/>
    <w:rsid w:val="007853A7"/>
    <w:rsid w:val="007853FE"/>
    <w:rsid w:val="007855E4"/>
    <w:rsid w:val="00785602"/>
    <w:rsid w:val="00785665"/>
    <w:rsid w:val="00785687"/>
    <w:rsid w:val="0078580D"/>
    <w:rsid w:val="00785903"/>
    <w:rsid w:val="0078597E"/>
    <w:rsid w:val="00785A47"/>
    <w:rsid w:val="00785B57"/>
    <w:rsid w:val="00785BE2"/>
    <w:rsid w:val="00785D33"/>
    <w:rsid w:val="00785D3B"/>
    <w:rsid w:val="00785D4B"/>
    <w:rsid w:val="00785DA6"/>
    <w:rsid w:val="00785DF4"/>
    <w:rsid w:val="00785E6C"/>
    <w:rsid w:val="00785ED6"/>
    <w:rsid w:val="00785EF0"/>
    <w:rsid w:val="00785F8D"/>
    <w:rsid w:val="0078609D"/>
    <w:rsid w:val="007860D4"/>
    <w:rsid w:val="007860D8"/>
    <w:rsid w:val="007860EA"/>
    <w:rsid w:val="00786171"/>
    <w:rsid w:val="007861DF"/>
    <w:rsid w:val="00786220"/>
    <w:rsid w:val="007862FA"/>
    <w:rsid w:val="0078632E"/>
    <w:rsid w:val="0078632F"/>
    <w:rsid w:val="007863EE"/>
    <w:rsid w:val="007864EC"/>
    <w:rsid w:val="0078656E"/>
    <w:rsid w:val="0078661B"/>
    <w:rsid w:val="0078665E"/>
    <w:rsid w:val="00786690"/>
    <w:rsid w:val="007866DD"/>
    <w:rsid w:val="00786785"/>
    <w:rsid w:val="00786788"/>
    <w:rsid w:val="0078678F"/>
    <w:rsid w:val="007867EE"/>
    <w:rsid w:val="007867F5"/>
    <w:rsid w:val="0078680D"/>
    <w:rsid w:val="00786812"/>
    <w:rsid w:val="00786866"/>
    <w:rsid w:val="00786898"/>
    <w:rsid w:val="007868D9"/>
    <w:rsid w:val="00786BB6"/>
    <w:rsid w:val="00786BC9"/>
    <w:rsid w:val="00786BCA"/>
    <w:rsid w:val="00786C84"/>
    <w:rsid w:val="00786C9D"/>
    <w:rsid w:val="00786CA0"/>
    <w:rsid w:val="00786CAB"/>
    <w:rsid w:val="00786DDA"/>
    <w:rsid w:val="00786E46"/>
    <w:rsid w:val="00786EDD"/>
    <w:rsid w:val="00786F43"/>
    <w:rsid w:val="00786F67"/>
    <w:rsid w:val="00786F8D"/>
    <w:rsid w:val="00786F93"/>
    <w:rsid w:val="00786F9E"/>
    <w:rsid w:val="00786FF8"/>
    <w:rsid w:val="00787141"/>
    <w:rsid w:val="00787174"/>
    <w:rsid w:val="00787231"/>
    <w:rsid w:val="00787359"/>
    <w:rsid w:val="0078737C"/>
    <w:rsid w:val="007873AA"/>
    <w:rsid w:val="0078747B"/>
    <w:rsid w:val="007874E4"/>
    <w:rsid w:val="00787597"/>
    <w:rsid w:val="007875D9"/>
    <w:rsid w:val="007876F7"/>
    <w:rsid w:val="0078773D"/>
    <w:rsid w:val="0078774E"/>
    <w:rsid w:val="00787751"/>
    <w:rsid w:val="007877E3"/>
    <w:rsid w:val="007878C7"/>
    <w:rsid w:val="007879DA"/>
    <w:rsid w:val="00787A4E"/>
    <w:rsid w:val="00787AF8"/>
    <w:rsid w:val="00787B0F"/>
    <w:rsid w:val="00787B2C"/>
    <w:rsid w:val="00787BEB"/>
    <w:rsid w:val="00787BF5"/>
    <w:rsid w:val="00787C02"/>
    <w:rsid w:val="00787CFF"/>
    <w:rsid w:val="00787D1F"/>
    <w:rsid w:val="00787D9B"/>
    <w:rsid w:val="00787E1B"/>
    <w:rsid w:val="00787EFA"/>
    <w:rsid w:val="00787F2E"/>
    <w:rsid w:val="00787FE6"/>
    <w:rsid w:val="00790019"/>
    <w:rsid w:val="007900DC"/>
    <w:rsid w:val="0079011F"/>
    <w:rsid w:val="0079015C"/>
    <w:rsid w:val="00790171"/>
    <w:rsid w:val="007901B6"/>
    <w:rsid w:val="00790290"/>
    <w:rsid w:val="00790295"/>
    <w:rsid w:val="007902D2"/>
    <w:rsid w:val="0079036F"/>
    <w:rsid w:val="00790371"/>
    <w:rsid w:val="0079038E"/>
    <w:rsid w:val="00790394"/>
    <w:rsid w:val="00790494"/>
    <w:rsid w:val="007904FA"/>
    <w:rsid w:val="00790545"/>
    <w:rsid w:val="0079054F"/>
    <w:rsid w:val="0079058C"/>
    <w:rsid w:val="0079061B"/>
    <w:rsid w:val="00790694"/>
    <w:rsid w:val="007906E8"/>
    <w:rsid w:val="00790777"/>
    <w:rsid w:val="0079088F"/>
    <w:rsid w:val="00790975"/>
    <w:rsid w:val="0079099C"/>
    <w:rsid w:val="00790A31"/>
    <w:rsid w:val="00790A4C"/>
    <w:rsid w:val="00790B30"/>
    <w:rsid w:val="00790B51"/>
    <w:rsid w:val="00790BC6"/>
    <w:rsid w:val="00790BF3"/>
    <w:rsid w:val="00790BFA"/>
    <w:rsid w:val="00790BFE"/>
    <w:rsid w:val="00790C10"/>
    <w:rsid w:val="00790C36"/>
    <w:rsid w:val="00790C46"/>
    <w:rsid w:val="00790C82"/>
    <w:rsid w:val="00790DC9"/>
    <w:rsid w:val="00790E4E"/>
    <w:rsid w:val="00790ECC"/>
    <w:rsid w:val="00790F3D"/>
    <w:rsid w:val="00790FBA"/>
    <w:rsid w:val="007910AC"/>
    <w:rsid w:val="007910BF"/>
    <w:rsid w:val="007912D3"/>
    <w:rsid w:val="007913D4"/>
    <w:rsid w:val="007913E9"/>
    <w:rsid w:val="00791401"/>
    <w:rsid w:val="007914ED"/>
    <w:rsid w:val="0079151D"/>
    <w:rsid w:val="0079157D"/>
    <w:rsid w:val="0079159E"/>
    <w:rsid w:val="00791618"/>
    <w:rsid w:val="0079162F"/>
    <w:rsid w:val="007916C8"/>
    <w:rsid w:val="007916E8"/>
    <w:rsid w:val="00791719"/>
    <w:rsid w:val="00791736"/>
    <w:rsid w:val="007917D7"/>
    <w:rsid w:val="0079187E"/>
    <w:rsid w:val="00791960"/>
    <w:rsid w:val="00791AC1"/>
    <w:rsid w:val="00791B6C"/>
    <w:rsid w:val="00791B83"/>
    <w:rsid w:val="00791BFF"/>
    <w:rsid w:val="00791C31"/>
    <w:rsid w:val="00791C89"/>
    <w:rsid w:val="00791CBC"/>
    <w:rsid w:val="00791CD5"/>
    <w:rsid w:val="00791E3F"/>
    <w:rsid w:val="00791E73"/>
    <w:rsid w:val="00791EB9"/>
    <w:rsid w:val="00791EFF"/>
    <w:rsid w:val="00791F50"/>
    <w:rsid w:val="00791F85"/>
    <w:rsid w:val="00791FAF"/>
    <w:rsid w:val="00792003"/>
    <w:rsid w:val="00792115"/>
    <w:rsid w:val="007921BD"/>
    <w:rsid w:val="007923B7"/>
    <w:rsid w:val="00792541"/>
    <w:rsid w:val="0079256A"/>
    <w:rsid w:val="00792585"/>
    <w:rsid w:val="00792598"/>
    <w:rsid w:val="00792616"/>
    <w:rsid w:val="007926BB"/>
    <w:rsid w:val="007926CF"/>
    <w:rsid w:val="007926F2"/>
    <w:rsid w:val="007926FF"/>
    <w:rsid w:val="007927ED"/>
    <w:rsid w:val="0079280C"/>
    <w:rsid w:val="0079290A"/>
    <w:rsid w:val="00792994"/>
    <w:rsid w:val="007929A2"/>
    <w:rsid w:val="007929CB"/>
    <w:rsid w:val="007929F9"/>
    <w:rsid w:val="00792AFE"/>
    <w:rsid w:val="00792B93"/>
    <w:rsid w:val="00792C19"/>
    <w:rsid w:val="00792C89"/>
    <w:rsid w:val="00792CE5"/>
    <w:rsid w:val="00792DDE"/>
    <w:rsid w:val="00792DED"/>
    <w:rsid w:val="00792E3B"/>
    <w:rsid w:val="00792F44"/>
    <w:rsid w:val="00792F78"/>
    <w:rsid w:val="007930A0"/>
    <w:rsid w:val="00793136"/>
    <w:rsid w:val="0079314D"/>
    <w:rsid w:val="007931EB"/>
    <w:rsid w:val="007932E0"/>
    <w:rsid w:val="00793363"/>
    <w:rsid w:val="007933DB"/>
    <w:rsid w:val="007933E2"/>
    <w:rsid w:val="0079344C"/>
    <w:rsid w:val="007934AE"/>
    <w:rsid w:val="007934DD"/>
    <w:rsid w:val="0079367D"/>
    <w:rsid w:val="00793698"/>
    <w:rsid w:val="00793715"/>
    <w:rsid w:val="00793716"/>
    <w:rsid w:val="00793791"/>
    <w:rsid w:val="007937EA"/>
    <w:rsid w:val="00793902"/>
    <w:rsid w:val="00793954"/>
    <w:rsid w:val="00793976"/>
    <w:rsid w:val="00793977"/>
    <w:rsid w:val="007939E4"/>
    <w:rsid w:val="00793A38"/>
    <w:rsid w:val="00793B19"/>
    <w:rsid w:val="00793B57"/>
    <w:rsid w:val="00793BC3"/>
    <w:rsid w:val="00793CB7"/>
    <w:rsid w:val="00793D62"/>
    <w:rsid w:val="00793E70"/>
    <w:rsid w:val="007940B3"/>
    <w:rsid w:val="00794105"/>
    <w:rsid w:val="00794189"/>
    <w:rsid w:val="00794235"/>
    <w:rsid w:val="00794295"/>
    <w:rsid w:val="00794359"/>
    <w:rsid w:val="0079440F"/>
    <w:rsid w:val="00794480"/>
    <w:rsid w:val="00794484"/>
    <w:rsid w:val="0079448B"/>
    <w:rsid w:val="00794505"/>
    <w:rsid w:val="00794557"/>
    <w:rsid w:val="007946A4"/>
    <w:rsid w:val="007947B6"/>
    <w:rsid w:val="00794859"/>
    <w:rsid w:val="0079498D"/>
    <w:rsid w:val="007949BD"/>
    <w:rsid w:val="00794A1B"/>
    <w:rsid w:val="00794A5E"/>
    <w:rsid w:val="00794A68"/>
    <w:rsid w:val="00794B3F"/>
    <w:rsid w:val="00794B93"/>
    <w:rsid w:val="00794DFF"/>
    <w:rsid w:val="00794E21"/>
    <w:rsid w:val="00794E5E"/>
    <w:rsid w:val="00794F46"/>
    <w:rsid w:val="00794FFC"/>
    <w:rsid w:val="00795042"/>
    <w:rsid w:val="0079509C"/>
    <w:rsid w:val="007950DB"/>
    <w:rsid w:val="00795103"/>
    <w:rsid w:val="0079518C"/>
    <w:rsid w:val="007953E6"/>
    <w:rsid w:val="00795421"/>
    <w:rsid w:val="00795440"/>
    <w:rsid w:val="00795452"/>
    <w:rsid w:val="00795494"/>
    <w:rsid w:val="007954CA"/>
    <w:rsid w:val="0079558E"/>
    <w:rsid w:val="00795640"/>
    <w:rsid w:val="0079566A"/>
    <w:rsid w:val="00795693"/>
    <w:rsid w:val="007956CF"/>
    <w:rsid w:val="007957E4"/>
    <w:rsid w:val="00795968"/>
    <w:rsid w:val="007959E7"/>
    <w:rsid w:val="00795A19"/>
    <w:rsid w:val="00795A8E"/>
    <w:rsid w:val="00795AB3"/>
    <w:rsid w:val="00795B08"/>
    <w:rsid w:val="00795D20"/>
    <w:rsid w:val="00795D4A"/>
    <w:rsid w:val="00795D5E"/>
    <w:rsid w:val="00795E55"/>
    <w:rsid w:val="00795F7F"/>
    <w:rsid w:val="00795FEE"/>
    <w:rsid w:val="007960B2"/>
    <w:rsid w:val="00796170"/>
    <w:rsid w:val="007961C2"/>
    <w:rsid w:val="0079620C"/>
    <w:rsid w:val="00796216"/>
    <w:rsid w:val="0079625B"/>
    <w:rsid w:val="0079635F"/>
    <w:rsid w:val="0079636E"/>
    <w:rsid w:val="007963E5"/>
    <w:rsid w:val="00796474"/>
    <w:rsid w:val="007964D1"/>
    <w:rsid w:val="00796683"/>
    <w:rsid w:val="007966A9"/>
    <w:rsid w:val="007966DB"/>
    <w:rsid w:val="007966F8"/>
    <w:rsid w:val="0079670D"/>
    <w:rsid w:val="007967D2"/>
    <w:rsid w:val="007968AE"/>
    <w:rsid w:val="007968E7"/>
    <w:rsid w:val="0079692E"/>
    <w:rsid w:val="00796930"/>
    <w:rsid w:val="0079699F"/>
    <w:rsid w:val="007969E8"/>
    <w:rsid w:val="00796AC2"/>
    <w:rsid w:val="00796B09"/>
    <w:rsid w:val="00796B55"/>
    <w:rsid w:val="00796C33"/>
    <w:rsid w:val="00796CC0"/>
    <w:rsid w:val="00796CDC"/>
    <w:rsid w:val="00796D33"/>
    <w:rsid w:val="00796DF1"/>
    <w:rsid w:val="00796E30"/>
    <w:rsid w:val="00796EA1"/>
    <w:rsid w:val="00796F4B"/>
    <w:rsid w:val="00796F55"/>
    <w:rsid w:val="00796F59"/>
    <w:rsid w:val="00796F84"/>
    <w:rsid w:val="00796FA0"/>
    <w:rsid w:val="00796FA4"/>
    <w:rsid w:val="00797018"/>
    <w:rsid w:val="00797053"/>
    <w:rsid w:val="00797065"/>
    <w:rsid w:val="0079713C"/>
    <w:rsid w:val="00797296"/>
    <w:rsid w:val="007972C2"/>
    <w:rsid w:val="007973B7"/>
    <w:rsid w:val="00797411"/>
    <w:rsid w:val="00797416"/>
    <w:rsid w:val="007974E9"/>
    <w:rsid w:val="007975D0"/>
    <w:rsid w:val="0079763B"/>
    <w:rsid w:val="007976EE"/>
    <w:rsid w:val="007976F5"/>
    <w:rsid w:val="0079771B"/>
    <w:rsid w:val="007977AE"/>
    <w:rsid w:val="007978FC"/>
    <w:rsid w:val="00797944"/>
    <w:rsid w:val="007979FF"/>
    <w:rsid w:val="00797A4B"/>
    <w:rsid w:val="00797AE4"/>
    <w:rsid w:val="00797B3F"/>
    <w:rsid w:val="00797BBA"/>
    <w:rsid w:val="00797C96"/>
    <w:rsid w:val="00797CCA"/>
    <w:rsid w:val="00797CEB"/>
    <w:rsid w:val="00797D1A"/>
    <w:rsid w:val="00797D35"/>
    <w:rsid w:val="00797DB0"/>
    <w:rsid w:val="00797F1A"/>
    <w:rsid w:val="00797F78"/>
    <w:rsid w:val="007A0009"/>
    <w:rsid w:val="007A0061"/>
    <w:rsid w:val="007A00E0"/>
    <w:rsid w:val="007A011D"/>
    <w:rsid w:val="007A0283"/>
    <w:rsid w:val="007A035C"/>
    <w:rsid w:val="007A03A3"/>
    <w:rsid w:val="007A0465"/>
    <w:rsid w:val="007A046C"/>
    <w:rsid w:val="007A0493"/>
    <w:rsid w:val="007A06DD"/>
    <w:rsid w:val="007A06E2"/>
    <w:rsid w:val="007A071B"/>
    <w:rsid w:val="007A08AF"/>
    <w:rsid w:val="007A09BD"/>
    <w:rsid w:val="007A09EC"/>
    <w:rsid w:val="007A0A77"/>
    <w:rsid w:val="007A0AA3"/>
    <w:rsid w:val="007A0B44"/>
    <w:rsid w:val="007A0B7B"/>
    <w:rsid w:val="007A0BD3"/>
    <w:rsid w:val="007A0BEB"/>
    <w:rsid w:val="007A0C33"/>
    <w:rsid w:val="007A0C68"/>
    <w:rsid w:val="007A0CC9"/>
    <w:rsid w:val="007A0D21"/>
    <w:rsid w:val="007A0D38"/>
    <w:rsid w:val="007A0DFA"/>
    <w:rsid w:val="007A0DFD"/>
    <w:rsid w:val="007A0FA7"/>
    <w:rsid w:val="007A110A"/>
    <w:rsid w:val="007A1145"/>
    <w:rsid w:val="007A114A"/>
    <w:rsid w:val="007A121F"/>
    <w:rsid w:val="007A1222"/>
    <w:rsid w:val="007A1225"/>
    <w:rsid w:val="007A130B"/>
    <w:rsid w:val="007A14F8"/>
    <w:rsid w:val="007A1509"/>
    <w:rsid w:val="007A1540"/>
    <w:rsid w:val="007A174B"/>
    <w:rsid w:val="007A1751"/>
    <w:rsid w:val="007A187D"/>
    <w:rsid w:val="007A18A9"/>
    <w:rsid w:val="007A18B5"/>
    <w:rsid w:val="007A199C"/>
    <w:rsid w:val="007A19AB"/>
    <w:rsid w:val="007A19B9"/>
    <w:rsid w:val="007A1A00"/>
    <w:rsid w:val="007A1B4E"/>
    <w:rsid w:val="007A1BE6"/>
    <w:rsid w:val="007A1C14"/>
    <w:rsid w:val="007A1C37"/>
    <w:rsid w:val="007A1C79"/>
    <w:rsid w:val="007A1CAB"/>
    <w:rsid w:val="007A1CD0"/>
    <w:rsid w:val="007A1D23"/>
    <w:rsid w:val="007A1E00"/>
    <w:rsid w:val="007A1EDC"/>
    <w:rsid w:val="007A1EEB"/>
    <w:rsid w:val="007A2014"/>
    <w:rsid w:val="007A2094"/>
    <w:rsid w:val="007A20A0"/>
    <w:rsid w:val="007A2106"/>
    <w:rsid w:val="007A2203"/>
    <w:rsid w:val="007A22C8"/>
    <w:rsid w:val="007A236C"/>
    <w:rsid w:val="007A23DD"/>
    <w:rsid w:val="007A2407"/>
    <w:rsid w:val="007A24B3"/>
    <w:rsid w:val="007A2542"/>
    <w:rsid w:val="007A2654"/>
    <w:rsid w:val="007A270C"/>
    <w:rsid w:val="007A2774"/>
    <w:rsid w:val="007A2829"/>
    <w:rsid w:val="007A29A6"/>
    <w:rsid w:val="007A2A4B"/>
    <w:rsid w:val="007A2AA5"/>
    <w:rsid w:val="007A2BCC"/>
    <w:rsid w:val="007A2C3C"/>
    <w:rsid w:val="007A2CE3"/>
    <w:rsid w:val="007A2CFE"/>
    <w:rsid w:val="007A2E0F"/>
    <w:rsid w:val="007A2E62"/>
    <w:rsid w:val="007A2E6B"/>
    <w:rsid w:val="007A2ECB"/>
    <w:rsid w:val="007A2EE2"/>
    <w:rsid w:val="007A2FFA"/>
    <w:rsid w:val="007A310F"/>
    <w:rsid w:val="007A31B9"/>
    <w:rsid w:val="007A3268"/>
    <w:rsid w:val="007A3279"/>
    <w:rsid w:val="007A32C6"/>
    <w:rsid w:val="007A32F9"/>
    <w:rsid w:val="007A341D"/>
    <w:rsid w:val="007A3430"/>
    <w:rsid w:val="007A3449"/>
    <w:rsid w:val="007A3471"/>
    <w:rsid w:val="007A34C6"/>
    <w:rsid w:val="007A3566"/>
    <w:rsid w:val="007A35AD"/>
    <w:rsid w:val="007A367E"/>
    <w:rsid w:val="007A369B"/>
    <w:rsid w:val="007A36ED"/>
    <w:rsid w:val="007A36F7"/>
    <w:rsid w:val="007A371D"/>
    <w:rsid w:val="007A373A"/>
    <w:rsid w:val="007A3865"/>
    <w:rsid w:val="007A3892"/>
    <w:rsid w:val="007A39A4"/>
    <w:rsid w:val="007A39B9"/>
    <w:rsid w:val="007A39C9"/>
    <w:rsid w:val="007A39E4"/>
    <w:rsid w:val="007A3A57"/>
    <w:rsid w:val="007A3B26"/>
    <w:rsid w:val="007A3B6C"/>
    <w:rsid w:val="007A3BBD"/>
    <w:rsid w:val="007A3C09"/>
    <w:rsid w:val="007A3C12"/>
    <w:rsid w:val="007A3C61"/>
    <w:rsid w:val="007A3D08"/>
    <w:rsid w:val="007A3DB8"/>
    <w:rsid w:val="007A3E5B"/>
    <w:rsid w:val="007A3ECA"/>
    <w:rsid w:val="007A3ED3"/>
    <w:rsid w:val="007A3EE2"/>
    <w:rsid w:val="007A3F82"/>
    <w:rsid w:val="007A3FC0"/>
    <w:rsid w:val="007A408B"/>
    <w:rsid w:val="007A40B2"/>
    <w:rsid w:val="007A416C"/>
    <w:rsid w:val="007A419A"/>
    <w:rsid w:val="007A425C"/>
    <w:rsid w:val="007A432F"/>
    <w:rsid w:val="007A435A"/>
    <w:rsid w:val="007A4370"/>
    <w:rsid w:val="007A4385"/>
    <w:rsid w:val="007A43BC"/>
    <w:rsid w:val="007A43FF"/>
    <w:rsid w:val="007A4712"/>
    <w:rsid w:val="007A4774"/>
    <w:rsid w:val="007A47B9"/>
    <w:rsid w:val="007A4818"/>
    <w:rsid w:val="007A48F5"/>
    <w:rsid w:val="007A4A12"/>
    <w:rsid w:val="007A4A33"/>
    <w:rsid w:val="007A4AF3"/>
    <w:rsid w:val="007A4B7A"/>
    <w:rsid w:val="007A4D51"/>
    <w:rsid w:val="007A4D8D"/>
    <w:rsid w:val="007A502E"/>
    <w:rsid w:val="007A504B"/>
    <w:rsid w:val="007A5112"/>
    <w:rsid w:val="007A5179"/>
    <w:rsid w:val="007A517E"/>
    <w:rsid w:val="007A536C"/>
    <w:rsid w:val="007A53AD"/>
    <w:rsid w:val="007A53C5"/>
    <w:rsid w:val="007A5478"/>
    <w:rsid w:val="007A54AA"/>
    <w:rsid w:val="007A54EE"/>
    <w:rsid w:val="007A557D"/>
    <w:rsid w:val="007A5682"/>
    <w:rsid w:val="007A56BD"/>
    <w:rsid w:val="007A57E0"/>
    <w:rsid w:val="007A57FC"/>
    <w:rsid w:val="007A5945"/>
    <w:rsid w:val="007A5A04"/>
    <w:rsid w:val="007A5A3F"/>
    <w:rsid w:val="007A5A94"/>
    <w:rsid w:val="007A5ABA"/>
    <w:rsid w:val="007A5ACA"/>
    <w:rsid w:val="007A5BDE"/>
    <w:rsid w:val="007A5C66"/>
    <w:rsid w:val="007A5CE9"/>
    <w:rsid w:val="007A5D73"/>
    <w:rsid w:val="007A5E32"/>
    <w:rsid w:val="007A5E68"/>
    <w:rsid w:val="007A5F9F"/>
    <w:rsid w:val="007A5FB0"/>
    <w:rsid w:val="007A5FDC"/>
    <w:rsid w:val="007A6021"/>
    <w:rsid w:val="007A6056"/>
    <w:rsid w:val="007A60CA"/>
    <w:rsid w:val="007A62C3"/>
    <w:rsid w:val="007A6332"/>
    <w:rsid w:val="007A6359"/>
    <w:rsid w:val="007A636F"/>
    <w:rsid w:val="007A63CE"/>
    <w:rsid w:val="007A63DC"/>
    <w:rsid w:val="007A6542"/>
    <w:rsid w:val="007A6552"/>
    <w:rsid w:val="007A665C"/>
    <w:rsid w:val="007A66F5"/>
    <w:rsid w:val="007A671F"/>
    <w:rsid w:val="007A67B1"/>
    <w:rsid w:val="007A6884"/>
    <w:rsid w:val="007A6A04"/>
    <w:rsid w:val="007A6A4B"/>
    <w:rsid w:val="007A6AE1"/>
    <w:rsid w:val="007A6B8A"/>
    <w:rsid w:val="007A6C1C"/>
    <w:rsid w:val="007A6DCE"/>
    <w:rsid w:val="007A6FA0"/>
    <w:rsid w:val="007A7015"/>
    <w:rsid w:val="007A7156"/>
    <w:rsid w:val="007A7193"/>
    <w:rsid w:val="007A71AD"/>
    <w:rsid w:val="007A71C4"/>
    <w:rsid w:val="007A71E5"/>
    <w:rsid w:val="007A71F9"/>
    <w:rsid w:val="007A72A5"/>
    <w:rsid w:val="007A72C5"/>
    <w:rsid w:val="007A7309"/>
    <w:rsid w:val="007A7374"/>
    <w:rsid w:val="007A7482"/>
    <w:rsid w:val="007A74AC"/>
    <w:rsid w:val="007A7597"/>
    <w:rsid w:val="007A7598"/>
    <w:rsid w:val="007A7606"/>
    <w:rsid w:val="007A764C"/>
    <w:rsid w:val="007A76E3"/>
    <w:rsid w:val="007A77C4"/>
    <w:rsid w:val="007A7829"/>
    <w:rsid w:val="007A78D9"/>
    <w:rsid w:val="007A7905"/>
    <w:rsid w:val="007A790E"/>
    <w:rsid w:val="007A792C"/>
    <w:rsid w:val="007A7931"/>
    <w:rsid w:val="007A793A"/>
    <w:rsid w:val="007A7A69"/>
    <w:rsid w:val="007A7AA9"/>
    <w:rsid w:val="007A7AF8"/>
    <w:rsid w:val="007A7B25"/>
    <w:rsid w:val="007A7B77"/>
    <w:rsid w:val="007A7C0F"/>
    <w:rsid w:val="007A7C7E"/>
    <w:rsid w:val="007A7CBD"/>
    <w:rsid w:val="007A7D01"/>
    <w:rsid w:val="007A7DAF"/>
    <w:rsid w:val="007A7E06"/>
    <w:rsid w:val="007A7ECE"/>
    <w:rsid w:val="007A7F09"/>
    <w:rsid w:val="007A7F51"/>
    <w:rsid w:val="007A7F9B"/>
    <w:rsid w:val="007A7FAE"/>
    <w:rsid w:val="007A7FC8"/>
    <w:rsid w:val="007A7FD0"/>
    <w:rsid w:val="007B005F"/>
    <w:rsid w:val="007B00A3"/>
    <w:rsid w:val="007B00A4"/>
    <w:rsid w:val="007B00BE"/>
    <w:rsid w:val="007B00C1"/>
    <w:rsid w:val="007B00CD"/>
    <w:rsid w:val="007B0151"/>
    <w:rsid w:val="007B01B9"/>
    <w:rsid w:val="007B01DE"/>
    <w:rsid w:val="007B020A"/>
    <w:rsid w:val="007B026B"/>
    <w:rsid w:val="007B0328"/>
    <w:rsid w:val="007B0362"/>
    <w:rsid w:val="007B03AB"/>
    <w:rsid w:val="007B04FF"/>
    <w:rsid w:val="007B0830"/>
    <w:rsid w:val="007B0893"/>
    <w:rsid w:val="007B08BA"/>
    <w:rsid w:val="007B08EA"/>
    <w:rsid w:val="007B091A"/>
    <w:rsid w:val="007B091B"/>
    <w:rsid w:val="007B0952"/>
    <w:rsid w:val="007B09B2"/>
    <w:rsid w:val="007B09EA"/>
    <w:rsid w:val="007B0A89"/>
    <w:rsid w:val="007B0A8E"/>
    <w:rsid w:val="007B0BB2"/>
    <w:rsid w:val="007B0C50"/>
    <w:rsid w:val="007B0D3F"/>
    <w:rsid w:val="007B0D43"/>
    <w:rsid w:val="007B0ECA"/>
    <w:rsid w:val="007B0FBD"/>
    <w:rsid w:val="007B1010"/>
    <w:rsid w:val="007B1033"/>
    <w:rsid w:val="007B1185"/>
    <w:rsid w:val="007B11A7"/>
    <w:rsid w:val="007B11AC"/>
    <w:rsid w:val="007B1261"/>
    <w:rsid w:val="007B1365"/>
    <w:rsid w:val="007B1398"/>
    <w:rsid w:val="007B1420"/>
    <w:rsid w:val="007B1424"/>
    <w:rsid w:val="007B1442"/>
    <w:rsid w:val="007B1457"/>
    <w:rsid w:val="007B146A"/>
    <w:rsid w:val="007B151D"/>
    <w:rsid w:val="007B1577"/>
    <w:rsid w:val="007B1672"/>
    <w:rsid w:val="007B16D6"/>
    <w:rsid w:val="007B175B"/>
    <w:rsid w:val="007B17AF"/>
    <w:rsid w:val="007B17CA"/>
    <w:rsid w:val="007B17E9"/>
    <w:rsid w:val="007B1833"/>
    <w:rsid w:val="007B1895"/>
    <w:rsid w:val="007B18EB"/>
    <w:rsid w:val="007B1A01"/>
    <w:rsid w:val="007B1A4A"/>
    <w:rsid w:val="007B1A61"/>
    <w:rsid w:val="007B1AB5"/>
    <w:rsid w:val="007B1B61"/>
    <w:rsid w:val="007B1BA1"/>
    <w:rsid w:val="007B1C14"/>
    <w:rsid w:val="007B1E74"/>
    <w:rsid w:val="007B1F19"/>
    <w:rsid w:val="007B1F68"/>
    <w:rsid w:val="007B1F6F"/>
    <w:rsid w:val="007B1FE4"/>
    <w:rsid w:val="007B20B8"/>
    <w:rsid w:val="007B20EC"/>
    <w:rsid w:val="007B212F"/>
    <w:rsid w:val="007B2167"/>
    <w:rsid w:val="007B21E5"/>
    <w:rsid w:val="007B22B4"/>
    <w:rsid w:val="007B22EA"/>
    <w:rsid w:val="007B234B"/>
    <w:rsid w:val="007B2350"/>
    <w:rsid w:val="007B240F"/>
    <w:rsid w:val="007B2458"/>
    <w:rsid w:val="007B2484"/>
    <w:rsid w:val="007B25CE"/>
    <w:rsid w:val="007B25D4"/>
    <w:rsid w:val="007B25EF"/>
    <w:rsid w:val="007B2681"/>
    <w:rsid w:val="007B276A"/>
    <w:rsid w:val="007B278B"/>
    <w:rsid w:val="007B27A5"/>
    <w:rsid w:val="007B2899"/>
    <w:rsid w:val="007B28AA"/>
    <w:rsid w:val="007B28DC"/>
    <w:rsid w:val="007B296C"/>
    <w:rsid w:val="007B29DA"/>
    <w:rsid w:val="007B2A8B"/>
    <w:rsid w:val="007B2A8F"/>
    <w:rsid w:val="007B2B02"/>
    <w:rsid w:val="007B2B6C"/>
    <w:rsid w:val="007B2D40"/>
    <w:rsid w:val="007B2D79"/>
    <w:rsid w:val="007B3118"/>
    <w:rsid w:val="007B31DD"/>
    <w:rsid w:val="007B33C0"/>
    <w:rsid w:val="007B3446"/>
    <w:rsid w:val="007B3495"/>
    <w:rsid w:val="007B3650"/>
    <w:rsid w:val="007B36CC"/>
    <w:rsid w:val="007B3817"/>
    <w:rsid w:val="007B38B3"/>
    <w:rsid w:val="007B3A8F"/>
    <w:rsid w:val="007B3B59"/>
    <w:rsid w:val="007B3B5C"/>
    <w:rsid w:val="007B3BD2"/>
    <w:rsid w:val="007B3BFE"/>
    <w:rsid w:val="007B3C27"/>
    <w:rsid w:val="007B3C9F"/>
    <w:rsid w:val="007B3D16"/>
    <w:rsid w:val="007B3D76"/>
    <w:rsid w:val="007B3DA8"/>
    <w:rsid w:val="007B3E10"/>
    <w:rsid w:val="007B3EBD"/>
    <w:rsid w:val="007B3F3B"/>
    <w:rsid w:val="007B3F63"/>
    <w:rsid w:val="007B3FC3"/>
    <w:rsid w:val="007B4068"/>
    <w:rsid w:val="007B41CA"/>
    <w:rsid w:val="007B4251"/>
    <w:rsid w:val="007B4315"/>
    <w:rsid w:val="007B4334"/>
    <w:rsid w:val="007B4336"/>
    <w:rsid w:val="007B434C"/>
    <w:rsid w:val="007B4399"/>
    <w:rsid w:val="007B440F"/>
    <w:rsid w:val="007B442C"/>
    <w:rsid w:val="007B44ED"/>
    <w:rsid w:val="007B4714"/>
    <w:rsid w:val="007B4759"/>
    <w:rsid w:val="007B4791"/>
    <w:rsid w:val="007B479E"/>
    <w:rsid w:val="007B4864"/>
    <w:rsid w:val="007B49AE"/>
    <w:rsid w:val="007B4B4F"/>
    <w:rsid w:val="007B4BC7"/>
    <w:rsid w:val="007B4BD8"/>
    <w:rsid w:val="007B4CE6"/>
    <w:rsid w:val="007B4D15"/>
    <w:rsid w:val="007B4E7B"/>
    <w:rsid w:val="007B4F1F"/>
    <w:rsid w:val="007B503D"/>
    <w:rsid w:val="007B50EB"/>
    <w:rsid w:val="007B5129"/>
    <w:rsid w:val="007B52D5"/>
    <w:rsid w:val="007B5311"/>
    <w:rsid w:val="007B535A"/>
    <w:rsid w:val="007B53E0"/>
    <w:rsid w:val="007B53E9"/>
    <w:rsid w:val="007B56C0"/>
    <w:rsid w:val="007B57AC"/>
    <w:rsid w:val="007B58E5"/>
    <w:rsid w:val="007B5925"/>
    <w:rsid w:val="007B5946"/>
    <w:rsid w:val="007B59A9"/>
    <w:rsid w:val="007B5A8E"/>
    <w:rsid w:val="007B5AC9"/>
    <w:rsid w:val="007B5B63"/>
    <w:rsid w:val="007B5C01"/>
    <w:rsid w:val="007B5C79"/>
    <w:rsid w:val="007B5CFD"/>
    <w:rsid w:val="007B5D74"/>
    <w:rsid w:val="007B5D7A"/>
    <w:rsid w:val="007B5E12"/>
    <w:rsid w:val="007B5E7B"/>
    <w:rsid w:val="007B5E8A"/>
    <w:rsid w:val="007B5E9D"/>
    <w:rsid w:val="007B5EE3"/>
    <w:rsid w:val="007B5EEB"/>
    <w:rsid w:val="007B5F90"/>
    <w:rsid w:val="007B5FE5"/>
    <w:rsid w:val="007B601E"/>
    <w:rsid w:val="007B602E"/>
    <w:rsid w:val="007B603B"/>
    <w:rsid w:val="007B60C8"/>
    <w:rsid w:val="007B6218"/>
    <w:rsid w:val="007B62FE"/>
    <w:rsid w:val="007B6491"/>
    <w:rsid w:val="007B64A1"/>
    <w:rsid w:val="007B6557"/>
    <w:rsid w:val="007B657A"/>
    <w:rsid w:val="007B660C"/>
    <w:rsid w:val="007B6635"/>
    <w:rsid w:val="007B6665"/>
    <w:rsid w:val="007B6683"/>
    <w:rsid w:val="007B67FE"/>
    <w:rsid w:val="007B68C5"/>
    <w:rsid w:val="007B6971"/>
    <w:rsid w:val="007B6978"/>
    <w:rsid w:val="007B69F0"/>
    <w:rsid w:val="007B6A05"/>
    <w:rsid w:val="007B6AA0"/>
    <w:rsid w:val="007B6B8E"/>
    <w:rsid w:val="007B6C03"/>
    <w:rsid w:val="007B6DA5"/>
    <w:rsid w:val="007B6DAF"/>
    <w:rsid w:val="007B6E51"/>
    <w:rsid w:val="007B6EAE"/>
    <w:rsid w:val="007B6F76"/>
    <w:rsid w:val="007B6F7A"/>
    <w:rsid w:val="007B6FB2"/>
    <w:rsid w:val="007B70CD"/>
    <w:rsid w:val="007B71AA"/>
    <w:rsid w:val="007B7239"/>
    <w:rsid w:val="007B7304"/>
    <w:rsid w:val="007B730A"/>
    <w:rsid w:val="007B7331"/>
    <w:rsid w:val="007B737D"/>
    <w:rsid w:val="007B740A"/>
    <w:rsid w:val="007B7581"/>
    <w:rsid w:val="007B75A9"/>
    <w:rsid w:val="007B7620"/>
    <w:rsid w:val="007B76FB"/>
    <w:rsid w:val="007B7846"/>
    <w:rsid w:val="007B79DD"/>
    <w:rsid w:val="007B7A51"/>
    <w:rsid w:val="007B7B67"/>
    <w:rsid w:val="007B7CBC"/>
    <w:rsid w:val="007B7DEF"/>
    <w:rsid w:val="007B7E81"/>
    <w:rsid w:val="007B7E82"/>
    <w:rsid w:val="007B7F6B"/>
    <w:rsid w:val="007C00F1"/>
    <w:rsid w:val="007C0103"/>
    <w:rsid w:val="007C01F1"/>
    <w:rsid w:val="007C0274"/>
    <w:rsid w:val="007C02C7"/>
    <w:rsid w:val="007C02E9"/>
    <w:rsid w:val="007C0471"/>
    <w:rsid w:val="007C048A"/>
    <w:rsid w:val="007C04F6"/>
    <w:rsid w:val="007C04FA"/>
    <w:rsid w:val="007C0525"/>
    <w:rsid w:val="007C055A"/>
    <w:rsid w:val="007C05AA"/>
    <w:rsid w:val="007C061E"/>
    <w:rsid w:val="007C0679"/>
    <w:rsid w:val="007C067A"/>
    <w:rsid w:val="007C0703"/>
    <w:rsid w:val="007C0734"/>
    <w:rsid w:val="007C0754"/>
    <w:rsid w:val="007C0787"/>
    <w:rsid w:val="007C07D8"/>
    <w:rsid w:val="007C0802"/>
    <w:rsid w:val="007C092A"/>
    <w:rsid w:val="007C0A1A"/>
    <w:rsid w:val="007C0A53"/>
    <w:rsid w:val="007C0A73"/>
    <w:rsid w:val="007C0AB9"/>
    <w:rsid w:val="007C0C74"/>
    <w:rsid w:val="007C0CC5"/>
    <w:rsid w:val="007C0CD8"/>
    <w:rsid w:val="007C0CE8"/>
    <w:rsid w:val="007C0D78"/>
    <w:rsid w:val="007C0DE2"/>
    <w:rsid w:val="007C0E03"/>
    <w:rsid w:val="007C0E13"/>
    <w:rsid w:val="007C0FD1"/>
    <w:rsid w:val="007C1015"/>
    <w:rsid w:val="007C106D"/>
    <w:rsid w:val="007C109E"/>
    <w:rsid w:val="007C10BA"/>
    <w:rsid w:val="007C10BB"/>
    <w:rsid w:val="007C110F"/>
    <w:rsid w:val="007C1195"/>
    <w:rsid w:val="007C11B1"/>
    <w:rsid w:val="007C11D4"/>
    <w:rsid w:val="007C11FF"/>
    <w:rsid w:val="007C12A1"/>
    <w:rsid w:val="007C12B8"/>
    <w:rsid w:val="007C1492"/>
    <w:rsid w:val="007C14D1"/>
    <w:rsid w:val="007C15BA"/>
    <w:rsid w:val="007C1657"/>
    <w:rsid w:val="007C165B"/>
    <w:rsid w:val="007C16FF"/>
    <w:rsid w:val="007C1710"/>
    <w:rsid w:val="007C1745"/>
    <w:rsid w:val="007C1759"/>
    <w:rsid w:val="007C177E"/>
    <w:rsid w:val="007C184A"/>
    <w:rsid w:val="007C186F"/>
    <w:rsid w:val="007C18CF"/>
    <w:rsid w:val="007C1945"/>
    <w:rsid w:val="007C19C5"/>
    <w:rsid w:val="007C19DA"/>
    <w:rsid w:val="007C1A08"/>
    <w:rsid w:val="007C1A31"/>
    <w:rsid w:val="007C1A44"/>
    <w:rsid w:val="007C1AB8"/>
    <w:rsid w:val="007C1ADF"/>
    <w:rsid w:val="007C1BE8"/>
    <w:rsid w:val="007C1BEE"/>
    <w:rsid w:val="007C1C47"/>
    <w:rsid w:val="007C1CFF"/>
    <w:rsid w:val="007C1D5E"/>
    <w:rsid w:val="007C1D9E"/>
    <w:rsid w:val="007C1DC6"/>
    <w:rsid w:val="007C1E35"/>
    <w:rsid w:val="007C1F07"/>
    <w:rsid w:val="007C1F47"/>
    <w:rsid w:val="007C1F90"/>
    <w:rsid w:val="007C1FDB"/>
    <w:rsid w:val="007C1FE3"/>
    <w:rsid w:val="007C1FEF"/>
    <w:rsid w:val="007C1FFA"/>
    <w:rsid w:val="007C2099"/>
    <w:rsid w:val="007C20A2"/>
    <w:rsid w:val="007C21A1"/>
    <w:rsid w:val="007C21EE"/>
    <w:rsid w:val="007C2296"/>
    <w:rsid w:val="007C2343"/>
    <w:rsid w:val="007C2361"/>
    <w:rsid w:val="007C23B8"/>
    <w:rsid w:val="007C24C3"/>
    <w:rsid w:val="007C24DB"/>
    <w:rsid w:val="007C2688"/>
    <w:rsid w:val="007C268A"/>
    <w:rsid w:val="007C26B9"/>
    <w:rsid w:val="007C273F"/>
    <w:rsid w:val="007C276B"/>
    <w:rsid w:val="007C2772"/>
    <w:rsid w:val="007C28B4"/>
    <w:rsid w:val="007C28E5"/>
    <w:rsid w:val="007C2989"/>
    <w:rsid w:val="007C2990"/>
    <w:rsid w:val="007C29BD"/>
    <w:rsid w:val="007C29C6"/>
    <w:rsid w:val="007C29F1"/>
    <w:rsid w:val="007C2AC5"/>
    <w:rsid w:val="007C2B20"/>
    <w:rsid w:val="007C2B21"/>
    <w:rsid w:val="007C2B27"/>
    <w:rsid w:val="007C2BEC"/>
    <w:rsid w:val="007C2C51"/>
    <w:rsid w:val="007C2C5C"/>
    <w:rsid w:val="007C2C69"/>
    <w:rsid w:val="007C2C6D"/>
    <w:rsid w:val="007C2CDC"/>
    <w:rsid w:val="007C2DBC"/>
    <w:rsid w:val="007C2E00"/>
    <w:rsid w:val="007C2E6B"/>
    <w:rsid w:val="007C2F15"/>
    <w:rsid w:val="007C2F2A"/>
    <w:rsid w:val="007C2F7C"/>
    <w:rsid w:val="007C2FAF"/>
    <w:rsid w:val="007C31D9"/>
    <w:rsid w:val="007C322C"/>
    <w:rsid w:val="007C329D"/>
    <w:rsid w:val="007C32C6"/>
    <w:rsid w:val="007C330B"/>
    <w:rsid w:val="007C33DA"/>
    <w:rsid w:val="007C3411"/>
    <w:rsid w:val="007C353D"/>
    <w:rsid w:val="007C3547"/>
    <w:rsid w:val="007C35E9"/>
    <w:rsid w:val="007C3705"/>
    <w:rsid w:val="007C375C"/>
    <w:rsid w:val="007C376C"/>
    <w:rsid w:val="007C38AE"/>
    <w:rsid w:val="007C391C"/>
    <w:rsid w:val="007C39E0"/>
    <w:rsid w:val="007C3A78"/>
    <w:rsid w:val="007C3B23"/>
    <w:rsid w:val="007C3BD4"/>
    <w:rsid w:val="007C3BD5"/>
    <w:rsid w:val="007C3C0E"/>
    <w:rsid w:val="007C3C13"/>
    <w:rsid w:val="007C3C33"/>
    <w:rsid w:val="007C3C45"/>
    <w:rsid w:val="007C3C76"/>
    <w:rsid w:val="007C3D32"/>
    <w:rsid w:val="007C3D4C"/>
    <w:rsid w:val="007C3DD4"/>
    <w:rsid w:val="007C3E4F"/>
    <w:rsid w:val="007C3F5D"/>
    <w:rsid w:val="007C4000"/>
    <w:rsid w:val="007C4031"/>
    <w:rsid w:val="007C414A"/>
    <w:rsid w:val="007C417F"/>
    <w:rsid w:val="007C4185"/>
    <w:rsid w:val="007C4228"/>
    <w:rsid w:val="007C425F"/>
    <w:rsid w:val="007C4290"/>
    <w:rsid w:val="007C4394"/>
    <w:rsid w:val="007C439E"/>
    <w:rsid w:val="007C43F0"/>
    <w:rsid w:val="007C4437"/>
    <w:rsid w:val="007C4475"/>
    <w:rsid w:val="007C4619"/>
    <w:rsid w:val="007C4666"/>
    <w:rsid w:val="007C4890"/>
    <w:rsid w:val="007C4891"/>
    <w:rsid w:val="007C4898"/>
    <w:rsid w:val="007C48AF"/>
    <w:rsid w:val="007C4974"/>
    <w:rsid w:val="007C49B9"/>
    <w:rsid w:val="007C4ACF"/>
    <w:rsid w:val="007C4B8F"/>
    <w:rsid w:val="007C4BE4"/>
    <w:rsid w:val="007C4FFC"/>
    <w:rsid w:val="007C5009"/>
    <w:rsid w:val="007C500D"/>
    <w:rsid w:val="007C500E"/>
    <w:rsid w:val="007C5095"/>
    <w:rsid w:val="007C509F"/>
    <w:rsid w:val="007C516D"/>
    <w:rsid w:val="007C51A5"/>
    <w:rsid w:val="007C51BE"/>
    <w:rsid w:val="007C5200"/>
    <w:rsid w:val="007C5217"/>
    <w:rsid w:val="007C521F"/>
    <w:rsid w:val="007C5269"/>
    <w:rsid w:val="007C5293"/>
    <w:rsid w:val="007C533C"/>
    <w:rsid w:val="007C5421"/>
    <w:rsid w:val="007C54FB"/>
    <w:rsid w:val="007C5584"/>
    <w:rsid w:val="007C55C2"/>
    <w:rsid w:val="007C5682"/>
    <w:rsid w:val="007C5748"/>
    <w:rsid w:val="007C5756"/>
    <w:rsid w:val="007C57ED"/>
    <w:rsid w:val="007C5860"/>
    <w:rsid w:val="007C5864"/>
    <w:rsid w:val="007C5A4A"/>
    <w:rsid w:val="007C5AC8"/>
    <w:rsid w:val="007C5AE3"/>
    <w:rsid w:val="007C5AEC"/>
    <w:rsid w:val="007C5AF5"/>
    <w:rsid w:val="007C5B54"/>
    <w:rsid w:val="007C5DF0"/>
    <w:rsid w:val="007C5ECF"/>
    <w:rsid w:val="007C5F00"/>
    <w:rsid w:val="007C5F80"/>
    <w:rsid w:val="007C60CD"/>
    <w:rsid w:val="007C6149"/>
    <w:rsid w:val="007C6152"/>
    <w:rsid w:val="007C6199"/>
    <w:rsid w:val="007C620B"/>
    <w:rsid w:val="007C6287"/>
    <w:rsid w:val="007C62C0"/>
    <w:rsid w:val="007C639B"/>
    <w:rsid w:val="007C6488"/>
    <w:rsid w:val="007C648C"/>
    <w:rsid w:val="007C64A4"/>
    <w:rsid w:val="007C6553"/>
    <w:rsid w:val="007C656B"/>
    <w:rsid w:val="007C65CF"/>
    <w:rsid w:val="007C6609"/>
    <w:rsid w:val="007C67E8"/>
    <w:rsid w:val="007C6861"/>
    <w:rsid w:val="007C68AE"/>
    <w:rsid w:val="007C68BB"/>
    <w:rsid w:val="007C68BF"/>
    <w:rsid w:val="007C692D"/>
    <w:rsid w:val="007C69F0"/>
    <w:rsid w:val="007C6A46"/>
    <w:rsid w:val="007C6A68"/>
    <w:rsid w:val="007C6A72"/>
    <w:rsid w:val="007C6B19"/>
    <w:rsid w:val="007C6C1C"/>
    <w:rsid w:val="007C6C23"/>
    <w:rsid w:val="007C6C25"/>
    <w:rsid w:val="007C6C74"/>
    <w:rsid w:val="007C6CA8"/>
    <w:rsid w:val="007C6E2E"/>
    <w:rsid w:val="007C6EC1"/>
    <w:rsid w:val="007C6F58"/>
    <w:rsid w:val="007C6FCD"/>
    <w:rsid w:val="007C7046"/>
    <w:rsid w:val="007C70D0"/>
    <w:rsid w:val="007C710C"/>
    <w:rsid w:val="007C7196"/>
    <w:rsid w:val="007C71CF"/>
    <w:rsid w:val="007C7263"/>
    <w:rsid w:val="007C7265"/>
    <w:rsid w:val="007C735D"/>
    <w:rsid w:val="007C73FE"/>
    <w:rsid w:val="007C7450"/>
    <w:rsid w:val="007C74B2"/>
    <w:rsid w:val="007C7667"/>
    <w:rsid w:val="007C7742"/>
    <w:rsid w:val="007C77E2"/>
    <w:rsid w:val="007C7815"/>
    <w:rsid w:val="007C7850"/>
    <w:rsid w:val="007C7886"/>
    <w:rsid w:val="007C78A4"/>
    <w:rsid w:val="007C7946"/>
    <w:rsid w:val="007C797E"/>
    <w:rsid w:val="007C79D3"/>
    <w:rsid w:val="007C7A61"/>
    <w:rsid w:val="007C7A8D"/>
    <w:rsid w:val="007C7AB7"/>
    <w:rsid w:val="007C7AC9"/>
    <w:rsid w:val="007C7AE5"/>
    <w:rsid w:val="007C7B80"/>
    <w:rsid w:val="007C7B92"/>
    <w:rsid w:val="007C7BE8"/>
    <w:rsid w:val="007C7BF8"/>
    <w:rsid w:val="007C7C70"/>
    <w:rsid w:val="007C7E44"/>
    <w:rsid w:val="007C7E64"/>
    <w:rsid w:val="007C7F1B"/>
    <w:rsid w:val="007C7FB0"/>
    <w:rsid w:val="007D0149"/>
    <w:rsid w:val="007D01AC"/>
    <w:rsid w:val="007D029C"/>
    <w:rsid w:val="007D02E2"/>
    <w:rsid w:val="007D02EB"/>
    <w:rsid w:val="007D0351"/>
    <w:rsid w:val="007D0358"/>
    <w:rsid w:val="007D04D3"/>
    <w:rsid w:val="007D0520"/>
    <w:rsid w:val="007D0525"/>
    <w:rsid w:val="007D05C8"/>
    <w:rsid w:val="007D063A"/>
    <w:rsid w:val="007D0677"/>
    <w:rsid w:val="007D07FD"/>
    <w:rsid w:val="007D085A"/>
    <w:rsid w:val="007D0868"/>
    <w:rsid w:val="007D08C4"/>
    <w:rsid w:val="007D0939"/>
    <w:rsid w:val="007D0966"/>
    <w:rsid w:val="007D09AB"/>
    <w:rsid w:val="007D09B7"/>
    <w:rsid w:val="007D09CE"/>
    <w:rsid w:val="007D0A0A"/>
    <w:rsid w:val="007D0B02"/>
    <w:rsid w:val="007D0B9F"/>
    <w:rsid w:val="007D0BA9"/>
    <w:rsid w:val="007D0BF5"/>
    <w:rsid w:val="007D0BFE"/>
    <w:rsid w:val="007D0C80"/>
    <w:rsid w:val="007D0C86"/>
    <w:rsid w:val="007D0CE9"/>
    <w:rsid w:val="007D0D34"/>
    <w:rsid w:val="007D0E5D"/>
    <w:rsid w:val="007D0E64"/>
    <w:rsid w:val="007D0E74"/>
    <w:rsid w:val="007D0E99"/>
    <w:rsid w:val="007D0EB2"/>
    <w:rsid w:val="007D0ED4"/>
    <w:rsid w:val="007D0F5F"/>
    <w:rsid w:val="007D0FC3"/>
    <w:rsid w:val="007D1014"/>
    <w:rsid w:val="007D1017"/>
    <w:rsid w:val="007D101F"/>
    <w:rsid w:val="007D103C"/>
    <w:rsid w:val="007D1066"/>
    <w:rsid w:val="007D1091"/>
    <w:rsid w:val="007D10FE"/>
    <w:rsid w:val="007D111D"/>
    <w:rsid w:val="007D1177"/>
    <w:rsid w:val="007D1337"/>
    <w:rsid w:val="007D141B"/>
    <w:rsid w:val="007D1489"/>
    <w:rsid w:val="007D1492"/>
    <w:rsid w:val="007D155E"/>
    <w:rsid w:val="007D16B0"/>
    <w:rsid w:val="007D1825"/>
    <w:rsid w:val="007D18A9"/>
    <w:rsid w:val="007D1B1B"/>
    <w:rsid w:val="007D1B84"/>
    <w:rsid w:val="007D1BD5"/>
    <w:rsid w:val="007D1BE6"/>
    <w:rsid w:val="007D1C51"/>
    <w:rsid w:val="007D1D8D"/>
    <w:rsid w:val="007D1DDF"/>
    <w:rsid w:val="007D1E48"/>
    <w:rsid w:val="007D1ECD"/>
    <w:rsid w:val="007D1F01"/>
    <w:rsid w:val="007D214A"/>
    <w:rsid w:val="007D218D"/>
    <w:rsid w:val="007D21DF"/>
    <w:rsid w:val="007D2270"/>
    <w:rsid w:val="007D2272"/>
    <w:rsid w:val="007D24CE"/>
    <w:rsid w:val="007D252F"/>
    <w:rsid w:val="007D2594"/>
    <w:rsid w:val="007D259F"/>
    <w:rsid w:val="007D26C4"/>
    <w:rsid w:val="007D26CF"/>
    <w:rsid w:val="007D26E1"/>
    <w:rsid w:val="007D26F5"/>
    <w:rsid w:val="007D2746"/>
    <w:rsid w:val="007D2825"/>
    <w:rsid w:val="007D2870"/>
    <w:rsid w:val="007D28D3"/>
    <w:rsid w:val="007D2903"/>
    <w:rsid w:val="007D2926"/>
    <w:rsid w:val="007D2AFB"/>
    <w:rsid w:val="007D2B76"/>
    <w:rsid w:val="007D2C03"/>
    <w:rsid w:val="007D2C18"/>
    <w:rsid w:val="007D2C56"/>
    <w:rsid w:val="007D2C6B"/>
    <w:rsid w:val="007D2C81"/>
    <w:rsid w:val="007D2CBC"/>
    <w:rsid w:val="007D2D60"/>
    <w:rsid w:val="007D2D83"/>
    <w:rsid w:val="007D2D91"/>
    <w:rsid w:val="007D2E08"/>
    <w:rsid w:val="007D2EA8"/>
    <w:rsid w:val="007D2EB2"/>
    <w:rsid w:val="007D2EC3"/>
    <w:rsid w:val="007D3021"/>
    <w:rsid w:val="007D30A9"/>
    <w:rsid w:val="007D30B7"/>
    <w:rsid w:val="007D3109"/>
    <w:rsid w:val="007D3118"/>
    <w:rsid w:val="007D313B"/>
    <w:rsid w:val="007D3151"/>
    <w:rsid w:val="007D324F"/>
    <w:rsid w:val="007D3329"/>
    <w:rsid w:val="007D33E1"/>
    <w:rsid w:val="007D345E"/>
    <w:rsid w:val="007D3539"/>
    <w:rsid w:val="007D3541"/>
    <w:rsid w:val="007D3576"/>
    <w:rsid w:val="007D362E"/>
    <w:rsid w:val="007D3676"/>
    <w:rsid w:val="007D36D1"/>
    <w:rsid w:val="007D3740"/>
    <w:rsid w:val="007D3769"/>
    <w:rsid w:val="007D37B3"/>
    <w:rsid w:val="007D37F0"/>
    <w:rsid w:val="007D37FC"/>
    <w:rsid w:val="007D38C3"/>
    <w:rsid w:val="007D38DD"/>
    <w:rsid w:val="007D3A2E"/>
    <w:rsid w:val="007D3A6C"/>
    <w:rsid w:val="007D3BA0"/>
    <w:rsid w:val="007D3BD2"/>
    <w:rsid w:val="007D3C28"/>
    <w:rsid w:val="007D3C7C"/>
    <w:rsid w:val="007D3CCE"/>
    <w:rsid w:val="007D3E3F"/>
    <w:rsid w:val="007D4061"/>
    <w:rsid w:val="007D40D9"/>
    <w:rsid w:val="007D4157"/>
    <w:rsid w:val="007D4213"/>
    <w:rsid w:val="007D4234"/>
    <w:rsid w:val="007D4309"/>
    <w:rsid w:val="007D4322"/>
    <w:rsid w:val="007D43B5"/>
    <w:rsid w:val="007D43B9"/>
    <w:rsid w:val="007D43D8"/>
    <w:rsid w:val="007D4414"/>
    <w:rsid w:val="007D4487"/>
    <w:rsid w:val="007D448B"/>
    <w:rsid w:val="007D44C1"/>
    <w:rsid w:val="007D45B1"/>
    <w:rsid w:val="007D45EF"/>
    <w:rsid w:val="007D463F"/>
    <w:rsid w:val="007D46BA"/>
    <w:rsid w:val="007D4706"/>
    <w:rsid w:val="007D47EC"/>
    <w:rsid w:val="007D47F4"/>
    <w:rsid w:val="007D486C"/>
    <w:rsid w:val="007D48BB"/>
    <w:rsid w:val="007D4922"/>
    <w:rsid w:val="007D4958"/>
    <w:rsid w:val="007D49E2"/>
    <w:rsid w:val="007D49F3"/>
    <w:rsid w:val="007D4A0B"/>
    <w:rsid w:val="007D4A68"/>
    <w:rsid w:val="007D4A87"/>
    <w:rsid w:val="007D4A88"/>
    <w:rsid w:val="007D4AFA"/>
    <w:rsid w:val="007D4C8A"/>
    <w:rsid w:val="007D4E35"/>
    <w:rsid w:val="007D4EA4"/>
    <w:rsid w:val="007D4F3E"/>
    <w:rsid w:val="007D5090"/>
    <w:rsid w:val="007D5262"/>
    <w:rsid w:val="007D5348"/>
    <w:rsid w:val="007D538F"/>
    <w:rsid w:val="007D53AE"/>
    <w:rsid w:val="007D53B3"/>
    <w:rsid w:val="007D53DC"/>
    <w:rsid w:val="007D5412"/>
    <w:rsid w:val="007D5502"/>
    <w:rsid w:val="007D550A"/>
    <w:rsid w:val="007D55E0"/>
    <w:rsid w:val="007D55F7"/>
    <w:rsid w:val="007D56EC"/>
    <w:rsid w:val="007D576B"/>
    <w:rsid w:val="007D5788"/>
    <w:rsid w:val="007D57AC"/>
    <w:rsid w:val="007D5930"/>
    <w:rsid w:val="007D5976"/>
    <w:rsid w:val="007D5A04"/>
    <w:rsid w:val="007D5AB1"/>
    <w:rsid w:val="007D5BD9"/>
    <w:rsid w:val="007D5C27"/>
    <w:rsid w:val="007D5CA1"/>
    <w:rsid w:val="007D5D87"/>
    <w:rsid w:val="007D5D9F"/>
    <w:rsid w:val="007D5DE6"/>
    <w:rsid w:val="007D5E55"/>
    <w:rsid w:val="007D5E73"/>
    <w:rsid w:val="007D5EA6"/>
    <w:rsid w:val="007D5F4C"/>
    <w:rsid w:val="007D5F83"/>
    <w:rsid w:val="007D605A"/>
    <w:rsid w:val="007D60FC"/>
    <w:rsid w:val="007D6126"/>
    <w:rsid w:val="007D6153"/>
    <w:rsid w:val="007D6187"/>
    <w:rsid w:val="007D6249"/>
    <w:rsid w:val="007D6281"/>
    <w:rsid w:val="007D6290"/>
    <w:rsid w:val="007D6293"/>
    <w:rsid w:val="007D62B3"/>
    <w:rsid w:val="007D638F"/>
    <w:rsid w:val="007D63BE"/>
    <w:rsid w:val="007D63CB"/>
    <w:rsid w:val="007D646A"/>
    <w:rsid w:val="007D64CD"/>
    <w:rsid w:val="007D64F4"/>
    <w:rsid w:val="007D6580"/>
    <w:rsid w:val="007D6598"/>
    <w:rsid w:val="007D65D5"/>
    <w:rsid w:val="007D65F0"/>
    <w:rsid w:val="007D6652"/>
    <w:rsid w:val="007D66B3"/>
    <w:rsid w:val="007D66D9"/>
    <w:rsid w:val="007D66EC"/>
    <w:rsid w:val="007D6710"/>
    <w:rsid w:val="007D673A"/>
    <w:rsid w:val="007D674A"/>
    <w:rsid w:val="007D6761"/>
    <w:rsid w:val="007D68DA"/>
    <w:rsid w:val="007D68F5"/>
    <w:rsid w:val="007D697C"/>
    <w:rsid w:val="007D6A4C"/>
    <w:rsid w:val="007D6AB5"/>
    <w:rsid w:val="007D6AC7"/>
    <w:rsid w:val="007D6B73"/>
    <w:rsid w:val="007D6B7D"/>
    <w:rsid w:val="007D6C49"/>
    <w:rsid w:val="007D6C9D"/>
    <w:rsid w:val="007D6D42"/>
    <w:rsid w:val="007D6EED"/>
    <w:rsid w:val="007D6F25"/>
    <w:rsid w:val="007D6F62"/>
    <w:rsid w:val="007D702A"/>
    <w:rsid w:val="007D704B"/>
    <w:rsid w:val="007D70A1"/>
    <w:rsid w:val="007D70C5"/>
    <w:rsid w:val="007D7170"/>
    <w:rsid w:val="007D7194"/>
    <w:rsid w:val="007D7195"/>
    <w:rsid w:val="007D71A1"/>
    <w:rsid w:val="007D7247"/>
    <w:rsid w:val="007D7298"/>
    <w:rsid w:val="007D7389"/>
    <w:rsid w:val="007D73A6"/>
    <w:rsid w:val="007D73FD"/>
    <w:rsid w:val="007D741E"/>
    <w:rsid w:val="007D7465"/>
    <w:rsid w:val="007D74B6"/>
    <w:rsid w:val="007D74F6"/>
    <w:rsid w:val="007D7506"/>
    <w:rsid w:val="007D75BD"/>
    <w:rsid w:val="007D76EA"/>
    <w:rsid w:val="007D7712"/>
    <w:rsid w:val="007D7732"/>
    <w:rsid w:val="007D7759"/>
    <w:rsid w:val="007D77DC"/>
    <w:rsid w:val="007D77F5"/>
    <w:rsid w:val="007D7852"/>
    <w:rsid w:val="007D785B"/>
    <w:rsid w:val="007D789D"/>
    <w:rsid w:val="007D78DF"/>
    <w:rsid w:val="007D790E"/>
    <w:rsid w:val="007D7934"/>
    <w:rsid w:val="007D7941"/>
    <w:rsid w:val="007D7A7C"/>
    <w:rsid w:val="007D7ABB"/>
    <w:rsid w:val="007D7BE1"/>
    <w:rsid w:val="007D7C31"/>
    <w:rsid w:val="007D7DB7"/>
    <w:rsid w:val="007D7DBA"/>
    <w:rsid w:val="007D7DBE"/>
    <w:rsid w:val="007D7DC1"/>
    <w:rsid w:val="007D7EA0"/>
    <w:rsid w:val="007D7ED9"/>
    <w:rsid w:val="007D7EDC"/>
    <w:rsid w:val="007D7F0F"/>
    <w:rsid w:val="007D7F13"/>
    <w:rsid w:val="007D7F97"/>
    <w:rsid w:val="007E0020"/>
    <w:rsid w:val="007E0047"/>
    <w:rsid w:val="007E0073"/>
    <w:rsid w:val="007E01A5"/>
    <w:rsid w:val="007E01CC"/>
    <w:rsid w:val="007E031F"/>
    <w:rsid w:val="007E03B9"/>
    <w:rsid w:val="007E0555"/>
    <w:rsid w:val="007E0581"/>
    <w:rsid w:val="007E05A1"/>
    <w:rsid w:val="007E0719"/>
    <w:rsid w:val="007E07B2"/>
    <w:rsid w:val="007E0896"/>
    <w:rsid w:val="007E0975"/>
    <w:rsid w:val="007E0988"/>
    <w:rsid w:val="007E0C00"/>
    <w:rsid w:val="007E0C31"/>
    <w:rsid w:val="007E0C6F"/>
    <w:rsid w:val="007E0DB7"/>
    <w:rsid w:val="007E0E1A"/>
    <w:rsid w:val="007E0E52"/>
    <w:rsid w:val="007E0EB0"/>
    <w:rsid w:val="007E0EF0"/>
    <w:rsid w:val="007E0F6B"/>
    <w:rsid w:val="007E12C2"/>
    <w:rsid w:val="007E131C"/>
    <w:rsid w:val="007E147B"/>
    <w:rsid w:val="007E1605"/>
    <w:rsid w:val="007E164B"/>
    <w:rsid w:val="007E165D"/>
    <w:rsid w:val="007E166E"/>
    <w:rsid w:val="007E16A5"/>
    <w:rsid w:val="007E16D6"/>
    <w:rsid w:val="007E170A"/>
    <w:rsid w:val="007E171B"/>
    <w:rsid w:val="007E1721"/>
    <w:rsid w:val="007E1774"/>
    <w:rsid w:val="007E1812"/>
    <w:rsid w:val="007E1964"/>
    <w:rsid w:val="007E1973"/>
    <w:rsid w:val="007E1A53"/>
    <w:rsid w:val="007E1ABB"/>
    <w:rsid w:val="007E1AD6"/>
    <w:rsid w:val="007E1B6A"/>
    <w:rsid w:val="007E1C94"/>
    <w:rsid w:val="007E1C9C"/>
    <w:rsid w:val="007E1CB4"/>
    <w:rsid w:val="007E1CE5"/>
    <w:rsid w:val="007E1D27"/>
    <w:rsid w:val="007E1D41"/>
    <w:rsid w:val="007E1E3B"/>
    <w:rsid w:val="007E1EDF"/>
    <w:rsid w:val="007E207F"/>
    <w:rsid w:val="007E2136"/>
    <w:rsid w:val="007E220C"/>
    <w:rsid w:val="007E2223"/>
    <w:rsid w:val="007E22D4"/>
    <w:rsid w:val="007E2352"/>
    <w:rsid w:val="007E235B"/>
    <w:rsid w:val="007E2370"/>
    <w:rsid w:val="007E23E8"/>
    <w:rsid w:val="007E2483"/>
    <w:rsid w:val="007E24A6"/>
    <w:rsid w:val="007E2524"/>
    <w:rsid w:val="007E2540"/>
    <w:rsid w:val="007E2613"/>
    <w:rsid w:val="007E2675"/>
    <w:rsid w:val="007E26F6"/>
    <w:rsid w:val="007E270E"/>
    <w:rsid w:val="007E2743"/>
    <w:rsid w:val="007E2797"/>
    <w:rsid w:val="007E28A7"/>
    <w:rsid w:val="007E28F4"/>
    <w:rsid w:val="007E2958"/>
    <w:rsid w:val="007E2A4A"/>
    <w:rsid w:val="007E2A4B"/>
    <w:rsid w:val="007E2A87"/>
    <w:rsid w:val="007E2B0F"/>
    <w:rsid w:val="007E2B5E"/>
    <w:rsid w:val="007E2C39"/>
    <w:rsid w:val="007E2C3F"/>
    <w:rsid w:val="007E2D62"/>
    <w:rsid w:val="007E2D6F"/>
    <w:rsid w:val="007E2E57"/>
    <w:rsid w:val="007E2F5D"/>
    <w:rsid w:val="007E3012"/>
    <w:rsid w:val="007E305B"/>
    <w:rsid w:val="007E30BB"/>
    <w:rsid w:val="007E3141"/>
    <w:rsid w:val="007E3196"/>
    <w:rsid w:val="007E31DA"/>
    <w:rsid w:val="007E31FC"/>
    <w:rsid w:val="007E324C"/>
    <w:rsid w:val="007E328F"/>
    <w:rsid w:val="007E32A1"/>
    <w:rsid w:val="007E33FE"/>
    <w:rsid w:val="007E343D"/>
    <w:rsid w:val="007E3443"/>
    <w:rsid w:val="007E34C7"/>
    <w:rsid w:val="007E34FF"/>
    <w:rsid w:val="007E3561"/>
    <w:rsid w:val="007E35EE"/>
    <w:rsid w:val="007E364D"/>
    <w:rsid w:val="007E366E"/>
    <w:rsid w:val="007E3782"/>
    <w:rsid w:val="007E37C7"/>
    <w:rsid w:val="007E3844"/>
    <w:rsid w:val="007E388D"/>
    <w:rsid w:val="007E391D"/>
    <w:rsid w:val="007E3924"/>
    <w:rsid w:val="007E396B"/>
    <w:rsid w:val="007E3ABA"/>
    <w:rsid w:val="007E3AD6"/>
    <w:rsid w:val="007E3B6C"/>
    <w:rsid w:val="007E3B91"/>
    <w:rsid w:val="007E3BD1"/>
    <w:rsid w:val="007E3BF6"/>
    <w:rsid w:val="007E3C4B"/>
    <w:rsid w:val="007E3C7C"/>
    <w:rsid w:val="007E3E54"/>
    <w:rsid w:val="007E3E8F"/>
    <w:rsid w:val="007E3EE4"/>
    <w:rsid w:val="007E3FD3"/>
    <w:rsid w:val="007E3FE5"/>
    <w:rsid w:val="007E4068"/>
    <w:rsid w:val="007E40C7"/>
    <w:rsid w:val="007E4119"/>
    <w:rsid w:val="007E417A"/>
    <w:rsid w:val="007E4231"/>
    <w:rsid w:val="007E43EC"/>
    <w:rsid w:val="007E4481"/>
    <w:rsid w:val="007E44B4"/>
    <w:rsid w:val="007E44C3"/>
    <w:rsid w:val="007E4505"/>
    <w:rsid w:val="007E4596"/>
    <w:rsid w:val="007E45D6"/>
    <w:rsid w:val="007E45EB"/>
    <w:rsid w:val="007E466C"/>
    <w:rsid w:val="007E46D6"/>
    <w:rsid w:val="007E46EE"/>
    <w:rsid w:val="007E47CB"/>
    <w:rsid w:val="007E47F5"/>
    <w:rsid w:val="007E4847"/>
    <w:rsid w:val="007E4937"/>
    <w:rsid w:val="007E4996"/>
    <w:rsid w:val="007E49BC"/>
    <w:rsid w:val="007E4ACE"/>
    <w:rsid w:val="007E4D0C"/>
    <w:rsid w:val="007E4DB7"/>
    <w:rsid w:val="007E4DE4"/>
    <w:rsid w:val="007E4F39"/>
    <w:rsid w:val="007E4F81"/>
    <w:rsid w:val="007E4F8B"/>
    <w:rsid w:val="007E4FED"/>
    <w:rsid w:val="007E50BE"/>
    <w:rsid w:val="007E5110"/>
    <w:rsid w:val="007E5134"/>
    <w:rsid w:val="007E513C"/>
    <w:rsid w:val="007E515C"/>
    <w:rsid w:val="007E51C1"/>
    <w:rsid w:val="007E5267"/>
    <w:rsid w:val="007E5277"/>
    <w:rsid w:val="007E529F"/>
    <w:rsid w:val="007E530E"/>
    <w:rsid w:val="007E532F"/>
    <w:rsid w:val="007E5439"/>
    <w:rsid w:val="007E5482"/>
    <w:rsid w:val="007E5487"/>
    <w:rsid w:val="007E54B6"/>
    <w:rsid w:val="007E5567"/>
    <w:rsid w:val="007E557F"/>
    <w:rsid w:val="007E5604"/>
    <w:rsid w:val="007E5670"/>
    <w:rsid w:val="007E5771"/>
    <w:rsid w:val="007E5848"/>
    <w:rsid w:val="007E5948"/>
    <w:rsid w:val="007E59F5"/>
    <w:rsid w:val="007E5AFA"/>
    <w:rsid w:val="007E5BED"/>
    <w:rsid w:val="007E5C03"/>
    <w:rsid w:val="007E5CDE"/>
    <w:rsid w:val="007E5D21"/>
    <w:rsid w:val="007E5D29"/>
    <w:rsid w:val="007E5D86"/>
    <w:rsid w:val="007E5E59"/>
    <w:rsid w:val="007E5EA3"/>
    <w:rsid w:val="007E5EDF"/>
    <w:rsid w:val="007E601A"/>
    <w:rsid w:val="007E607B"/>
    <w:rsid w:val="007E612B"/>
    <w:rsid w:val="007E6135"/>
    <w:rsid w:val="007E6145"/>
    <w:rsid w:val="007E616C"/>
    <w:rsid w:val="007E61BE"/>
    <w:rsid w:val="007E61C3"/>
    <w:rsid w:val="007E61CA"/>
    <w:rsid w:val="007E622C"/>
    <w:rsid w:val="007E627D"/>
    <w:rsid w:val="007E62A0"/>
    <w:rsid w:val="007E62D7"/>
    <w:rsid w:val="007E638F"/>
    <w:rsid w:val="007E63D4"/>
    <w:rsid w:val="007E6467"/>
    <w:rsid w:val="007E647D"/>
    <w:rsid w:val="007E6494"/>
    <w:rsid w:val="007E652A"/>
    <w:rsid w:val="007E6583"/>
    <w:rsid w:val="007E6621"/>
    <w:rsid w:val="007E6656"/>
    <w:rsid w:val="007E6694"/>
    <w:rsid w:val="007E66D9"/>
    <w:rsid w:val="007E66FC"/>
    <w:rsid w:val="007E677F"/>
    <w:rsid w:val="007E69CA"/>
    <w:rsid w:val="007E6A39"/>
    <w:rsid w:val="007E6ACC"/>
    <w:rsid w:val="007E6AD7"/>
    <w:rsid w:val="007E6ADC"/>
    <w:rsid w:val="007E6B03"/>
    <w:rsid w:val="007E6BCB"/>
    <w:rsid w:val="007E6C93"/>
    <w:rsid w:val="007E6CA6"/>
    <w:rsid w:val="007E6CE4"/>
    <w:rsid w:val="007E6D4B"/>
    <w:rsid w:val="007E6EA7"/>
    <w:rsid w:val="007E6EDA"/>
    <w:rsid w:val="007E6F29"/>
    <w:rsid w:val="007E6F39"/>
    <w:rsid w:val="007E6F6B"/>
    <w:rsid w:val="007E6F78"/>
    <w:rsid w:val="007E6FF4"/>
    <w:rsid w:val="007E7066"/>
    <w:rsid w:val="007E7068"/>
    <w:rsid w:val="007E70E0"/>
    <w:rsid w:val="007E7123"/>
    <w:rsid w:val="007E7142"/>
    <w:rsid w:val="007E7239"/>
    <w:rsid w:val="007E7287"/>
    <w:rsid w:val="007E72CF"/>
    <w:rsid w:val="007E732C"/>
    <w:rsid w:val="007E733F"/>
    <w:rsid w:val="007E7352"/>
    <w:rsid w:val="007E73E7"/>
    <w:rsid w:val="007E7551"/>
    <w:rsid w:val="007E75A0"/>
    <w:rsid w:val="007E75B0"/>
    <w:rsid w:val="007E762B"/>
    <w:rsid w:val="007E769D"/>
    <w:rsid w:val="007E775F"/>
    <w:rsid w:val="007E7786"/>
    <w:rsid w:val="007E7805"/>
    <w:rsid w:val="007E7830"/>
    <w:rsid w:val="007E784C"/>
    <w:rsid w:val="007E7863"/>
    <w:rsid w:val="007E79D1"/>
    <w:rsid w:val="007E79FF"/>
    <w:rsid w:val="007E7A89"/>
    <w:rsid w:val="007E7AA1"/>
    <w:rsid w:val="007E7AD4"/>
    <w:rsid w:val="007E7AF9"/>
    <w:rsid w:val="007E7B09"/>
    <w:rsid w:val="007E7D14"/>
    <w:rsid w:val="007E7D18"/>
    <w:rsid w:val="007E7D9E"/>
    <w:rsid w:val="007E7DCD"/>
    <w:rsid w:val="007E7F19"/>
    <w:rsid w:val="007E7F45"/>
    <w:rsid w:val="007E7FD6"/>
    <w:rsid w:val="007F038F"/>
    <w:rsid w:val="007F039B"/>
    <w:rsid w:val="007F040C"/>
    <w:rsid w:val="007F04B6"/>
    <w:rsid w:val="007F04C0"/>
    <w:rsid w:val="007F04DE"/>
    <w:rsid w:val="007F0544"/>
    <w:rsid w:val="007F0720"/>
    <w:rsid w:val="007F078C"/>
    <w:rsid w:val="007F086E"/>
    <w:rsid w:val="007F0948"/>
    <w:rsid w:val="007F0A3B"/>
    <w:rsid w:val="007F0A4D"/>
    <w:rsid w:val="007F0A6D"/>
    <w:rsid w:val="007F0ACA"/>
    <w:rsid w:val="007F0ACE"/>
    <w:rsid w:val="007F0C1C"/>
    <w:rsid w:val="007F0DA4"/>
    <w:rsid w:val="007F0DD6"/>
    <w:rsid w:val="007F0DF2"/>
    <w:rsid w:val="007F0E55"/>
    <w:rsid w:val="007F0EB6"/>
    <w:rsid w:val="007F0EC4"/>
    <w:rsid w:val="007F0FD2"/>
    <w:rsid w:val="007F103A"/>
    <w:rsid w:val="007F1056"/>
    <w:rsid w:val="007F1098"/>
    <w:rsid w:val="007F10D0"/>
    <w:rsid w:val="007F10DF"/>
    <w:rsid w:val="007F1121"/>
    <w:rsid w:val="007F1186"/>
    <w:rsid w:val="007F1190"/>
    <w:rsid w:val="007F11F1"/>
    <w:rsid w:val="007F124D"/>
    <w:rsid w:val="007F12AC"/>
    <w:rsid w:val="007F12CC"/>
    <w:rsid w:val="007F1336"/>
    <w:rsid w:val="007F137D"/>
    <w:rsid w:val="007F13B9"/>
    <w:rsid w:val="007F1430"/>
    <w:rsid w:val="007F1463"/>
    <w:rsid w:val="007F14BF"/>
    <w:rsid w:val="007F15C1"/>
    <w:rsid w:val="007F15D3"/>
    <w:rsid w:val="007F165F"/>
    <w:rsid w:val="007F16A8"/>
    <w:rsid w:val="007F172B"/>
    <w:rsid w:val="007F17C6"/>
    <w:rsid w:val="007F17D1"/>
    <w:rsid w:val="007F17DE"/>
    <w:rsid w:val="007F181B"/>
    <w:rsid w:val="007F186D"/>
    <w:rsid w:val="007F187C"/>
    <w:rsid w:val="007F187F"/>
    <w:rsid w:val="007F18A1"/>
    <w:rsid w:val="007F18B8"/>
    <w:rsid w:val="007F1906"/>
    <w:rsid w:val="007F1AFB"/>
    <w:rsid w:val="007F1B43"/>
    <w:rsid w:val="007F1B5B"/>
    <w:rsid w:val="007F1BB1"/>
    <w:rsid w:val="007F1C22"/>
    <w:rsid w:val="007F1C24"/>
    <w:rsid w:val="007F1C9B"/>
    <w:rsid w:val="007F1D61"/>
    <w:rsid w:val="007F1E3F"/>
    <w:rsid w:val="007F1F6B"/>
    <w:rsid w:val="007F1F77"/>
    <w:rsid w:val="007F2014"/>
    <w:rsid w:val="007F208C"/>
    <w:rsid w:val="007F20D0"/>
    <w:rsid w:val="007F20F8"/>
    <w:rsid w:val="007F2119"/>
    <w:rsid w:val="007F2279"/>
    <w:rsid w:val="007F227F"/>
    <w:rsid w:val="007F22D3"/>
    <w:rsid w:val="007F2493"/>
    <w:rsid w:val="007F24C0"/>
    <w:rsid w:val="007F252D"/>
    <w:rsid w:val="007F2598"/>
    <w:rsid w:val="007F2863"/>
    <w:rsid w:val="007F2931"/>
    <w:rsid w:val="007F2992"/>
    <w:rsid w:val="007F2A33"/>
    <w:rsid w:val="007F2A4A"/>
    <w:rsid w:val="007F2A69"/>
    <w:rsid w:val="007F2A8B"/>
    <w:rsid w:val="007F2B1D"/>
    <w:rsid w:val="007F2B97"/>
    <w:rsid w:val="007F2C06"/>
    <w:rsid w:val="007F2D64"/>
    <w:rsid w:val="007F2DBB"/>
    <w:rsid w:val="007F2E22"/>
    <w:rsid w:val="007F2E59"/>
    <w:rsid w:val="007F2EA9"/>
    <w:rsid w:val="007F2F4D"/>
    <w:rsid w:val="007F2F4F"/>
    <w:rsid w:val="007F3030"/>
    <w:rsid w:val="007F3099"/>
    <w:rsid w:val="007F315A"/>
    <w:rsid w:val="007F319B"/>
    <w:rsid w:val="007F31C3"/>
    <w:rsid w:val="007F3285"/>
    <w:rsid w:val="007F330B"/>
    <w:rsid w:val="007F3361"/>
    <w:rsid w:val="007F3367"/>
    <w:rsid w:val="007F3383"/>
    <w:rsid w:val="007F33C6"/>
    <w:rsid w:val="007F34BB"/>
    <w:rsid w:val="007F34EA"/>
    <w:rsid w:val="007F35E7"/>
    <w:rsid w:val="007F3601"/>
    <w:rsid w:val="007F362F"/>
    <w:rsid w:val="007F379F"/>
    <w:rsid w:val="007F37FE"/>
    <w:rsid w:val="007F3983"/>
    <w:rsid w:val="007F3A40"/>
    <w:rsid w:val="007F3A7F"/>
    <w:rsid w:val="007F3B36"/>
    <w:rsid w:val="007F3B3C"/>
    <w:rsid w:val="007F3B6F"/>
    <w:rsid w:val="007F3C12"/>
    <w:rsid w:val="007F3C79"/>
    <w:rsid w:val="007F3CA2"/>
    <w:rsid w:val="007F3D1E"/>
    <w:rsid w:val="007F3D6B"/>
    <w:rsid w:val="007F3D9D"/>
    <w:rsid w:val="007F3E1B"/>
    <w:rsid w:val="007F3E39"/>
    <w:rsid w:val="007F3EB0"/>
    <w:rsid w:val="007F3EE1"/>
    <w:rsid w:val="007F3F46"/>
    <w:rsid w:val="007F3F5F"/>
    <w:rsid w:val="007F3FBC"/>
    <w:rsid w:val="007F4024"/>
    <w:rsid w:val="007F40AF"/>
    <w:rsid w:val="007F40D0"/>
    <w:rsid w:val="007F40E0"/>
    <w:rsid w:val="007F4144"/>
    <w:rsid w:val="007F41DE"/>
    <w:rsid w:val="007F42DD"/>
    <w:rsid w:val="007F434F"/>
    <w:rsid w:val="007F4363"/>
    <w:rsid w:val="007F4364"/>
    <w:rsid w:val="007F436E"/>
    <w:rsid w:val="007F4383"/>
    <w:rsid w:val="007F43BD"/>
    <w:rsid w:val="007F43E1"/>
    <w:rsid w:val="007F44EF"/>
    <w:rsid w:val="007F450C"/>
    <w:rsid w:val="007F4523"/>
    <w:rsid w:val="007F463F"/>
    <w:rsid w:val="007F469E"/>
    <w:rsid w:val="007F4730"/>
    <w:rsid w:val="007F4785"/>
    <w:rsid w:val="007F482F"/>
    <w:rsid w:val="007F489E"/>
    <w:rsid w:val="007F4A2F"/>
    <w:rsid w:val="007F4A9E"/>
    <w:rsid w:val="007F4AED"/>
    <w:rsid w:val="007F4BB5"/>
    <w:rsid w:val="007F4BD7"/>
    <w:rsid w:val="007F4BE0"/>
    <w:rsid w:val="007F4C1C"/>
    <w:rsid w:val="007F4C1F"/>
    <w:rsid w:val="007F4CB6"/>
    <w:rsid w:val="007F4E9D"/>
    <w:rsid w:val="007F4EF6"/>
    <w:rsid w:val="007F4F3E"/>
    <w:rsid w:val="007F4F49"/>
    <w:rsid w:val="007F4F63"/>
    <w:rsid w:val="007F50BE"/>
    <w:rsid w:val="007F5156"/>
    <w:rsid w:val="007F529D"/>
    <w:rsid w:val="007F52AF"/>
    <w:rsid w:val="007F52D9"/>
    <w:rsid w:val="007F5440"/>
    <w:rsid w:val="007F544F"/>
    <w:rsid w:val="007F54AD"/>
    <w:rsid w:val="007F5609"/>
    <w:rsid w:val="007F5697"/>
    <w:rsid w:val="007F56AC"/>
    <w:rsid w:val="007F56FC"/>
    <w:rsid w:val="007F5703"/>
    <w:rsid w:val="007F5756"/>
    <w:rsid w:val="007F5858"/>
    <w:rsid w:val="007F59B5"/>
    <w:rsid w:val="007F5A1D"/>
    <w:rsid w:val="007F5CBD"/>
    <w:rsid w:val="007F5CDE"/>
    <w:rsid w:val="007F5EBF"/>
    <w:rsid w:val="007F5F2F"/>
    <w:rsid w:val="007F5F74"/>
    <w:rsid w:val="007F62BC"/>
    <w:rsid w:val="007F62D8"/>
    <w:rsid w:val="007F6454"/>
    <w:rsid w:val="007F649C"/>
    <w:rsid w:val="007F64F7"/>
    <w:rsid w:val="007F65C2"/>
    <w:rsid w:val="007F65D7"/>
    <w:rsid w:val="007F66A1"/>
    <w:rsid w:val="007F6702"/>
    <w:rsid w:val="007F67E6"/>
    <w:rsid w:val="007F6840"/>
    <w:rsid w:val="007F685D"/>
    <w:rsid w:val="007F6862"/>
    <w:rsid w:val="007F6951"/>
    <w:rsid w:val="007F6A67"/>
    <w:rsid w:val="007F6C31"/>
    <w:rsid w:val="007F6D60"/>
    <w:rsid w:val="007F6DCB"/>
    <w:rsid w:val="007F6F07"/>
    <w:rsid w:val="007F6FF2"/>
    <w:rsid w:val="007F707E"/>
    <w:rsid w:val="007F7248"/>
    <w:rsid w:val="007F7302"/>
    <w:rsid w:val="007F730F"/>
    <w:rsid w:val="007F736D"/>
    <w:rsid w:val="007F73A5"/>
    <w:rsid w:val="007F73AA"/>
    <w:rsid w:val="007F73F9"/>
    <w:rsid w:val="007F7410"/>
    <w:rsid w:val="007F74F0"/>
    <w:rsid w:val="007F75AD"/>
    <w:rsid w:val="007F7617"/>
    <w:rsid w:val="007F76F2"/>
    <w:rsid w:val="007F775B"/>
    <w:rsid w:val="007F778D"/>
    <w:rsid w:val="007F7793"/>
    <w:rsid w:val="007F77E2"/>
    <w:rsid w:val="007F7800"/>
    <w:rsid w:val="007F7806"/>
    <w:rsid w:val="007F78C1"/>
    <w:rsid w:val="007F7A5D"/>
    <w:rsid w:val="007F7AA4"/>
    <w:rsid w:val="007F7AB3"/>
    <w:rsid w:val="007F7B74"/>
    <w:rsid w:val="007F7B8C"/>
    <w:rsid w:val="007F7BE5"/>
    <w:rsid w:val="007F7D6D"/>
    <w:rsid w:val="007F7DCA"/>
    <w:rsid w:val="007F7E33"/>
    <w:rsid w:val="007F7E3B"/>
    <w:rsid w:val="007F7FB4"/>
    <w:rsid w:val="007F7FF1"/>
    <w:rsid w:val="0080002C"/>
    <w:rsid w:val="008001C5"/>
    <w:rsid w:val="00800306"/>
    <w:rsid w:val="00800308"/>
    <w:rsid w:val="00800327"/>
    <w:rsid w:val="008003AF"/>
    <w:rsid w:val="008003FF"/>
    <w:rsid w:val="00800577"/>
    <w:rsid w:val="00800631"/>
    <w:rsid w:val="008006D4"/>
    <w:rsid w:val="00800855"/>
    <w:rsid w:val="008009B5"/>
    <w:rsid w:val="008009EC"/>
    <w:rsid w:val="00800A00"/>
    <w:rsid w:val="00800A35"/>
    <w:rsid w:val="00800A3B"/>
    <w:rsid w:val="00800A65"/>
    <w:rsid w:val="00800ABD"/>
    <w:rsid w:val="00800AC8"/>
    <w:rsid w:val="00800AC9"/>
    <w:rsid w:val="00800AD9"/>
    <w:rsid w:val="00800B12"/>
    <w:rsid w:val="00800B6C"/>
    <w:rsid w:val="00800BBC"/>
    <w:rsid w:val="00800BBF"/>
    <w:rsid w:val="00800D25"/>
    <w:rsid w:val="00800D7A"/>
    <w:rsid w:val="00800E1C"/>
    <w:rsid w:val="00800E26"/>
    <w:rsid w:val="00800EE8"/>
    <w:rsid w:val="00800F35"/>
    <w:rsid w:val="00800F6C"/>
    <w:rsid w:val="0080102D"/>
    <w:rsid w:val="00801152"/>
    <w:rsid w:val="00801178"/>
    <w:rsid w:val="00801238"/>
    <w:rsid w:val="0080124E"/>
    <w:rsid w:val="008012CE"/>
    <w:rsid w:val="008012F8"/>
    <w:rsid w:val="0080136E"/>
    <w:rsid w:val="00801395"/>
    <w:rsid w:val="00801396"/>
    <w:rsid w:val="0080139B"/>
    <w:rsid w:val="008013AC"/>
    <w:rsid w:val="008014B3"/>
    <w:rsid w:val="00801506"/>
    <w:rsid w:val="0080150A"/>
    <w:rsid w:val="00801601"/>
    <w:rsid w:val="00801687"/>
    <w:rsid w:val="0080169A"/>
    <w:rsid w:val="0080173D"/>
    <w:rsid w:val="00801885"/>
    <w:rsid w:val="0080192A"/>
    <w:rsid w:val="00801951"/>
    <w:rsid w:val="00801B26"/>
    <w:rsid w:val="00801C70"/>
    <w:rsid w:val="00801CE1"/>
    <w:rsid w:val="00801E13"/>
    <w:rsid w:val="00801E48"/>
    <w:rsid w:val="00801E4B"/>
    <w:rsid w:val="00801E53"/>
    <w:rsid w:val="00801E55"/>
    <w:rsid w:val="00801EAE"/>
    <w:rsid w:val="00801F77"/>
    <w:rsid w:val="008020FA"/>
    <w:rsid w:val="0080214F"/>
    <w:rsid w:val="00802156"/>
    <w:rsid w:val="00802180"/>
    <w:rsid w:val="0080220B"/>
    <w:rsid w:val="008022C0"/>
    <w:rsid w:val="0080232B"/>
    <w:rsid w:val="008023B8"/>
    <w:rsid w:val="008023F1"/>
    <w:rsid w:val="0080241D"/>
    <w:rsid w:val="00802442"/>
    <w:rsid w:val="00802559"/>
    <w:rsid w:val="00802672"/>
    <w:rsid w:val="0080279E"/>
    <w:rsid w:val="008027D3"/>
    <w:rsid w:val="008028C5"/>
    <w:rsid w:val="00802908"/>
    <w:rsid w:val="00802933"/>
    <w:rsid w:val="00802A0A"/>
    <w:rsid w:val="00802B19"/>
    <w:rsid w:val="00802B70"/>
    <w:rsid w:val="00802C1B"/>
    <w:rsid w:val="00802CB9"/>
    <w:rsid w:val="00802CE7"/>
    <w:rsid w:val="00802CEC"/>
    <w:rsid w:val="00802D65"/>
    <w:rsid w:val="00802D6C"/>
    <w:rsid w:val="00802DDF"/>
    <w:rsid w:val="00802E3C"/>
    <w:rsid w:val="00802FED"/>
    <w:rsid w:val="0080304C"/>
    <w:rsid w:val="0080322F"/>
    <w:rsid w:val="00803241"/>
    <w:rsid w:val="008032FD"/>
    <w:rsid w:val="008033D9"/>
    <w:rsid w:val="008034AB"/>
    <w:rsid w:val="008034AC"/>
    <w:rsid w:val="00803539"/>
    <w:rsid w:val="008035AC"/>
    <w:rsid w:val="008035D6"/>
    <w:rsid w:val="008035FE"/>
    <w:rsid w:val="00803605"/>
    <w:rsid w:val="0080362B"/>
    <w:rsid w:val="00803661"/>
    <w:rsid w:val="0080366E"/>
    <w:rsid w:val="00803677"/>
    <w:rsid w:val="008036A7"/>
    <w:rsid w:val="008036B2"/>
    <w:rsid w:val="008036C6"/>
    <w:rsid w:val="008036F6"/>
    <w:rsid w:val="008036FB"/>
    <w:rsid w:val="0080370A"/>
    <w:rsid w:val="00803754"/>
    <w:rsid w:val="0080381C"/>
    <w:rsid w:val="00803909"/>
    <w:rsid w:val="0080395F"/>
    <w:rsid w:val="008039E4"/>
    <w:rsid w:val="008039FD"/>
    <w:rsid w:val="00803B34"/>
    <w:rsid w:val="00803BC3"/>
    <w:rsid w:val="00803BFA"/>
    <w:rsid w:val="00803C57"/>
    <w:rsid w:val="00803C66"/>
    <w:rsid w:val="00803C75"/>
    <w:rsid w:val="00803D46"/>
    <w:rsid w:val="00803DF1"/>
    <w:rsid w:val="00803EC7"/>
    <w:rsid w:val="00803F3A"/>
    <w:rsid w:val="00803FA6"/>
    <w:rsid w:val="00804049"/>
    <w:rsid w:val="00804108"/>
    <w:rsid w:val="00804166"/>
    <w:rsid w:val="0080421A"/>
    <w:rsid w:val="00804232"/>
    <w:rsid w:val="008042D9"/>
    <w:rsid w:val="0080431E"/>
    <w:rsid w:val="00804335"/>
    <w:rsid w:val="00804350"/>
    <w:rsid w:val="008043BE"/>
    <w:rsid w:val="008043D2"/>
    <w:rsid w:val="00804402"/>
    <w:rsid w:val="00804485"/>
    <w:rsid w:val="0080458A"/>
    <w:rsid w:val="00804590"/>
    <w:rsid w:val="00804710"/>
    <w:rsid w:val="00804728"/>
    <w:rsid w:val="00804768"/>
    <w:rsid w:val="008048E6"/>
    <w:rsid w:val="00804AD9"/>
    <w:rsid w:val="00804B26"/>
    <w:rsid w:val="00804B89"/>
    <w:rsid w:val="00804BF2"/>
    <w:rsid w:val="00804C20"/>
    <w:rsid w:val="00804C97"/>
    <w:rsid w:val="00804CBD"/>
    <w:rsid w:val="00804D1F"/>
    <w:rsid w:val="00804D50"/>
    <w:rsid w:val="00804DAD"/>
    <w:rsid w:val="00804E6D"/>
    <w:rsid w:val="00804F07"/>
    <w:rsid w:val="00804F75"/>
    <w:rsid w:val="00804F7A"/>
    <w:rsid w:val="00804FB9"/>
    <w:rsid w:val="0080500F"/>
    <w:rsid w:val="00805013"/>
    <w:rsid w:val="00805098"/>
    <w:rsid w:val="0080518F"/>
    <w:rsid w:val="00805259"/>
    <w:rsid w:val="00805290"/>
    <w:rsid w:val="008052AF"/>
    <w:rsid w:val="008052CA"/>
    <w:rsid w:val="00805324"/>
    <w:rsid w:val="00805325"/>
    <w:rsid w:val="00805339"/>
    <w:rsid w:val="008054D2"/>
    <w:rsid w:val="0080565B"/>
    <w:rsid w:val="008056B1"/>
    <w:rsid w:val="008056CC"/>
    <w:rsid w:val="00805717"/>
    <w:rsid w:val="0080574D"/>
    <w:rsid w:val="0080578C"/>
    <w:rsid w:val="00805806"/>
    <w:rsid w:val="008058D6"/>
    <w:rsid w:val="00805960"/>
    <w:rsid w:val="00805A54"/>
    <w:rsid w:val="00805A8A"/>
    <w:rsid w:val="00805A98"/>
    <w:rsid w:val="00805AA1"/>
    <w:rsid w:val="00805ADC"/>
    <w:rsid w:val="00805B2B"/>
    <w:rsid w:val="00805BA4"/>
    <w:rsid w:val="00805BA9"/>
    <w:rsid w:val="00805BF6"/>
    <w:rsid w:val="00805BF8"/>
    <w:rsid w:val="00805CA7"/>
    <w:rsid w:val="00805D51"/>
    <w:rsid w:val="00805D82"/>
    <w:rsid w:val="00805DAB"/>
    <w:rsid w:val="00805E41"/>
    <w:rsid w:val="00805E6D"/>
    <w:rsid w:val="00805EAB"/>
    <w:rsid w:val="00805EB4"/>
    <w:rsid w:val="00805EE0"/>
    <w:rsid w:val="00805EE1"/>
    <w:rsid w:val="00805EFA"/>
    <w:rsid w:val="0080603D"/>
    <w:rsid w:val="0080617B"/>
    <w:rsid w:val="008062C0"/>
    <w:rsid w:val="008062F5"/>
    <w:rsid w:val="00806397"/>
    <w:rsid w:val="008064F7"/>
    <w:rsid w:val="008066BD"/>
    <w:rsid w:val="00806719"/>
    <w:rsid w:val="00806803"/>
    <w:rsid w:val="0080682C"/>
    <w:rsid w:val="00806846"/>
    <w:rsid w:val="00806A1C"/>
    <w:rsid w:val="00806BE2"/>
    <w:rsid w:val="00806CC3"/>
    <w:rsid w:val="00806CFB"/>
    <w:rsid w:val="00806EAE"/>
    <w:rsid w:val="00806ED2"/>
    <w:rsid w:val="00806F3C"/>
    <w:rsid w:val="00806F47"/>
    <w:rsid w:val="00806FB3"/>
    <w:rsid w:val="00806FC7"/>
    <w:rsid w:val="00806FDA"/>
    <w:rsid w:val="00807063"/>
    <w:rsid w:val="0080706C"/>
    <w:rsid w:val="00807084"/>
    <w:rsid w:val="00807172"/>
    <w:rsid w:val="008072AB"/>
    <w:rsid w:val="008075BF"/>
    <w:rsid w:val="00807644"/>
    <w:rsid w:val="0080767B"/>
    <w:rsid w:val="0080769F"/>
    <w:rsid w:val="008076D6"/>
    <w:rsid w:val="00807721"/>
    <w:rsid w:val="00807762"/>
    <w:rsid w:val="008077F2"/>
    <w:rsid w:val="00807891"/>
    <w:rsid w:val="00807A14"/>
    <w:rsid w:val="00807AB0"/>
    <w:rsid w:val="00807B68"/>
    <w:rsid w:val="00807BFD"/>
    <w:rsid w:val="00807C8D"/>
    <w:rsid w:val="00807FBA"/>
    <w:rsid w:val="00807FFB"/>
    <w:rsid w:val="00810019"/>
    <w:rsid w:val="0081002D"/>
    <w:rsid w:val="008100E4"/>
    <w:rsid w:val="00810136"/>
    <w:rsid w:val="00810144"/>
    <w:rsid w:val="00810174"/>
    <w:rsid w:val="008101C4"/>
    <w:rsid w:val="008102AF"/>
    <w:rsid w:val="008102B7"/>
    <w:rsid w:val="00810369"/>
    <w:rsid w:val="008105BE"/>
    <w:rsid w:val="0081060E"/>
    <w:rsid w:val="00810698"/>
    <w:rsid w:val="00810701"/>
    <w:rsid w:val="00810760"/>
    <w:rsid w:val="00810762"/>
    <w:rsid w:val="00810767"/>
    <w:rsid w:val="0081076A"/>
    <w:rsid w:val="008107C5"/>
    <w:rsid w:val="008107F6"/>
    <w:rsid w:val="0081080C"/>
    <w:rsid w:val="0081081A"/>
    <w:rsid w:val="00810991"/>
    <w:rsid w:val="008109AE"/>
    <w:rsid w:val="008109D5"/>
    <w:rsid w:val="00810A5F"/>
    <w:rsid w:val="00810BD2"/>
    <w:rsid w:val="00810BDE"/>
    <w:rsid w:val="00810C8A"/>
    <w:rsid w:val="00810D09"/>
    <w:rsid w:val="00810D4B"/>
    <w:rsid w:val="00810DEE"/>
    <w:rsid w:val="00810E44"/>
    <w:rsid w:val="00810EB2"/>
    <w:rsid w:val="00810F7F"/>
    <w:rsid w:val="00810F8A"/>
    <w:rsid w:val="00810FC8"/>
    <w:rsid w:val="00810FEF"/>
    <w:rsid w:val="00811014"/>
    <w:rsid w:val="0081107E"/>
    <w:rsid w:val="0081111F"/>
    <w:rsid w:val="00811275"/>
    <w:rsid w:val="00811276"/>
    <w:rsid w:val="00811393"/>
    <w:rsid w:val="008113F5"/>
    <w:rsid w:val="00811443"/>
    <w:rsid w:val="008114EB"/>
    <w:rsid w:val="00811528"/>
    <w:rsid w:val="008115BC"/>
    <w:rsid w:val="008116AE"/>
    <w:rsid w:val="0081171E"/>
    <w:rsid w:val="00811822"/>
    <w:rsid w:val="0081184D"/>
    <w:rsid w:val="008118B6"/>
    <w:rsid w:val="008118CE"/>
    <w:rsid w:val="0081196B"/>
    <w:rsid w:val="008119E6"/>
    <w:rsid w:val="00811A43"/>
    <w:rsid w:val="00811A8C"/>
    <w:rsid w:val="00811B84"/>
    <w:rsid w:val="00811B8C"/>
    <w:rsid w:val="00811C8E"/>
    <w:rsid w:val="00811CA0"/>
    <w:rsid w:val="00811CC7"/>
    <w:rsid w:val="00811E1F"/>
    <w:rsid w:val="00811EF5"/>
    <w:rsid w:val="00811F2B"/>
    <w:rsid w:val="00811F3D"/>
    <w:rsid w:val="00811FA5"/>
    <w:rsid w:val="00811FF0"/>
    <w:rsid w:val="008121A3"/>
    <w:rsid w:val="008121A8"/>
    <w:rsid w:val="008121E3"/>
    <w:rsid w:val="008122E1"/>
    <w:rsid w:val="00812326"/>
    <w:rsid w:val="0081237C"/>
    <w:rsid w:val="0081246E"/>
    <w:rsid w:val="0081252A"/>
    <w:rsid w:val="0081254C"/>
    <w:rsid w:val="0081254F"/>
    <w:rsid w:val="00812610"/>
    <w:rsid w:val="008126D0"/>
    <w:rsid w:val="008126E2"/>
    <w:rsid w:val="008127AF"/>
    <w:rsid w:val="008127FA"/>
    <w:rsid w:val="00812808"/>
    <w:rsid w:val="008129A6"/>
    <w:rsid w:val="00812A44"/>
    <w:rsid w:val="00812AB7"/>
    <w:rsid w:val="00812B1A"/>
    <w:rsid w:val="00812B2A"/>
    <w:rsid w:val="00812C0F"/>
    <w:rsid w:val="00812D54"/>
    <w:rsid w:val="00812DC8"/>
    <w:rsid w:val="00812E02"/>
    <w:rsid w:val="00812E73"/>
    <w:rsid w:val="00812E90"/>
    <w:rsid w:val="00812EDE"/>
    <w:rsid w:val="00812F03"/>
    <w:rsid w:val="00812F72"/>
    <w:rsid w:val="00812FEA"/>
    <w:rsid w:val="00813015"/>
    <w:rsid w:val="00813092"/>
    <w:rsid w:val="008130DD"/>
    <w:rsid w:val="00813132"/>
    <w:rsid w:val="0081315C"/>
    <w:rsid w:val="00813202"/>
    <w:rsid w:val="00813221"/>
    <w:rsid w:val="008132CE"/>
    <w:rsid w:val="008132E8"/>
    <w:rsid w:val="0081340E"/>
    <w:rsid w:val="00813479"/>
    <w:rsid w:val="008134F7"/>
    <w:rsid w:val="00813581"/>
    <w:rsid w:val="00813651"/>
    <w:rsid w:val="00813710"/>
    <w:rsid w:val="00813851"/>
    <w:rsid w:val="008138A4"/>
    <w:rsid w:val="00813942"/>
    <w:rsid w:val="00813966"/>
    <w:rsid w:val="00813A6C"/>
    <w:rsid w:val="00813AF3"/>
    <w:rsid w:val="00813BF8"/>
    <w:rsid w:val="00813C91"/>
    <w:rsid w:val="00813D85"/>
    <w:rsid w:val="00813E3B"/>
    <w:rsid w:val="00813E55"/>
    <w:rsid w:val="0081407D"/>
    <w:rsid w:val="008140A7"/>
    <w:rsid w:val="0081412D"/>
    <w:rsid w:val="0081418F"/>
    <w:rsid w:val="00814300"/>
    <w:rsid w:val="008143BF"/>
    <w:rsid w:val="00814453"/>
    <w:rsid w:val="0081445F"/>
    <w:rsid w:val="0081448C"/>
    <w:rsid w:val="008144E1"/>
    <w:rsid w:val="0081455C"/>
    <w:rsid w:val="0081457F"/>
    <w:rsid w:val="00814589"/>
    <w:rsid w:val="00814591"/>
    <w:rsid w:val="00814601"/>
    <w:rsid w:val="00814657"/>
    <w:rsid w:val="008146F4"/>
    <w:rsid w:val="00814766"/>
    <w:rsid w:val="008147ED"/>
    <w:rsid w:val="00814A10"/>
    <w:rsid w:val="00814A33"/>
    <w:rsid w:val="00814A9B"/>
    <w:rsid w:val="00814AA7"/>
    <w:rsid w:val="00814AFB"/>
    <w:rsid w:val="00814B43"/>
    <w:rsid w:val="00814B8C"/>
    <w:rsid w:val="00814D00"/>
    <w:rsid w:val="00814D93"/>
    <w:rsid w:val="00814DB0"/>
    <w:rsid w:val="00814EB2"/>
    <w:rsid w:val="00814F66"/>
    <w:rsid w:val="00814F67"/>
    <w:rsid w:val="00814F98"/>
    <w:rsid w:val="00814FDE"/>
    <w:rsid w:val="0081508D"/>
    <w:rsid w:val="008150B1"/>
    <w:rsid w:val="008150EF"/>
    <w:rsid w:val="008151CB"/>
    <w:rsid w:val="00815247"/>
    <w:rsid w:val="0081529E"/>
    <w:rsid w:val="0081547E"/>
    <w:rsid w:val="008154AD"/>
    <w:rsid w:val="008154BF"/>
    <w:rsid w:val="00815561"/>
    <w:rsid w:val="0081558C"/>
    <w:rsid w:val="0081559F"/>
    <w:rsid w:val="008155E8"/>
    <w:rsid w:val="00815601"/>
    <w:rsid w:val="008156B5"/>
    <w:rsid w:val="00815784"/>
    <w:rsid w:val="0081578C"/>
    <w:rsid w:val="008157AF"/>
    <w:rsid w:val="00815898"/>
    <w:rsid w:val="008158C3"/>
    <w:rsid w:val="00815A66"/>
    <w:rsid w:val="00815A8A"/>
    <w:rsid w:val="00815AAB"/>
    <w:rsid w:val="00815AC3"/>
    <w:rsid w:val="00815B7A"/>
    <w:rsid w:val="00815B9B"/>
    <w:rsid w:val="00815C15"/>
    <w:rsid w:val="00815C2F"/>
    <w:rsid w:val="00815C49"/>
    <w:rsid w:val="00815C9A"/>
    <w:rsid w:val="00815CDB"/>
    <w:rsid w:val="00815D79"/>
    <w:rsid w:val="00815DA5"/>
    <w:rsid w:val="00815DDA"/>
    <w:rsid w:val="00815E4B"/>
    <w:rsid w:val="00815E7E"/>
    <w:rsid w:val="00815F63"/>
    <w:rsid w:val="00815FC7"/>
    <w:rsid w:val="00815FD4"/>
    <w:rsid w:val="00815FD8"/>
    <w:rsid w:val="0081607C"/>
    <w:rsid w:val="00816122"/>
    <w:rsid w:val="0081616C"/>
    <w:rsid w:val="0081626A"/>
    <w:rsid w:val="00816278"/>
    <w:rsid w:val="0081635E"/>
    <w:rsid w:val="00816425"/>
    <w:rsid w:val="00816427"/>
    <w:rsid w:val="00816433"/>
    <w:rsid w:val="0081644C"/>
    <w:rsid w:val="0081648C"/>
    <w:rsid w:val="0081649C"/>
    <w:rsid w:val="008164DB"/>
    <w:rsid w:val="008164F7"/>
    <w:rsid w:val="008165A2"/>
    <w:rsid w:val="00816623"/>
    <w:rsid w:val="008166F9"/>
    <w:rsid w:val="00816792"/>
    <w:rsid w:val="0081686E"/>
    <w:rsid w:val="00816887"/>
    <w:rsid w:val="0081697F"/>
    <w:rsid w:val="00816AC2"/>
    <w:rsid w:val="00816B23"/>
    <w:rsid w:val="00816B24"/>
    <w:rsid w:val="00816B8A"/>
    <w:rsid w:val="00816C40"/>
    <w:rsid w:val="00816C9B"/>
    <w:rsid w:val="00816D26"/>
    <w:rsid w:val="00816D48"/>
    <w:rsid w:val="00816DE4"/>
    <w:rsid w:val="00816F03"/>
    <w:rsid w:val="00816F7A"/>
    <w:rsid w:val="00816F96"/>
    <w:rsid w:val="00816FC1"/>
    <w:rsid w:val="0081705D"/>
    <w:rsid w:val="00817256"/>
    <w:rsid w:val="008172BE"/>
    <w:rsid w:val="00817316"/>
    <w:rsid w:val="008173C1"/>
    <w:rsid w:val="0081749A"/>
    <w:rsid w:val="008174AE"/>
    <w:rsid w:val="00817720"/>
    <w:rsid w:val="008177C2"/>
    <w:rsid w:val="0081783E"/>
    <w:rsid w:val="00817889"/>
    <w:rsid w:val="008178AC"/>
    <w:rsid w:val="00817923"/>
    <w:rsid w:val="00817925"/>
    <w:rsid w:val="00817930"/>
    <w:rsid w:val="00817949"/>
    <w:rsid w:val="00817AF3"/>
    <w:rsid w:val="00817B3D"/>
    <w:rsid w:val="00817BC5"/>
    <w:rsid w:val="00817BD4"/>
    <w:rsid w:val="00817C35"/>
    <w:rsid w:val="00817C9E"/>
    <w:rsid w:val="00817CB4"/>
    <w:rsid w:val="00817CC7"/>
    <w:rsid w:val="00817CEC"/>
    <w:rsid w:val="00817CF4"/>
    <w:rsid w:val="00817D20"/>
    <w:rsid w:val="00817D38"/>
    <w:rsid w:val="00817D8F"/>
    <w:rsid w:val="00817E9D"/>
    <w:rsid w:val="00820035"/>
    <w:rsid w:val="00820096"/>
    <w:rsid w:val="008200EC"/>
    <w:rsid w:val="008200FA"/>
    <w:rsid w:val="0082010F"/>
    <w:rsid w:val="00820123"/>
    <w:rsid w:val="00820152"/>
    <w:rsid w:val="008201E0"/>
    <w:rsid w:val="00820384"/>
    <w:rsid w:val="0082041E"/>
    <w:rsid w:val="00820430"/>
    <w:rsid w:val="008205AF"/>
    <w:rsid w:val="00820602"/>
    <w:rsid w:val="00820645"/>
    <w:rsid w:val="008206AD"/>
    <w:rsid w:val="008207C2"/>
    <w:rsid w:val="008208A5"/>
    <w:rsid w:val="008208B9"/>
    <w:rsid w:val="00820975"/>
    <w:rsid w:val="008209CF"/>
    <w:rsid w:val="00820A7D"/>
    <w:rsid w:val="00820CBC"/>
    <w:rsid w:val="00820CD1"/>
    <w:rsid w:val="00820D0E"/>
    <w:rsid w:val="00820D1F"/>
    <w:rsid w:val="00820DF1"/>
    <w:rsid w:val="00820F65"/>
    <w:rsid w:val="00820F86"/>
    <w:rsid w:val="00820FA8"/>
    <w:rsid w:val="008210FB"/>
    <w:rsid w:val="008211B5"/>
    <w:rsid w:val="008211EF"/>
    <w:rsid w:val="008212DC"/>
    <w:rsid w:val="00821315"/>
    <w:rsid w:val="00821357"/>
    <w:rsid w:val="0082137C"/>
    <w:rsid w:val="0082139C"/>
    <w:rsid w:val="0082142D"/>
    <w:rsid w:val="0082149F"/>
    <w:rsid w:val="008214A5"/>
    <w:rsid w:val="008214E1"/>
    <w:rsid w:val="00821542"/>
    <w:rsid w:val="00821577"/>
    <w:rsid w:val="0082161C"/>
    <w:rsid w:val="00821694"/>
    <w:rsid w:val="008216A5"/>
    <w:rsid w:val="008216B2"/>
    <w:rsid w:val="008216CC"/>
    <w:rsid w:val="008217BA"/>
    <w:rsid w:val="008217CC"/>
    <w:rsid w:val="008218AF"/>
    <w:rsid w:val="00821960"/>
    <w:rsid w:val="008219D5"/>
    <w:rsid w:val="008219F0"/>
    <w:rsid w:val="00821A18"/>
    <w:rsid w:val="00821A31"/>
    <w:rsid w:val="00821AD7"/>
    <w:rsid w:val="00821ADC"/>
    <w:rsid w:val="00821B34"/>
    <w:rsid w:val="00821BC3"/>
    <w:rsid w:val="00821C44"/>
    <w:rsid w:val="00821C45"/>
    <w:rsid w:val="00821D98"/>
    <w:rsid w:val="00821DF4"/>
    <w:rsid w:val="00821E41"/>
    <w:rsid w:val="00821F32"/>
    <w:rsid w:val="00821F96"/>
    <w:rsid w:val="00821FB6"/>
    <w:rsid w:val="00821FE9"/>
    <w:rsid w:val="00821FFB"/>
    <w:rsid w:val="008220E2"/>
    <w:rsid w:val="008220E8"/>
    <w:rsid w:val="008221F4"/>
    <w:rsid w:val="008222FC"/>
    <w:rsid w:val="008222FE"/>
    <w:rsid w:val="00822300"/>
    <w:rsid w:val="0082242E"/>
    <w:rsid w:val="0082246B"/>
    <w:rsid w:val="008225C6"/>
    <w:rsid w:val="008225E5"/>
    <w:rsid w:val="00822604"/>
    <w:rsid w:val="00822623"/>
    <w:rsid w:val="008226F9"/>
    <w:rsid w:val="00822740"/>
    <w:rsid w:val="00822759"/>
    <w:rsid w:val="0082277E"/>
    <w:rsid w:val="008227A8"/>
    <w:rsid w:val="008227DC"/>
    <w:rsid w:val="0082293D"/>
    <w:rsid w:val="00822979"/>
    <w:rsid w:val="008229DE"/>
    <w:rsid w:val="00822A46"/>
    <w:rsid w:val="00822A84"/>
    <w:rsid w:val="00822AFE"/>
    <w:rsid w:val="00822B42"/>
    <w:rsid w:val="00822B5C"/>
    <w:rsid w:val="00822BD9"/>
    <w:rsid w:val="00822BF5"/>
    <w:rsid w:val="00822C72"/>
    <w:rsid w:val="00822C74"/>
    <w:rsid w:val="00822CCA"/>
    <w:rsid w:val="00822CEF"/>
    <w:rsid w:val="00822D25"/>
    <w:rsid w:val="00822D3F"/>
    <w:rsid w:val="00822DB3"/>
    <w:rsid w:val="00822DB6"/>
    <w:rsid w:val="00822DF4"/>
    <w:rsid w:val="00822EAD"/>
    <w:rsid w:val="00822F9E"/>
    <w:rsid w:val="0082305A"/>
    <w:rsid w:val="0082305E"/>
    <w:rsid w:val="0082309E"/>
    <w:rsid w:val="008231A1"/>
    <w:rsid w:val="00823207"/>
    <w:rsid w:val="0082320B"/>
    <w:rsid w:val="0082321A"/>
    <w:rsid w:val="00823248"/>
    <w:rsid w:val="008232E0"/>
    <w:rsid w:val="008232F1"/>
    <w:rsid w:val="008232F7"/>
    <w:rsid w:val="008232FF"/>
    <w:rsid w:val="00823341"/>
    <w:rsid w:val="00823457"/>
    <w:rsid w:val="00823464"/>
    <w:rsid w:val="0082346B"/>
    <w:rsid w:val="008235C3"/>
    <w:rsid w:val="00823664"/>
    <w:rsid w:val="0082374B"/>
    <w:rsid w:val="0082375C"/>
    <w:rsid w:val="008237D1"/>
    <w:rsid w:val="008238A0"/>
    <w:rsid w:val="008239EB"/>
    <w:rsid w:val="00823A02"/>
    <w:rsid w:val="00823AA5"/>
    <w:rsid w:val="00823B94"/>
    <w:rsid w:val="00823B9A"/>
    <w:rsid w:val="00823C46"/>
    <w:rsid w:val="00823C82"/>
    <w:rsid w:val="00823CAB"/>
    <w:rsid w:val="00823D67"/>
    <w:rsid w:val="00823D69"/>
    <w:rsid w:val="00823E5D"/>
    <w:rsid w:val="00823E9F"/>
    <w:rsid w:val="00823EE8"/>
    <w:rsid w:val="00823F5C"/>
    <w:rsid w:val="0082407C"/>
    <w:rsid w:val="0082409C"/>
    <w:rsid w:val="008240B4"/>
    <w:rsid w:val="008241C5"/>
    <w:rsid w:val="008241C6"/>
    <w:rsid w:val="008241F9"/>
    <w:rsid w:val="0082425C"/>
    <w:rsid w:val="00824310"/>
    <w:rsid w:val="008243C4"/>
    <w:rsid w:val="00824406"/>
    <w:rsid w:val="008244B4"/>
    <w:rsid w:val="008244BE"/>
    <w:rsid w:val="00824549"/>
    <w:rsid w:val="00824566"/>
    <w:rsid w:val="00824579"/>
    <w:rsid w:val="008245EE"/>
    <w:rsid w:val="008245FE"/>
    <w:rsid w:val="0082460F"/>
    <w:rsid w:val="0082466E"/>
    <w:rsid w:val="008246E7"/>
    <w:rsid w:val="008247A5"/>
    <w:rsid w:val="0082488E"/>
    <w:rsid w:val="00824943"/>
    <w:rsid w:val="008249C7"/>
    <w:rsid w:val="00824A52"/>
    <w:rsid w:val="00824A74"/>
    <w:rsid w:val="00824AD5"/>
    <w:rsid w:val="00824BB2"/>
    <w:rsid w:val="00824BDB"/>
    <w:rsid w:val="00824C9F"/>
    <w:rsid w:val="00824CAE"/>
    <w:rsid w:val="00824CD2"/>
    <w:rsid w:val="00824D1D"/>
    <w:rsid w:val="00824E91"/>
    <w:rsid w:val="00824EC4"/>
    <w:rsid w:val="00824EDD"/>
    <w:rsid w:val="00824EFA"/>
    <w:rsid w:val="00825056"/>
    <w:rsid w:val="00825061"/>
    <w:rsid w:val="00825062"/>
    <w:rsid w:val="00825076"/>
    <w:rsid w:val="00825078"/>
    <w:rsid w:val="00825083"/>
    <w:rsid w:val="0082510C"/>
    <w:rsid w:val="00825151"/>
    <w:rsid w:val="00825250"/>
    <w:rsid w:val="00825319"/>
    <w:rsid w:val="00825349"/>
    <w:rsid w:val="0082535B"/>
    <w:rsid w:val="00825388"/>
    <w:rsid w:val="00825462"/>
    <w:rsid w:val="00825508"/>
    <w:rsid w:val="008255C9"/>
    <w:rsid w:val="008255E0"/>
    <w:rsid w:val="0082562D"/>
    <w:rsid w:val="008256DA"/>
    <w:rsid w:val="00825710"/>
    <w:rsid w:val="00825776"/>
    <w:rsid w:val="0082592A"/>
    <w:rsid w:val="00825952"/>
    <w:rsid w:val="00825953"/>
    <w:rsid w:val="008259AA"/>
    <w:rsid w:val="00825A18"/>
    <w:rsid w:val="00825A4A"/>
    <w:rsid w:val="00825A67"/>
    <w:rsid w:val="00825AD0"/>
    <w:rsid w:val="00825B4B"/>
    <w:rsid w:val="00825B80"/>
    <w:rsid w:val="00825BAE"/>
    <w:rsid w:val="00825BCB"/>
    <w:rsid w:val="00825BF1"/>
    <w:rsid w:val="00825C0F"/>
    <w:rsid w:val="00825CCA"/>
    <w:rsid w:val="00825E3D"/>
    <w:rsid w:val="00825EED"/>
    <w:rsid w:val="008260C6"/>
    <w:rsid w:val="00826116"/>
    <w:rsid w:val="00826215"/>
    <w:rsid w:val="008262E0"/>
    <w:rsid w:val="00826331"/>
    <w:rsid w:val="00826396"/>
    <w:rsid w:val="008263CB"/>
    <w:rsid w:val="00826570"/>
    <w:rsid w:val="0082657F"/>
    <w:rsid w:val="008265FE"/>
    <w:rsid w:val="0082668B"/>
    <w:rsid w:val="00826716"/>
    <w:rsid w:val="0082678C"/>
    <w:rsid w:val="00826802"/>
    <w:rsid w:val="0082682A"/>
    <w:rsid w:val="0082694B"/>
    <w:rsid w:val="00826996"/>
    <w:rsid w:val="00826A77"/>
    <w:rsid w:val="00826B7F"/>
    <w:rsid w:val="00826BA8"/>
    <w:rsid w:val="00826C9F"/>
    <w:rsid w:val="00826CAE"/>
    <w:rsid w:val="00826D3B"/>
    <w:rsid w:val="00826D3D"/>
    <w:rsid w:val="00826E02"/>
    <w:rsid w:val="00826E4A"/>
    <w:rsid w:val="00826E75"/>
    <w:rsid w:val="00826EEC"/>
    <w:rsid w:val="00826F0D"/>
    <w:rsid w:val="00827021"/>
    <w:rsid w:val="008270A2"/>
    <w:rsid w:val="008270DC"/>
    <w:rsid w:val="0082715A"/>
    <w:rsid w:val="008271FF"/>
    <w:rsid w:val="00827214"/>
    <w:rsid w:val="0082727B"/>
    <w:rsid w:val="0082728E"/>
    <w:rsid w:val="008272A1"/>
    <w:rsid w:val="008272F5"/>
    <w:rsid w:val="00827359"/>
    <w:rsid w:val="00827439"/>
    <w:rsid w:val="008274E0"/>
    <w:rsid w:val="008274E3"/>
    <w:rsid w:val="00827596"/>
    <w:rsid w:val="0082759B"/>
    <w:rsid w:val="00827713"/>
    <w:rsid w:val="00827718"/>
    <w:rsid w:val="00827783"/>
    <w:rsid w:val="008277D0"/>
    <w:rsid w:val="008277DD"/>
    <w:rsid w:val="0082780C"/>
    <w:rsid w:val="00827867"/>
    <w:rsid w:val="00827869"/>
    <w:rsid w:val="00827884"/>
    <w:rsid w:val="008278A3"/>
    <w:rsid w:val="008278E6"/>
    <w:rsid w:val="00827918"/>
    <w:rsid w:val="00827965"/>
    <w:rsid w:val="00827A7D"/>
    <w:rsid w:val="00827AB1"/>
    <w:rsid w:val="00827B08"/>
    <w:rsid w:val="00827C33"/>
    <w:rsid w:val="00827CEA"/>
    <w:rsid w:val="00827D88"/>
    <w:rsid w:val="00827E8A"/>
    <w:rsid w:val="00827F0A"/>
    <w:rsid w:val="00827F28"/>
    <w:rsid w:val="00827FC2"/>
    <w:rsid w:val="00830078"/>
    <w:rsid w:val="0083016A"/>
    <w:rsid w:val="008301FA"/>
    <w:rsid w:val="008302E1"/>
    <w:rsid w:val="00830330"/>
    <w:rsid w:val="008303B1"/>
    <w:rsid w:val="00830430"/>
    <w:rsid w:val="00830434"/>
    <w:rsid w:val="008305E1"/>
    <w:rsid w:val="0083062B"/>
    <w:rsid w:val="008306A1"/>
    <w:rsid w:val="008306FD"/>
    <w:rsid w:val="008307D7"/>
    <w:rsid w:val="00830904"/>
    <w:rsid w:val="008309BE"/>
    <w:rsid w:val="00830A46"/>
    <w:rsid w:val="00830A72"/>
    <w:rsid w:val="00830A73"/>
    <w:rsid w:val="00830BBD"/>
    <w:rsid w:val="00830BD5"/>
    <w:rsid w:val="00830C0F"/>
    <w:rsid w:val="00830C30"/>
    <w:rsid w:val="00830C62"/>
    <w:rsid w:val="00830C68"/>
    <w:rsid w:val="00830C9A"/>
    <w:rsid w:val="00830CB5"/>
    <w:rsid w:val="00830DC0"/>
    <w:rsid w:val="00830E11"/>
    <w:rsid w:val="00830ECC"/>
    <w:rsid w:val="00830F35"/>
    <w:rsid w:val="00830F5D"/>
    <w:rsid w:val="00830FCB"/>
    <w:rsid w:val="00831053"/>
    <w:rsid w:val="00831074"/>
    <w:rsid w:val="008310F1"/>
    <w:rsid w:val="00831161"/>
    <w:rsid w:val="008311B9"/>
    <w:rsid w:val="008311F6"/>
    <w:rsid w:val="008312A9"/>
    <w:rsid w:val="00831334"/>
    <w:rsid w:val="00831347"/>
    <w:rsid w:val="008313A0"/>
    <w:rsid w:val="008313D6"/>
    <w:rsid w:val="00831467"/>
    <w:rsid w:val="00831472"/>
    <w:rsid w:val="008314D2"/>
    <w:rsid w:val="008315EB"/>
    <w:rsid w:val="00831638"/>
    <w:rsid w:val="008318D9"/>
    <w:rsid w:val="00831971"/>
    <w:rsid w:val="00831995"/>
    <w:rsid w:val="00831A49"/>
    <w:rsid w:val="00831ACE"/>
    <w:rsid w:val="00831B2E"/>
    <w:rsid w:val="00831B5B"/>
    <w:rsid w:val="00831C92"/>
    <w:rsid w:val="00831CEE"/>
    <w:rsid w:val="00831CF1"/>
    <w:rsid w:val="00831DA2"/>
    <w:rsid w:val="00831DE9"/>
    <w:rsid w:val="00831EB1"/>
    <w:rsid w:val="00831F77"/>
    <w:rsid w:val="00831FB1"/>
    <w:rsid w:val="00831FE6"/>
    <w:rsid w:val="00832136"/>
    <w:rsid w:val="00832217"/>
    <w:rsid w:val="00832306"/>
    <w:rsid w:val="00832368"/>
    <w:rsid w:val="0083248A"/>
    <w:rsid w:val="008324A7"/>
    <w:rsid w:val="0083250F"/>
    <w:rsid w:val="0083251B"/>
    <w:rsid w:val="0083254D"/>
    <w:rsid w:val="00832581"/>
    <w:rsid w:val="00832717"/>
    <w:rsid w:val="00832729"/>
    <w:rsid w:val="00832742"/>
    <w:rsid w:val="008327F6"/>
    <w:rsid w:val="00832894"/>
    <w:rsid w:val="008328DD"/>
    <w:rsid w:val="008329BC"/>
    <w:rsid w:val="00832A09"/>
    <w:rsid w:val="00832ADC"/>
    <w:rsid w:val="00832B0D"/>
    <w:rsid w:val="00832B34"/>
    <w:rsid w:val="00832BB1"/>
    <w:rsid w:val="00832C02"/>
    <w:rsid w:val="00832CD0"/>
    <w:rsid w:val="00832D54"/>
    <w:rsid w:val="00832EE0"/>
    <w:rsid w:val="00832F4C"/>
    <w:rsid w:val="0083303C"/>
    <w:rsid w:val="008330CB"/>
    <w:rsid w:val="008330E1"/>
    <w:rsid w:val="0083311E"/>
    <w:rsid w:val="008331C4"/>
    <w:rsid w:val="0083325F"/>
    <w:rsid w:val="008332EC"/>
    <w:rsid w:val="00833382"/>
    <w:rsid w:val="00833461"/>
    <w:rsid w:val="008334D9"/>
    <w:rsid w:val="00833590"/>
    <w:rsid w:val="0083359E"/>
    <w:rsid w:val="00833691"/>
    <w:rsid w:val="008336E7"/>
    <w:rsid w:val="00833727"/>
    <w:rsid w:val="008337D2"/>
    <w:rsid w:val="00833859"/>
    <w:rsid w:val="00833A6B"/>
    <w:rsid w:val="00833A88"/>
    <w:rsid w:val="00833A9E"/>
    <w:rsid w:val="00833B11"/>
    <w:rsid w:val="00833B8A"/>
    <w:rsid w:val="00833BEF"/>
    <w:rsid w:val="00833C44"/>
    <w:rsid w:val="00833D05"/>
    <w:rsid w:val="00833D6A"/>
    <w:rsid w:val="00833DC8"/>
    <w:rsid w:val="00833DDC"/>
    <w:rsid w:val="00833DED"/>
    <w:rsid w:val="00833EF8"/>
    <w:rsid w:val="00833F94"/>
    <w:rsid w:val="00833FF8"/>
    <w:rsid w:val="0083404C"/>
    <w:rsid w:val="008340F4"/>
    <w:rsid w:val="008342A7"/>
    <w:rsid w:val="008342A8"/>
    <w:rsid w:val="00834355"/>
    <w:rsid w:val="008343E1"/>
    <w:rsid w:val="008343F4"/>
    <w:rsid w:val="0083441D"/>
    <w:rsid w:val="0083441F"/>
    <w:rsid w:val="0083444F"/>
    <w:rsid w:val="00834488"/>
    <w:rsid w:val="008344DD"/>
    <w:rsid w:val="008344E6"/>
    <w:rsid w:val="00834507"/>
    <w:rsid w:val="00834537"/>
    <w:rsid w:val="00834622"/>
    <w:rsid w:val="00834702"/>
    <w:rsid w:val="00834722"/>
    <w:rsid w:val="0083474F"/>
    <w:rsid w:val="00834774"/>
    <w:rsid w:val="00834806"/>
    <w:rsid w:val="00834824"/>
    <w:rsid w:val="00834AA0"/>
    <w:rsid w:val="00834ABA"/>
    <w:rsid w:val="00834AD8"/>
    <w:rsid w:val="00834B9C"/>
    <w:rsid w:val="00834BEC"/>
    <w:rsid w:val="00834C5D"/>
    <w:rsid w:val="00834D44"/>
    <w:rsid w:val="00834D88"/>
    <w:rsid w:val="00834DC2"/>
    <w:rsid w:val="00834DDE"/>
    <w:rsid w:val="00834DF4"/>
    <w:rsid w:val="00834ED3"/>
    <w:rsid w:val="00834FDF"/>
    <w:rsid w:val="00835010"/>
    <w:rsid w:val="008350CB"/>
    <w:rsid w:val="00835281"/>
    <w:rsid w:val="008353CE"/>
    <w:rsid w:val="00835483"/>
    <w:rsid w:val="008354A6"/>
    <w:rsid w:val="00835543"/>
    <w:rsid w:val="0083559D"/>
    <w:rsid w:val="00835643"/>
    <w:rsid w:val="00835669"/>
    <w:rsid w:val="00835808"/>
    <w:rsid w:val="00835811"/>
    <w:rsid w:val="0083592B"/>
    <w:rsid w:val="00835A27"/>
    <w:rsid w:val="00835A79"/>
    <w:rsid w:val="00835B12"/>
    <w:rsid w:val="00835CF9"/>
    <w:rsid w:val="00835CFD"/>
    <w:rsid w:val="00835D62"/>
    <w:rsid w:val="00835D6A"/>
    <w:rsid w:val="00835D6F"/>
    <w:rsid w:val="00835D9A"/>
    <w:rsid w:val="00835E72"/>
    <w:rsid w:val="00835EC7"/>
    <w:rsid w:val="00835F39"/>
    <w:rsid w:val="00835FA9"/>
    <w:rsid w:val="00835FBC"/>
    <w:rsid w:val="00836046"/>
    <w:rsid w:val="00836095"/>
    <w:rsid w:val="008360A8"/>
    <w:rsid w:val="008360AF"/>
    <w:rsid w:val="0083613F"/>
    <w:rsid w:val="0083618A"/>
    <w:rsid w:val="008361A8"/>
    <w:rsid w:val="008361B2"/>
    <w:rsid w:val="008361C1"/>
    <w:rsid w:val="008361D0"/>
    <w:rsid w:val="00836249"/>
    <w:rsid w:val="008362F1"/>
    <w:rsid w:val="008363EE"/>
    <w:rsid w:val="00836405"/>
    <w:rsid w:val="0083643B"/>
    <w:rsid w:val="008364D0"/>
    <w:rsid w:val="008364D1"/>
    <w:rsid w:val="00836555"/>
    <w:rsid w:val="008365B1"/>
    <w:rsid w:val="008366A1"/>
    <w:rsid w:val="00836724"/>
    <w:rsid w:val="008367F2"/>
    <w:rsid w:val="00836829"/>
    <w:rsid w:val="0083684C"/>
    <w:rsid w:val="0083689C"/>
    <w:rsid w:val="008368C8"/>
    <w:rsid w:val="0083692B"/>
    <w:rsid w:val="008369F2"/>
    <w:rsid w:val="00836A40"/>
    <w:rsid w:val="00836AEC"/>
    <w:rsid w:val="00836BBE"/>
    <w:rsid w:val="00836BCB"/>
    <w:rsid w:val="00836CA9"/>
    <w:rsid w:val="00836CB1"/>
    <w:rsid w:val="00836CE0"/>
    <w:rsid w:val="00836CFA"/>
    <w:rsid w:val="00836F00"/>
    <w:rsid w:val="00836FB8"/>
    <w:rsid w:val="00836FD0"/>
    <w:rsid w:val="00837038"/>
    <w:rsid w:val="00837066"/>
    <w:rsid w:val="008371AC"/>
    <w:rsid w:val="008371B4"/>
    <w:rsid w:val="008371E2"/>
    <w:rsid w:val="0083726E"/>
    <w:rsid w:val="0083728C"/>
    <w:rsid w:val="008373A1"/>
    <w:rsid w:val="008373C6"/>
    <w:rsid w:val="0083746F"/>
    <w:rsid w:val="008375AD"/>
    <w:rsid w:val="008375E8"/>
    <w:rsid w:val="008375F5"/>
    <w:rsid w:val="00837671"/>
    <w:rsid w:val="0083767F"/>
    <w:rsid w:val="008376D6"/>
    <w:rsid w:val="00837714"/>
    <w:rsid w:val="00837723"/>
    <w:rsid w:val="00837736"/>
    <w:rsid w:val="008377D6"/>
    <w:rsid w:val="00837817"/>
    <w:rsid w:val="008378F0"/>
    <w:rsid w:val="008379FF"/>
    <w:rsid w:val="00837A2C"/>
    <w:rsid w:val="00837AA7"/>
    <w:rsid w:val="00837BAF"/>
    <w:rsid w:val="00837BE0"/>
    <w:rsid w:val="00837C9D"/>
    <w:rsid w:val="00837D22"/>
    <w:rsid w:val="00837D66"/>
    <w:rsid w:val="00837FFE"/>
    <w:rsid w:val="0084006E"/>
    <w:rsid w:val="008402B5"/>
    <w:rsid w:val="0084030B"/>
    <w:rsid w:val="008403C0"/>
    <w:rsid w:val="00840495"/>
    <w:rsid w:val="008405DB"/>
    <w:rsid w:val="0084064C"/>
    <w:rsid w:val="00840729"/>
    <w:rsid w:val="00840768"/>
    <w:rsid w:val="0084078A"/>
    <w:rsid w:val="008407F1"/>
    <w:rsid w:val="00840812"/>
    <w:rsid w:val="00840862"/>
    <w:rsid w:val="008408ED"/>
    <w:rsid w:val="00840924"/>
    <w:rsid w:val="00840A71"/>
    <w:rsid w:val="00840AAC"/>
    <w:rsid w:val="00840AC7"/>
    <w:rsid w:val="00840B56"/>
    <w:rsid w:val="00840B9F"/>
    <w:rsid w:val="00840CD1"/>
    <w:rsid w:val="00840D1E"/>
    <w:rsid w:val="00840D5C"/>
    <w:rsid w:val="00840D5F"/>
    <w:rsid w:val="00840DFE"/>
    <w:rsid w:val="00840E5F"/>
    <w:rsid w:val="00840E76"/>
    <w:rsid w:val="00840F04"/>
    <w:rsid w:val="00840F4F"/>
    <w:rsid w:val="00840F55"/>
    <w:rsid w:val="00840FB5"/>
    <w:rsid w:val="00840FFC"/>
    <w:rsid w:val="008410F6"/>
    <w:rsid w:val="0084122A"/>
    <w:rsid w:val="00841276"/>
    <w:rsid w:val="00841288"/>
    <w:rsid w:val="008412AB"/>
    <w:rsid w:val="0084136E"/>
    <w:rsid w:val="0084141F"/>
    <w:rsid w:val="00841597"/>
    <w:rsid w:val="008416A5"/>
    <w:rsid w:val="00841708"/>
    <w:rsid w:val="00841787"/>
    <w:rsid w:val="008418EF"/>
    <w:rsid w:val="00841A5B"/>
    <w:rsid w:val="00841A74"/>
    <w:rsid w:val="00841B72"/>
    <w:rsid w:val="00841BEF"/>
    <w:rsid w:val="00841C0A"/>
    <w:rsid w:val="00841E65"/>
    <w:rsid w:val="00841EDC"/>
    <w:rsid w:val="00842012"/>
    <w:rsid w:val="00842051"/>
    <w:rsid w:val="0084207B"/>
    <w:rsid w:val="008420E1"/>
    <w:rsid w:val="008421FA"/>
    <w:rsid w:val="00842284"/>
    <w:rsid w:val="00842305"/>
    <w:rsid w:val="0084233E"/>
    <w:rsid w:val="008423C9"/>
    <w:rsid w:val="00842448"/>
    <w:rsid w:val="008424CD"/>
    <w:rsid w:val="00842511"/>
    <w:rsid w:val="008425E7"/>
    <w:rsid w:val="008425FD"/>
    <w:rsid w:val="008426D3"/>
    <w:rsid w:val="00842739"/>
    <w:rsid w:val="00842800"/>
    <w:rsid w:val="008429BE"/>
    <w:rsid w:val="00842A1B"/>
    <w:rsid w:val="00842A1D"/>
    <w:rsid w:val="00842ABD"/>
    <w:rsid w:val="00842B50"/>
    <w:rsid w:val="00842B5E"/>
    <w:rsid w:val="00842BCB"/>
    <w:rsid w:val="00842C48"/>
    <w:rsid w:val="00842C70"/>
    <w:rsid w:val="00842E4E"/>
    <w:rsid w:val="00842E65"/>
    <w:rsid w:val="00842EAB"/>
    <w:rsid w:val="00842F15"/>
    <w:rsid w:val="00842F31"/>
    <w:rsid w:val="00843081"/>
    <w:rsid w:val="0084324E"/>
    <w:rsid w:val="0084328B"/>
    <w:rsid w:val="008432D6"/>
    <w:rsid w:val="00843310"/>
    <w:rsid w:val="008433A9"/>
    <w:rsid w:val="00843403"/>
    <w:rsid w:val="00843446"/>
    <w:rsid w:val="008434E4"/>
    <w:rsid w:val="0084358C"/>
    <w:rsid w:val="00843598"/>
    <w:rsid w:val="008435AA"/>
    <w:rsid w:val="008436A3"/>
    <w:rsid w:val="008436EE"/>
    <w:rsid w:val="00843701"/>
    <w:rsid w:val="00843724"/>
    <w:rsid w:val="008437A5"/>
    <w:rsid w:val="00843807"/>
    <w:rsid w:val="0084380E"/>
    <w:rsid w:val="008438CC"/>
    <w:rsid w:val="008438D0"/>
    <w:rsid w:val="00843959"/>
    <w:rsid w:val="008439A3"/>
    <w:rsid w:val="008439CA"/>
    <w:rsid w:val="00843AA0"/>
    <w:rsid w:val="00843C29"/>
    <w:rsid w:val="00843C5C"/>
    <w:rsid w:val="00843C5F"/>
    <w:rsid w:val="00843C84"/>
    <w:rsid w:val="00843CF5"/>
    <w:rsid w:val="00843D50"/>
    <w:rsid w:val="00843D99"/>
    <w:rsid w:val="00843E18"/>
    <w:rsid w:val="00843E35"/>
    <w:rsid w:val="00843F2C"/>
    <w:rsid w:val="00843FAC"/>
    <w:rsid w:val="0084409D"/>
    <w:rsid w:val="0084414A"/>
    <w:rsid w:val="00844151"/>
    <w:rsid w:val="0084422D"/>
    <w:rsid w:val="00844325"/>
    <w:rsid w:val="00844355"/>
    <w:rsid w:val="008443D9"/>
    <w:rsid w:val="00844414"/>
    <w:rsid w:val="00844451"/>
    <w:rsid w:val="008444C8"/>
    <w:rsid w:val="008444C9"/>
    <w:rsid w:val="00844502"/>
    <w:rsid w:val="00844508"/>
    <w:rsid w:val="0084455D"/>
    <w:rsid w:val="00844593"/>
    <w:rsid w:val="008445EB"/>
    <w:rsid w:val="008446AF"/>
    <w:rsid w:val="0084472E"/>
    <w:rsid w:val="008447AE"/>
    <w:rsid w:val="00844823"/>
    <w:rsid w:val="008448BC"/>
    <w:rsid w:val="00844918"/>
    <w:rsid w:val="008449A6"/>
    <w:rsid w:val="008449D0"/>
    <w:rsid w:val="00844A96"/>
    <w:rsid w:val="00844B67"/>
    <w:rsid w:val="00844BB9"/>
    <w:rsid w:val="00844C7D"/>
    <w:rsid w:val="00844D77"/>
    <w:rsid w:val="00844E7B"/>
    <w:rsid w:val="00844E8F"/>
    <w:rsid w:val="00844EB2"/>
    <w:rsid w:val="00844EB4"/>
    <w:rsid w:val="00844F16"/>
    <w:rsid w:val="0084508B"/>
    <w:rsid w:val="008450A7"/>
    <w:rsid w:val="00845275"/>
    <w:rsid w:val="008452B5"/>
    <w:rsid w:val="008452C5"/>
    <w:rsid w:val="008453FB"/>
    <w:rsid w:val="0084540B"/>
    <w:rsid w:val="00845564"/>
    <w:rsid w:val="008455A1"/>
    <w:rsid w:val="0084560C"/>
    <w:rsid w:val="0084560E"/>
    <w:rsid w:val="0084562D"/>
    <w:rsid w:val="0084573E"/>
    <w:rsid w:val="0084578A"/>
    <w:rsid w:val="008458AA"/>
    <w:rsid w:val="008458C9"/>
    <w:rsid w:val="008458F4"/>
    <w:rsid w:val="008458FF"/>
    <w:rsid w:val="00845914"/>
    <w:rsid w:val="008459E1"/>
    <w:rsid w:val="00845A17"/>
    <w:rsid w:val="00845AFA"/>
    <w:rsid w:val="00845B28"/>
    <w:rsid w:val="00845BB2"/>
    <w:rsid w:val="00845C28"/>
    <w:rsid w:val="00845C8A"/>
    <w:rsid w:val="00845D0A"/>
    <w:rsid w:val="00845D36"/>
    <w:rsid w:val="00845DA7"/>
    <w:rsid w:val="00845E62"/>
    <w:rsid w:val="00845E92"/>
    <w:rsid w:val="00845EC8"/>
    <w:rsid w:val="00845F78"/>
    <w:rsid w:val="00846002"/>
    <w:rsid w:val="0084603A"/>
    <w:rsid w:val="0084604D"/>
    <w:rsid w:val="00846192"/>
    <w:rsid w:val="00846226"/>
    <w:rsid w:val="00846228"/>
    <w:rsid w:val="00846240"/>
    <w:rsid w:val="0084633C"/>
    <w:rsid w:val="008463DC"/>
    <w:rsid w:val="00846419"/>
    <w:rsid w:val="0084647E"/>
    <w:rsid w:val="00846484"/>
    <w:rsid w:val="008464E9"/>
    <w:rsid w:val="008465EF"/>
    <w:rsid w:val="00846617"/>
    <w:rsid w:val="0084678F"/>
    <w:rsid w:val="008467D7"/>
    <w:rsid w:val="00846838"/>
    <w:rsid w:val="008468CB"/>
    <w:rsid w:val="008468CC"/>
    <w:rsid w:val="00846927"/>
    <w:rsid w:val="00846928"/>
    <w:rsid w:val="00846949"/>
    <w:rsid w:val="00846A3D"/>
    <w:rsid w:val="00846A49"/>
    <w:rsid w:val="00846AD9"/>
    <w:rsid w:val="00846B8E"/>
    <w:rsid w:val="00846B8F"/>
    <w:rsid w:val="00846B95"/>
    <w:rsid w:val="00846BDD"/>
    <w:rsid w:val="00846D1B"/>
    <w:rsid w:val="00846D72"/>
    <w:rsid w:val="00846D84"/>
    <w:rsid w:val="00846DF2"/>
    <w:rsid w:val="00846E2E"/>
    <w:rsid w:val="00847072"/>
    <w:rsid w:val="00847110"/>
    <w:rsid w:val="008471D2"/>
    <w:rsid w:val="00847270"/>
    <w:rsid w:val="00847318"/>
    <w:rsid w:val="008473C1"/>
    <w:rsid w:val="008473E5"/>
    <w:rsid w:val="00847632"/>
    <w:rsid w:val="0084767C"/>
    <w:rsid w:val="0084768A"/>
    <w:rsid w:val="00847892"/>
    <w:rsid w:val="008478BE"/>
    <w:rsid w:val="00847958"/>
    <w:rsid w:val="00847B94"/>
    <w:rsid w:val="00847B97"/>
    <w:rsid w:val="00847BCB"/>
    <w:rsid w:val="00847DA9"/>
    <w:rsid w:val="00847E2A"/>
    <w:rsid w:val="00847EC0"/>
    <w:rsid w:val="0084B740"/>
    <w:rsid w:val="0085001E"/>
    <w:rsid w:val="00850090"/>
    <w:rsid w:val="00850094"/>
    <w:rsid w:val="008501FF"/>
    <w:rsid w:val="0085023C"/>
    <w:rsid w:val="00850318"/>
    <w:rsid w:val="00850321"/>
    <w:rsid w:val="0085042F"/>
    <w:rsid w:val="00850459"/>
    <w:rsid w:val="008504FA"/>
    <w:rsid w:val="0085057B"/>
    <w:rsid w:val="00850627"/>
    <w:rsid w:val="00850684"/>
    <w:rsid w:val="008506EC"/>
    <w:rsid w:val="008506F1"/>
    <w:rsid w:val="0085071F"/>
    <w:rsid w:val="00850778"/>
    <w:rsid w:val="008507CB"/>
    <w:rsid w:val="00850806"/>
    <w:rsid w:val="00850834"/>
    <w:rsid w:val="008508D9"/>
    <w:rsid w:val="0085096F"/>
    <w:rsid w:val="008509D9"/>
    <w:rsid w:val="00850A50"/>
    <w:rsid w:val="00850A51"/>
    <w:rsid w:val="00850A79"/>
    <w:rsid w:val="00850AB5"/>
    <w:rsid w:val="00850AF5"/>
    <w:rsid w:val="00850BBD"/>
    <w:rsid w:val="00850BE7"/>
    <w:rsid w:val="00850C74"/>
    <w:rsid w:val="00850CC3"/>
    <w:rsid w:val="00850D7A"/>
    <w:rsid w:val="00850E26"/>
    <w:rsid w:val="00850E38"/>
    <w:rsid w:val="00850EC0"/>
    <w:rsid w:val="00850EDF"/>
    <w:rsid w:val="00850F4F"/>
    <w:rsid w:val="00850FA6"/>
    <w:rsid w:val="00850FBE"/>
    <w:rsid w:val="00850FCE"/>
    <w:rsid w:val="0085107A"/>
    <w:rsid w:val="008511CF"/>
    <w:rsid w:val="008511EA"/>
    <w:rsid w:val="008511F2"/>
    <w:rsid w:val="008512A0"/>
    <w:rsid w:val="0085139D"/>
    <w:rsid w:val="008514D6"/>
    <w:rsid w:val="00851553"/>
    <w:rsid w:val="0085157D"/>
    <w:rsid w:val="008515AF"/>
    <w:rsid w:val="00851653"/>
    <w:rsid w:val="0085169A"/>
    <w:rsid w:val="008516B1"/>
    <w:rsid w:val="008516FA"/>
    <w:rsid w:val="0085187B"/>
    <w:rsid w:val="00851892"/>
    <w:rsid w:val="008518C1"/>
    <w:rsid w:val="00851915"/>
    <w:rsid w:val="0085199B"/>
    <w:rsid w:val="00851A3A"/>
    <w:rsid w:val="00851A83"/>
    <w:rsid w:val="00851B04"/>
    <w:rsid w:val="00851B63"/>
    <w:rsid w:val="00851CE9"/>
    <w:rsid w:val="00851D7C"/>
    <w:rsid w:val="00851D88"/>
    <w:rsid w:val="00851E22"/>
    <w:rsid w:val="00851E82"/>
    <w:rsid w:val="0085206E"/>
    <w:rsid w:val="008520E4"/>
    <w:rsid w:val="00852125"/>
    <w:rsid w:val="008521DC"/>
    <w:rsid w:val="008521F5"/>
    <w:rsid w:val="00852210"/>
    <w:rsid w:val="0085228A"/>
    <w:rsid w:val="0085230C"/>
    <w:rsid w:val="0085235B"/>
    <w:rsid w:val="008523D6"/>
    <w:rsid w:val="00852494"/>
    <w:rsid w:val="00852589"/>
    <w:rsid w:val="008525E7"/>
    <w:rsid w:val="008525FF"/>
    <w:rsid w:val="00852613"/>
    <w:rsid w:val="00852729"/>
    <w:rsid w:val="008527D1"/>
    <w:rsid w:val="00852881"/>
    <w:rsid w:val="008528AD"/>
    <w:rsid w:val="008529AE"/>
    <w:rsid w:val="00852A36"/>
    <w:rsid w:val="00852A5B"/>
    <w:rsid w:val="00852AA0"/>
    <w:rsid w:val="00852AC9"/>
    <w:rsid w:val="00852AE2"/>
    <w:rsid w:val="00852B59"/>
    <w:rsid w:val="00852B5E"/>
    <w:rsid w:val="00852C32"/>
    <w:rsid w:val="00852C59"/>
    <w:rsid w:val="00852CFC"/>
    <w:rsid w:val="00852DA4"/>
    <w:rsid w:val="00852DBC"/>
    <w:rsid w:val="00852E75"/>
    <w:rsid w:val="00852F8E"/>
    <w:rsid w:val="00853027"/>
    <w:rsid w:val="00853062"/>
    <w:rsid w:val="00853091"/>
    <w:rsid w:val="008530B9"/>
    <w:rsid w:val="008530DB"/>
    <w:rsid w:val="0085310C"/>
    <w:rsid w:val="00853123"/>
    <w:rsid w:val="0085317B"/>
    <w:rsid w:val="0085321C"/>
    <w:rsid w:val="00853220"/>
    <w:rsid w:val="00853275"/>
    <w:rsid w:val="00853298"/>
    <w:rsid w:val="008532C1"/>
    <w:rsid w:val="00853324"/>
    <w:rsid w:val="00853371"/>
    <w:rsid w:val="00853373"/>
    <w:rsid w:val="008533DF"/>
    <w:rsid w:val="008533E5"/>
    <w:rsid w:val="00853415"/>
    <w:rsid w:val="00853442"/>
    <w:rsid w:val="0085358B"/>
    <w:rsid w:val="0085367C"/>
    <w:rsid w:val="00853688"/>
    <w:rsid w:val="00853691"/>
    <w:rsid w:val="008537EE"/>
    <w:rsid w:val="00853829"/>
    <w:rsid w:val="00853832"/>
    <w:rsid w:val="00853906"/>
    <w:rsid w:val="008539D0"/>
    <w:rsid w:val="00853A1D"/>
    <w:rsid w:val="00853A37"/>
    <w:rsid w:val="00853ADC"/>
    <w:rsid w:val="00853B02"/>
    <w:rsid w:val="00853BFF"/>
    <w:rsid w:val="00853C1E"/>
    <w:rsid w:val="00853C3F"/>
    <w:rsid w:val="00853C68"/>
    <w:rsid w:val="00853C80"/>
    <w:rsid w:val="00853C8B"/>
    <w:rsid w:val="00853D2A"/>
    <w:rsid w:val="00853D48"/>
    <w:rsid w:val="00853DF1"/>
    <w:rsid w:val="00853E1F"/>
    <w:rsid w:val="00853EC6"/>
    <w:rsid w:val="00853F18"/>
    <w:rsid w:val="00853FB8"/>
    <w:rsid w:val="0085409F"/>
    <w:rsid w:val="008540C0"/>
    <w:rsid w:val="0085419B"/>
    <w:rsid w:val="008541D2"/>
    <w:rsid w:val="008542B4"/>
    <w:rsid w:val="008542B8"/>
    <w:rsid w:val="0085430E"/>
    <w:rsid w:val="00854462"/>
    <w:rsid w:val="008544AB"/>
    <w:rsid w:val="008544D5"/>
    <w:rsid w:val="0085465D"/>
    <w:rsid w:val="00854669"/>
    <w:rsid w:val="0085469C"/>
    <w:rsid w:val="0085479C"/>
    <w:rsid w:val="008547EF"/>
    <w:rsid w:val="00854823"/>
    <w:rsid w:val="008548C5"/>
    <w:rsid w:val="008548CD"/>
    <w:rsid w:val="0085499C"/>
    <w:rsid w:val="008549D7"/>
    <w:rsid w:val="008549DB"/>
    <w:rsid w:val="00854A2F"/>
    <w:rsid w:val="00854ABD"/>
    <w:rsid w:val="00854B27"/>
    <w:rsid w:val="00854CCA"/>
    <w:rsid w:val="00854D59"/>
    <w:rsid w:val="00854E5D"/>
    <w:rsid w:val="00854F0D"/>
    <w:rsid w:val="00854F2A"/>
    <w:rsid w:val="00854F3B"/>
    <w:rsid w:val="00854F4C"/>
    <w:rsid w:val="00854F55"/>
    <w:rsid w:val="00854F70"/>
    <w:rsid w:val="00854F98"/>
    <w:rsid w:val="00855008"/>
    <w:rsid w:val="00855050"/>
    <w:rsid w:val="0085509F"/>
    <w:rsid w:val="0085514A"/>
    <w:rsid w:val="008551ED"/>
    <w:rsid w:val="0085526D"/>
    <w:rsid w:val="0085526E"/>
    <w:rsid w:val="008552D3"/>
    <w:rsid w:val="008552D4"/>
    <w:rsid w:val="00855360"/>
    <w:rsid w:val="008553C8"/>
    <w:rsid w:val="0085558A"/>
    <w:rsid w:val="0085560B"/>
    <w:rsid w:val="008556F5"/>
    <w:rsid w:val="00855763"/>
    <w:rsid w:val="008557F8"/>
    <w:rsid w:val="0085580B"/>
    <w:rsid w:val="0085581F"/>
    <w:rsid w:val="00855828"/>
    <w:rsid w:val="008558B9"/>
    <w:rsid w:val="008558DE"/>
    <w:rsid w:val="00855900"/>
    <w:rsid w:val="0085591D"/>
    <w:rsid w:val="00855B02"/>
    <w:rsid w:val="00855B57"/>
    <w:rsid w:val="00855C30"/>
    <w:rsid w:val="00855C6B"/>
    <w:rsid w:val="00855C7F"/>
    <w:rsid w:val="00855DCD"/>
    <w:rsid w:val="00855ED9"/>
    <w:rsid w:val="00855F4B"/>
    <w:rsid w:val="00855F6B"/>
    <w:rsid w:val="00855FEE"/>
    <w:rsid w:val="00856052"/>
    <w:rsid w:val="0085615D"/>
    <w:rsid w:val="0085619F"/>
    <w:rsid w:val="008561BB"/>
    <w:rsid w:val="008561D8"/>
    <w:rsid w:val="008561FA"/>
    <w:rsid w:val="0085621A"/>
    <w:rsid w:val="0085621E"/>
    <w:rsid w:val="0085625D"/>
    <w:rsid w:val="0085632B"/>
    <w:rsid w:val="00856370"/>
    <w:rsid w:val="008564F6"/>
    <w:rsid w:val="00856543"/>
    <w:rsid w:val="0085655B"/>
    <w:rsid w:val="0085659E"/>
    <w:rsid w:val="0085660D"/>
    <w:rsid w:val="0085664B"/>
    <w:rsid w:val="008567C2"/>
    <w:rsid w:val="00856849"/>
    <w:rsid w:val="008568EF"/>
    <w:rsid w:val="008568FB"/>
    <w:rsid w:val="00856914"/>
    <w:rsid w:val="008569BA"/>
    <w:rsid w:val="00856A1B"/>
    <w:rsid w:val="00856B12"/>
    <w:rsid w:val="00856BBE"/>
    <w:rsid w:val="00856CE5"/>
    <w:rsid w:val="00856D31"/>
    <w:rsid w:val="00856D4C"/>
    <w:rsid w:val="00856E78"/>
    <w:rsid w:val="00856E98"/>
    <w:rsid w:val="00857009"/>
    <w:rsid w:val="0085703E"/>
    <w:rsid w:val="00857082"/>
    <w:rsid w:val="008570C6"/>
    <w:rsid w:val="00857150"/>
    <w:rsid w:val="0085719D"/>
    <w:rsid w:val="0085720D"/>
    <w:rsid w:val="0085729F"/>
    <w:rsid w:val="008573B9"/>
    <w:rsid w:val="0085745C"/>
    <w:rsid w:val="008574BA"/>
    <w:rsid w:val="008574BF"/>
    <w:rsid w:val="008574ED"/>
    <w:rsid w:val="00857525"/>
    <w:rsid w:val="00857601"/>
    <w:rsid w:val="00857621"/>
    <w:rsid w:val="00857648"/>
    <w:rsid w:val="0085768D"/>
    <w:rsid w:val="0085769C"/>
    <w:rsid w:val="00857774"/>
    <w:rsid w:val="008577AE"/>
    <w:rsid w:val="008577B1"/>
    <w:rsid w:val="008577BD"/>
    <w:rsid w:val="00857884"/>
    <w:rsid w:val="008578E3"/>
    <w:rsid w:val="00857953"/>
    <w:rsid w:val="0085796B"/>
    <w:rsid w:val="008579A6"/>
    <w:rsid w:val="00857A41"/>
    <w:rsid w:val="00857A56"/>
    <w:rsid w:val="00857B9B"/>
    <w:rsid w:val="00857C1C"/>
    <w:rsid w:val="00857C30"/>
    <w:rsid w:val="00857C5C"/>
    <w:rsid w:val="00857CA8"/>
    <w:rsid w:val="00857DCE"/>
    <w:rsid w:val="00857E89"/>
    <w:rsid w:val="00857EB5"/>
    <w:rsid w:val="00857EBC"/>
    <w:rsid w:val="00857F11"/>
    <w:rsid w:val="00857F26"/>
    <w:rsid w:val="00857FC2"/>
    <w:rsid w:val="00857FF3"/>
    <w:rsid w:val="00857FF9"/>
    <w:rsid w:val="00860093"/>
    <w:rsid w:val="008601AB"/>
    <w:rsid w:val="00860220"/>
    <w:rsid w:val="00860292"/>
    <w:rsid w:val="008602A5"/>
    <w:rsid w:val="008602E0"/>
    <w:rsid w:val="008602F8"/>
    <w:rsid w:val="0086032B"/>
    <w:rsid w:val="00860338"/>
    <w:rsid w:val="00860391"/>
    <w:rsid w:val="00860416"/>
    <w:rsid w:val="0086042F"/>
    <w:rsid w:val="0086054F"/>
    <w:rsid w:val="00860702"/>
    <w:rsid w:val="00860732"/>
    <w:rsid w:val="0086077C"/>
    <w:rsid w:val="008607E3"/>
    <w:rsid w:val="0086082A"/>
    <w:rsid w:val="00860853"/>
    <w:rsid w:val="008608AD"/>
    <w:rsid w:val="00860950"/>
    <w:rsid w:val="008609C3"/>
    <w:rsid w:val="00860A47"/>
    <w:rsid w:val="00860B90"/>
    <w:rsid w:val="00860B9B"/>
    <w:rsid w:val="00860C35"/>
    <w:rsid w:val="00860CDE"/>
    <w:rsid w:val="00860DF6"/>
    <w:rsid w:val="00860DFC"/>
    <w:rsid w:val="00860E4A"/>
    <w:rsid w:val="00860EAB"/>
    <w:rsid w:val="00860EDC"/>
    <w:rsid w:val="00860F69"/>
    <w:rsid w:val="008611DA"/>
    <w:rsid w:val="00861201"/>
    <w:rsid w:val="0086125D"/>
    <w:rsid w:val="008612C9"/>
    <w:rsid w:val="008612D5"/>
    <w:rsid w:val="008612FD"/>
    <w:rsid w:val="0086140B"/>
    <w:rsid w:val="0086147E"/>
    <w:rsid w:val="00861495"/>
    <w:rsid w:val="008614E9"/>
    <w:rsid w:val="00861582"/>
    <w:rsid w:val="0086160B"/>
    <w:rsid w:val="0086165A"/>
    <w:rsid w:val="00861734"/>
    <w:rsid w:val="00861779"/>
    <w:rsid w:val="008617B0"/>
    <w:rsid w:val="008617F3"/>
    <w:rsid w:val="00861982"/>
    <w:rsid w:val="008619AC"/>
    <w:rsid w:val="008619B0"/>
    <w:rsid w:val="008619F9"/>
    <w:rsid w:val="00861A27"/>
    <w:rsid w:val="00861A72"/>
    <w:rsid w:val="00861B18"/>
    <w:rsid w:val="00861B73"/>
    <w:rsid w:val="00861B85"/>
    <w:rsid w:val="00861BD2"/>
    <w:rsid w:val="00861C05"/>
    <w:rsid w:val="00861C74"/>
    <w:rsid w:val="00861C7E"/>
    <w:rsid w:val="00861CD2"/>
    <w:rsid w:val="00861CE1"/>
    <w:rsid w:val="00861DB3"/>
    <w:rsid w:val="00861E01"/>
    <w:rsid w:val="00861E32"/>
    <w:rsid w:val="00861E8C"/>
    <w:rsid w:val="00861F2B"/>
    <w:rsid w:val="00861F50"/>
    <w:rsid w:val="00861FA8"/>
    <w:rsid w:val="00862002"/>
    <w:rsid w:val="0086206E"/>
    <w:rsid w:val="00862191"/>
    <w:rsid w:val="008621C3"/>
    <w:rsid w:val="00862236"/>
    <w:rsid w:val="0086228B"/>
    <w:rsid w:val="00862301"/>
    <w:rsid w:val="008623A3"/>
    <w:rsid w:val="008624A6"/>
    <w:rsid w:val="008624EA"/>
    <w:rsid w:val="0086257D"/>
    <w:rsid w:val="008625B8"/>
    <w:rsid w:val="00862635"/>
    <w:rsid w:val="0086264E"/>
    <w:rsid w:val="00862752"/>
    <w:rsid w:val="0086277A"/>
    <w:rsid w:val="00862783"/>
    <w:rsid w:val="008627B4"/>
    <w:rsid w:val="00862820"/>
    <w:rsid w:val="00862842"/>
    <w:rsid w:val="00862859"/>
    <w:rsid w:val="00862954"/>
    <w:rsid w:val="00862A24"/>
    <w:rsid w:val="00862A55"/>
    <w:rsid w:val="00862A94"/>
    <w:rsid w:val="00862AD4"/>
    <w:rsid w:val="00862C2F"/>
    <w:rsid w:val="00862C74"/>
    <w:rsid w:val="00862C7B"/>
    <w:rsid w:val="00862CB6"/>
    <w:rsid w:val="00862D4B"/>
    <w:rsid w:val="00862DAB"/>
    <w:rsid w:val="00862DB5"/>
    <w:rsid w:val="00862DF6"/>
    <w:rsid w:val="00862EAE"/>
    <w:rsid w:val="00862F48"/>
    <w:rsid w:val="00862F6F"/>
    <w:rsid w:val="0086305F"/>
    <w:rsid w:val="00863067"/>
    <w:rsid w:val="00863069"/>
    <w:rsid w:val="00863075"/>
    <w:rsid w:val="008630E4"/>
    <w:rsid w:val="0086313C"/>
    <w:rsid w:val="0086317A"/>
    <w:rsid w:val="0086317B"/>
    <w:rsid w:val="008631AF"/>
    <w:rsid w:val="008633C9"/>
    <w:rsid w:val="00863412"/>
    <w:rsid w:val="008634B1"/>
    <w:rsid w:val="008634F7"/>
    <w:rsid w:val="00863580"/>
    <w:rsid w:val="008635BC"/>
    <w:rsid w:val="008636F6"/>
    <w:rsid w:val="00863774"/>
    <w:rsid w:val="0086378F"/>
    <w:rsid w:val="00863796"/>
    <w:rsid w:val="00863817"/>
    <w:rsid w:val="00863823"/>
    <w:rsid w:val="00863855"/>
    <w:rsid w:val="008638BA"/>
    <w:rsid w:val="008638C3"/>
    <w:rsid w:val="008638F8"/>
    <w:rsid w:val="0086390E"/>
    <w:rsid w:val="00863919"/>
    <w:rsid w:val="00863967"/>
    <w:rsid w:val="00863A18"/>
    <w:rsid w:val="00863A64"/>
    <w:rsid w:val="00863A7B"/>
    <w:rsid w:val="00863A94"/>
    <w:rsid w:val="00863B6A"/>
    <w:rsid w:val="00863CB8"/>
    <w:rsid w:val="00863D34"/>
    <w:rsid w:val="00863DA4"/>
    <w:rsid w:val="00863E60"/>
    <w:rsid w:val="00863E80"/>
    <w:rsid w:val="00864090"/>
    <w:rsid w:val="008640A0"/>
    <w:rsid w:val="008640B2"/>
    <w:rsid w:val="00864160"/>
    <w:rsid w:val="0086417E"/>
    <w:rsid w:val="008641D4"/>
    <w:rsid w:val="00864343"/>
    <w:rsid w:val="008643C0"/>
    <w:rsid w:val="008644A5"/>
    <w:rsid w:val="00864592"/>
    <w:rsid w:val="0086459F"/>
    <w:rsid w:val="008645A8"/>
    <w:rsid w:val="0086465E"/>
    <w:rsid w:val="0086469A"/>
    <w:rsid w:val="008648D0"/>
    <w:rsid w:val="008648E7"/>
    <w:rsid w:val="008649CE"/>
    <w:rsid w:val="00864AB9"/>
    <w:rsid w:val="00864B72"/>
    <w:rsid w:val="00864B81"/>
    <w:rsid w:val="00864BA5"/>
    <w:rsid w:val="00864D01"/>
    <w:rsid w:val="00864DCD"/>
    <w:rsid w:val="00864F29"/>
    <w:rsid w:val="00864FC1"/>
    <w:rsid w:val="00865167"/>
    <w:rsid w:val="008651C3"/>
    <w:rsid w:val="0086524B"/>
    <w:rsid w:val="00865331"/>
    <w:rsid w:val="00865486"/>
    <w:rsid w:val="008654D3"/>
    <w:rsid w:val="00865505"/>
    <w:rsid w:val="00865521"/>
    <w:rsid w:val="0086559C"/>
    <w:rsid w:val="0086563A"/>
    <w:rsid w:val="00865752"/>
    <w:rsid w:val="00865759"/>
    <w:rsid w:val="0086575E"/>
    <w:rsid w:val="008657C8"/>
    <w:rsid w:val="008657E9"/>
    <w:rsid w:val="00865820"/>
    <w:rsid w:val="00865876"/>
    <w:rsid w:val="008659BD"/>
    <w:rsid w:val="00865A32"/>
    <w:rsid w:val="00865A33"/>
    <w:rsid w:val="00865A4A"/>
    <w:rsid w:val="00865A5B"/>
    <w:rsid w:val="00865B7E"/>
    <w:rsid w:val="00865C0F"/>
    <w:rsid w:val="00865C7F"/>
    <w:rsid w:val="00865D19"/>
    <w:rsid w:val="00865D56"/>
    <w:rsid w:val="00865DB9"/>
    <w:rsid w:val="00865E17"/>
    <w:rsid w:val="00865E94"/>
    <w:rsid w:val="00865E9F"/>
    <w:rsid w:val="00865FF1"/>
    <w:rsid w:val="0086603B"/>
    <w:rsid w:val="008660C6"/>
    <w:rsid w:val="00866109"/>
    <w:rsid w:val="00866162"/>
    <w:rsid w:val="0086616D"/>
    <w:rsid w:val="008661EA"/>
    <w:rsid w:val="00866221"/>
    <w:rsid w:val="00866232"/>
    <w:rsid w:val="00866277"/>
    <w:rsid w:val="00866280"/>
    <w:rsid w:val="00866318"/>
    <w:rsid w:val="0086635D"/>
    <w:rsid w:val="008663E3"/>
    <w:rsid w:val="00866449"/>
    <w:rsid w:val="00866510"/>
    <w:rsid w:val="0086653C"/>
    <w:rsid w:val="008665DD"/>
    <w:rsid w:val="008667B6"/>
    <w:rsid w:val="00866811"/>
    <w:rsid w:val="0086691C"/>
    <w:rsid w:val="00866951"/>
    <w:rsid w:val="00866965"/>
    <w:rsid w:val="0086698E"/>
    <w:rsid w:val="008669BE"/>
    <w:rsid w:val="00866A8C"/>
    <w:rsid w:val="00866A99"/>
    <w:rsid w:val="00866C21"/>
    <w:rsid w:val="00866C24"/>
    <w:rsid w:val="00866C9A"/>
    <w:rsid w:val="00866D71"/>
    <w:rsid w:val="00866DC1"/>
    <w:rsid w:val="00866DD2"/>
    <w:rsid w:val="00866E5E"/>
    <w:rsid w:val="00866EF4"/>
    <w:rsid w:val="00866EFB"/>
    <w:rsid w:val="00866F74"/>
    <w:rsid w:val="00866F8E"/>
    <w:rsid w:val="00866FBA"/>
    <w:rsid w:val="00866FFE"/>
    <w:rsid w:val="0086705F"/>
    <w:rsid w:val="00867074"/>
    <w:rsid w:val="0086720C"/>
    <w:rsid w:val="008672FF"/>
    <w:rsid w:val="008674A0"/>
    <w:rsid w:val="0086758C"/>
    <w:rsid w:val="008676D3"/>
    <w:rsid w:val="00867718"/>
    <w:rsid w:val="008677A4"/>
    <w:rsid w:val="008677C4"/>
    <w:rsid w:val="00867A52"/>
    <w:rsid w:val="00867A6E"/>
    <w:rsid w:val="00867B11"/>
    <w:rsid w:val="00867B2E"/>
    <w:rsid w:val="00867B35"/>
    <w:rsid w:val="00867B80"/>
    <w:rsid w:val="00867B90"/>
    <w:rsid w:val="00867CD4"/>
    <w:rsid w:val="00867E87"/>
    <w:rsid w:val="00867F5B"/>
    <w:rsid w:val="00867F6C"/>
    <w:rsid w:val="00867FAF"/>
    <w:rsid w:val="00870000"/>
    <w:rsid w:val="00870113"/>
    <w:rsid w:val="0087016F"/>
    <w:rsid w:val="00870176"/>
    <w:rsid w:val="00870245"/>
    <w:rsid w:val="00870289"/>
    <w:rsid w:val="00870299"/>
    <w:rsid w:val="0087029E"/>
    <w:rsid w:val="008702AD"/>
    <w:rsid w:val="0087036A"/>
    <w:rsid w:val="00870373"/>
    <w:rsid w:val="00870439"/>
    <w:rsid w:val="00870469"/>
    <w:rsid w:val="0087047D"/>
    <w:rsid w:val="008704AB"/>
    <w:rsid w:val="0087054D"/>
    <w:rsid w:val="00870568"/>
    <w:rsid w:val="008705A4"/>
    <w:rsid w:val="008705FD"/>
    <w:rsid w:val="00870660"/>
    <w:rsid w:val="00870694"/>
    <w:rsid w:val="0087073A"/>
    <w:rsid w:val="008707F5"/>
    <w:rsid w:val="0087083C"/>
    <w:rsid w:val="008708C6"/>
    <w:rsid w:val="008709FE"/>
    <w:rsid w:val="00870A29"/>
    <w:rsid w:val="00870A9D"/>
    <w:rsid w:val="00870B1A"/>
    <w:rsid w:val="00870B7E"/>
    <w:rsid w:val="00870BD2"/>
    <w:rsid w:val="00870CC9"/>
    <w:rsid w:val="00870D76"/>
    <w:rsid w:val="00870D94"/>
    <w:rsid w:val="00870E4A"/>
    <w:rsid w:val="00870E79"/>
    <w:rsid w:val="00870E98"/>
    <w:rsid w:val="00870EF7"/>
    <w:rsid w:val="00870F16"/>
    <w:rsid w:val="00870F2B"/>
    <w:rsid w:val="00871018"/>
    <w:rsid w:val="00871216"/>
    <w:rsid w:val="00871362"/>
    <w:rsid w:val="0087138D"/>
    <w:rsid w:val="00871394"/>
    <w:rsid w:val="0087141C"/>
    <w:rsid w:val="008714B6"/>
    <w:rsid w:val="00871528"/>
    <w:rsid w:val="008715D0"/>
    <w:rsid w:val="00871639"/>
    <w:rsid w:val="00871673"/>
    <w:rsid w:val="00871700"/>
    <w:rsid w:val="00871735"/>
    <w:rsid w:val="0087173D"/>
    <w:rsid w:val="00871766"/>
    <w:rsid w:val="0087177A"/>
    <w:rsid w:val="00871781"/>
    <w:rsid w:val="008717B2"/>
    <w:rsid w:val="008717B3"/>
    <w:rsid w:val="00871838"/>
    <w:rsid w:val="008718B1"/>
    <w:rsid w:val="008718BD"/>
    <w:rsid w:val="008718FA"/>
    <w:rsid w:val="00871A3E"/>
    <w:rsid w:val="00871A86"/>
    <w:rsid w:val="00871AA4"/>
    <w:rsid w:val="00871B1C"/>
    <w:rsid w:val="00871B7C"/>
    <w:rsid w:val="00871B8A"/>
    <w:rsid w:val="00871BC3"/>
    <w:rsid w:val="00871C14"/>
    <w:rsid w:val="00871C17"/>
    <w:rsid w:val="00871C4E"/>
    <w:rsid w:val="00871C82"/>
    <w:rsid w:val="00871D77"/>
    <w:rsid w:val="00871D92"/>
    <w:rsid w:val="00871DC4"/>
    <w:rsid w:val="00871DFB"/>
    <w:rsid w:val="00871E4E"/>
    <w:rsid w:val="00871E53"/>
    <w:rsid w:val="00871E5A"/>
    <w:rsid w:val="00871F0C"/>
    <w:rsid w:val="00871F22"/>
    <w:rsid w:val="0087203A"/>
    <w:rsid w:val="008720E4"/>
    <w:rsid w:val="00872113"/>
    <w:rsid w:val="008722DB"/>
    <w:rsid w:val="00872308"/>
    <w:rsid w:val="00872324"/>
    <w:rsid w:val="0087239F"/>
    <w:rsid w:val="00872420"/>
    <w:rsid w:val="008724CD"/>
    <w:rsid w:val="00872530"/>
    <w:rsid w:val="008726D1"/>
    <w:rsid w:val="00872770"/>
    <w:rsid w:val="00872773"/>
    <w:rsid w:val="008727E7"/>
    <w:rsid w:val="008727EF"/>
    <w:rsid w:val="00872874"/>
    <w:rsid w:val="008728D7"/>
    <w:rsid w:val="00872933"/>
    <w:rsid w:val="008729A2"/>
    <w:rsid w:val="008729F3"/>
    <w:rsid w:val="00872A53"/>
    <w:rsid w:val="00872ABF"/>
    <w:rsid w:val="00872BDF"/>
    <w:rsid w:val="00872BE9"/>
    <w:rsid w:val="00872C62"/>
    <w:rsid w:val="00872C72"/>
    <w:rsid w:val="00872CB1"/>
    <w:rsid w:val="00872CCC"/>
    <w:rsid w:val="00872CD0"/>
    <w:rsid w:val="00872DFB"/>
    <w:rsid w:val="00872E18"/>
    <w:rsid w:val="00872E3B"/>
    <w:rsid w:val="00872F19"/>
    <w:rsid w:val="00873052"/>
    <w:rsid w:val="00873066"/>
    <w:rsid w:val="008730C0"/>
    <w:rsid w:val="008730C6"/>
    <w:rsid w:val="0087316A"/>
    <w:rsid w:val="0087318D"/>
    <w:rsid w:val="008731A1"/>
    <w:rsid w:val="00873243"/>
    <w:rsid w:val="00873246"/>
    <w:rsid w:val="008732A4"/>
    <w:rsid w:val="0087333B"/>
    <w:rsid w:val="0087333C"/>
    <w:rsid w:val="008733BF"/>
    <w:rsid w:val="0087343E"/>
    <w:rsid w:val="0087347C"/>
    <w:rsid w:val="00873480"/>
    <w:rsid w:val="008734A0"/>
    <w:rsid w:val="00873514"/>
    <w:rsid w:val="008735A2"/>
    <w:rsid w:val="0087369B"/>
    <w:rsid w:val="008736FE"/>
    <w:rsid w:val="00873708"/>
    <w:rsid w:val="00873755"/>
    <w:rsid w:val="008737FC"/>
    <w:rsid w:val="0087389D"/>
    <w:rsid w:val="008738A1"/>
    <w:rsid w:val="008738BD"/>
    <w:rsid w:val="008738CD"/>
    <w:rsid w:val="008738F9"/>
    <w:rsid w:val="008739E7"/>
    <w:rsid w:val="00873AB5"/>
    <w:rsid w:val="00873B3B"/>
    <w:rsid w:val="00873BD2"/>
    <w:rsid w:val="00873C11"/>
    <w:rsid w:val="00873C43"/>
    <w:rsid w:val="00873C5C"/>
    <w:rsid w:val="00873D15"/>
    <w:rsid w:val="00873D8B"/>
    <w:rsid w:val="00873DAB"/>
    <w:rsid w:val="00873EB3"/>
    <w:rsid w:val="00873EEE"/>
    <w:rsid w:val="00873F3F"/>
    <w:rsid w:val="0087408E"/>
    <w:rsid w:val="008740B3"/>
    <w:rsid w:val="008740E2"/>
    <w:rsid w:val="0087411F"/>
    <w:rsid w:val="008743B1"/>
    <w:rsid w:val="008743F4"/>
    <w:rsid w:val="0087440D"/>
    <w:rsid w:val="0087445C"/>
    <w:rsid w:val="0087448B"/>
    <w:rsid w:val="008744BE"/>
    <w:rsid w:val="008744DC"/>
    <w:rsid w:val="0087451D"/>
    <w:rsid w:val="00874585"/>
    <w:rsid w:val="008745C5"/>
    <w:rsid w:val="0087461D"/>
    <w:rsid w:val="0087462E"/>
    <w:rsid w:val="0087468C"/>
    <w:rsid w:val="00874693"/>
    <w:rsid w:val="008746AA"/>
    <w:rsid w:val="008746C4"/>
    <w:rsid w:val="008746D8"/>
    <w:rsid w:val="008748E6"/>
    <w:rsid w:val="00874975"/>
    <w:rsid w:val="008749BE"/>
    <w:rsid w:val="00874A35"/>
    <w:rsid w:val="00874B94"/>
    <w:rsid w:val="00874BDF"/>
    <w:rsid w:val="00874C07"/>
    <w:rsid w:val="00874C16"/>
    <w:rsid w:val="00874CD5"/>
    <w:rsid w:val="00874CD6"/>
    <w:rsid w:val="00874D43"/>
    <w:rsid w:val="00874DDA"/>
    <w:rsid w:val="00874E3D"/>
    <w:rsid w:val="00874EC8"/>
    <w:rsid w:val="00874EDE"/>
    <w:rsid w:val="00874F3E"/>
    <w:rsid w:val="00874F7E"/>
    <w:rsid w:val="00874F82"/>
    <w:rsid w:val="008750DE"/>
    <w:rsid w:val="00875246"/>
    <w:rsid w:val="00875345"/>
    <w:rsid w:val="008754BF"/>
    <w:rsid w:val="00875517"/>
    <w:rsid w:val="008755D3"/>
    <w:rsid w:val="0087562B"/>
    <w:rsid w:val="008756A4"/>
    <w:rsid w:val="008756A8"/>
    <w:rsid w:val="008756B6"/>
    <w:rsid w:val="0087570A"/>
    <w:rsid w:val="00875777"/>
    <w:rsid w:val="00875779"/>
    <w:rsid w:val="0087578E"/>
    <w:rsid w:val="00875918"/>
    <w:rsid w:val="0087591B"/>
    <w:rsid w:val="00875988"/>
    <w:rsid w:val="008759A2"/>
    <w:rsid w:val="008759FD"/>
    <w:rsid w:val="00875A27"/>
    <w:rsid w:val="00875A8C"/>
    <w:rsid w:val="00875B66"/>
    <w:rsid w:val="00875B8A"/>
    <w:rsid w:val="00875C90"/>
    <w:rsid w:val="00875CD8"/>
    <w:rsid w:val="00875DA9"/>
    <w:rsid w:val="00875E33"/>
    <w:rsid w:val="00875E39"/>
    <w:rsid w:val="00875F66"/>
    <w:rsid w:val="00875FC3"/>
    <w:rsid w:val="00875FED"/>
    <w:rsid w:val="00876045"/>
    <w:rsid w:val="00876111"/>
    <w:rsid w:val="00876275"/>
    <w:rsid w:val="008762F6"/>
    <w:rsid w:val="00876449"/>
    <w:rsid w:val="00876540"/>
    <w:rsid w:val="00876622"/>
    <w:rsid w:val="00876725"/>
    <w:rsid w:val="00876778"/>
    <w:rsid w:val="008767EA"/>
    <w:rsid w:val="00876803"/>
    <w:rsid w:val="0087693F"/>
    <w:rsid w:val="00876B7E"/>
    <w:rsid w:val="00876C03"/>
    <w:rsid w:val="00876C0F"/>
    <w:rsid w:val="00876C17"/>
    <w:rsid w:val="00876C43"/>
    <w:rsid w:val="00876CB4"/>
    <w:rsid w:val="00876CEF"/>
    <w:rsid w:val="00876E07"/>
    <w:rsid w:val="00876E21"/>
    <w:rsid w:val="00876F70"/>
    <w:rsid w:val="0087702A"/>
    <w:rsid w:val="00877077"/>
    <w:rsid w:val="008770C9"/>
    <w:rsid w:val="008770DD"/>
    <w:rsid w:val="00877114"/>
    <w:rsid w:val="00877134"/>
    <w:rsid w:val="00877213"/>
    <w:rsid w:val="00877268"/>
    <w:rsid w:val="00877305"/>
    <w:rsid w:val="00877306"/>
    <w:rsid w:val="008773D1"/>
    <w:rsid w:val="008773FE"/>
    <w:rsid w:val="0087740A"/>
    <w:rsid w:val="00877483"/>
    <w:rsid w:val="0087750D"/>
    <w:rsid w:val="008775F5"/>
    <w:rsid w:val="00877625"/>
    <w:rsid w:val="00877703"/>
    <w:rsid w:val="00877840"/>
    <w:rsid w:val="008778E8"/>
    <w:rsid w:val="008778EE"/>
    <w:rsid w:val="00877A4C"/>
    <w:rsid w:val="00877B6A"/>
    <w:rsid w:val="00877B6C"/>
    <w:rsid w:val="00877BC6"/>
    <w:rsid w:val="00877BC9"/>
    <w:rsid w:val="00877C2C"/>
    <w:rsid w:val="00877E2D"/>
    <w:rsid w:val="00877EBD"/>
    <w:rsid w:val="00877F4F"/>
    <w:rsid w:val="00877F70"/>
    <w:rsid w:val="00877F9C"/>
    <w:rsid w:val="00880060"/>
    <w:rsid w:val="00880093"/>
    <w:rsid w:val="0088017B"/>
    <w:rsid w:val="008801CB"/>
    <w:rsid w:val="0088024B"/>
    <w:rsid w:val="0088026F"/>
    <w:rsid w:val="008802E3"/>
    <w:rsid w:val="00880327"/>
    <w:rsid w:val="00880334"/>
    <w:rsid w:val="00880476"/>
    <w:rsid w:val="008804BD"/>
    <w:rsid w:val="0088052E"/>
    <w:rsid w:val="0088079A"/>
    <w:rsid w:val="008807E0"/>
    <w:rsid w:val="00880816"/>
    <w:rsid w:val="00880829"/>
    <w:rsid w:val="00880917"/>
    <w:rsid w:val="00880A73"/>
    <w:rsid w:val="00880AD6"/>
    <w:rsid w:val="00880C39"/>
    <w:rsid w:val="00880CD4"/>
    <w:rsid w:val="00880D11"/>
    <w:rsid w:val="00880DD8"/>
    <w:rsid w:val="00880E93"/>
    <w:rsid w:val="00880E94"/>
    <w:rsid w:val="00880E9F"/>
    <w:rsid w:val="00880EBA"/>
    <w:rsid w:val="00880EEB"/>
    <w:rsid w:val="00880F91"/>
    <w:rsid w:val="00880FD4"/>
    <w:rsid w:val="00881042"/>
    <w:rsid w:val="0088104C"/>
    <w:rsid w:val="00881160"/>
    <w:rsid w:val="0088118F"/>
    <w:rsid w:val="0088120C"/>
    <w:rsid w:val="00881233"/>
    <w:rsid w:val="00881264"/>
    <w:rsid w:val="008812B3"/>
    <w:rsid w:val="00881333"/>
    <w:rsid w:val="0088133F"/>
    <w:rsid w:val="00881396"/>
    <w:rsid w:val="008813A3"/>
    <w:rsid w:val="008813EC"/>
    <w:rsid w:val="008813F2"/>
    <w:rsid w:val="0088142A"/>
    <w:rsid w:val="00881444"/>
    <w:rsid w:val="0088145C"/>
    <w:rsid w:val="008815A6"/>
    <w:rsid w:val="00881609"/>
    <w:rsid w:val="008816F5"/>
    <w:rsid w:val="0088171B"/>
    <w:rsid w:val="00881735"/>
    <w:rsid w:val="00881801"/>
    <w:rsid w:val="00881835"/>
    <w:rsid w:val="0088184A"/>
    <w:rsid w:val="0088187E"/>
    <w:rsid w:val="008818B8"/>
    <w:rsid w:val="008818F9"/>
    <w:rsid w:val="0088193A"/>
    <w:rsid w:val="0088196E"/>
    <w:rsid w:val="008819F5"/>
    <w:rsid w:val="00881AB9"/>
    <w:rsid w:val="00881ACA"/>
    <w:rsid w:val="00881AEB"/>
    <w:rsid w:val="00881B41"/>
    <w:rsid w:val="00881B92"/>
    <w:rsid w:val="00881BCE"/>
    <w:rsid w:val="00881BF3"/>
    <w:rsid w:val="00881C09"/>
    <w:rsid w:val="00881DF7"/>
    <w:rsid w:val="00881E1B"/>
    <w:rsid w:val="00881EFB"/>
    <w:rsid w:val="00881F91"/>
    <w:rsid w:val="00882089"/>
    <w:rsid w:val="008820EA"/>
    <w:rsid w:val="0088219F"/>
    <w:rsid w:val="00882226"/>
    <w:rsid w:val="008822A9"/>
    <w:rsid w:val="008822CA"/>
    <w:rsid w:val="008823C3"/>
    <w:rsid w:val="008823CB"/>
    <w:rsid w:val="008823E1"/>
    <w:rsid w:val="00882454"/>
    <w:rsid w:val="00882496"/>
    <w:rsid w:val="008824C1"/>
    <w:rsid w:val="0088253F"/>
    <w:rsid w:val="00882545"/>
    <w:rsid w:val="0088266C"/>
    <w:rsid w:val="008826DD"/>
    <w:rsid w:val="00882764"/>
    <w:rsid w:val="008827E6"/>
    <w:rsid w:val="00882847"/>
    <w:rsid w:val="00882853"/>
    <w:rsid w:val="008828E3"/>
    <w:rsid w:val="008828E8"/>
    <w:rsid w:val="0088291C"/>
    <w:rsid w:val="00882990"/>
    <w:rsid w:val="00882A2F"/>
    <w:rsid w:val="00882A97"/>
    <w:rsid w:val="00882B30"/>
    <w:rsid w:val="00882B65"/>
    <w:rsid w:val="00882B99"/>
    <w:rsid w:val="00882BA6"/>
    <w:rsid w:val="00882BC3"/>
    <w:rsid w:val="00882C05"/>
    <w:rsid w:val="00882C3C"/>
    <w:rsid w:val="00882C9E"/>
    <w:rsid w:val="00882D1A"/>
    <w:rsid w:val="00882D8B"/>
    <w:rsid w:val="00882E9C"/>
    <w:rsid w:val="00882EEB"/>
    <w:rsid w:val="00882F3B"/>
    <w:rsid w:val="00882FC4"/>
    <w:rsid w:val="0088300D"/>
    <w:rsid w:val="0088307A"/>
    <w:rsid w:val="008830A6"/>
    <w:rsid w:val="008830F5"/>
    <w:rsid w:val="008831C8"/>
    <w:rsid w:val="008832C2"/>
    <w:rsid w:val="00883316"/>
    <w:rsid w:val="00883437"/>
    <w:rsid w:val="0088345F"/>
    <w:rsid w:val="0088348E"/>
    <w:rsid w:val="008835E9"/>
    <w:rsid w:val="0088374B"/>
    <w:rsid w:val="008837E8"/>
    <w:rsid w:val="0088383E"/>
    <w:rsid w:val="008838F7"/>
    <w:rsid w:val="00883950"/>
    <w:rsid w:val="008839CD"/>
    <w:rsid w:val="008839E9"/>
    <w:rsid w:val="00883A45"/>
    <w:rsid w:val="00883A8B"/>
    <w:rsid w:val="00883A8D"/>
    <w:rsid w:val="00883ADA"/>
    <w:rsid w:val="00883AE8"/>
    <w:rsid w:val="00883B3B"/>
    <w:rsid w:val="00883C52"/>
    <w:rsid w:val="00883C6F"/>
    <w:rsid w:val="00883D2E"/>
    <w:rsid w:val="00883DEB"/>
    <w:rsid w:val="00883E2C"/>
    <w:rsid w:val="00883E50"/>
    <w:rsid w:val="00883E70"/>
    <w:rsid w:val="00883F22"/>
    <w:rsid w:val="00884056"/>
    <w:rsid w:val="00884073"/>
    <w:rsid w:val="008840C2"/>
    <w:rsid w:val="008841C1"/>
    <w:rsid w:val="0088423F"/>
    <w:rsid w:val="00884293"/>
    <w:rsid w:val="0088431C"/>
    <w:rsid w:val="00884335"/>
    <w:rsid w:val="00884355"/>
    <w:rsid w:val="0088441A"/>
    <w:rsid w:val="0088442E"/>
    <w:rsid w:val="00884439"/>
    <w:rsid w:val="00884446"/>
    <w:rsid w:val="00884458"/>
    <w:rsid w:val="008844B0"/>
    <w:rsid w:val="008845AC"/>
    <w:rsid w:val="008845F3"/>
    <w:rsid w:val="0088462A"/>
    <w:rsid w:val="00884788"/>
    <w:rsid w:val="0088486D"/>
    <w:rsid w:val="008848DC"/>
    <w:rsid w:val="00884987"/>
    <w:rsid w:val="00884A33"/>
    <w:rsid w:val="00884B0F"/>
    <w:rsid w:val="00884B82"/>
    <w:rsid w:val="00884BB9"/>
    <w:rsid w:val="00884C10"/>
    <w:rsid w:val="00884C32"/>
    <w:rsid w:val="00884C80"/>
    <w:rsid w:val="00884CE6"/>
    <w:rsid w:val="00884DDA"/>
    <w:rsid w:val="00884ED6"/>
    <w:rsid w:val="00884F44"/>
    <w:rsid w:val="00884F76"/>
    <w:rsid w:val="00885012"/>
    <w:rsid w:val="0088509A"/>
    <w:rsid w:val="008850B4"/>
    <w:rsid w:val="0088520A"/>
    <w:rsid w:val="008852A2"/>
    <w:rsid w:val="008852EC"/>
    <w:rsid w:val="0088535B"/>
    <w:rsid w:val="0088536E"/>
    <w:rsid w:val="0088538B"/>
    <w:rsid w:val="008853B0"/>
    <w:rsid w:val="00885425"/>
    <w:rsid w:val="00885434"/>
    <w:rsid w:val="00885473"/>
    <w:rsid w:val="008854E4"/>
    <w:rsid w:val="008855D7"/>
    <w:rsid w:val="00885632"/>
    <w:rsid w:val="00885852"/>
    <w:rsid w:val="00885873"/>
    <w:rsid w:val="008858F9"/>
    <w:rsid w:val="008859E2"/>
    <w:rsid w:val="00885A80"/>
    <w:rsid w:val="00885ABD"/>
    <w:rsid w:val="00885AC8"/>
    <w:rsid w:val="00885B0D"/>
    <w:rsid w:val="00885B17"/>
    <w:rsid w:val="00885B57"/>
    <w:rsid w:val="00885BF5"/>
    <w:rsid w:val="00885C2C"/>
    <w:rsid w:val="00885E73"/>
    <w:rsid w:val="00885EE7"/>
    <w:rsid w:val="00885F2F"/>
    <w:rsid w:val="00885F4E"/>
    <w:rsid w:val="00885FAC"/>
    <w:rsid w:val="00886043"/>
    <w:rsid w:val="00886121"/>
    <w:rsid w:val="0088616C"/>
    <w:rsid w:val="00886179"/>
    <w:rsid w:val="0088645E"/>
    <w:rsid w:val="008865A2"/>
    <w:rsid w:val="008865A3"/>
    <w:rsid w:val="008865F3"/>
    <w:rsid w:val="0088660B"/>
    <w:rsid w:val="008866BD"/>
    <w:rsid w:val="0088676E"/>
    <w:rsid w:val="00886770"/>
    <w:rsid w:val="008868CA"/>
    <w:rsid w:val="00886975"/>
    <w:rsid w:val="008869C2"/>
    <w:rsid w:val="008869E1"/>
    <w:rsid w:val="00886AB3"/>
    <w:rsid w:val="00886AE2"/>
    <w:rsid w:val="00886BE3"/>
    <w:rsid w:val="00886C2A"/>
    <w:rsid w:val="00886D1A"/>
    <w:rsid w:val="00886D39"/>
    <w:rsid w:val="00886D4E"/>
    <w:rsid w:val="00886DAF"/>
    <w:rsid w:val="00886DC1"/>
    <w:rsid w:val="00886DFD"/>
    <w:rsid w:val="00886E01"/>
    <w:rsid w:val="00886E12"/>
    <w:rsid w:val="00886EAC"/>
    <w:rsid w:val="00886EEB"/>
    <w:rsid w:val="00886EFB"/>
    <w:rsid w:val="00886F5F"/>
    <w:rsid w:val="008870B8"/>
    <w:rsid w:val="008870E1"/>
    <w:rsid w:val="00887281"/>
    <w:rsid w:val="008872D7"/>
    <w:rsid w:val="00887373"/>
    <w:rsid w:val="00887489"/>
    <w:rsid w:val="008874A5"/>
    <w:rsid w:val="008876B8"/>
    <w:rsid w:val="008876EE"/>
    <w:rsid w:val="00887761"/>
    <w:rsid w:val="00887773"/>
    <w:rsid w:val="008877EE"/>
    <w:rsid w:val="0088787C"/>
    <w:rsid w:val="008878A1"/>
    <w:rsid w:val="0088790C"/>
    <w:rsid w:val="00887959"/>
    <w:rsid w:val="00887A5E"/>
    <w:rsid w:val="00887A73"/>
    <w:rsid w:val="00887B01"/>
    <w:rsid w:val="00887BE1"/>
    <w:rsid w:val="00887BEE"/>
    <w:rsid w:val="00887BF3"/>
    <w:rsid w:val="00887C35"/>
    <w:rsid w:val="00887C41"/>
    <w:rsid w:val="00887C9A"/>
    <w:rsid w:val="00887C9F"/>
    <w:rsid w:val="00887D7B"/>
    <w:rsid w:val="00887D9D"/>
    <w:rsid w:val="00887DF1"/>
    <w:rsid w:val="00887DFE"/>
    <w:rsid w:val="00887EE9"/>
    <w:rsid w:val="00887F01"/>
    <w:rsid w:val="00887F32"/>
    <w:rsid w:val="00887F41"/>
    <w:rsid w:val="00887FA2"/>
    <w:rsid w:val="00887FAB"/>
    <w:rsid w:val="0089006C"/>
    <w:rsid w:val="008901A6"/>
    <w:rsid w:val="008902BF"/>
    <w:rsid w:val="00890348"/>
    <w:rsid w:val="0089036C"/>
    <w:rsid w:val="00890379"/>
    <w:rsid w:val="00890608"/>
    <w:rsid w:val="00890651"/>
    <w:rsid w:val="00890764"/>
    <w:rsid w:val="0089081E"/>
    <w:rsid w:val="0089083E"/>
    <w:rsid w:val="00890A17"/>
    <w:rsid w:val="00890A70"/>
    <w:rsid w:val="00890AB5"/>
    <w:rsid w:val="00890AC9"/>
    <w:rsid w:val="00890B31"/>
    <w:rsid w:val="00890B58"/>
    <w:rsid w:val="00890C4E"/>
    <w:rsid w:val="00890CAA"/>
    <w:rsid w:val="00890CD5"/>
    <w:rsid w:val="00890E21"/>
    <w:rsid w:val="00890E27"/>
    <w:rsid w:val="00890E49"/>
    <w:rsid w:val="00890EA2"/>
    <w:rsid w:val="00890F85"/>
    <w:rsid w:val="00890F94"/>
    <w:rsid w:val="00890FBB"/>
    <w:rsid w:val="00890FD4"/>
    <w:rsid w:val="0089101A"/>
    <w:rsid w:val="00891056"/>
    <w:rsid w:val="00891069"/>
    <w:rsid w:val="00891071"/>
    <w:rsid w:val="00891194"/>
    <w:rsid w:val="00891235"/>
    <w:rsid w:val="0089138D"/>
    <w:rsid w:val="008913A2"/>
    <w:rsid w:val="0089140C"/>
    <w:rsid w:val="0089145F"/>
    <w:rsid w:val="008914C4"/>
    <w:rsid w:val="008914E6"/>
    <w:rsid w:val="008915AC"/>
    <w:rsid w:val="00891629"/>
    <w:rsid w:val="008916B5"/>
    <w:rsid w:val="008917BD"/>
    <w:rsid w:val="008917CD"/>
    <w:rsid w:val="008918DC"/>
    <w:rsid w:val="0089193B"/>
    <w:rsid w:val="0089196E"/>
    <w:rsid w:val="00891995"/>
    <w:rsid w:val="0089199B"/>
    <w:rsid w:val="00891A59"/>
    <w:rsid w:val="00891AEC"/>
    <w:rsid w:val="00891B2F"/>
    <w:rsid w:val="00891D32"/>
    <w:rsid w:val="00891D7A"/>
    <w:rsid w:val="00891E5F"/>
    <w:rsid w:val="00891F51"/>
    <w:rsid w:val="00892030"/>
    <w:rsid w:val="0089204B"/>
    <w:rsid w:val="00892139"/>
    <w:rsid w:val="008921AF"/>
    <w:rsid w:val="008921DE"/>
    <w:rsid w:val="008922FE"/>
    <w:rsid w:val="008923B0"/>
    <w:rsid w:val="008924CF"/>
    <w:rsid w:val="00892651"/>
    <w:rsid w:val="0089265E"/>
    <w:rsid w:val="0089266E"/>
    <w:rsid w:val="00892736"/>
    <w:rsid w:val="0089279C"/>
    <w:rsid w:val="008927A8"/>
    <w:rsid w:val="008927BB"/>
    <w:rsid w:val="0089282C"/>
    <w:rsid w:val="0089283F"/>
    <w:rsid w:val="00892860"/>
    <w:rsid w:val="00892889"/>
    <w:rsid w:val="00892929"/>
    <w:rsid w:val="008929CB"/>
    <w:rsid w:val="00892A12"/>
    <w:rsid w:val="00892A38"/>
    <w:rsid w:val="00892A61"/>
    <w:rsid w:val="00892B51"/>
    <w:rsid w:val="00892B56"/>
    <w:rsid w:val="00892B6F"/>
    <w:rsid w:val="00892BD8"/>
    <w:rsid w:val="00892CC7"/>
    <w:rsid w:val="00892F59"/>
    <w:rsid w:val="0089303B"/>
    <w:rsid w:val="0089308B"/>
    <w:rsid w:val="00893103"/>
    <w:rsid w:val="0089318D"/>
    <w:rsid w:val="008931E6"/>
    <w:rsid w:val="0089321F"/>
    <w:rsid w:val="00893271"/>
    <w:rsid w:val="00893276"/>
    <w:rsid w:val="0089328B"/>
    <w:rsid w:val="008932C3"/>
    <w:rsid w:val="008933EA"/>
    <w:rsid w:val="0089350C"/>
    <w:rsid w:val="008935D3"/>
    <w:rsid w:val="008935D8"/>
    <w:rsid w:val="00893701"/>
    <w:rsid w:val="0089370E"/>
    <w:rsid w:val="0089374E"/>
    <w:rsid w:val="008937F1"/>
    <w:rsid w:val="008938E8"/>
    <w:rsid w:val="008938F2"/>
    <w:rsid w:val="008939E2"/>
    <w:rsid w:val="00893A0A"/>
    <w:rsid w:val="00893A83"/>
    <w:rsid w:val="00893B20"/>
    <w:rsid w:val="00893BD9"/>
    <w:rsid w:val="00893C36"/>
    <w:rsid w:val="00893D06"/>
    <w:rsid w:val="00893E0F"/>
    <w:rsid w:val="00893F5A"/>
    <w:rsid w:val="0089402C"/>
    <w:rsid w:val="0089404D"/>
    <w:rsid w:val="0089405C"/>
    <w:rsid w:val="0089409A"/>
    <w:rsid w:val="008940B2"/>
    <w:rsid w:val="008940D1"/>
    <w:rsid w:val="0089410E"/>
    <w:rsid w:val="00894110"/>
    <w:rsid w:val="0089420F"/>
    <w:rsid w:val="00894233"/>
    <w:rsid w:val="008942C1"/>
    <w:rsid w:val="008942DF"/>
    <w:rsid w:val="00894371"/>
    <w:rsid w:val="00894457"/>
    <w:rsid w:val="008944B5"/>
    <w:rsid w:val="008944E8"/>
    <w:rsid w:val="0089451F"/>
    <w:rsid w:val="00894590"/>
    <w:rsid w:val="008945A1"/>
    <w:rsid w:val="008945A3"/>
    <w:rsid w:val="00894689"/>
    <w:rsid w:val="008947CA"/>
    <w:rsid w:val="00894818"/>
    <w:rsid w:val="008948F1"/>
    <w:rsid w:val="008948F6"/>
    <w:rsid w:val="00894901"/>
    <w:rsid w:val="00894941"/>
    <w:rsid w:val="008949FC"/>
    <w:rsid w:val="00894BAA"/>
    <w:rsid w:val="00894BC9"/>
    <w:rsid w:val="00894BED"/>
    <w:rsid w:val="00894C05"/>
    <w:rsid w:val="00894C15"/>
    <w:rsid w:val="00894CDD"/>
    <w:rsid w:val="00894D00"/>
    <w:rsid w:val="00894D7C"/>
    <w:rsid w:val="00894D98"/>
    <w:rsid w:val="00894DA3"/>
    <w:rsid w:val="00894DCC"/>
    <w:rsid w:val="00894F9C"/>
    <w:rsid w:val="00894FAA"/>
    <w:rsid w:val="00894FE9"/>
    <w:rsid w:val="00895052"/>
    <w:rsid w:val="00895083"/>
    <w:rsid w:val="0089511E"/>
    <w:rsid w:val="00895225"/>
    <w:rsid w:val="00895227"/>
    <w:rsid w:val="008952BA"/>
    <w:rsid w:val="008952D7"/>
    <w:rsid w:val="00895375"/>
    <w:rsid w:val="008953A4"/>
    <w:rsid w:val="0089541B"/>
    <w:rsid w:val="0089548B"/>
    <w:rsid w:val="00895587"/>
    <w:rsid w:val="00895590"/>
    <w:rsid w:val="008955D8"/>
    <w:rsid w:val="0089560A"/>
    <w:rsid w:val="0089563B"/>
    <w:rsid w:val="0089574A"/>
    <w:rsid w:val="0089576E"/>
    <w:rsid w:val="00895804"/>
    <w:rsid w:val="008958F0"/>
    <w:rsid w:val="0089595C"/>
    <w:rsid w:val="008959B8"/>
    <w:rsid w:val="00895A2C"/>
    <w:rsid w:val="00895AFB"/>
    <w:rsid w:val="00895B39"/>
    <w:rsid w:val="00895B44"/>
    <w:rsid w:val="00895B51"/>
    <w:rsid w:val="00895C34"/>
    <w:rsid w:val="00895CEF"/>
    <w:rsid w:val="00895DBF"/>
    <w:rsid w:val="00895DC6"/>
    <w:rsid w:val="00895F92"/>
    <w:rsid w:val="00896003"/>
    <w:rsid w:val="00896023"/>
    <w:rsid w:val="00896070"/>
    <w:rsid w:val="0089608A"/>
    <w:rsid w:val="0089612C"/>
    <w:rsid w:val="0089616C"/>
    <w:rsid w:val="00896241"/>
    <w:rsid w:val="00896273"/>
    <w:rsid w:val="00896313"/>
    <w:rsid w:val="00896338"/>
    <w:rsid w:val="008963E6"/>
    <w:rsid w:val="00896428"/>
    <w:rsid w:val="0089653D"/>
    <w:rsid w:val="00896578"/>
    <w:rsid w:val="008965C6"/>
    <w:rsid w:val="00896889"/>
    <w:rsid w:val="0089693D"/>
    <w:rsid w:val="00896991"/>
    <w:rsid w:val="00896ABD"/>
    <w:rsid w:val="00896B72"/>
    <w:rsid w:val="00896BFD"/>
    <w:rsid w:val="00896CAE"/>
    <w:rsid w:val="00896D15"/>
    <w:rsid w:val="00896D36"/>
    <w:rsid w:val="00896F2F"/>
    <w:rsid w:val="00896F5C"/>
    <w:rsid w:val="00897002"/>
    <w:rsid w:val="00897085"/>
    <w:rsid w:val="008970E5"/>
    <w:rsid w:val="008970F4"/>
    <w:rsid w:val="00897275"/>
    <w:rsid w:val="00897279"/>
    <w:rsid w:val="00897291"/>
    <w:rsid w:val="0089735E"/>
    <w:rsid w:val="0089745B"/>
    <w:rsid w:val="008974D9"/>
    <w:rsid w:val="00897515"/>
    <w:rsid w:val="0089751C"/>
    <w:rsid w:val="008975C0"/>
    <w:rsid w:val="008975C7"/>
    <w:rsid w:val="00897636"/>
    <w:rsid w:val="00897639"/>
    <w:rsid w:val="008976A8"/>
    <w:rsid w:val="008976D1"/>
    <w:rsid w:val="008976DF"/>
    <w:rsid w:val="00897711"/>
    <w:rsid w:val="00897739"/>
    <w:rsid w:val="008977D0"/>
    <w:rsid w:val="008977E2"/>
    <w:rsid w:val="0089782B"/>
    <w:rsid w:val="008978AD"/>
    <w:rsid w:val="008978B2"/>
    <w:rsid w:val="008978D4"/>
    <w:rsid w:val="00897929"/>
    <w:rsid w:val="00897940"/>
    <w:rsid w:val="00897949"/>
    <w:rsid w:val="00897A26"/>
    <w:rsid w:val="00897AB3"/>
    <w:rsid w:val="00897AC0"/>
    <w:rsid w:val="00897C9E"/>
    <w:rsid w:val="00897CC1"/>
    <w:rsid w:val="00897D5E"/>
    <w:rsid w:val="00897DD7"/>
    <w:rsid w:val="00897DDE"/>
    <w:rsid w:val="00897E64"/>
    <w:rsid w:val="00897E94"/>
    <w:rsid w:val="00897EB9"/>
    <w:rsid w:val="00897F5D"/>
    <w:rsid w:val="00897FA8"/>
    <w:rsid w:val="00897FD8"/>
    <w:rsid w:val="00897FE2"/>
    <w:rsid w:val="008A0061"/>
    <w:rsid w:val="008A007A"/>
    <w:rsid w:val="008A0139"/>
    <w:rsid w:val="008A0161"/>
    <w:rsid w:val="008A0179"/>
    <w:rsid w:val="008A0206"/>
    <w:rsid w:val="008A0260"/>
    <w:rsid w:val="008A038B"/>
    <w:rsid w:val="008A0449"/>
    <w:rsid w:val="008A0499"/>
    <w:rsid w:val="008A04D4"/>
    <w:rsid w:val="008A04F6"/>
    <w:rsid w:val="008A0567"/>
    <w:rsid w:val="008A059D"/>
    <w:rsid w:val="008A05F2"/>
    <w:rsid w:val="008A0693"/>
    <w:rsid w:val="008A0721"/>
    <w:rsid w:val="008A0761"/>
    <w:rsid w:val="008A07BB"/>
    <w:rsid w:val="008A07C0"/>
    <w:rsid w:val="008A091E"/>
    <w:rsid w:val="008A095A"/>
    <w:rsid w:val="008A0971"/>
    <w:rsid w:val="008A0974"/>
    <w:rsid w:val="008A0995"/>
    <w:rsid w:val="008A0C0E"/>
    <w:rsid w:val="008A0C52"/>
    <w:rsid w:val="008A0CEB"/>
    <w:rsid w:val="008A0D8A"/>
    <w:rsid w:val="008A0EDB"/>
    <w:rsid w:val="008A0EE8"/>
    <w:rsid w:val="008A0F22"/>
    <w:rsid w:val="008A0F43"/>
    <w:rsid w:val="008A1037"/>
    <w:rsid w:val="008A1173"/>
    <w:rsid w:val="008A11CF"/>
    <w:rsid w:val="008A11D0"/>
    <w:rsid w:val="008A1276"/>
    <w:rsid w:val="008A12A7"/>
    <w:rsid w:val="008A12B2"/>
    <w:rsid w:val="008A1336"/>
    <w:rsid w:val="008A1344"/>
    <w:rsid w:val="008A134A"/>
    <w:rsid w:val="008A1493"/>
    <w:rsid w:val="008A14E4"/>
    <w:rsid w:val="008A157B"/>
    <w:rsid w:val="008A15C2"/>
    <w:rsid w:val="008A1600"/>
    <w:rsid w:val="008A17B0"/>
    <w:rsid w:val="008A1807"/>
    <w:rsid w:val="008A18C9"/>
    <w:rsid w:val="008A1918"/>
    <w:rsid w:val="008A193C"/>
    <w:rsid w:val="008A19B5"/>
    <w:rsid w:val="008A1BC1"/>
    <w:rsid w:val="008A1BD7"/>
    <w:rsid w:val="008A1C68"/>
    <w:rsid w:val="008A1D12"/>
    <w:rsid w:val="008A1D39"/>
    <w:rsid w:val="008A1F83"/>
    <w:rsid w:val="008A21F2"/>
    <w:rsid w:val="008A223C"/>
    <w:rsid w:val="008A22F0"/>
    <w:rsid w:val="008A2353"/>
    <w:rsid w:val="008A2389"/>
    <w:rsid w:val="008A2400"/>
    <w:rsid w:val="008A2416"/>
    <w:rsid w:val="008A2428"/>
    <w:rsid w:val="008A2460"/>
    <w:rsid w:val="008A2462"/>
    <w:rsid w:val="008A24C1"/>
    <w:rsid w:val="008A25DD"/>
    <w:rsid w:val="008A277C"/>
    <w:rsid w:val="008A27AD"/>
    <w:rsid w:val="008A27BD"/>
    <w:rsid w:val="008A27D1"/>
    <w:rsid w:val="008A2802"/>
    <w:rsid w:val="008A2804"/>
    <w:rsid w:val="008A2873"/>
    <w:rsid w:val="008A28D6"/>
    <w:rsid w:val="008A294E"/>
    <w:rsid w:val="008A295B"/>
    <w:rsid w:val="008A2A33"/>
    <w:rsid w:val="008A2A3C"/>
    <w:rsid w:val="008A2A9B"/>
    <w:rsid w:val="008A2ABA"/>
    <w:rsid w:val="008A2B3E"/>
    <w:rsid w:val="008A2B4D"/>
    <w:rsid w:val="008A2B84"/>
    <w:rsid w:val="008A2D41"/>
    <w:rsid w:val="008A2D67"/>
    <w:rsid w:val="008A2DA7"/>
    <w:rsid w:val="008A2E3D"/>
    <w:rsid w:val="008A2E51"/>
    <w:rsid w:val="008A2F43"/>
    <w:rsid w:val="008A2F57"/>
    <w:rsid w:val="008A2FD6"/>
    <w:rsid w:val="008A3058"/>
    <w:rsid w:val="008A307E"/>
    <w:rsid w:val="008A30D7"/>
    <w:rsid w:val="008A31B3"/>
    <w:rsid w:val="008A31FE"/>
    <w:rsid w:val="008A31FF"/>
    <w:rsid w:val="008A32F1"/>
    <w:rsid w:val="008A33D8"/>
    <w:rsid w:val="008A3467"/>
    <w:rsid w:val="008A3479"/>
    <w:rsid w:val="008A34B6"/>
    <w:rsid w:val="008A352C"/>
    <w:rsid w:val="008A363D"/>
    <w:rsid w:val="008A373E"/>
    <w:rsid w:val="008A3801"/>
    <w:rsid w:val="008A3869"/>
    <w:rsid w:val="008A390A"/>
    <w:rsid w:val="008A3929"/>
    <w:rsid w:val="008A39F9"/>
    <w:rsid w:val="008A3A46"/>
    <w:rsid w:val="008A3ABD"/>
    <w:rsid w:val="008A3AFE"/>
    <w:rsid w:val="008A3B8C"/>
    <w:rsid w:val="008A3BF9"/>
    <w:rsid w:val="008A3C00"/>
    <w:rsid w:val="008A3C11"/>
    <w:rsid w:val="008A3C21"/>
    <w:rsid w:val="008A3D2C"/>
    <w:rsid w:val="008A3DA2"/>
    <w:rsid w:val="008A3E77"/>
    <w:rsid w:val="008A3FB6"/>
    <w:rsid w:val="008A3FC2"/>
    <w:rsid w:val="008A4061"/>
    <w:rsid w:val="008A41C0"/>
    <w:rsid w:val="008A41CB"/>
    <w:rsid w:val="008A4252"/>
    <w:rsid w:val="008A425D"/>
    <w:rsid w:val="008A42DD"/>
    <w:rsid w:val="008A42F5"/>
    <w:rsid w:val="008A4319"/>
    <w:rsid w:val="008A4395"/>
    <w:rsid w:val="008A43B1"/>
    <w:rsid w:val="008A43D1"/>
    <w:rsid w:val="008A43DF"/>
    <w:rsid w:val="008A4466"/>
    <w:rsid w:val="008A4481"/>
    <w:rsid w:val="008A44B8"/>
    <w:rsid w:val="008A44C5"/>
    <w:rsid w:val="008A4629"/>
    <w:rsid w:val="008A4661"/>
    <w:rsid w:val="008A468C"/>
    <w:rsid w:val="008A469B"/>
    <w:rsid w:val="008A46A5"/>
    <w:rsid w:val="008A46B3"/>
    <w:rsid w:val="008A4803"/>
    <w:rsid w:val="008A4848"/>
    <w:rsid w:val="008A4859"/>
    <w:rsid w:val="008A4881"/>
    <w:rsid w:val="008A489E"/>
    <w:rsid w:val="008A48F8"/>
    <w:rsid w:val="008A48FD"/>
    <w:rsid w:val="008A4911"/>
    <w:rsid w:val="008A4957"/>
    <w:rsid w:val="008A4AB6"/>
    <w:rsid w:val="008A4B15"/>
    <w:rsid w:val="008A4B4A"/>
    <w:rsid w:val="008A4B72"/>
    <w:rsid w:val="008A4B7E"/>
    <w:rsid w:val="008A4C17"/>
    <w:rsid w:val="008A4CA9"/>
    <w:rsid w:val="008A4D50"/>
    <w:rsid w:val="008A4E60"/>
    <w:rsid w:val="008A4FD1"/>
    <w:rsid w:val="008A4FF3"/>
    <w:rsid w:val="008A50C6"/>
    <w:rsid w:val="008A50CC"/>
    <w:rsid w:val="008A513F"/>
    <w:rsid w:val="008A5142"/>
    <w:rsid w:val="008A5198"/>
    <w:rsid w:val="008A5245"/>
    <w:rsid w:val="008A5265"/>
    <w:rsid w:val="008A5282"/>
    <w:rsid w:val="008A533C"/>
    <w:rsid w:val="008A541F"/>
    <w:rsid w:val="008A5489"/>
    <w:rsid w:val="008A5522"/>
    <w:rsid w:val="008A552C"/>
    <w:rsid w:val="008A553F"/>
    <w:rsid w:val="008A56C9"/>
    <w:rsid w:val="008A5739"/>
    <w:rsid w:val="008A5754"/>
    <w:rsid w:val="008A57A2"/>
    <w:rsid w:val="008A57BB"/>
    <w:rsid w:val="008A5A71"/>
    <w:rsid w:val="008A5AD4"/>
    <w:rsid w:val="008A5B97"/>
    <w:rsid w:val="008A5CA6"/>
    <w:rsid w:val="008A5D4F"/>
    <w:rsid w:val="008A5DB0"/>
    <w:rsid w:val="008A5ECF"/>
    <w:rsid w:val="008A5F5E"/>
    <w:rsid w:val="008A5F61"/>
    <w:rsid w:val="008A5FFB"/>
    <w:rsid w:val="008A604A"/>
    <w:rsid w:val="008A6094"/>
    <w:rsid w:val="008A6183"/>
    <w:rsid w:val="008A61E7"/>
    <w:rsid w:val="008A625C"/>
    <w:rsid w:val="008A6283"/>
    <w:rsid w:val="008A62AC"/>
    <w:rsid w:val="008A62DF"/>
    <w:rsid w:val="008A62E8"/>
    <w:rsid w:val="008A63A7"/>
    <w:rsid w:val="008A640E"/>
    <w:rsid w:val="008A6473"/>
    <w:rsid w:val="008A64D7"/>
    <w:rsid w:val="008A6511"/>
    <w:rsid w:val="008A659C"/>
    <w:rsid w:val="008A6604"/>
    <w:rsid w:val="008A6659"/>
    <w:rsid w:val="008A68BE"/>
    <w:rsid w:val="008A68C2"/>
    <w:rsid w:val="008A6938"/>
    <w:rsid w:val="008A6942"/>
    <w:rsid w:val="008A696E"/>
    <w:rsid w:val="008A6AF1"/>
    <w:rsid w:val="008A6AFA"/>
    <w:rsid w:val="008A6B0D"/>
    <w:rsid w:val="008A6BC0"/>
    <w:rsid w:val="008A6BE7"/>
    <w:rsid w:val="008A6CB4"/>
    <w:rsid w:val="008A6CC9"/>
    <w:rsid w:val="008A6D10"/>
    <w:rsid w:val="008A6DD6"/>
    <w:rsid w:val="008A6F11"/>
    <w:rsid w:val="008A6F91"/>
    <w:rsid w:val="008A6FF1"/>
    <w:rsid w:val="008A7006"/>
    <w:rsid w:val="008A7021"/>
    <w:rsid w:val="008A70AB"/>
    <w:rsid w:val="008A7143"/>
    <w:rsid w:val="008A718B"/>
    <w:rsid w:val="008A7292"/>
    <w:rsid w:val="008A73C5"/>
    <w:rsid w:val="008A73DE"/>
    <w:rsid w:val="008A74E5"/>
    <w:rsid w:val="008A7567"/>
    <w:rsid w:val="008A75FA"/>
    <w:rsid w:val="008A760A"/>
    <w:rsid w:val="008A761C"/>
    <w:rsid w:val="008A7688"/>
    <w:rsid w:val="008A769F"/>
    <w:rsid w:val="008A76C5"/>
    <w:rsid w:val="008A76FB"/>
    <w:rsid w:val="008A7777"/>
    <w:rsid w:val="008A781B"/>
    <w:rsid w:val="008A787E"/>
    <w:rsid w:val="008A7979"/>
    <w:rsid w:val="008A7A4E"/>
    <w:rsid w:val="008A7A58"/>
    <w:rsid w:val="008A7A62"/>
    <w:rsid w:val="008A7ACF"/>
    <w:rsid w:val="008A7B01"/>
    <w:rsid w:val="008A7BC5"/>
    <w:rsid w:val="008A7C44"/>
    <w:rsid w:val="008A7CAC"/>
    <w:rsid w:val="008A7D56"/>
    <w:rsid w:val="008A7E28"/>
    <w:rsid w:val="008A7EE5"/>
    <w:rsid w:val="008A7FAA"/>
    <w:rsid w:val="008A7FCE"/>
    <w:rsid w:val="008B007D"/>
    <w:rsid w:val="008B008D"/>
    <w:rsid w:val="008B00A0"/>
    <w:rsid w:val="008B0245"/>
    <w:rsid w:val="008B025E"/>
    <w:rsid w:val="008B044E"/>
    <w:rsid w:val="008B047F"/>
    <w:rsid w:val="008B0528"/>
    <w:rsid w:val="008B0607"/>
    <w:rsid w:val="008B065C"/>
    <w:rsid w:val="008B0681"/>
    <w:rsid w:val="008B06CC"/>
    <w:rsid w:val="008B06FC"/>
    <w:rsid w:val="008B077A"/>
    <w:rsid w:val="008B0797"/>
    <w:rsid w:val="008B07BA"/>
    <w:rsid w:val="008B08E6"/>
    <w:rsid w:val="008B098A"/>
    <w:rsid w:val="008B099A"/>
    <w:rsid w:val="008B0AC6"/>
    <w:rsid w:val="008B0CD2"/>
    <w:rsid w:val="008B0CDA"/>
    <w:rsid w:val="008B0CED"/>
    <w:rsid w:val="008B0DCD"/>
    <w:rsid w:val="008B0DDA"/>
    <w:rsid w:val="008B0DF7"/>
    <w:rsid w:val="008B0E16"/>
    <w:rsid w:val="008B0E40"/>
    <w:rsid w:val="008B0E96"/>
    <w:rsid w:val="008B0F32"/>
    <w:rsid w:val="008B0F45"/>
    <w:rsid w:val="008B0FCC"/>
    <w:rsid w:val="008B0FD4"/>
    <w:rsid w:val="008B106E"/>
    <w:rsid w:val="008B1242"/>
    <w:rsid w:val="008B1335"/>
    <w:rsid w:val="008B136F"/>
    <w:rsid w:val="008B13EE"/>
    <w:rsid w:val="008B14BA"/>
    <w:rsid w:val="008B14E8"/>
    <w:rsid w:val="008B154E"/>
    <w:rsid w:val="008B158A"/>
    <w:rsid w:val="008B1766"/>
    <w:rsid w:val="008B191C"/>
    <w:rsid w:val="008B1A10"/>
    <w:rsid w:val="008B1B51"/>
    <w:rsid w:val="008B1B7A"/>
    <w:rsid w:val="008B1BB1"/>
    <w:rsid w:val="008B1BB9"/>
    <w:rsid w:val="008B1C73"/>
    <w:rsid w:val="008B1CB8"/>
    <w:rsid w:val="008B1CC3"/>
    <w:rsid w:val="008B1E01"/>
    <w:rsid w:val="008B20D8"/>
    <w:rsid w:val="008B2129"/>
    <w:rsid w:val="008B2167"/>
    <w:rsid w:val="008B219C"/>
    <w:rsid w:val="008B21E2"/>
    <w:rsid w:val="008B22C2"/>
    <w:rsid w:val="008B237A"/>
    <w:rsid w:val="008B23AA"/>
    <w:rsid w:val="008B2403"/>
    <w:rsid w:val="008B243E"/>
    <w:rsid w:val="008B24EC"/>
    <w:rsid w:val="008B2536"/>
    <w:rsid w:val="008B25AF"/>
    <w:rsid w:val="008B25BF"/>
    <w:rsid w:val="008B25F4"/>
    <w:rsid w:val="008B25FC"/>
    <w:rsid w:val="008B26A6"/>
    <w:rsid w:val="008B2763"/>
    <w:rsid w:val="008B2820"/>
    <w:rsid w:val="008B2861"/>
    <w:rsid w:val="008B2929"/>
    <w:rsid w:val="008B2A1B"/>
    <w:rsid w:val="008B2A9C"/>
    <w:rsid w:val="008B2B61"/>
    <w:rsid w:val="008B2B82"/>
    <w:rsid w:val="008B2B91"/>
    <w:rsid w:val="008B2BC0"/>
    <w:rsid w:val="008B2C8C"/>
    <w:rsid w:val="008B2CA3"/>
    <w:rsid w:val="008B2DA1"/>
    <w:rsid w:val="008B2E0F"/>
    <w:rsid w:val="008B2E34"/>
    <w:rsid w:val="008B2FA8"/>
    <w:rsid w:val="008B2FDC"/>
    <w:rsid w:val="008B3018"/>
    <w:rsid w:val="008B30AE"/>
    <w:rsid w:val="008B315B"/>
    <w:rsid w:val="008B31D9"/>
    <w:rsid w:val="008B329D"/>
    <w:rsid w:val="008B3491"/>
    <w:rsid w:val="008B3516"/>
    <w:rsid w:val="008B3564"/>
    <w:rsid w:val="008B364D"/>
    <w:rsid w:val="008B368B"/>
    <w:rsid w:val="008B3871"/>
    <w:rsid w:val="008B38B6"/>
    <w:rsid w:val="008B38CD"/>
    <w:rsid w:val="008B39C6"/>
    <w:rsid w:val="008B3B63"/>
    <w:rsid w:val="008B3B77"/>
    <w:rsid w:val="008B3BA1"/>
    <w:rsid w:val="008B3C30"/>
    <w:rsid w:val="008B3C8C"/>
    <w:rsid w:val="008B3D70"/>
    <w:rsid w:val="008B3E91"/>
    <w:rsid w:val="008B3E92"/>
    <w:rsid w:val="008B3E93"/>
    <w:rsid w:val="008B3EE4"/>
    <w:rsid w:val="008B3EF4"/>
    <w:rsid w:val="008B3FC6"/>
    <w:rsid w:val="008B4099"/>
    <w:rsid w:val="008B40BB"/>
    <w:rsid w:val="008B40C8"/>
    <w:rsid w:val="008B40F2"/>
    <w:rsid w:val="008B414A"/>
    <w:rsid w:val="008B416B"/>
    <w:rsid w:val="008B4191"/>
    <w:rsid w:val="008B4297"/>
    <w:rsid w:val="008B432E"/>
    <w:rsid w:val="008B43A4"/>
    <w:rsid w:val="008B44B7"/>
    <w:rsid w:val="008B44F4"/>
    <w:rsid w:val="008B4530"/>
    <w:rsid w:val="008B455C"/>
    <w:rsid w:val="008B45C5"/>
    <w:rsid w:val="008B4637"/>
    <w:rsid w:val="008B4736"/>
    <w:rsid w:val="008B476F"/>
    <w:rsid w:val="008B47D5"/>
    <w:rsid w:val="008B47D8"/>
    <w:rsid w:val="008B47EA"/>
    <w:rsid w:val="008B4845"/>
    <w:rsid w:val="008B48B1"/>
    <w:rsid w:val="008B4940"/>
    <w:rsid w:val="008B49C3"/>
    <w:rsid w:val="008B4A41"/>
    <w:rsid w:val="008B4B2A"/>
    <w:rsid w:val="008B4B79"/>
    <w:rsid w:val="008B4C88"/>
    <w:rsid w:val="008B4CD1"/>
    <w:rsid w:val="008B4D92"/>
    <w:rsid w:val="008B4DD0"/>
    <w:rsid w:val="008B4E76"/>
    <w:rsid w:val="008B500C"/>
    <w:rsid w:val="008B50D6"/>
    <w:rsid w:val="008B5113"/>
    <w:rsid w:val="008B52EB"/>
    <w:rsid w:val="008B5482"/>
    <w:rsid w:val="008B55C5"/>
    <w:rsid w:val="008B55D1"/>
    <w:rsid w:val="008B5601"/>
    <w:rsid w:val="008B5616"/>
    <w:rsid w:val="008B5653"/>
    <w:rsid w:val="008B56E3"/>
    <w:rsid w:val="008B578F"/>
    <w:rsid w:val="008B57B7"/>
    <w:rsid w:val="008B57CC"/>
    <w:rsid w:val="008B57DD"/>
    <w:rsid w:val="008B584D"/>
    <w:rsid w:val="008B5865"/>
    <w:rsid w:val="008B588F"/>
    <w:rsid w:val="008B5A92"/>
    <w:rsid w:val="008B5AF6"/>
    <w:rsid w:val="008B5BED"/>
    <w:rsid w:val="008B5C74"/>
    <w:rsid w:val="008B5C8C"/>
    <w:rsid w:val="008B5CB1"/>
    <w:rsid w:val="008B5D47"/>
    <w:rsid w:val="008B5D8E"/>
    <w:rsid w:val="008B5E72"/>
    <w:rsid w:val="008B5FF0"/>
    <w:rsid w:val="008B61A1"/>
    <w:rsid w:val="008B631F"/>
    <w:rsid w:val="008B644C"/>
    <w:rsid w:val="008B647F"/>
    <w:rsid w:val="008B656A"/>
    <w:rsid w:val="008B66AB"/>
    <w:rsid w:val="008B66C7"/>
    <w:rsid w:val="008B66D7"/>
    <w:rsid w:val="008B66E6"/>
    <w:rsid w:val="008B670D"/>
    <w:rsid w:val="008B676A"/>
    <w:rsid w:val="008B695E"/>
    <w:rsid w:val="008B6A4B"/>
    <w:rsid w:val="008B6A51"/>
    <w:rsid w:val="008B6A7A"/>
    <w:rsid w:val="008B6AE0"/>
    <w:rsid w:val="008B6C48"/>
    <w:rsid w:val="008B6CE8"/>
    <w:rsid w:val="008B6DAA"/>
    <w:rsid w:val="008B6EB6"/>
    <w:rsid w:val="008B6EBC"/>
    <w:rsid w:val="008B6FFE"/>
    <w:rsid w:val="008B7009"/>
    <w:rsid w:val="008B700E"/>
    <w:rsid w:val="008B708F"/>
    <w:rsid w:val="008B7091"/>
    <w:rsid w:val="008B7120"/>
    <w:rsid w:val="008B713A"/>
    <w:rsid w:val="008B7228"/>
    <w:rsid w:val="008B7278"/>
    <w:rsid w:val="008B72C8"/>
    <w:rsid w:val="008B72D6"/>
    <w:rsid w:val="008B737F"/>
    <w:rsid w:val="008B749C"/>
    <w:rsid w:val="008B74B7"/>
    <w:rsid w:val="008B76D5"/>
    <w:rsid w:val="008B77A3"/>
    <w:rsid w:val="008B77E8"/>
    <w:rsid w:val="008B78BE"/>
    <w:rsid w:val="008B78D0"/>
    <w:rsid w:val="008B78DC"/>
    <w:rsid w:val="008B78E9"/>
    <w:rsid w:val="008B7971"/>
    <w:rsid w:val="008B7977"/>
    <w:rsid w:val="008B7996"/>
    <w:rsid w:val="008B79E3"/>
    <w:rsid w:val="008B79F9"/>
    <w:rsid w:val="008B7A70"/>
    <w:rsid w:val="008B7BAD"/>
    <w:rsid w:val="008B7C6D"/>
    <w:rsid w:val="008B7C83"/>
    <w:rsid w:val="008B7CD8"/>
    <w:rsid w:val="008B7E0D"/>
    <w:rsid w:val="008B7F3E"/>
    <w:rsid w:val="008B7F81"/>
    <w:rsid w:val="008B7F84"/>
    <w:rsid w:val="008B7FF0"/>
    <w:rsid w:val="008B7FF3"/>
    <w:rsid w:val="008C0088"/>
    <w:rsid w:val="008C00B4"/>
    <w:rsid w:val="008C00ED"/>
    <w:rsid w:val="008C010E"/>
    <w:rsid w:val="008C0170"/>
    <w:rsid w:val="008C019C"/>
    <w:rsid w:val="008C01B3"/>
    <w:rsid w:val="008C01F1"/>
    <w:rsid w:val="008C027A"/>
    <w:rsid w:val="008C0350"/>
    <w:rsid w:val="008C04E0"/>
    <w:rsid w:val="008C05A5"/>
    <w:rsid w:val="008C0618"/>
    <w:rsid w:val="008C0658"/>
    <w:rsid w:val="008C0739"/>
    <w:rsid w:val="008C0780"/>
    <w:rsid w:val="008C07AA"/>
    <w:rsid w:val="008C0812"/>
    <w:rsid w:val="008C0815"/>
    <w:rsid w:val="008C09C6"/>
    <w:rsid w:val="008C0AA2"/>
    <w:rsid w:val="008C0B53"/>
    <w:rsid w:val="008C0B7C"/>
    <w:rsid w:val="008C0BC7"/>
    <w:rsid w:val="008C0C08"/>
    <w:rsid w:val="008C0CE1"/>
    <w:rsid w:val="008C0D13"/>
    <w:rsid w:val="008C0D78"/>
    <w:rsid w:val="008C0DDD"/>
    <w:rsid w:val="008C0EAC"/>
    <w:rsid w:val="008C0F69"/>
    <w:rsid w:val="008C0FEA"/>
    <w:rsid w:val="008C1068"/>
    <w:rsid w:val="008C107B"/>
    <w:rsid w:val="008C1083"/>
    <w:rsid w:val="008C10B3"/>
    <w:rsid w:val="008C10F2"/>
    <w:rsid w:val="008C112C"/>
    <w:rsid w:val="008C115D"/>
    <w:rsid w:val="008C11F4"/>
    <w:rsid w:val="008C120A"/>
    <w:rsid w:val="008C12D0"/>
    <w:rsid w:val="008C12EE"/>
    <w:rsid w:val="008C1316"/>
    <w:rsid w:val="008C1336"/>
    <w:rsid w:val="008C139F"/>
    <w:rsid w:val="008C13B2"/>
    <w:rsid w:val="008C13C3"/>
    <w:rsid w:val="008C1412"/>
    <w:rsid w:val="008C147C"/>
    <w:rsid w:val="008C167B"/>
    <w:rsid w:val="008C16CD"/>
    <w:rsid w:val="008C16E4"/>
    <w:rsid w:val="008C16F0"/>
    <w:rsid w:val="008C17C5"/>
    <w:rsid w:val="008C17D3"/>
    <w:rsid w:val="008C17E3"/>
    <w:rsid w:val="008C1853"/>
    <w:rsid w:val="008C18D7"/>
    <w:rsid w:val="008C19BF"/>
    <w:rsid w:val="008C19FE"/>
    <w:rsid w:val="008C1A6B"/>
    <w:rsid w:val="008C1A73"/>
    <w:rsid w:val="008C1AA2"/>
    <w:rsid w:val="008C1CB5"/>
    <w:rsid w:val="008C1CBB"/>
    <w:rsid w:val="008C1D73"/>
    <w:rsid w:val="008C1E3E"/>
    <w:rsid w:val="008C1E41"/>
    <w:rsid w:val="008C1ED2"/>
    <w:rsid w:val="008C1FCA"/>
    <w:rsid w:val="008C20BF"/>
    <w:rsid w:val="008C21DD"/>
    <w:rsid w:val="008C2213"/>
    <w:rsid w:val="008C226C"/>
    <w:rsid w:val="008C2369"/>
    <w:rsid w:val="008C2380"/>
    <w:rsid w:val="008C249F"/>
    <w:rsid w:val="008C2525"/>
    <w:rsid w:val="008C2734"/>
    <w:rsid w:val="008C281B"/>
    <w:rsid w:val="008C2859"/>
    <w:rsid w:val="008C28E7"/>
    <w:rsid w:val="008C2A66"/>
    <w:rsid w:val="008C2AA6"/>
    <w:rsid w:val="008C2ADD"/>
    <w:rsid w:val="008C2B0A"/>
    <w:rsid w:val="008C2B7B"/>
    <w:rsid w:val="008C2BE3"/>
    <w:rsid w:val="008C2BEC"/>
    <w:rsid w:val="008C2E0C"/>
    <w:rsid w:val="008C2F0F"/>
    <w:rsid w:val="008C2F2E"/>
    <w:rsid w:val="008C3035"/>
    <w:rsid w:val="008C30C8"/>
    <w:rsid w:val="008C314C"/>
    <w:rsid w:val="008C3179"/>
    <w:rsid w:val="008C317B"/>
    <w:rsid w:val="008C3197"/>
    <w:rsid w:val="008C31BC"/>
    <w:rsid w:val="008C32C5"/>
    <w:rsid w:val="008C32D3"/>
    <w:rsid w:val="008C332B"/>
    <w:rsid w:val="008C33AC"/>
    <w:rsid w:val="008C33D3"/>
    <w:rsid w:val="008C33D6"/>
    <w:rsid w:val="008C342B"/>
    <w:rsid w:val="008C3502"/>
    <w:rsid w:val="008C350D"/>
    <w:rsid w:val="008C35DD"/>
    <w:rsid w:val="008C35E5"/>
    <w:rsid w:val="008C35E9"/>
    <w:rsid w:val="008C3640"/>
    <w:rsid w:val="008C3668"/>
    <w:rsid w:val="008C36C1"/>
    <w:rsid w:val="008C3790"/>
    <w:rsid w:val="008C37F5"/>
    <w:rsid w:val="008C3CA8"/>
    <w:rsid w:val="008C3CF4"/>
    <w:rsid w:val="008C3D0D"/>
    <w:rsid w:val="008C3DA4"/>
    <w:rsid w:val="008C3DF8"/>
    <w:rsid w:val="008C3F1B"/>
    <w:rsid w:val="008C3FB1"/>
    <w:rsid w:val="008C4067"/>
    <w:rsid w:val="008C4072"/>
    <w:rsid w:val="008C409C"/>
    <w:rsid w:val="008C4100"/>
    <w:rsid w:val="008C41BE"/>
    <w:rsid w:val="008C41EF"/>
    <w:rsid w:val="008C452D"/>
    <w:rsid w:val="008C4589"/>
    <w:rsid w:val="008C45C3"/>
    <w:rsid w:val="008C4699"/>
    <w:rsid w:val="008C47C4"/>
    <w:rsid w:val="008C47D5"/>
    <w:rsid w:val="008C4857"/>
    <w:rsid w:val="008C4926"/>
    <w:rsid w:val="008C4930"/>
    <w:rsid w:val="008C4935"/>
    <w:rsid w:val="008C49BF"/>
    <w:rsid w:val="008C4A55"/>
    <w:rsid w:val="008C4AAF"/>
    <w:rsid w:val="008C4AC8"/>
    <w:rsid w:val="008C4AFC"/>
    <w:rsid w:val="008C4B74"/>
    <w:rsid w:val="008C4BFB"/>
    <w:rsid w:val="008C4C0D"/>
    <w:rsid w:val="008C4C25"/>
    <w:rsid w:val="008C4C75"/>
    <w:rsid w:val="008C4CCB"/>
    <w:rsid w:val="008C4CE8"/>
    <w:rsid w:val="008C4D39"/>
    <w:rsid w:val="008C4D72"/>
    <w:rsid w:val="008C4E71"/>
    <w:rsid w:val="008C4E7D"/>
    <w:rsid w:val="008C4E9A"/>
    <w:rsid w:val="008C4F3B"/>
    <w:rsid w:val="008C4F43"/>
    <w:rsid w:val="008C4F8E"/>
    <w:rsid w:val="008C4FF7"/>
    <w:rsid w:val="008C5016"/>
    <w:rsid w:val="008C5022"/>
    <w:rsid w:val="008C50D3"/>
    <w:rsid w:val="008C5104"/>
    <w:rsid w:val="008C510A"/>
    <w:rsid w:val="008C5181"/>
    <w:rsid w:val="008C5258"/>
    <w:rsid w:val="008C529B"/>
    <w:rsid w:val="008C5345"/>
    <w:rsid w:val="008C53BA"/>
    <w:rsid w:val="008C5415"/>
    <w:rsid w:val="008C5445"/>
    <w:rsid w:val="008C5485"/>
    <w:rsid w:val="008C564E"/>
    <w:rsid w:val="008C56B7"/>
    <w:rsid w:val="008C57E9"/>
    <w:rsid w:val="008C584A"/>
    <w:rsid w:val="008C58BE"/>
    <w:rsid w:val="008C5989"/>
    <w:rsid w:val="008C5A4B"/>
    <w:rsid w:val="008C5ACF"/>
    <w:rsid w:val="008C5B7D"/>
    <w:rsid w:val="008C5BC2"/>
    <w:rsid w:val="008C5C63"/>
    <w:rsid w:val="008C5C7B"/>
    <w:rsid w:val="008C5CBA"/>
    <w:rsid w:val="008C5D3B"/>
    <w:rsid w:val="008C5D6A"/>
    <w:rsid w:val="008C5D73"/>
    <w:rsid w:val="008C5DBC"/>
    <w:rsid w:val="008C5DC7"/>
    <w:rsid w:val="008C5DEF"/>
    <w:rsid w:val="008C5F04"/>
    <w:rsid w:val="008C5F34"/>
    <w:rsid w:val="008C5FAC"/>
    <w:rsid w:val="008C6012"/>
    <w:rsid w:val="008C601F"/>
    <w:rsid w:val="008C602B"/>
    <w:rsid w:val="008C6061"/>
    <w:rsid w:val="008C6165"/>
    <w:rsid w:val="008C616E"/>
    <w:rsid w:val="008C6261"/>
    <w:rsid w:val="008C6263"/>
    <w:rsid w:val="008C6280"/>
    <w:rsid w:val="008C634C"/>
    <w:rsid w:val="008C63D7"/>
    <w:rsid w:val="008C6441"/>
    <w:rsid w:val="008C6466"/>
    <w:rsid w:val="008C6498"/>
    <w:rsid w:val="008C649E"/>
    <w:rsid w:val="008C6523"/>
    <w:rsid w:val="008C6557"/>
    <w:rsid w:val="008C66C8"/>
    <w:rsid w:val="008C66EF"/>
    <w:rsid w:val="008C6758"/>
    <w:rsid w:val="008C67D7"/>
    <w:rsid w:val="008C6813"/>
    <w:rsid w:val="008C69C7"/>
    <w:rsid w:val="008C6A1A"/>
    <w:rsid w:val="008C6A8C"/>
    <w:rsid w:val="008C6AB1"/>
    <w:rsid w:val="008C6AE0"/>
    <w:rsid w:val="008C6AE4"/>
    <w:rsid w:val="008C6B41"/>
    <w:rsid w:val="008C6C99"/>
    <w:rsid w:val="008C6CF0"/>
    <w:rsid w:val="008C6D09"/>
    <w:rsid w:val="008C6D0E"/>
    <w:rsid w:val="008C6E31"/>
    <w:rsid w:val="008C707C"/>
    <w:rsid w:val="008C70B2"/>
    <w:rsid w:val="008C70FE"/>
    <w:rsid w:val="008C71D0"/>
    <w:rsid w:val="008C7366"/>
    <w:rsid w:val="008C743D"/>
    <w:rsid w:val="008C7494"/>
    <w:rsid w:val="008C7557"/>
    <w:rsid w:val="008C7596"/>
    <w:rsid w:val="008C7628"/>
    <w:rsid w:val="008C7630"/>
    <w:rsid w:val="008C76B9"/>
    <w:rsid w:val="008C7708"/>
    <w:rsid w:val="008C7744"/>
    <w:rsid w:val="008C781B"/>
    <w:rsid w:val="008C78AF"/>
    <w:rsid w:val="008C78DF"/>
    <w:rsid w:val="008C79DE"/>
    <w:rsid w:val="008C79E0"/>
    <w:rsid w:val="008C79E1"/>
    <w:rsid w:val="008C7A0A"/>
    <w:rsid w:val="008C7A11"/>
    <w:rsid w:val="008C7A13"/>
    <w:rsid w:val="008C7A5F"/>
    <w:rsid w:val="008C7AA8"/>
    <w:rsid w:val="008C7AF3"/>
    <w:rsid w:val="008C7B12"/>
    <w:rsid w:val="008C7B60"/>
    <w:rsid w:val="008C7BCB"/>
    <w:rsid w:val="008C7C00"/>
    <w:rsid w:val="008C7C5A"/>
    <w:rsid w:val="008C7C94"/>
    <w:rsid w:val="008C7CBB"/>
    <w:rsid w:val="008C7CFB"/>
    <w:rsid w:val="008C7DCD"/>
    <w:rsid w:val="008C7E21"/>
    <w:rsid w:val="008C7ECE"/>
    <w:rsid w:val="008C7FC3"/>
    <w:rsid w:val="008D003D"/>
    <w:rsid w:val="008D007F"/>
    <w:rsid w:val="008D0090"/>
    <w:rsid w:val="008D00C8"/>
    <w:rsid w:val="008D00E2"/>
    <w:rsid w:val="008D0127"/>
    <w:rsid w:val="008D0189"/>
    <w:rsid w:val="008D01AD"/>
    <w:rsid w:val="008D0220"/>
    <w:rsid w:val="008D0229"/>
    <w:rsid w:val="008D0261"/>
    <w:rsid w:val="008D03DF"/>
    <w:rsid w:val="008D05C7"/>
    <w:rsid w:val="008D0658"/>
    <w:rsid w:val="008D08CE"/>
    <w:rsid w:val="008D096B"/>
    <w:rsid w:val="008D09D2"/>
    <w:rsid w:val="008D09F7"/>
    <w:rsid w:val="008D0A8B"/>
    <w:rsid w:val="008D0AFD"/>
    <w:rsid w:val="008D0B96"/>
    <w:rsid w:val="008D0B9D"/>
    <w:rsid w:val="008D0BA8"/>
    <w:rsid w:val="008D0BC2"/>
    <w:rsid w:val="008D0D06"/>
    <w:rsid w:val="008D0D30"/>
    <w:rsid w:val="008D0D41"/>
    <w:rsid w:val="008D0DAC"/>
    <w:rsid w:val="008D0DB8"/>
    <w:rsid w:val="008D0DBA"/>
    <w:rsid w:val="008D0DC5"/>
    <w:rsid w:val="008D0F1D"/>
    <w:rsid w:val="008D10F8"/>
    <w:rsid w:val="008D1143"/>
    <w:rsid w:val="008D1209"/>
    <w:rsid w:val="008D1265"/>
    <w:rsid w:val="008D12A6"/>
    <w:rsid w:val="008D13A1"/>
    <w:rsid w:val="008D13EC"/>
    <w:rsid w:val="008D13EE"/>
    <w:rsid w:val="008D14A4"/>
    <w:rsid w:val="008D14A6"/>
    <w:rsid w:val="008D1500"/>
    <w:rsid w:val="008D1523"/>
    <w:rsid w:val="008D159D"/>
    <w:rsid w:val="008D15EE"/>
    <w:rsid w:val="008D1639"/>
    <w:rsid w:val="008D1648"/>
    <w:rsid w:val="008D1658"/>
    <w:rsid w:val="008D166B"/>
    <w:rsid w:val="008D16CB"/>
    <w:rsid w:val="008D17C7"/>
    <w:rsid w:val="008D17E4"/>
    <w:rsid w:val="008D17F9"/>
    <w:rsid w:val="008D19C9"/>
    <w:rsid w:val="008D1A8B"/>
    <w:rsid w:val="008D1A8F"/>
    <w:rsid w:val="008D1B04"/>
    <w:rsid w:val="008D1BD2"/>
    <w:rsid w:val="008D1C37"/>
    <w:rsid w:val="008D1CE2"/>
    <w:rsid w:val="008D1CF3"/>
    <w:rsid w:val="008D1D4D"/>
    <w:rsid w:val="008D1D73"/>
    <w:rsid w:val="008D1DFC"/>
    <w:rsid w:val="008D1E11"/>
    <w:rsid w:val="008D1E6A"/>
    <w:rsid w:val="008D1E8F"/>
    <w:rsid w:val="008D1F75"/>
    <w:rsid w:val="008D1FA0"/>
    <w:rsid w:val="008D1FC6"/>
    <w:rsid w:val="008D20AC"/>
    <w:rsid w:val="008D20DF"/>
    <w:rsid w:val="008D20F8"/>
    <w:rsid w:val="008D212D"/>
    <w:rsid w:val="008D2191"/>
    <w:rsid w:val="008D219C"/>
    <w:rsid w:val="008D21C1"/>
    <w:rsid w:val="008D21CA"/>
    <w:rsid w:val="008D2200"/>
    <w:rsid w:val="008D2216"/>
    <w:rsid w:val="008D22E7"/>
    <w:rsid w:val="008D230B"/>
    <w:rsid w:val="008D2337"/>
    <w:rsid w:val="008D2398"/>
    <w:rsid w:val="008D23C9"/>
    <w:rsid w:val="008D244C"/>
    <w:rsid w:val="008D2493"/>
    <w:rsid w:val="008D24D5"/>
    <w:rsid w:val="008D25E4"/>
    <w:rsid w:val="008D2618"/>
    <w:rsid w:val="008D26A3"/>
    <w:rsid w:val="008D26C8"/>
    <w:rsid w:val="008D2710"/>
    <w:rsid w:val="008D2748"/>
    <w:rsid w:val="008D2863"/>
    <w:rsid w:val="008D28A4"/>
    <w:rsid w:val="008D2969"/>
    <w:rsid w:val="008D2B04"/>
    <w:rsid w:val="008D2B95"/>
    <w:rsid w:val="008D2BB9"/>
    <w:rsid w:val="008D2C6D"/>
    <w:rsid w:val="008D2C7B"/>
    <w:rsid w:val="008D2C8E"/>
    <w:rsid w:val="008D2DDE"/>
    <w:rsid w:val="008D2E3E"/>
    <w:rsid w:val="008D2E6F"/>
    <w:rsid w:val="008D2F2A"/>
    <w:rsid w:val="008D2F89"/>
    <w:rsid w:val="008D2FE2"/>
    <w:rsid w:val="008D3051"/>
    <w:rsid w:val="008D30A4"/>
    <w:rsid w:val="008D3296"/>
    <w:rsid w:val="008D3355"/>
    <w:rsid w:val="008D33F3"/>
    <w:rsid w:val="008D34C1"/>
    <w:rsid w:val="008D358D"/>
    <w:rsid w:val="008D35E0"/>
    <w:rsid w:val="008D362C"/>
    <w:rsid w:val="008D37DC"/>
    <w:rsid w:val="008D38A5"/>
    <w:rsid w:val="008D38CD"/>
    <w:rsid w:val="008D38D3"/>
    <w:rsid w:val="008D38FE"/>
    <w:rsid w:val="008D3986"/>
    <w:rsid w:val="008D39C5"/>
    <w:rsid w:val="008D3A12"/>
    <w:rsid w:val="008D3A9B"/>
    <w:rsid w:val="008D3B0B"/>
    <w:rsid w:val="008D3B11"/>
    <w:rsid w:val="008D3B1C"/>
    <w:rsid w:val="008D3BEC"/>
    <w:rsid w:val="008D3C0F"/>
    <w:rsid w:val="008D3C73"/>
    <w:rsid w:val="008D3CDD"/>
    <w:rsid w:val="008D3CFA"/>
    <w:rsid w:val="008D3E0E"/>
    <w:rsid w:val="008D3E9A"/>
    <w:rsid w:val="008D3EC5"/>
    <w:rsid w:val="008D3F5D"/>
    <w:rsid w:val="008D3F84"/>
    <w:rsid w:val="008D3F88"/>
    <w:rsid w:val="008D3FD8"/>
    <w:rsid w:val="008D3FF8"/>
    <w:rsid w:val="008D41D5"/>
    <w:rsid w:val="008D421C"/>
    <w:rsid w:val="008D4358"/>
    <w:rsid w:val="008D43EF"/>
    <w:rsid w:val="008D4407"/>
    <w:rsid w:val="008D4499"/>
    <w:rsid w:val="008D44D7"/>
    <w:rsid w:val="008D454C"/>
    <w:rsid w:val="008D455F"/>
    <w:rsid w:val="008D45F2"/>
    <w:rsid w:val="008D4742"/>
    <w:rsid w:val="008D47FD"/>
    <w:rsid w:val="008D49F7"/>
    <w:rsid w:val="008D4ABA"/>
    <w:rsid w:val="008D4B0D"/>
    <w:rsid w:val="008D4B64"/>
    <w:rsid w:val="008D4B9B"/>
    <w:rsid w:val="008D4BAC"/>
    <w:rsid w:val="008D4BEA"/>
    <w:rsid w:val="008D4CC4"/>
    <w:rsid w:val="008D4CF5"/>
    <w:rsid w:val="008D4D05"/>
    <w:rsid w:val="008D4D38"/>
    <w:rsid w:val="008D4D4B"/>
    <w:rsid w:val="008D4DAA"/>
    <w:rsid w:val="008D4E26"/>
    <w:rsid w:val="008D4E52"/>
    <w:rsid w:val="008D4E79"/>
    <w:rsid w:val="008D4EF5"/>
    <w:rsid w:val="008D4F0F"/>
    <w:rsid w:val="008D4F2A"/>
    <w:rsid w:val="008D4F86"/>
    <w:rsid w:val="008D4FEA"/>
    <w:rsid w:val="008D500A"/>
    <w:rsid w:val="008D503C"/>
    <w:rsid w:val="008D50D8"/>
    <w:rsid w:val="008D5154"/>
    <w:rsid w:val="008D516A"/>
    <w:rsid w:val="008D5196"/>
    <w:rsid w:val="008D519A"/>
    <w:rsid w:val="008D51E2"/>
    <w:rsid w:val="008D523F"/>
    <w:rsid w:val="008D5263"/>
    <w:rsid w:val="008D527E"/>
    <w:rsid w:val="008D5326"/>
    <w:rsid w:val="008D5350"/>
    <w:rsid w:val="008D5356"/>
    <w:rsid w:val="008D5393"/>
    <w:rsid w:val="008D53AF"/>
    <w:rsid w:val="008D5441"/>
    <w:rsid w:val="008D546B"/>
    <w:rsid w:val="008D546E"/>
    <w:rsid w:val="008D5474"/>
    <w:rsid w:val="008D54C1"/>
    <w:rsid w:val="008D5540"/>
    <w:rsid w:val="008D555B"/>
    <w:rsid w:val="008D5580"/>
    <w:rsid w:val="008D55DA"/>
    <w:rsid w:val="008D5624"/>
    <w:rsid w:val="008D581C"/>
    <w:rsid w:val="008D583E"/>
    <w:rsid w:val="008D5849"/>
    <w:rsid w:val="008D588A"/>
    <w:rsid w:val="008D5891"/>
    <w:rsid w:val="008D5981"/>
    <w:rsid w:val="008D5A44"/>
    <w:rsid w:val="008D5A85"/>
    <w:rsid w:val="008D5B40"/>
    <w:rsid w:val="008D5BD8"/>
    <w:rsid w:val="008D5C0A"/>
    <w:rsid w:val="008D5C20"/>
    <w:rsid w:val="008D5CAB"/>
    <w:rsid w:val="008D5D5B"/>
    <w:rsid w:val="008D5E03"/>
    <w:rsid w:val="008D5E24"/>
    <w:rsid w:val="008D5E87"/>
    <w:rsid w:val="008D5F0C"/>
    <w:rsid w:val="008D602D"/>
    <w:rsid w:val="008D6094"/>
    <w:rsid w:val="008D6188"/>
    <w:rsid w:val="008D61B5"/>
    <w:rsid w:val="008D6350"/>
    <w:rsid w:val="008D6441"/>
    <w:rsid w:val="008D64D2"/>
    <w:rsid w:val="008D6582"/>
    <w:rsid w:val="008D661D"/>
    <w:rsid w:val="008D6648"/>
    <w:rsid w:val="008D66A7"/>
    <w:rsid w:val="008D6794"/>
    <w:rsid w:val="008D683B"/>
    <w:rsid w:val="008D6953"/>
    <w:rsid w:val="008D69E7"/>
    <w:rsid w:val="008D6A77"/>
    <w:rsid w:val="008D6A7E"/>
    <w:rsid w:val="008D6A9C"/>
    <w:rsid w:val="008D6B01"/>
    <w:rsid w:val="008D6B6C"/>
    <w:rsid w:val="008D6B92"/>
    <w:rsid w:val="008D6C4F"/>
    <w:rsid w:val="008D6C55"/>
    <w:rsid w:val="008D6CE8"/>
    <w:rsid w:val="008D6D2C"/>
    <w:rsid w:val="008D6D7B"/>
    <w:rsid w:val="008D6D92"/>
    <w:rsid w:val="008D6DB8"/>
    <w:rsid w:val="008D6ED1"/>
    <w:rsid w:val="008D6F05"/>
    <w:rsid w:val="008D6F79"/>
    <w:rsid w:val="008D6FE3"/>
    <w:rsid w:val="008D7025"/>
    <w:rsid w:val="008D70E0"/>
    <w:rsid w:val="008D71B8"/>
    <w:rsid w:val="008D71D2"/>
    <w:rsid w:val="008D7248"/>
    <w:rsid w:val="008D7272"/>
    <w:rsid w:val="008D728D"/>
    <w:rsid w:val="008D729C"/>
    <w:rsid w:val="008D72A4"/>
    <w:rsid w:val="008D7336"/>
    <w:rsid w:val="008D7427"/>
    <w:rsid w:val="008D7451"/>
    <w:rsid w:val="008D7478"/>
    <w:rsid w:val="008D7707"/>
    <w:rsid w:val="008D77CE"/>
    <w:rsid w:val="008D78A2"/>
    <w:rsid w:val="008D78B8"/>
    <w:rsid w:val="008D7911"/>
    <w:rsid w:val="008D7922"/>
    <w:rsid w:val="008D7937"/>
    <w:rsid w:val="008D7941"/>
    <w:rsid w:val="008D7960"/>
    <w:rsid w:val="008D79FB"/>
    <w:rsid w:val="008D7A21"/>
    <w:rsid w:val="008D7A29"/>
    <w:rsid w:val="008D7A2D"/>
    <w:rsid w:val="008D7A61"/>
    <w:rsid w:val="008D7C5E"/>
    <w:rsid w:val="008D7CE3"/>
    <w:rsid w:val="008D7CF4"/>
    <w:rsid w:val="008D7D84"/>
    <w:rsid w:val="008D7E99"/>
    <w:rsid w:val="008D7F93"/>
    <w:rsid w:val="008D7FA4"/>
    <w:rsid w:val="008D7FB9"/>
    <w:rsid w:val="008D7FFD"/>
    <w:rsid w:val="008E0089"/>
    <w:rsid w:val="008E0098"/>
    <w:rsid w:val="008E022A"/>
    <w:rsid w:val="008E0270"/>
    <w:rsid w:val="008E02A9"/>
    <w:rsid w:val="008E02D1"/>
    <w:rsid w:val="008E0336"/>
    <w:rsid w:val="008E0429"/>
    <w:rsid w:val="008E0430"/>
    <w:rsid w:val="008E04D7"/>
    <w:rsid w:val="008E069F"/>
    <w:rsid w:val="008E06D2"/>
    <w:rsid w:val="008E06E9"/>
    <w:rsid w:val="008E0764"/>
    <w:rsid w:val="008E084E"/>
    <w:rsid w:val="008E098B"/>
    <w:rsid w:val="008E0A7B"/>
    <w:rsid w:val="008E0ABB"/>
    <w:rsid w:val="008E0AD7"/>
    <w:rsid w:val="008E0AEA"/>
    <w:rsid w:val="008E0B75"/>
    <w:rsid w:val="008E0BE2"/>
    <w:rsid w:val="008E0C7F"/>
    <w:rsid w:val="008E0C96"/>
    <w:rsid w:val="008E0C9C"/>
    <w:rsid w:val="008E0D19"/>
    <w:rsid w:val="008E0D26"/>
    <w:rsid w:val="008E0E1D"/>
    <w:rsid w:val="008E0EE6"/>
    <w:rsid w:val="008E0F8B"/>
    <w:rsid w:val="008E0F91"/>
    <w:rsid w:val="008E115C"/>
    <w:rsid w:val="008E1262"/>
    <w:rsid w:val="008E126F"/>
    <w:rsid w:val="008E12C8"/>
    <w:rsid w:val="008E14A7"/>
    <w:rsid w:val="008E154C"/>
    <w:rsid w:val="008E16A9"/>
    <w:rsid w:val="008E1862"/>
    <w:rsid w:val="008E1899"/>
    <w:rsid w:val="008E18F2"/>
    <w:rsid w:val="008E191B"/>
    <w:rsid w:val="008E191D"/>
    <w:rsid w:val="008E1935"/>
    <w:rsid w:val="008E1974"/>
    <w:rsid w:val="008E1A0B"/>
    <w:rsid w:val="008E1A6B"/>
    <w:rsid w:val="008E1A72"/>
    <w:rsid w:val="008E1AE1"/>
    <w:rsid w:val="008E1BCF"/>
    <w:rsid w:val="008E1CF1"/>
    <w:rsid w:val="008E1CFA"/>
    <w:rsid w:val="008E1D21"/>
    <w:rsid w:val="008E1D40"/>
    <w:rsid w:val="008E1D68"/>
    <w:rsid w:val="008E1D81"/>
    <w:rsid w:val="008E1D89"/>
    <w:rsid w:val="008E1D8B"/>
    <w:rsid w:val="008E1DA9"/>
    <w:rsid w:val="008E1DC4"/>
    <w:rsid w:val="008E1DDC"/>
    <w:rsid w:val="008E1DE6"/>
    <w:rsid w:val="008E1F8F"/>
    <w:rsid w:val="008E2034"/>
    <w:rsid w:val="008E204D"/>
    <w:rsid w:val="008E2090"/>
    <w:rsid w:val="008E2097"/>
    <w:rsid w:val="008E2108"/>
    <w:rsid w:val="008E2115"/>
    <w:rsid w:val="008E211F"/>
    <w:rsid w:val="008E2380"/>
    <w:rsid w:val="008E23C8"/>
    <w:rsid w:val="008E2431"/>
    <w:rsid w:val="008E2459"/>
    <w:rsid w:val="008E24A3"/>
    <w:rsid w:val="008E24C0"/>
    <w:rsid w:val="008E26DA"/>
    <w:rsid w:val="008E270B"/>
    <w:rsid w:val="008E272D"/>
    <w:rsid w:val="008E2744"/>
    <w:rsid w:val="008E2771"/>
    <w:rsid w:val="008E27B3"/>
    <w:rsid w:val="008E27EC"/>
    <w:rsid w:val="008E2839"/>
    <w:rsid w:val="008E2841"/>
    <w:rsid w:val="008E28D1"/>
    <w:rsid w:val="008E28E1"/>
    <w:rsid w:val="008E28F0"/>
    <w:rsid w:val="008E2987"/>
    <w:rsid w:val="008E29D1"/>
    <w:rsid w:val="008E2A9E"/>
    <w:rsid w:val="008E2AF5"/>
    <w:rsid w:val="008E2BDE"/>
    <w:rsid w:val="008E2C76"/>
    <w:rsid w:val="008E2CD6"/>
    <w:rsid w:val="008E2D27"/>
    <w:rsid w:val="008E2D43"/>
    <w:rsid w:val="008E2D69"/>
    <w:rsid w:val="008E2EA0"/>
    <w:rsid w:val="008E2F71"/>
    <w:rsid w:val="008E3075"/>
    <w:rsid w:val="008E3106"/>
    <w:rsid w:val="008E31F4"/>
    <w:rsid w:val="008E321C"/>
    <w:rsid w:val="008E3373"/>
    <w:rsid w:val="008E338A"/>
    <w:rsid w:val="008E3449"/>
    <w:rsid w:val="008E34B1"/>
    <w:rsid w:val="008E35A0"/>
    <w:rsid w:val="008E35D2"/>
    <w:rsid w:val="008E37C1"/>
    <w:rsid w:val="008E37C8"/>
    <w:rsid w:val="008E3817"/>
    <w:rsid w:val="008E3864"/>
    <w:rsid w:val="008E392A"/>
    <w:rsid w:val="008E39A3"/>
    <w:rsid w:val="008E39E1"/>
    <w:rsid w:val="008E39EA"/>
    <w:rsid w:val="008E3AF8"/>
    <w:rsid w:val="008E3AFC"/>
    <w:rsid w:val="008E3B1D"/>
    <w:rsid w:val="008E3B43"/>
    <w:rsid w:val="008E3BDB"/>
    <w:rsid w:val="008E3C4E"/>
    <w:rsid w:val="008E3D42"/>
    <w:rsid w:val="008E3D82"/>
    <w:rsid w:val="008E3DC2"/>
    <w:rsid w:val="008E3DFD"/>
    <w:rsid w:val="008E3E06"/>
    <w:rsid w:val="008E3E3E"/>
    <w:rsid w:val="008E3E7B"/>
    <w:rsid w:val="008E3E86"/>
    <w:rsid w:val="008E4110"/>
    <w:rsid w:val="008E4172"/>
    <w:rsid w:val="008E41DE"/>
    <w:rsid w:val="008E420C"/>
    <w:rsid w:val="008E4273"/>
    <w:rsid w:val="008E4359"/>
    <w:rsid w:val="008E435E"/>
    <w:rsid w:val="008E4430"/>
    <w:rsid w:val="008E4592"/>
    <w:rsid w:val="008E45E4"/>
    <w:rsid w:val="008E461D"/>
    <w:rsid w:val="008E4726"/>
    <w:rsid w:val="008E4780"/>
    <w:rsid w:val="008E47A2"/>
    <w:rsid w:val="008E483A"/>
    <w:rsid w:val="008E4860"/>
    <w:rsid w:val="008E4886"/>
    <w:rsid w:val="008E4895"/>
    <w:rsid w:val="008E496D"/>
    <w:rsid w:val="008E4979"/>
    <w:rsid w:val="008E49D7"/>
    <w:rsid w:val="008E4A0E"/>
    <w:rsid w:val="008E4AFA"/>
    <w:rsid w:val="008E4B53"/>
    <w:rsid w:val="008E4BC8"/>
    <w:rsid w:val="008E4BE9"/>
    <w:rsid w:val="008E4D29"/>
    <w:rsid w:val="008E4D3A"/>
    <w:rsid w:val="008E4DDC"/>
    <w:rsid w:val="008E4E6D"/>
    <w:rsid w:val="008E4EF0"/>
    <w:rsid w:val="008E50C7"/>
    <w:rsid w:val="008E51A9"/>
    <w:rsid w:val="008E5250"/>
    <w:rsid w:val="008E52D5"/>
    <w:rsid w:val="008E52DF"/>
    <w:rsid w:val="008E539A"/>
    <w:rsid w:val="008E5447"/>
    <w:rsid w:val="008E54CA"/>
    <w:rsid w:val="008E559C"/>
    <w:rsid w:val="008E55AC"/>
    <w:rsid w:val="008E5693"/>
    <w:rsid w:val="008E57EA"/>
    <w:rsid w:val="008E581F"/>
    <w:rsid w:val="008E58A1"/>
    <w:rsid w:val="008E58BE"/>
    <w:rsid w:val="008E58FE"/>
    <w:rsid w:val="008E5917"/>
    <w:rsid w:val="008E593E"/>
    <w:rsid w:val="008E59FD"/>
    <w:rsid w:val="008E5AC0"/>
    <w:rsid w:val="008E5ACD"/>
    <w:rsid w:val="008E5B25"/>
    <w:rsid w:val="008E5BA1"/>
    <w:rsid w:val="008E5BA5"/>
    <w:rsid w:val="008E5C43"/>
    <w:rsid w:val="008E5CDF"/>
    <w:rsid w:val="008E5CE9"/>
    <w:rsid w:val="008E5ECF"/>
    <w:rsid w:val="008E5F5B"/>
    <w:rsid w:val="008E6069"/>
    <w:rsid w:val="008E6165"/>
    <w:rsid w:val="008E619E"/>
    <w:rsid w:val="008E61C6"/>
    <w:rsid w:val="008E61D3"/>
    <w:rsid w:val="008E61DB"/>
    <w:rsid w:val="008E61FC"/>
    <w:rsid w:val="008E6200"/>
    <w:rsid w:val="008E6259"/>
    <w:rsid w:val="008E62F1"/>
    <w:rsid w:val="008E6388"/>
    <w:rsid w:val="008E6544"/>
    <w:rsid w:val="008E658D"/>
    <w:rsid w:val="008E6761"/>
    <w:rsid w:val="008E67BF"/>
    <w:rsid w:val="008E67CB"/>
    <w:rsid w:val="008E687C"/>
    <w:rsid w:val="008E6896"/>
    <w:rsid w:val="008E68A7"/>
    <w:rsid w:val="008E68AC"/>
    <w:rsid w:val="008E6902"/>
    <w:rsid w:val="008E697E"/>
    <w:rsid w:val="008E698F"/>
    <w:rsid w:val="008E6995"/>
    <w:rsid w:val="008E6C5A"/>
    <w:rsid w:val="008E6D6F"/>
    <w:rsid w:val="008E6D88"/>
    <w:rsid w:val="008E6E35"/>
    <w:rsid w:val="008E6E5E"/>
    <w:rsid w:val="008E6FA0"/>
    <w:rsid w:val="008E6FF7"/>
    <w:rsid w:val="008E7066"/>
    <w:rsid w:val="008E7080"/>
    <w:rsid w:val="008E7137"/>
    <w:rsid w:val="008E71C5"/>
    <w:rsid w:val="008E7315"/>
    <w:rsid w:val="008E7404"/>
    <w:rsid w:val="008E7429"/>
    <w:rsid w:val="008E74C0"/>
    <w:rsid w:val="008E74D0"/>
    <w:rsid w:val="008E7685"/>
    <w:rsid w:val="008E77AF"/>
    <w:rsid w:val="008E7881"/>
    <w:rsid w:val="008E789E"/>
    <w:rsid w:val="008E7941"/>
    <w:rsid w:val="008E79FF"/>
    <w:rsid w:val="008E7A59"/>
    <w:rsid w:val="008E7AE6"/>
    <w:rsid w:val="008E7B58"/>
    <w:rsid w:val="008E7BA9"/>
    <w:rsid w:val="008E7BBE"/>
    <w:rsid w:val="008E7BE4"/>
    <w:rsid w:val="008E7BEE"/>
    <w:rsid w:val="008E7C02"/>
    <w:rsid w:val="008E7C64"/>
    <w:rsid w:val="008E7CAC"/>
    <w:rsid w:val="008E7CC0"/>
    <w:rsid w:val="008E7CD5"/>
    <w:rsid w:val="008E7D03"/>
    <w:rsid w:val="008E7D4E"/>
    <w:rsid w:val="008E7D62"/>
    <w:rsid w:val="008E7D9E"/>
    <w:rsid w:val="008E7DAC"/>
    <w:rsid w:val="008E7E21"/>
    <w:rsid w:val="008E7EB4"/>
    <w:rsid w:val="008E7F97"/>
    <w:rsid w:val="008E7FAF"/>
    <w:rsid w:val="008F00BE"/>
    <w:rsid w:val="008F027D"/>
    <w:rsid w:val="008F02D4"/>
    <w:rsid w:val="008F02D9"/>
    <w:rsid w:val="008F0451"/>
    <w:rsid w:val="008F04C5"/>
    <w:rsid w:val="008F04C6"/>
    <w:rsid w:val="008F04CA"/>
    <w:rsid w:val="008F0580"/>
    <w:rsid w:val="008F0592"/>
    <w:rsid w:val="008F05AE"/>
    <w:rsid w:val="008F08DF"/>
    <w:rsid w:val="008F09B2"/>
    <w:rsid w:val="008F0BA4"/>
    <w:rsid w:val="008F0BE4"/>
    <w:rsid w:val="008F0BE6"/>
    <w:rsid w:val="008F0C2F"/>
    <w:rsid w:val="008F0C59"/>
    <w:rsid w:val="008F0C93"/>
    <w:rsid w:val="008F0D82"/>
    <w:rsid w:val="008F0DD5"/>
    <w:rsid w:val="008F0E85"/>
    <w:rsid w:val="008F0EBC"/>
    <w:rsid w:val="008F0EFB"/>
    <w:rsid w:val="008F0F62"/>
    <w:rsid w:val="008F0F9F"/>
    <w:rsid w:val="008F0FB5"/>
    <w:rsid w:val="008F0FC8"/>
    <w:rsid w:val="008F0FFE"/>
    <w:rsid w:val="008F1036"/>
    <w:rsid w:val="008F10C7"/>
    <w:rsid w:val="008F111B"/>
    <w:rsid w:val="008F1321"/>
    <w:rsid w:val="008F1349"/>
    <w:rsid w:val="008F1355"/>
    <w:rsid w:val="008F1474"/>
    <w:rsid w:val="008F14FD"/>
    <w:rsid w:val="008F153A"/>
    <w:rsid w:val="008F154C"/>
    <w:rsid w:val="008F15E7"/>
    <w:rsid w:val="008F1648"/>
    <w:rsid w:val="008F16E7"/>
    <w:rsid w:val="008F170B"/>
    <w:rsid w:val="008F175B"/>
    <w:rsid w:val="008F177F"/>
    <w:rsid w:val="008F1811"/>
    <w:rsid w:val="008F1846"/>
    <w:rsid w:val="008F18D4"/>
    <w:rsid w:val="008F192C"/>
    <w:rsid w:val="008F1977"/>
    <w:rsid w:val="008F1995"/>
    <w:rsid w:val="008F1A6E"/>
    <w:rsid w:val="008F1A91"/>
    <w:rsid w:val="008F1AF8"/>
    <w:rsid w:val="008F1B40"/>
    <w:rsid w:val="008F1B6F"/>
    <w:rsid w:val="008F1BAD"/>
    <w:rsid w:val="008F1BD1"/>
    <w:rsid w:val="008F1BD6"/>
    <w:rsid w:val="008F1C58"/>
    <w:rsid w:val="008F1C73"/>
    <w:rsid w:val="008F1C99"/>
    <w:rsid w:val="008F1C9A"/>
    <w:rsid w:val="008F1D67"/>
    <w:rsid w:val="008F1D6C"/>
    <w:rsid w:val="008F1DF7"/>
    <w:rsid w:val="008F1E14"/>
    <w:rsid w:val="008F1E71"/>
    <w:rsid w:val="008F1EFA"/>
    <w:rsid w:val="008F1F7D"/>
    <w:rsid w:val="008F1F80"/>
    <w:rsid w:val="008F1FC8"/>
    <w:rsid w:val="008F2116"/>
    <w:rsid w:val="008F21A7"/>
    <w:rsid w:val="008F2274"/>
    <w:rsid w:val="008F234A"/>
    <w:rsid w:val="008F23B2"/>
    <w:rsid w:val="008F2430"/>
    <w:rsid w:val="008F2450"/>
    <w:rsid w:val="008F249E"/>
    <w:rsid w:val="008F2506"/>
    <w:rsid w:val="008F2574"/>
    <w:rsid w:val="008F25BD"/>
    <w:rsid w:val="008F25E7"/>
    <w:rsid w:val="008F2648"/>
    <w:rsid w:val="008F2663"/>
    <w:rsid w:val="008F2671"/>
    <w:rsid w:val="008F2681"/>
    <w:rsid w:val="008F2797"/>
    <w:rsid w:val="008F27AD"/>
    <w:rsid w:val="008F27F0"/>
    <w:rsid w:val="008F281C"/>
    <w:rsid w:val="008F284B"/>
    <w:rsid w:val="008F28AC"/>
    <w:rsid w:val="008F28E1"/>
    <w:rsid w:val="008F28F0"/>
    <w:rsid w:val="008F28F2"/>
    <w:rsid w:val="008F2916"/>
    <w:rsid w:val="008F2924"/>
    <w:rsid w:val="008F296C"/>
    <w:rsid w:val="008F298E"/>
    <w:rsid w:val="008F29A3"/>
    <w:rsid w:val="008F2AC6"/>
    <w:rsid w:val="008F2B3E"/>
    <w:rsid w:val="008F2B66"/>
    <w:rsid w:val="008F2BD4"/>
    <w:rsid w:val="008F2BFB"/>
    <w:rsid w:val="008F2C49"/>
    <w:rsid w:val="008F2C8A"/>
    <w:rsid w:val="008F2C97"/>
    <w:rsid w:val="008F2CA3"/>
    <w:rsid w:val="008F2DD1"/>
    <w:rsid w:val="008F2EBE"/>
    <w:rsid w:val="008F2F5A"/>
    <w:rsid w:val="008F3132"/>
    <w:rsid w:val="008F31E9"/>
    <w:rsid w:val="008F327F"/>
    <w:rsid w:val="008F32D1"/>
    <w:rsid w:val="008F340F"/>
    <w:rsid w:val="008F34BA"/>
    <w:rsid w:val="008F3522"/>
    <w:rsid w:val="008F3537"/>
    <w:rsid w:val="008F354A"/>
    <w:rsid w:val="008F35DB"/>
    <w:rsid w:val="008F35E6"/>
    <w:rsid w:val="008F3605"/>
    <w:rsid w:val="008F362D"/>
    <w:rsid w:val="008F3692"/>
    <w:rsid w:val="008F3701"/>
    <w:rsid w:val="008F3827"/>
    <w:rsid w:val="008F3847"/>
    <w:rsid w:val="008F3868"/>
    <w:rsid w:val="008F38B2"/>
    <w:rsid w:val="008F3911"/>
    <w:rsid w:val="008F3919"/>
    <w:rsid w:val="008F39D6"/>
    <w:rsid w:val="008F3A02"/>
    <w:rsid w:val="008F3AB0"/>
    <w:rsid w:val="008F3AEE"/>
    <w:rsid w:val="008F3B7D"/>
    <w:rsid w:val="008F3C41"/>
    <w:rsid w:val="008F3EE5"/>
    <w:rsid w:val="008F3F37"/>
    <w:rsid w:val="008F3FA7"/>
    <w:rsid w:val="008F4046"/>
    <w:rsid w:val="008F4071"/>
    <w:rsid w:val="008F4083"/>
    <w:rsid w:val="008F41A8"/>
    <w:rsid w:val="008F4257"/>
    <w:rsid w:val="008F4281"/>
    <w:rsid w:val="008F4282"/>
    <w:rsid w:val="008F42AB"/>
    <w:rsid w:val="008F42B2"/>
    <w:rsid w:val="008F4423"/>
    <w:rsid w:val="008F4541"/>
    <w:rsid w:val="008F4678"/>
    <w:rsid w:val="008F46DD"/>
    <w:rsid w:val="008F46F6"/>
    <w:rsid w:val="008F47D2"/>
    <w:rsid w:val="008F480E"/>
    <w:rsid w:val="008F48FB"/>
    <w:rsid w:val="008F490F"/>
    <w:rsid w:val="008F4946"/>
    <w:rsid w:val="008F4965"/>
    <w:rsid w:val="008F498A"/>
    <w:rsid w:val="008F49E6"/>
    <w:rsid w:val="008F4A5A"/>
    <w:rsid w:val="008F4A6E"/>
    <w:rsid w:val="008F4A72"/>
    <w:rsid w:val="008F4AF8"/>
    <w:rsid w:val="008F4B73"/>
    <w:rsid w:val="008F4BDF"/>
    <w:rsid w:val="008F4C1F"/>
    <w:rsid w:val="008F4C50"/>
    <w:rsid w:val="008F4C71"/>
    <w:rsid w:val="008F4CD8"/>
    <w:rsid w:val="008F4D77"/>
    <w:rsid w:val="008F4DCA"/>
    <w:rsid w:val="008F4DD7"/>
    <w:rsid w:val="008F4E83"/>
    <w:rsid w:val="008F4EE5"/>
    <w:rsid w:val="008F5016"/>
    <w:rsid w:val="008F50A1"/>
    <w:rsid w:val="008F514A"/>
    <w:rsid w:val="008F5251"/>
    <w:rsid w:val="008F5349"/>
    <w:rsid w:val="008F5361"/>
    <w:rsid w:val="008F5369"/>
    <w:rsid w:val="008F5378"/>
    <w:rsid w:val="008F539D"/>
    <w:rsid w:val="008F54B0"/>
    <w:rsid w:val="008F54C5"/>
    <w:rsid w:val="008F564C"/>
    <w:rsid w:val="008F56C0"/>
    <w:rsid w:val="008F56D4"/>
    <w:rsid w:val="008F56FB"/>
    <w:rsid w:val="008F5760"/>
    <w:rsid w:val="008F576C"/>
    <w:rsid w:val="008F5784"/>
    <w:rsid w:val="008F57F7"/>
    <w:rsid w:val="008F58D9"/>
    <w:rsid w:val="008F595D"/>
    <w:rsid w:val="008F5983"/>
    <w:rsid w:val="008F599C"/>
    <w:rsid w:val="008F59CD"/>
    <w:rsid w:val="008F59F0"/>
    <w:rsid w:val="008F5ADD"/>
    <w:rsid w:val="008F5BC4"/>
    <w:rsid w:val="008F5D08"/>
    <w:rsid w:val="008F5D37"/>
    <w:rsid w:val="008F5EEF"/>
    <w:rsid w:val="008F5EFE"/>
    <w:rsid w:val="008F5F3F"/>
    <w:rsid w:val="008F5F87"/>
    <w:rsid w:val="008F6006"/>
    <w:rsid w:val="008F60D6"/>
    <w:rsid w:val="008F6168"/>
    <w:rsid w:val="008F6336"/>
    <w:rsid w:val="008F6390"/>
    <w:rsid w:val="008F63DA"/>
    <w:rsid w:val="008F640A"/>
    <w:rsid w:val="008F648E"/>
    <w:rsid w:val="008F64C9"/>
    <w:rsid w:val="008F6679"/>
    <w:rsid w:val="008F673E"/>
    <w:rsid w:val="008F6748"/>
    <w:rsid w:val="008F6798"/>
    <w:rsid w:val="008F6849"/>
    <w:rsid w:val="008F6904"/>
    <w:rsid w:val="008F6905"/>
    <w:rsid w:val="008F690E"/>
    <w:rsid w:val="008F696E"/>
    <w:rsid w:val="008F698A"/>
    <w:rsid w:val="008F69DE"/>
    <w:rsid w:val="008F6A73"/>
    <w:rsid w:val="008F6A84"/>
    <w:rsid w:val="008F6D5A"/>
    <w:rsid w:val="008F6DC0"/>
    <w:rsid w:val="008F6E57"/>
    <w:rsid w:val="008F6EAD"/>
    <w:rsid w:val="008F6EBC"/>
    <w:rsid w:val="008F6EE4"/>
    <w:rsid w:val="008F6F26"/>
    <w:rsid w:val="008F6FF6"/>
    <w:rsid w:val="008F701B"/>
    <w:rsid w:val="008F704C"/>
    <w:rsid w:val="008F705A"/>
    <w:rsid w:val="008F7068"/>
    <w:rsid w:val="008F70EC"/>
    <w:rsid w:val="008F711A"/>
    <w:rsid w:val="008F7182"/>
    <w:rsid w:val="008F7303"/>
    <w:rsid w:val="008F730A"/>
    <w:rsid w:val="008F73C1"/>
    <w:rsid w:val="008F7402"/>
    <w:rsid w:val="008F7486"/>
    <w:rsid w:val="008F748F"/>
    <w:rsid w:val="008F74BC"/>
    <w:rsid w:val="008F7505"/>
    <w:rsid w:val="008F7591"/>
    <w:rsid w:val="008F7596"/>
    <w:rsid w:val="008F7656"/>
    <w:rsid w:val="008F77D3"/>
    <w:rsid w:val="008F77E9"/>
    <w:rsid w:val="008F77FC"/>
    <w:rsid w:val="008F77FD"/>
    <w:rsid w:val="008F7808"/>
    <w:rsid w:val="008F7810"/>
    <w:rsid w:val="008F7837"/>
    <w:rsid w:val="008F78C3"/>
    <w:rsid w:val="008F79BB"/>
    <w:rsid w:val="008F79C4"/>
    <w:rsid w:val="008F79D4"/>
    <w:rsid w:val="008F79F9"/>
    <w:rsid w:val="008F7A2E"/>
    <w:rsid w:val="008F7A49"/>
    <w:rsid w:val="008F7AB7"/>
    <w:rsid w:val="008F7B1A"/>
    <w:rsid w:val="008F7B2E"/>
    <w:rsid w:val="008F7B77"/>
    <w:rsid w:val="008F7B98"/>
    <w:rsid w:val="008F7C33"/>
    <w:rsid w:val="008F7C54"/>
    <w:rsid w:val="008F7C82"/>
    <w:rsid w:val="008F7CCB"/>
    <w:rsid w:val="008F7D1C"/>
    <w:rsid w:val="008F7E39"/>
    <w:rsid w:val="008F7EF0"/>
    <w:rsid w:val="008F7FFE"/>
    <w:rsid w:val="009000A8"/>
    <w:rsid w:val="009000AC"/>
    <w:rsid w:val="009000D3"/>
    <w:rsid w:val="009000E4"/>
    <w:rsid w:val="0090014A"/>
    <w:rsid w:val="00900411"/>
    <w:rsid w:val="0090050D"/>
    <w:rsid w:val="009005ED"/>
    <w:rsid w:val="00900606"/>
    <w:rsid w:val="00900641"/>
    <w:rsid w:val="00900688"/>
    <w:rsid w:val="009006EF"/>
    <w:rsid w:val="009007DE"/>
    <w:rsid w:val="009007E7"/>
    <w:rsid w:val="00900823"/>
    <w:rsid w:val="0090084C"/>
    <w:rsid w:val="0090088A"/>
    <w:rsid w:val="00900A34"/>
    <w:rsid w:val="00900AB6"/>
    <w:rsid w:val="00900B34"/>
    <w:rsid w:val="00900BE6"/>
    <w:rsid w:val="00900BF4"/>
    <w:rsid w:val="00900C07"/>
    <w:rsid w:val="00900C27"/>
    <w:rsid w:val="00900C8C"/>
    <w:rsid w:val="00900CCE"/>
    <w:rsid w:val="00900D1E"/>
    <w:rsid w:val="00900D2F"/>
    <w:rsid w:val="00900D48"/>
    <w:rsid w:val="00900DE8"/>
    <w:rsid w:val="00900E2F"/>
    <w:rsid w:val="00900ED7"/>
    <w:rsid w:val="00900F71"/>
    <w:rsid w:val="00900FDA"/>
    <w:rsid w:val="009010B0"/>
    <w:rsid w:val="009010CA"/>
    <w:rsid w:val="009011DB"/>
    <w:rsid w:val="00901208"/>
    <w:rsid w:val="009012B6"/>
    <w:rsid w:val="00901303"/>
    <w:rsid w:val="009013A1"/>
    <w:rsid w:val="00901414"/>
    <w:rsid w:val="00901495"/>
    <w:rsid w:val="00901636"/>
    <w:rsid w:val="009016D9"/>
    <w:rsid w:val="00901752"/>
    <w:rsid w:val="009018C2"/>
    <w:rsid w:val="00901922"/>
    <w:rsid w:val="0090195E"/>
    <w:rsid w:val="00901968"/>
    <w:rsid w:val="00901A65"/>
    <w:rsid w:val="00901B3D"/>
    <w:rsid w:val="00901CB6"/>
    <w:rsid w:val="00901CBC"/>
    <w:rsid w:val="00901D14"/>
    <w:rsid w:val="00901D1D"/>
    <w:rsid w:val="00901DB0"/>
    <w:rsid w:val="00901E44"/>
    <w:rsid w:val="00901E46"/>
    <w:rsid w:val="00901E6E"/>
    <w:rsid w:val="00901EEB"/>
    <w:rsid w:val="00901F1A"/>
    <w:rsid w:val="00901F75"/>
    <w:rsid w:val="00901FB6"/>
    <w:rsid w:val="00901FD3"/>
    <w:rsid w:val="00902158"/>
    <w:rsid w:val="00902160"/>
    <w:rsid w:val="009022CC"/>
    <w:rsid w:val="009023C9"/>
    <w:rsid w:val="00902405"/>
    <w:rsid w:val="00902488"/>
    <w:rsid w:val="009024D1"/>
    <w:rsid w:val="009024F8"/>
    <w:rsid w:val="00902542"/>
    <w:rsid w:val="00902560"/>
    <w:rsid w:val="009026A3"/>
    <w:rsid w:val="009027E5"/>
    <w:rsid w:val="009028D8"/>
    <w:rsid w:val="00902915"/>
    <w:rsid w:val="00902A0A"/>
    <w:rsid w:val="00902A63"/>
    <w:rsid w:val="00902BA1"/>
    <w:rsid w:val="00902BEE"/>
    <w:rsid w:val="00902C28"/>
    <w:rsid w:val="00902CC7"/>
    <w:rsid w:val="00902CDC"/>
    <w:rsid w:val="00902DB5"/>
    <w:rsid w:val="00902DC8"/>
    <w:rsid w:val="00902E4A"/>
    <w:rsid w:val="00902E7C"/>
    <w:rsid w:val="00902FA0"/>
    <w:rsid w:val="0090306A"/>
    <w:rsid w:val="009030EB"/>
    <w:rsid w:val="00903119"/>
    <w:rsid w:val="00903130"/>
    <w:rsid w:val="00903145"/>
    <w:rsid w:val="0090317F"/>
    <w:rsid w:val="0090321B"/>
    <w:rsid w:val="00903278"/>
    <w:rsid w:val="0090328B"/>
    <w:rsid w:val="009032A2"/>
    <w:rsid w:val="009032D1"/>
    <w:rsid w:val="009032FD"/>
    <w:rsid w:val="00903334"/>
    <w:rsid w:val="0090336E"/>
    <w:rsid w:val="00903408"/>
    <w:rsid w:val="009034AB"/>
    <w:rsid w:val="009034BB"/>
    <w:rsid w:val="009034DC"/>
    <w:rsid w:val="009034DE"/>
    <w:rsid w:val="00903504"/>
    <w:rsid w:val="00903549"/>
    <w:rsid w:val="009035F2"/>
    <w:rsid w:val="00903653"/>
    <w:rsid w:val="009036C1"/>
    <w:rsid w:val="009036D1"/>
    <w:rsid w:val="0090372E"/>
    <w:rsid w:val="00903749"/>
    <w:rsid w:val="00903771"/>
    <w:rsid w:val="0090377D"/>
    <w:rsid w:val="00903947"/>
    <w:rsid w:val="009039F5"/>
    <w:rsid w:val="00903A51"/>
    <w:rsid w:val="00903C2C"/>
    <w:rsid w:val="00903C4D"/>
    <w:rsid w:val="00903C74"/>
    <w:rsid w:val="00903DE0"/>
    <w:rsid w:val="00903E32"/>
    <w:rsid w:val="00903E6F"/>
    <w:rsid w:val="00903E7D"/>
    <w:rsid w:val="00903E8D"/>
    <w:rsid w:val="00903F19"/>
    <w:rsid w:val="00903F27"/>
    <w:rsid w:val="00903F4B"/>
    <w:rsid w:val="00903F91"/>
    <w:rsid w:val="00903FE9"/>
    <w:rsid w:val="009040FC"/>
    <w:rsid w:val="009041F6"/>
    <w:rsid w:val="00904342"/>
    <w:rsid w:val="00904375"/>
    <w:rsid w:val="0090439F"/>
    <w:rsid w:val="009043B1"/>
    <w:rsid w:val="00904406"/>
    <w:rsid w:val="00904536"/>
    <w:rsid w:val="0090466B"/>
    <w:rsid w:val="0090471A"/>
    <w:rsid w:val="00904798"/>
    <w:rsid w:val="0090485C"/>
    <w:rsid w:val="0090489B"/>
    <w:rsid w:val="009048D5"/>
    <w:rsid w:val="009048EC"/>
    <w:rsid w:val="009048F3"/>
    <w:rsid w:val="009048F5"/>
    <w:rsid w:val="009049E9"/>
    <w:rsid w:val="009049F4"/>
    <w:rsid w:val="00904BDB"/>
    <w:rsid w:val="00904C01"/>
    <w:rsid w:val="00904C4E"/>
    <w:rsid w:val="00904CF0"/>
    <w:rsid w:val="00904D42"/>
    <w:rsid w:val="00904DBD"/>
    <w:rsid w:val="00904E31"/>
    <w:rsid w:val="00904E90"/>
    <w:rsid w:val="00904EDB"/>
    <w:rsid w:val="00904F1E"/>
    <w:rsid w:val="00904FAE"/>
    <w:rsid w:val="0090503B"/>
    <w:rsid w:val="00905059"/>
    <w:rsid w:val="00905121"/>
    <w:rsid w:val="00905132"/>
    <w:rsid w:val="00905216"/>
    <w:rsid w:val="00905258"/>
    <w:rsid w:val="009052B4"/>
    <w:rsid w:val="00905357"/>
    <w:rsid w:val="009053BF"/>
    <w:rsid w:val="0090556F"/>
    <w:rsid w:val="00905619"/>
    <w:rsid w:val="00905626"/>
    <w:rsid w:val="0090567C"/>
    <w:rsid w:val="009056B0"/>
    <w:rsid w:val="0090570F"/>
    <w:rsid w:val="00905866"/>
    <w:rsid w:val="00905A8D"/>
    <w:rsid w:val="00905AF4"/>
    <w:rsid w:val="00905B93"/>
    <w:rsid w:val="00905BC3"/>
    <w:rsid w:val="00905BC5"/>
    <w:rsid w:val="00905C9D"/>
    <w:rsid w:val="00905DB6"/>
    <w:rsid w:val="00905E47"/>
    <w:rsid w:val="00905E59"/>
    <w:rsid w:val="00905F1A"/>
    <w:rsid w:val="00905F89"/>
    <w:rsid w:val="00905FF3"/>
    <w:rsid w:val="00906050"/>
    <w:rsid w:val="00906067"/>
    <w:rsid w:val="00906118"/>
    <w:rsid w:val="00906132"/>
    <w:rsid w:val="00906212"/>
    <w:rsid w:val="00906257"/>
    <w:rsid w:val="009062FE"/>
    <w:rsid w:val="00906345"/>
    <w:rsid w:val="00906371"/>
    <w:rsid w:val="00906372"/>
    <w:rsid w:val="0090637B"/>
    <w:rsid w:val="0090638F"/>
    <w:rsid w:val="009063A1"/>
    <w:rsid w:val="009063ED"/>
    <w:rsid w:val="009064B7"/>
    <w:rsid w:val="009065AC"/>
    <w:rsid w:val="00906646"/>
    <w:rsid w:val="00906692"/>
    <w:rsid w:val="009066D7"/>
    <w:rsid w:val="009066FF"/>
    <w:rsid w:val="009067B7"/>
    <w:rsid w:val="009067EE"/>
    <w:rsid w:val="0090685C"/>
    <w:rsid w:val="00906928"/>
    <w:rsid w:val="00906932"/>
    <w:rsid w:val="0090693A"/>
    <w:rsid w:val="00906956"/>
    <w:rsid w:val="009069AC"/>
    <w:rsid w:val="00906A76"/>
    <w:rsid w:val="00906C43"/>
    <w:rsid w:val="00906C9D"/>
    <w:rsid w:val="00906D85"/>
    <w:rsid w:val="00906DC5"/>
    <w:rsid w:val="00906DCC"/>
    <w:rsid w:val="00906E44"/>
    <w:rsid w:val="00906EEF"/>
    <w:rsid w:val="00906FB0"/>
    <w:rsid w:val="00907031"/>
    <w:rsid w:val="00907070"/>
    <w:rsid w:val="00907073"/>
    <w:rsid w:val="009071A6"/>
    <w:rsid w:val="009071AB"/>
    <w:rsid w:val="00907207"/>
    <w:rsid w:val="00907265"/>
    <w:rsid w:val="00907271"/>
    <w:rsid w:val="009072B0"/>
    <w:rsid w:val="0090731A"/>
    <w:rsid w:val="0090738F"/>
    <w:rsid w:val="009073CA"/>
    <w:rsid w:val="0090748D"/>
    <w:rsid w:val="009074E0"/>
    <w:rsid w:val="00907501"/>
    <w:rsid w:val="009075F7"/>
    <w:rsid w:val="0090768B"/>
    <w:rsid w:val="009076B2"/>
    <w:rsid w:val="00907757"/>
    <w:rsid w:val="0090777E"/>
    <w:rsid w:val="00907827"/>
    <w:rsid w:val="00907909"/>
    <w:rsid w:val="00907991"/>
    <w:rsid w:val="009079BD"/>
    <w:rsid w:val="009079CE"/>
    <w:rsid w:val="00907A02"/>
    <w:rsid w:val="00907A9C"/>
    <w:rsid w:val="00907AC0"/>
    <w:rsid w:val="00907B06"/>
    <w:rsid w:val="00907B6D"/>
    <w:rsid w:val="00907BED"/>
    <w:rsid w:val="00907CD7"/>
    <w:rsid w:val="00907DAF"/>
    <w:rsid w:val="00907DBA"/>
    <w:rsid w:val="00910048"/>
    <w:rsid w:val="009100E0"/>
    <w:rsid w:val="0091012C"/>
    <w:rsid w:val="00910198"/>
    <w:rsid w:val="009101B0"/>
    <w:rsid w:val="009101E5"/>
    <w:rsid w:val="00910288"/>
    <w:rsid w:val="0091030C"/>
    <w:rsid w:val="00910313"/>
    <w:rsid w:val="00910391"/>
    <w:rsid w:val="00910411"/>
    <w:rsid w:val="009104BD"/>
    <w:rsid w:val="00910588"/>
    <w:rsid w:val="0091059B"/>
    <w:rsid w:val="00910602"/>
    <w:rsid w:val="00910620"/>
    <w:rsid w:val="00910667"/>
    <w:rsid w:val="00910783"/>
    <w:rsid w:val="0091081E"/>
    <w:rsid w:val="00910863"/>
    <w:rsid w:val="009108F0"/>
    <w:rsid w:val="00910920"/>
    <w:rsid w:val="00910952"/>
    <w:rsid w:val="00910970"/>
    <w:rsid w:val="009109C4"/>
    <w:rsid w:val="009109D3"/>
    <w:rsid w:val="00910A87"/>
    <w:rsid w:val="00910AB0"/>
    <w:rsid w:val="00910AEF"/>
    <w:rsid w:val="00910B62"/>
    <w:rsid w:val="00910BAB"/>
    <w:rsid w:val="00910C44"/>
    <w:rsid w:val="00910CD8"/>
    <w:rsid w:val="00910EA0"/>
    <w:rsid w:val="00910EB2"/>
    <w:rsid w:val="00910EC7"/>
    <w:rsid w:val="00910F2B"/>
    <w:rsid w:val="00910F3B"/>
    <w:rsid w:val="00910F50"/>
    <w:rsid w:val="00910F8A"/>
    <w:rsid w:val="00910F98"/>
    <w:rsid w:val="00911055"/>
    <w:rsid w:val="00911111"/>
    <w:rsid w:val="00911291"/>
    <w:rsid w:val="009112DC"/>
    <w:rsid w:val="00911306"/>
    <w:rsid w:val="00911329"/>
    <w:rsid w:val="009113DB"/>
    <w:rsid w:val="00911402"/>
    <w:rsid w:val="0091140E"/>
    <w:rsid w:val="00911487"/>
    <w:rsid w:val="00911607"/>
    <w:rsid w:val="00911619"/>
    <w:rsid w:val="00911809"/>
    <w:rsid w:val="00911810"/>
    <w:rsid w:val="00911871"/>
    <w:rsid w:val="00911976"/>
    <w:rsid w:val="009119AD"/>
    <w:rsid w:val="009119F4"/>
    <w:rsid w:val="00911A60"/>
    <w:rsid w:val="00911A81"/>
    <w:rsid w:val="00911B21"/>
    <w:rsid w:val="00911B23"/>
    <w:rsid w:val="00911D95"/>
    <w:rsid w:val="00911DB0"/>
    <w:rsid w:val="00911F1D"/>
    <w:rsid w:val="00911F21"/>
    <w:rsid w:val="00911FD8"/>
    <w:rsid w:val="009120CF"/>
    <w:rsid w:val="00912177"/>
    <w:rsid w:val="0091220C"/>
    <w:rsid w:val="0091222B"/>
    <w:rsid w:val="00912257"/>
    <w:rsid w:val="0091225B"/>
    <w:rsid w:val="009122C6"/>
    <w:rsid w:val="009122EC"/>
    <w:rsid w:val="00912375"/>
    <w:rsid w:val="00912552"/>
    <w:rsid w:val="00912597"/>
    <w:rsid w:val="0091268A"/>
    <w:rsid w:val="009126C9"/>
    <w:rsid w:val="009126FA"/>
    <w:rsid w:val="00912706"/>
    <w:rsid w:val="00912865"/>
    <w:rsid w:val="009128BA"/>
    <w:rsid w:val="00912929"/>
    <w:rsid w:val="00912A37"/>
    <w:rsid w:val="00912A7B"/>
    <w:rsid w:val="00912AE6"/>
    <w:rsid w:val="00912CAB"/>
    <w:rsid w:val="00912CC0"/>
    <w:rsid w:val="00912D5C"/>
    <w:rsid w:val="00912D6B"/>
    <w:rsid w:val="00912D76"/>
    <w:rsid w:val="00912E2A"/>
    <w:rsid w:val="00912E60"/>
    <w:rsid w:val="00912F5E"/>
    <w:rsid w:val="00912F68"/>
    <w:rsid w:val="00913013"/>
    <w:rsid w:val="00913244"/>
    <w:rsid w:val="0091329E"/>
    <w:rsid w:val="009132E3"/>
    <w:rsid w:val="0091339D"/>
    <w:rsid w:val="009133CB"/>
    <w:rsid w:val="0091347F"/>
    <w:rsid w:val="009134D0"/>
    <w:rsid w:val="009134E7"/>
    <w:rsid w:val="00913501"/>
    <w:rsid w:val="00913549"/>
    <w:rsid w:val="0091362C"/>
    <w:rsid w:val="0091376F"/>
    <w:rsid w:val="009137D4"/>
    <w:rsid w:val="00913887"/>
    <w:rsid w:val="009138BE"/>
    <w:rsid w:val="009138EE"/>
    <w:rsid w:val="00913A18"/>
    <w:rsid w:val="00913B31"/>
    <w:rsid w:val="00913BAE"/>
    <w:rsid w:val="00913BE3"/>
    <w:rsid w:val="00913BEB"/>
    <w:rsid w:val="00913D90"/>
    <w:rsid w:val="00913DD2"/>
    <w:rsid w:val="00913E1C"/>
    <w:rsid w:val="00913E2A"/>
    <w:rsid w:val="00913EC8"/>
    <w:rsid w:val="00913EF7"/>
    <w:rsid w:val="00913F22"/>
    <w:rsid w:val="00913F27"/>
    <w:rsid w:val="00913FC4"/>
    <w:rsid w:val="00913FEA"/>
    <w:rsid w:val="00914046"/>
    <w:rsid w:val="00914047"/>
    <w:rsid w:val="00914050"/>
    <w:rsid w:val="0091408A"/>
    <w:rsid w:val="00914132"/>
    <w:rsid w:val="00914260"/>
    <w:rsid w:val="00914289"/>
    <w:rsid w:val="0091440C"/>
    <w:rsid w:val="009144C3"/>
    <w:rsid w:val="009144D6"/>
    <w:rsid w:val="009144FE"/>
    <w:rsid w:val="00914508"/>
    <w:rsid w:val="00914532"/>
    <w:rsid w:val="00914542"/>
    <w:rsid w:val="00914586"/>
    <w:rsid w:val="0091465B"/>
    <w:rsid w:val="009146FB"/>
    <w:rsid w:val="00914756"/>
    <w:rsid w:val="0091477D"/>
    <w:rsid w:val="009147CB"/>
    <w:rsid w:val="009147EA"/>
    <w:rsid w:val="00914835"/>
    <w:rsid w:val="0091488C"/>
    <w:rsid w:val="00914954"/>
    <w:rsid w:val="009149DE"/>
    <w:rsid w:val="00914ACA"/>
    <w:rsid w:val="00914ADA"/>
    <w:rsid w:val="00914BC1"/>
    <w:rsid w:val="00914C31"/>
    <w:rsid w:val="00914C89"/>
    <w:rsid w:val="00914D92"/>
    <w:rsid w:val="00914E1B"/>
    <w:rsid w:val="00914E51"/>
    <w:rsid w:val="00914F16"/>
    <w:rsid w:val="00914F70"/>
    <w:rsid w:val="00914FD7"/>
    <w:rsid w:val="00914FF0"/>
    <w:rsid w:val="0091500B"/>
    <w:rsid w:val="0091501F"/>
    <w:rsid w:val="009150C7"/>
    <w:rsid w:val="00915170"/>
    <w:rsid w:val="0091519E"/>
    <w:rsid w:val="0091528C"/>
    <w:rsid w:val="00915358"/>
    <w:rsid w:val="00915484"/>
    <w:rsid w:val="00915496"/>
    <w:rsid w:val="0091557E"/>
    <w:rsid w:val="0091557F"/>
    <w:rsid w:val="00915899"/>
    <w:rsid w:val="0091592B"/>
    <w:rsid w:val="0091594E"/>
    <w:rsid w:val="00915958"/>
    <w:rsid w:val="00915989"/>
    <w:rsid w:val="009159CC"/>
    <w:rsid w:val="00915A22"/>
    <w:rsid w:val="00915A4D"/>
    <w:rsid w:val="00915AB0"/>
    <w:rsid w:val="00915AD3"/>
    <w:rsid w:val="00915B12"/>
    <w:rsid w:val="00915B71"/>
    <w:rsid w:val="00915B9D"/>
    <w:rsid w:val="00915BFD"/>
    <w:rsid w:val="00915C26"/>
    <w:rsid w:val="00915DBF"/>
    <w:rsid w:val="00915E0B"/>
    <w:rsid w:val="00915FDD"/>
    <w:rsid w:val="00916094"/>
    <w:rsid w:val="00916233"/>
    <w:rsid w:val="0091628C"/>
    <w:rsid w:val="009162CB"/>
    <w:rsid w:val="009162DF"/>
    <w:rsid w:val="0091634F"/>
    <w:rsid w:val="00916379"/>
    <w:rsid w:val="00916461"/>
    <w:rsid w:val="0091646A"/>
    <w:rsid w:val="00916490"/>
    <w:rsid w:val="009164B3"/>
    <w:rsid w:val="009164BF"/>
    <w:rsid w:val="009165AD"/>
    <w:rsid w:val="00916639"/>
    <w:rsid w:val="0091663B"/>
    <w:rsid w:val="009166B6"/>
    <w:rsid w:val="00916713"/>
    <w:rsid w:val="0091672D"/>
    <w:rsid w:val="0091678B"/>
    <w:rsid w:val="009167DC"/>
    <w:rsid w:val="00916804"/>
    <w:rsid w:val="0091680F"/>
    <w:rsid w:val="00916874"/>
    <w:rsid w:val="00916A04"/>
    <w:rsid w:val="00916A42"/>
    <w:rsid w:val="00916A57"/>
    <w:rsid w:val="00916AFF"/>
    <w:rsid w:val="00916B06"/>
    <w:rsid w:val="00916B5A"/>
    <w:rsid w:val="00916B5B"/>
    <w:rsid w:val="00916B6C"/>
    <w:rsid w:val="00916B90"/>
    <w:rsid w:val="00916BF7"/>
    <w:rsid w:val="00916CE6"/>
    <w:rsid w:val="00916DB8"/>
    <w:rsid w:val="00916E30"/>
    <w:rsid w:val="00916EDF"/>
    <w:rsid w:val="00916F63"/>
    <w:rsid w:val="00916F6D"/>
    <w:rsid w:val="00916F95"/>
    <w:rsid w:val="00916FD0"/>
    <w:rsid w:val="0091700A"/>
    <w:rsid w:val="0091717F"/>
    <w:rsid w:val="0091736E"/>
    <w:rsid w:val="00917376"/>
    <w:rsid w:val="009173A6"/>
    <w:rsid w:val="0091749B"/>
    <w:rsid w:val="00917529"/>
    <w:rsid w:val="0091756E"/>
    <w:rsid w:val="009176E1"/>
    <w:rsid w:val="0091780B"/>
    <w:rsid w:val="00917890"/>
    <w:rsid w:val="00917939"/>
    <w:rsid w:val="0091794E"/>
    <w:rsid w:val="009179DD"/>
    <w:rsid w:val="00917A5B"/>
    <w:rsid w:val="00917A9F"/>
    <w:rsid w:val="00917AA5"/>
    <w:rsid w:val="00917ADB"/>
    <w:rsid w:val="00917B00"/>
    <w:rsid w:val="00917B22"/>
    <w:rsid w:val="00917C05"/>
    <w:rsid w:val="00917D9D"/>
    <w:rsid w:val="00917DD2"/>
    <w:rsid w:val="00917DFD"/>
    <w:rsid w:val="00917EA0"/>
    <w:rsid w:val="00917F97"/>
    <w:rsid w:val="009200B6"/>
    <w:rsid w:val="009200EE"/>
    <w:rsid w:val="0092015F"/>
    <w:rsid w:val="00920286"/>
    <w:rsid w:val="009202B3"/>
    <w:rsid w:val="0092034C"/>
    <w:rsid w:val="00920584"/>
    <w:rsid w:val="009205D5"/>
    <w:rsid w:val="009205EA"/>
    <w:rsid w:val="0092066C"/>
    <w:rsid w:val="0092072D"/>
    <w:rsid w:val="00920853"/>
    <w:rsid w:val="009208A7"/>
    <w:rsid w:val="009208D4"/>
    <w:rsid w:val="009208E6"/>
    <w:rsid w:val="009208F5"/>
    <w:rsid w:val="00920918"/>
    <w:rsid w:val="0092092C"/>
    <w:rsid w:val="0092095F"/>
    <w:rsid w:val="00920986"/>
    <w:rsid w:val="00920989"/>
    <w:rsid w:val="009209E7"/>
    <w:rsid w:val="00920B06"/>
    <w:rsid w:val="00920C05"/>
    <w:rsid w:val="00920C4B"/>
    <w:rsid w:val="00920D5F"/>
    <w:rsid w:val="00920D9A"/>
    <w:rsid w:val="00920EA7"/>
    <w:rsid w:val="00920F29"/>
    <w:rsid w:val="00920F55"/>
    <w:rsid w:val="00921033"/>
    <w:rsid w:val="0092109A"/>
    <w:rsid w:val="0092109D"/>
    <w:rsid w:val="00921123"/>
    <w:rsid w:val="009211B8"/>
    <w:rsid w:val="009211D6"/>
    <w:rsid w:val="009211F4"/>
    <w:rsid w:val="0092128D"/>
    <w:rsid w:val="009212D6"/>
    <w:rsid w:val="009213D0"/>
    <w:rsid w:val="009213F5"/>
    <w:rsid w:val="00921490"/>
    <w:rsid w:val="009214D5"/>
    <w:rsid w:val="0092150A"/>
    <w:rsid w:val="009215B5"/>
    <w:rsid w:val="009215B6"/>
    <w:rsid w:val="00921681"/>
    <w:rsid w:val="0092168F"/>
    <w:rsid w:val="009217B8"/>
    <w:rsid w:val="009217BC"/>
    <w:rsid w:val="009218DA"/>
    <w:rsid w:val="009219E6"/>
    <w:rsid w:val="009219FE"/>
    <w:rsid w:val="00921B28"/>
    <w:rsid w:val="00921D3A"/>
    <w:rsid w:val="00921F21"/>
    <w:rsid w:val="00921F44"/>
    <w:rsid w:val="00921F8D"/>
    <w:rsid w:val="00921FB1"/>
    <w:rsid w:val="00921FEC"/>
    <w:rsid w:val="00921FF8"/>
    <w:rsid w:val="0092202B"/>
    <w:rsid w:val="0092210B"/>
    <w:rsid w:val="00922236"/>
    <w:rsid w:val="009222AA"/>
    <w:rsid w:val="009222B6"/>
    <w:rsid w:val="00922319"/>
    <w:rsid w:val="00922332"/>
    <w:rsid w:val="0092246E"/>
    <w:rsid w:val="009225D1"/>
    <w:rsid w:val="00922637"/>
    <w:rsid w:val="00922673"/>
    <w:rsid w:val="00922692"/>
    <w:rsid w:val="009227DE"/>
    <w:rsid w:val="0092282C"/>
    <w:rsid w:val="00922867"/>
    <w:rsid w:val="00922931"/>
    <w:rsid w:val="0092294D"/>
    <w:rsid w:val="00922999"/>
    <w:rsid w:val="00922A0C"/>
    <w:rsid w:val="00922BA8"/>
    <w:rsid w:val="00922BFD"/>
    <w:rsid w:val="00922D17"/>
    <w:rsid w:val="00922D3D"/>
    <w:rsid w:val="00922E5D"/>
    <w:rsid w:val="00922EDA"/>
    <w:rsid w:val="00922F30"/>
    <w:rsid w:val="00922F48"/>
    <w:rsid w:val="00922F49"/>
    <w:rsid w:val="00922F61"/>
    <w:rsid w:val="00922FA3"/>
    <w:rsid w:val="00923053"/>
    <w:rsid w:val="009230B3"/>
    <w:rsid w:val="0092313C"/>
    <w:rsid w:val="00923208"/>
    <w:rsid w:val="00923256"/>
    <w:rsid w:val="00923293"/>
    <w:rsid w:val="0092332C"/>
    <w:rsid w:val="0092333C"/>
    <w:rsid w:val="00923397"/>
    <w:rsid w:val="0092345B"/>
    <w:rsid w:val="0092349F"/>
    <w:rsid w:val="00923502"/>
    <w:rsid w:val="00923597"/>
    <w:rsid w:val="009236CB"/>
    <w:rsid w:val="009236E9"/>
    <w:rsid w:val="009236EA"/>
    <w:rsid w:val="00923707"/>
    <w:rsid w:val="009237A8"/>
    <w:rsid w:val="0092383A"/>
    <w:rsid w:val="00923884"/>
    <w:rsid w:val="0092394F"/>
    <w:rsid w:val="00923999"/>
    <w:rsid w:val="009239FA"/>
    <w:rsid w:val="00923A08"/>
    <w:rsid w:val="00923A64"/>
    <w:rsid w:val="00923AAF"/>
    <w:rsid w:val="00923B0B"/>
    <w:rsid w:val="00923B44"/>
    <w:rsid w:val="00923B8B"/>
    <w:rsid w:val="00923C08"/>
    <w:rsid w:val="00923CA6"/>
    <w:rsid w:val="00923D1A"/>
    <w:rsid w:val="00923D41"/>
    <w:rsid w:val="00923DFD"/>
    <w:rsid w:val="00923E96"/>
    <w:rsid w:val="00923EA5"/>
    <w:rsid w:val="00923EEF"/>
    <w:rsid w:val="00923F44"/>
    <w:rsid w:val="00923FFF"/>
    <w:rsid w:val="009240DE"/>
    <w:rsid w:val="009241BF"/>
    <w:rsid w:val="0092420A"/>
    <w:rsid w:val="009242CA"/>
    <w:rsid w:val="009242D2"/>
    <w:rsid w:val="00924392"/>
    <w:rsid w:val="009243C7"/>
    <w:rsid w:val="009243D6"/>
    <w:rsid w:val="0092444B"/>
    <w:rsid w:val="00924499"/>
    <w:rsid w:val="00924500"/>
    <w:rsid w:val="009246B9"/>
    <w:rsid w:val="00924716"/>
    <w:rsid w:val="00924748"/>
    <w:rsid w:val="0092474B"/>
    <w:rsid w:val="00924758"/>
    <w:rsid w:val="009247CA"/>
    <w:rsid w:val="009247CE"/>
    <w:rsid w:val="00924838"/>
    <w:rsid w:val="00924908"/>
    <w:rsid w:val="0092497F"/>
    <w:rsid w:val="009249D4"/>
    <w:rsid w:val="009249EE"/>
    <w:rsid w:val="00924A56"/>
    <w:rsid w:val="00924A7F"/>
    <w:rsid w:val="00924B47"/>
    <w:rsid w:val="00924B5C"/>
    <w:rsid w:val="00924B86"/>
    <w:rsid w:val="00924BD6"/>
    <w:rsid w:val="00924C1A"/>
    <w:rsid w:val="00924C20"/>
    <w:rsid w:val="00924C25"/>
    <w:rsid w:val="00924C4D"/>
    <w:rsid w:val="00924C4E"/>
    <w:rsid w:val="00924E0F"/>
    <w:rsid w:val="00924F2A"/>
    <w:rsid w:val="00924F65"/>
    <w:rsid w:val="00924F74"/>
    <w:rsid w:val="00924F7F"/>
    <w:rsid w:val="00924FA4"/>
    <w:rsid w:val="00924FCC"/>
    <w:rsid w:val="00924FDD"/>
    <w:rsid w:val="00925013"/>
    <w:rsid w:val="009250CD"/>
    <w:rsid w:val="00925106"/>
    <w:rsid w:val="00925243"/>
    <w:rsid w:val="00925246"/>
    <w:rsid w:val="009252CF"/>
    <w:rsid w:val="0092539B"/>
    <w:rsid w:val="009253E4"/>
    <w:rsid w:val="009253EF"/>
    <w:rsid w:val="00925544"/>
    <w:rsid w:val="00925605"/>
    <w:rsid w:val="00925623"/>
    <w:rsid w:val="0092567D"/>
    <w:rsid w:val="009256A2"/>
    <w:rsid w:val="0092574D"/>
    <w:rsid w:val="00925768"/>
    <w:rsid w:val="0092579E"/>
    <w:rsid w:val="009257C7"/>
    <w:rsid w:val="00925832"/>
    <w:rsid w:val="0092588E"/>
    <w:rsid w:val="0092592B"/>
    <w:rsid w:val="00925945"/>
    <w:rsid w:val="00925A9F"/>
    <w:rsid w:val="00925B49"/>
    <w:rsid w:val="00925BE8"/>
    <w:rsid w:val="00925BF8"/>
    <w:rsid w:val="00925BFA"/>
    <w:rsid w:val="00925C87"/>
    <w:rsid w:val="00925DC9"/>
    <w:rsid w:val="00925DCC"/>
    <w:rsid w:val="00925F9F"/>
    <w:rsid w:val="00925FFC"/>
    <w:rsid w:val="0092600F"/>
    <w:rsid w:val="0092611D"/>
    <w:rsid w:val="00926188"/>
    <w:rsid w:val="00926403"/>
    <w:rsid w:val="0092642A"/>
    <w:rsid w:val="009264DF"/>
    <w:rsid w:val="00926566"/>
    <w:rsid w:val="00926581"/>
    <w:rsid w:val="00926606"/>
    <w:rsid w:val="00926637"/>
    <w:rsid w:val="00926711"/>
    <w:rsid w:val="00926754"/>
    <w:rsid w:val="009267CC"/>
    <w:rsid w:val="009267DF"/>
    <w:rsid w:val="00926837"/>
    <w:rsid w:val="009268C7"/>
    <w:rsid w:val="00926997"/>
    <w:rsid w:val="009269B7"/>
    <w:rsid w:val="009269EF"/>
    <w:rsid w:val="009269F1"/>
    <w:rsid w:val="00926A45"/>
    <w:rsid w:val="00926B27"/>
    <w:rsid w:val="00926B59"/>
    <w:rsid w:val="00926BA0"/>
    <w:rsid w:val="00926BEB"/>
    <w:rsid w:val="00926BF3"/>
    <w:rsid w:val="00926D11"/>
    <w:rsid w:val="00926D85"/>
    <w:rsid w:val="00926FE2"/>
    <w:rsid w:val="0092704E"/>
    <w:rsid w:val="009270AC"/>
    <w:rsid w:val="009270F8"/>
    <w:rsid w:val="0092713F"/>
    <w:rsid w:val="00927161"/>
    <w:rsid w:val="009271D7"/>
    <w:rsid w:val="00927279"/>
    <w:rsid w:val="009272B6"/>
    <w:rsid w:val="0092731C"/>
    <w:rsid w:val="0092733C"/>
    <w:rsid w:val="009273A5"/>
    <w:rsid w:val="009273DB"/>
    <w:rsid w:val="0092742C"/>
    <w:rsid w:val="009274D4"/>
    <w:rsid w:val="00927530"/>
    <w:rsid w:val="0092758C"/>
    <w:rsid w:val="00927615"/>
    <w:rsid w:val="00927668"/>
    <w:rsid w:val="0092768B"/>
    <w:rsid w:val="0092770B"/>
    <w:rsid w:val="009277D7"/>
    <w:rsid w:val="00927859"/>
    <w:rsid w:val="0092785C"/>
    <w:rsid w:val="009278B3"/>
    <w:rsid w:val="00927998"/>
    <w:rsid w:val="0092799E"/>
    <w:rsid w:val="009279E8"/>
    <w:rsid w:val="00927A0B"/>
    <w:rsid w:val="00927A37"/>
    <w:rsid w:val="00927A3A"/>
    <w:rsid w:val="00927B88"/>
    <w:rsid w:val="00927BAE"/>
    <w:rsid w:val="00927C80"/>
    <w:rsid w:val="00927CC8"/>
    <w:rsid w:val="00927D51"/>
    <w:rsid w:val="00927DB1"/>
    <w:rsid w:val="00927E1D"/>
    <w:rsid w:val="00927EA8"/>
    <w:rsid w:val="00927FB5"/>
    <w:rsid w:val="00927FB6"/>
    <w:rsid w:val="00927FCA"/>
    <w:rsid w:val="00927FF3"/>
    <w:rsid w:val="00927FFE"/>
    <w:rsid w:val="0093001E"/>
    <w:rsid w:val="00930031"/>
    <w:rsid w:val="00930075"/>
    <w:rsid w:val="009301A8"/>
    <w:rsid w:val="00930239"/>
    <w:rsid w:val="00930258"/>
    <w:rsid w:val="00930273"/>
    <w:rsid w:val="009303F7"/>
    <w:rsid w:val="009305F5"/>
    <w:rsid w:val="00930683"/>
    <w:rsid w:val="009306AF"/>
    <w:rsid w:val="00930723"/>
    <w:rsid w:val="00930734"/>
    <w:rsid w:val="0093074C"/>
    <w:rsid w:val="00930A0C"/>
    <w:rsid w:val="00930A28"/>
    <w:rsid w:val="00930A8D"/>
    <w:rsid w:val="00930AE5"/>
    <w:rsid w:val="00930BB2"/>
    <w:rsid w:val="00930D1A"/>
    <w:rsid w:val="00930D37"/>
    <w:rsid w:val="00930D46"/>
    <w:rsid w:val="00930DBE"/>
    <w:rsid w:val="00930DDB"/>
    <w:rsid w:val="00930EF8"/>
    <w:rsid w:val="00930EFD"/>
    <w:rsid w:val="00930F01"/>
    <w:rsid w:val="00930F3F"/>
    <w:rsid w:val="00930F5D"/>
    <w:rsid w:val="00930F89"/>
    <w:rsid w:val="00930F9B"/>
    <w:rsid w:val="0093103F"/>
    <w:rsid w:val="009310A2"/>
    <w:rsid w:val="00931156"/>
    <w:rsid w:val="009311D4"/>
    <w:rsid w:val="00931287"/>
    <w:rsid w:val="00931293"/>
    <w:rsid w:val="00931297"/>
    <w:rsid w:val="00931321"/>
    <w:rsid w:val="009313E1"/>
    <w:rsid w:val="00931402"/>
    <w:rsid w:val="0093147E"/>
    <w:rsid w:val="009315F9"/>
    <w:rsid w:val="009316B7"/>
    <w:rsid w:val="0093171D"/>
    <w:rsid w:val="00931740"/>
    <w:rsid w:val="00931794"/>
    <w:rsid w:val="009317D4"/>
    <w:rsid w:val="00931848"/>
    <w:rsid w:val="009318CC"/>
    <w:rsid w:val="00931A48"/>
    <w:rsid w:val="00931B2E"/>
    <w:rsid w:val="00931E11"/>
    <w:rsid w:val="00931E2D"/>
    <w:rsid w:val="00931E90"/>
    <w:rsid w:val="00931EFC"/>
    <w:rsid w:val="00931F0A"/>
    <w:rsid w:val="00931F1D"/>
    <w:rsid w:val="00932005"/>
    <w:rsid w:val="0093200C"/>
    <w:rsid w:val="00932088"/>
    <w:rsid w:val="0093210C"/>
    <w:rsid w:val="00932150"/>
    <w:rsid w:val="0093217B"/>
    <w:rsid w:val="00932272"/>
    <w:rsid w:val="0093228C"/>
    <w:rsid w:val="009323BC"/>
    <w:rsid w:val="009323D0"/>
    <w:rsid w:val="0093243E"/>
    <w:rsid w:val="00932483"/>
    <w:rsid w:val="009324A6"/>
    <w:rsid w:val="009324E8"/>
    <w:rsid w:val="00932560"/>
    <w:rsid w:val="009325A5"/>
    <w:rsid w:val="0093260A"/>
    <w:rsid w:val="00932654"/>
    <w:rsid w:val="00932698"/>
    <w:rsid w:val="009326D1"/>
    <w:rsid w:val="009326F1"/>
    <w:rsid w:val="009327A7"/>
    <w:rsid w:val="0093284B"/>
    <w:rsid w:val="00932862"/>
    <w:rsid w:val="00932875"/>
    <w:rsid w:val="009328A0"/>
    <w:rsid w:val="0093290C"/>
    <w:rsid w:val="00932966"/>
    <w:rsid w:val="009329D4"/>
    <w:rsid w:val="00932A66"/>
    <w:rsid w:val="00932AB2"/>
    <w:rsid w:val="00932B27"/>
    <w:rsid w:val="00932B5C"/>
    <w:rsid w:val="00932B98"/>
    <w:rsid w:val="00932C4B"/>
    <w:rsid w:val="00932D55"/>
    <w:rsid w:val="00932D67"/>
    <w:rsid w:val="00932D93"/>
    <w:rsid w:val="00932E53"/>
    <w:rsid w:val="00932EFE"/>
    <w:rsid w:val="0093306E"/>
    <w:rsid w:val="009331B3"/>
    <w:rsid w:val="009331D6"/>
    <w:rsid w:val="0093320F"/>
    <w:rsid w:val="0093323A"/>
    <w:rsid w:val="0093325E"/>
    <w:rsid w:val="00933283"/>
    <w:rsid w:val="009333D1"/>
    <w:rsid w:val="009334B9"/>
    <w:rsid w:val="009335E4"/>
    <w:rsid w:val="00933739"/>
    <w:rsid w:val="00933754"/>
    <w:rsid w:val="009337A7"/>
    <w:rsid w:val="00933801"/>
    <w:rsid w:val="00933848"/>
    <w:rsid w:val="0093386D"/>
    <w:rsid w:val="009338DD"/>
    <w:rsid w:val="00933904"/>
    <w:rsid w:val="0093395B"/>
    <w:rsid w:val="00933A76"/>
    <w:rsid w:val="00933A7D"/>
    <w:rsid w:val="00933BC3"/>
    <w:rsid w:val="00933BD8"/>
    <w:rsid w:val="00933C35"/>
    <w:rsid w:val="00933C53"/>
    <w:rsid w:val="00933C63"/>
    <w:rsid w:val="00933DE8"/>
    <w:rsid w:val="00933EAE"/>
    <w:rsid w:val="00933EEE"/>
    <w:rsid w:val="00933F22"/>
    <w:rsid w:val="00933F49"/>
    <w:rsid w:val="00934025"/>
    <w:rsid w:val="00934273"/>
    <w:rsid w:val="0093428B"/>
    <w:rsid w:val="009342F1"/>
    <w:rsid w:val="009343B9"/>
    <w:rsid w:val="0093441C"/>
    <w:rsid w:val="009344E2"/>
    <w:rsid w:val="00934594"/>
    <w:rsid w:val="009346D4"/>
    <w:rsid w:val="009347CF"/>
    <w:rsid w:val="00934804"/>
    <w:rsid w:val="00934837"/>
    <w:rsid w:val="00934843"/>
    <w:rsid w:val="00934890"/>
    <w:rsid w:val="009348CE"/>
    <w:rsid w:val="009349B9"/>
    <w:rsid w:val="00934A1D"/>
    <w:rsid w:val="00934AC5"/>
    <w:rsid w:val="00934B1C"/>
    <w:rsid w:val="00934BAC"/>
    <w:rsid w:val="00934BDA"/>
    <w:rsid w:val="00934C74"/>
    <w:rsid w:val="00934CA5"/>
    <w:rsid w:val="00934CFA"/>
    <w:rsid w:val="00934D4F"/>
    <w:rsid w:val="00934D7F"/>
    <w:rsid w:val="00934DF0"/>
    <w:rsid w:val="00934E4F"/>
    <w:rsid w:val="00934E6D"/>
    <w:rsid w:val="00934E73"/>
    <w:rsid w:val="00934EF7"/>
    <w:rsid w:val="00934F99"/>
    <w:rsid w:val="0093509E"/>
    <w:rsid w:val="00935157"/>
    <w:rsid w:val="00935173"/>
    <w:rsid w:val="0093519B"/>
    <w:rsid w:val="0093519C"/>
    <w:rsid w:val="009351B0"/>
    <w:rsid w:val="0093528A"/>
    <w:rsid w:val="00935294"/>
    <w:rsid w:val="0093538D"/>
    <w:rsid w:val="00935431"/>
    <w:rsid w:val="0093546D"/>
    <w:rsid w:val="009354B9"/>
    <w:rsid w:val="009354E2"/>
    <w:rsid w:val="0093554C"/>
    <w:rsid w:val="0093558B"/>
    <w:rsid w:val="00935609"/>
    <w:rsid w:val="00935616"/>
    <w:rsid w:val="0093577C"/>
    <w:rsid w:val="009357B7"/>
    <w:rsid w:val="009357E7"/>
    <w:rsid w:val="00935879"/>
    <w:rsid w:val="0093587B"/>
    <w:rsid w:val="009359B9"/>
    <w:rsid w:val="009359E1"/>
    <w:rsid w:val="009359E4"/>
    <w:rsid w:val="00935B53"/>
    <w:rsid w:val="00935BC3"/>
    <w:rsid w:val="00935BE3"/>
    <w:rsid w:val="00935BE4"/>
    <w:rsid w:val="00935C16"/>
    <w:rsid w:val="00935C51"/>
    <w:rsid w:val="00935C75"/>
    <w:rsid w:val="00935C90"/>
    <w:rsid w:val="00935CE3"/>
    <w:rsid w:val="00935D0A"/>
    <w:rsid w:val="00935D60"/>
    <w:rsid w:val="00935D6F"/>
    <w:rsid w:val="00935DC3"/>
    <w:rsid w:val="00935DC5"/>
    <w:rsid w:val="00935E1B"/>
    <w:rsid w:val="00935EF4"/>
    <w:rsid w:val="00935FD0"/>
    <w:rsid w:val="00936021"/>
    <w:rsid w:val="0093616D"/>
    <w:rsid w:val="00936198"/>
    <w:rsid w:val="00936251"/>
    <w:rsid w:val="009362E8"/>
    <w:rsid w:val="0093630C"/>
    <w:rsid w:val="0093638D"/>
    <w:rsid w:val="009363C5"/>
    <w:rsid w:val="0093644C"/>
    <w:rsid w:val="009364DE"/>
    <w:rsid w:val="00936508"/>
    <w:rsid w:val="009365B9"/>
    <w:rsid w:val="00936640"/>
    <w:rsid w:val="0093665E"/>
    <w:rsid w:val="009366B3"/>
    <w:rsid w:val="009367E4"/>
    <w:rsid w:val="009367F2"/>
    <w:rsid w:val="0093687A"/>
    <w:rsid w:val="00936892"/>
    <w:rsid w:val="009368E2"/>
    <w:rsid w:val="0093693B"/>
    <w:rsid w:val="0093693D"/>
    <w:rsid w:val="009369B3"/>
    <w:rsid w:val="00936A60"/>
    <w:rsid w:val="00936AFF"/>
    <w:rsid w:val="00936B53"/>
    <w:rsid w:val="00936B88"/>
    <w:rsid w:val="00936BDC"/>
    <w:rsid w:val="00936C24"/>
    <w:rsid w:val="00936DCB"/>
    <w:rsid w:val="00936E46"/>
    <w:rsid w:val="00936E63"/>
    <w:rsid w:val="00936EA9"/>
    <w:rsid w:val="00936F7F"/>
    <w:rsid w:val="00936FB0"/>
    <w:rsid w:val="00937005"/>
    <w:rsid w:val="00937153"/>
    <w:rsid w:val="009371CE"/>
    <w:rsid w:val="00937248"/>
    <w:rsid w:val="009372E5"/>
    <w:rsid w:val="009372EC"/>
    <w:rsid w:val="009372F1"/>
    <w:rsid w:val="00937445"/>
    <w:rsid w:val="009374AB"/>
    <w:rsid w:val="009374E5"/>
    <w:rsid w:val="00937601"/>
    <w:rsid w:val="00937603"/>
    <w:rsid w:val="009376F1"/>
    <w:rsid w:val="009376F4"/>
    <w:rsid w:val="00937782"/>
    <w:rsid w:val="00937789"/>
    <w:rsid w:val="00937798"/>
    <w:rsid w:val="00937799"/>
    <w:rsid w:val="009379A6"/>
    <w:rsid w:val="00937A53"/>
    <w:rsid w:val="00937BA4"/>
    <w:rsid w:val="00937BAD"/>
    <w:rsid w:val="00937C06"/>
    <w:rsid w:val="00937CDE"/>
    <w:rsid w:val="00937D34"/>
    <w:rsid w:val="00937D83"/>
    <w:rsid w:val="00937D99"/>
    <w:rsid w:val="00937DE3"/>
    <w:rsid w:val="00937E9A"/>
    <w:rsid w:val="00937FBE"/>
    <w:rsid w:val="0094001A"/>
    <w:rsid w:val="00940155"/>
    <w:rsid w:val="00940287"/>
    <w:rsid w:val="009402B9"/>
    <w:rsid w:val="009402C4"/>
    <w:rsid w:val="0094030C"/>
    <w:rsid w:val="009403FC"/>
    <w:rsid w:val="00940495"/>
    <w:rsid w:val="00940499"/>
    <w:rsid w:val="00940539"/>
    <w:rsid w:val="009405F5"/>
    <w:rsid w:val="009405FF"/>
    <w:rsid w:val="00940630"/>
    <w:rsid w:val="0094067E"/>
    <w:rsid w:val="00940687"/>
    <w:rsid w:val="009406CB"/>
    <w:rsid w:val="0094072D"/>
    <w:rsid w:val="009407D1"/>
    <w:rsid w:val="00940829"/>
    <w:rsid w:val="00940905"/>
    <w:rsid w:val="00940A2D"/>
    <w:rsid w:val="00940A6C"/>
    <w:rsid w:val="00940B16"/>
    <w:rsid w:val="00940B28"/>
    <w:rsid w:val="00940BBB"/>
    <w:rsid w:val="00940BD2"/>
    <w:rsid w:val="00940BE5"/>
    <w:rsid w:val="00940C4E"/>
    <w:rsid w:val="00940C55"/>
    <w:rsid w:val="00940C57"/>
    <w:rsid w:val="00940C97"/>
    <w:rsid w:val="00940D1A"/>
    <w:rsid w:val="00940D1D"/>
    <w:rsid w:val="00940D37"/>
    <w:rsid w:val="00940E7C"/>
    <w:rsid w:val="00940EAD"/>
    <w:rsid w:val="00940EBA"/>
    <w:rsid w:val="00940EBE"/>
    <w:rsid w:val="00940F6F"/>
    <w:rsid w:val="00940F9B"/>
    <w:rsid w:val="00941024"/>
    <w:rsid w:val="0094109D"/>
    <w:rsid w:val="009410A0"/>
    <w:rsid w:val="009410A2"/>
    <w:rsid w:val="0094124E"/>
    <w:rsid w:val="009412A6"/>
    <w:rsid w:val="009412CF"/>
    <w:rsid w:val="009413A4"/>
    <w:rsid w:val="00941450"/>
    <w:rsid w:val="009414C3"/>
    <w:rsid w:val="0094152D"/>
    <w:rsid w:val="00941542"/>
    <w:rsid w:val="00941564"/>
    <w:rsid w:val="0094160C"/>
    <w:rsid w:val="0094163E"/>
    <w:rsid w:val="009416BF"/>
    <w:rsid w:val="0094170C"/>
    <w:rsid w:val="0094183D"/>
    <w:rsid w:val="0094184F"/>
    <w:rsid w:val="0094187D"/>
    <w:rsid w:val="0094187F"/>
    <w:rsid w:val="009418DC"/>
    <w:rsid w:val="0094193D"/>
    <w:rsid w:val="0094194E"/>
    <w:rsid w:val="00941959"/>
    <w:rsid w:val="009419AF"/>
    <w:rsid w:val="00941A43"/>
    <w:rsid w:val="00941AD5"/>
    <w:rsid w:val="00941AFC"/>
    <w:rsid w:val="00941C82"/>
    <w:rsid w:val="00941CDA"/>
    <w:rsid w:val="00941D8D"/>
    <w:rsid w:val="00941E11"/>
    <w:rsid w:val="00941E67"/>
    <w:rsid w:val="00941EEB"/>
    <w:rsid w:val="00941EF6"/>
    <w:rsid w:val="00941F8E"/>
    <w:rsid w:val="00941F9D"/>
    <w:rsid w:val="00941FCF"/>
    <w:rsid w:val="00942052"/>
    <w:rsid w:val="00942072"/>
    <w:rsid w:val="00942103"/>
    <w:rsid w:val="0094213C"/>
    <w:rsid w:val="00942162"/>
    <w:rsid w:val="009421B5"/>
    <w:rsid w:val="009421FC"/>
    <w:rsid w:val="00942262"/>
    <w:rsid w:val="0094238D"/>
    <w:rsid w:val="00942394"/>
    <w:rsid w:val="00942455"/>
    <w:rsid w:val="009424EA"/>
    <w:rsid w:val="00942586"/>
    <w:rsid w:val="009425B6"/>
    <w:rsid w:val="00942616"/>
    <w:rsid w:val="0094264E"/>
    <w:rsid w:val="009426F7"/>
    <w:rsid w:val="009426FD"/>
    <w:rsid w:val="009427BB"/>
    <w:rsid w:val="009427D6"/>
    <w:rsid w:val="0094289C"/>
    <w:rsid w:val="0094295B"/>
    <w:rsid w:val="00942967"/>
    <w:rsid w:val="0094296F"/>
    <w:rsid w:val="0094297B"/>
    <w:rsid w:val="0094299C"/>
    <w:rsid w:val="00942B0E"/>
    <w:rsid w:val="00942B14"/>
    <w:rsid w:val="00942B1F"/>
    <w:rsid w:val="00942BAB"/>
    <w:rsid w:val="00942BC4"/>
    <w:rsid w:val="00942BF4"/>
    <w:rsid w:val="00942DD2"/>
    <w:rsid w:val="00942E04"/>
    <w:rsid w:val="00942F50"/>
    <w:rsid w:val="00942F75"/>
    <w:rsid w:val="00942FAC"/>
    <w:rsid w:val="00943024"/>
    <w:rsid w:val="00943029"/>
    <w:rsid w:val="00943038"/>
    <w:rsid w:val="009430A4"/>
    <w:rsid w:val="009431AC"/>
    <w:rsid w:val="0094326D"/>
    <w:rsid w:val="0094329E"/>
    <w:rsid w:val="0094333E"/>
    <w:rsid w:val="00943414"/>
    <w:rsid w:val="00943461"/>
    <w:rsid w:val="00943480"/>
    <w:rsid w:val="009436F1"/>
    <w:rsid w:val="00943743"/>
    <w:rsid w:val="00943756"/>
    <w:rsid w:val="009437BC"/>
    <w:rsid w:val="009437FF"/>
    <w:rsid w:val="00943910"/>
    <w:rsid w:val="00943975"/>
    <w:rsid w:val="00943AB6"/>
    <w:rsid w:val="00943AC0"/>
    <w:rsid w:val="00943B1B"/>
    <w:rsid w:val="00943CBC"/>
    <w:rsid w:val="00943CBE"/>
    <w:rsid w:val="00943CEC"/>
    <w:rsid w:val="00943D91"/>
    <w:rsid w:val="00943DC1"/>
    <w:rsid w:val="00943DEE"/>
    <w:rsid w:val="00943E7A"/>
    <w:rsid w:val="00943EEB"/>
    <w:rsid w:val="00944130"/>
    <w:rsid w:val="00944138"/>
    <w:rsid w:val="0094413B"/>
    <w:rsid w:val="00944270"/>
    <w:rsid w:val="009443E0"/>
    <w:rsid w:val="0094447B"/>
    <w:rsid w:val="009444C9"/>
    <w:rsid w:val="009444EE"/>
    <w:rsid w:val="00944520"/>
    <w:rsid w:val="009445B7"/>
    <w:rsid w:val="009445C1"/>
    <w:rsid w:val="0094461C"/>
    <w:rsid w:val="00944666"/>
    <w:rsid w:val="0094473F"/>
    <w:rsid w:val="009447BB"/>
    <w:rsid w:val="009448D2"/>
    <w:rsid w:val="009448E5"/>
    <w:rsid w:val="0094492B"/>
    <w:rsid w:val="00944974"/>
    <w:rsid w:val="009449C2"/>
    <w:rsid w:val="00944AAC"/>
    <w:rsid w:val="00944B0E"/>
    <w:rsid w:val="00944B11"/>
    <w:rsid w:val="00944B19"/>
    <w:rsid w:val="00944C22"/>
    <w:rsid w:val="00944C48"/>
    <w:rsid w:val="00944C85"/>
    <w:rsid w:val="00944D55"/>
    <w:rsid w:val="00944DBA"/>
    <w:rsid w:val="00944EAC"/>
    <w:rsid w:val="00944F9A"/>
    <w:rsid w:val="009450CB"/>
    <w:rsid w:val="009451CF"/>
    <w:rsid w:val="009452F5"/>
    <w:rsid w:val="009453A5"/>
    <w:rsid w:val="009453CE"/>
    <w:rsid w:val="00945496"/>
    <w:rsid w:val="0094550B"/>
    <w:rsid w:val="0094557A"/>
    <w:rsid w:val="009455AD"/>
    <w:rsid w:val="009456AB"/>
    <w:rsid w:val="009456E6"/>
    <w:rsid w:val="0094572C"/>
    <w:rsid w:val="0094572F"/>
    <w:rsid w:val="009457C7"/>
    <w:rsid w:val="009457ED"/>
    <w:rsid w:val="0094582A"/>
    <w:rsid w:val="0094583B"/>
    <w:rsid w:val="00945867"/>
    <w:rsid w:val="0094586C"/>
    <w:rsid w:val="00945998"/>
    <w:rsid w:val="009459B0"/>
    <w:rsid w:val="009459D4"/>
    <w:rsid w:val="00945A10"/>
    <w:rsid w:val="00945A6D"/>
    <w:rsid w:val="00945AAB"/>
    <w:rsid w:val="00945B50"/>
    <w:rsid w:val="00945C6C"/>
    <w:rsid w:val="00945CA5"/>
    <w:rsid w:val="00945D59"/>
    <w:rsid w:val="00945D93"/>
    <w:rsid w:val="00945DAE"/>
    <w:rsid w:val="00945E5F"/>
    <w:rsid w:val="00945E71"/>
    <w:rsid w:val="00945E7C"/>
    <w:rsid w:val="00945EB1"/>
    <w:rsid w:val="00945F11"/>
    <w:rsid w:val="00946000"/>
    <w:rsid w:val="00946068"/>
    <w:rsid w:val="0094606A"/>
    <w:rsid w:val="009460DE"/>
    <w:rsid w:val="00946142"/>
    <w:rsid w:val="009461A0"/>
    <w:rsid w:val="009461B1"/>
    <w:rsid w:val="0094620B"/>
    <w:rsid w:val="0094626F"/>
    <w:rsid w:val="00946281"/>
    <w:rsid w:val="00946335"/>
    <w:rsid w:val="00946336"/>
    <w:rsid w:val="00946398"/>
    <w:rsid w:val="009463DC"/>
    <w:rsid w:val="00946480"/>
    <w:rsid w:val="009464C5"/>
    <w:rsid w:val="009464E0"/>
    <w:rsid w:val="00946528"/>
    <w:rsid w:val="009465F5"/>
    <w:rsid w:val="00946611"/>
    <w:rsid w:val="00946779"/>
    <w:rsid w:val="0094687E"/>
    <w:rsid w:val="00946881"/>
    <w:rsid w:val="009468C2"/>
    <w:rsid w:val="009468CB"/>
    <w:rsid w:val="009469D1"/>
    <w:rsid w:val="009469D4"/>
    <w:rsid w:val="00946A5D"/>
    <w:rsid w:val="00946B67"/>
    <w:rsid w:val="00946BF9"/>
    <w:rsid w:val="00946C33"/>
    <w:rsid w:val="00946C38"/>
    <w:rsid w:val="00946CAE"/>
    <w:rsid w:val="00946CFA"/>
    <w:rsid w:val="00946D32"/>
    <w:rsid w:val="00946E07"/>
    <w:rsid w:val="00946E4B"/>
    <w:rsid w:val="00946EC4"/>
    <w:rsid w:val="00946ECA"/>
    <w:rsid w:val="00946EE0"/>
    <w:rsid w:val="00946F43"/>
    <w:rsid w:val="00946F8C"/>
    <w:rsid w:val="009470CB"/>
    <w:rsid w:val="00947293"/>
    <w:rsid w:val="009472F7"/>
    <w:rsid w:val="0094731B"/>
    <w:rsid w:val="0094731C"/>
    <w:rsid w:val="00947361"/>
    <w:rsid w:val="0094748D"/>
    <w:rsid w:val="009474C8"/>
    <w:rsid w:val="009474EB"/>
    <w:rsid w:val="0094750B"/>
    <w:rsid w:val="00947510"/>
    <w:rsid w:val="00947636"/>
    <w:rsid w:val="009476AE"/>
    <w:rsid w:val="009476BF"/>
    <w:rsid w:val="009476EE"/>
    <w:rsid w:val="0094781E"/>
    <w:rsid w:val="00947824"/>
    <w:rsid w:val="00947894"/>
    <w:rsid w:val="009478D0"/>
    <w:rsid w:val="009478E2"/>
    <w:rsid w:val="009478FB"/>
    <w:rsid w:val="0094799A"/>
    <w:rsid w:val="00947B14"/>
    <w:rsid w:val="00947B38"/>
    <w:rsid w:val="00947B90"/>
    <w:rsid w:val="00947BF0"/>
    <w:rsid w:val="00947CF8"/>
    <w:rsid w:val="00947D00"/>
    <w:rsid w:val="00947D75"/>
    <w:rsid w:val="00947DBD"/>
    <w:rsid w:val="00947DCB"/>
    <w:rsid w:val="00947E85"/>
    <w:rsid w:val="00947ECC"/>
    <w:rsid w:val="00947F70"/>
    <w:rsid w:val="00947FB7"/>
    <w:rsid w:val="0094ED44"/>
    <w:rsid w:val="009500AE"/>
    <w:rsid w:val="009500DE"/>
    <w:rsid w:val="00950127"/>
    <w:rsid w:val="0095015B"/>
    <w:rsid w:val="0095024C"/>
    <w:rsid w:val="009502CE"/>
    <w:rsid w:val="009503AB"/>
    <w:rsid w:val="009504D7"/>
    <w:rsid w:val="009505CF"/>
    <w:rsid w:val="009505EE"/>
    <w:rsid w:val="009506F9"/>
    <w:rsid w:val="00950710"/>
    <w:rsid w:val="0095080A"/>
    <w:rsid w:val="00950873"/>
    <w:rsid w:val="009508D4"/>
    <w:rsid w:val="0095091E"/>
    <w:rsid w:val="00950984"/>
    <w:rsid w:val="00950AF5"/>
    <w:rsid w:val="00950BB3"/>
    <w:rsid w:val="00950C3B"/>
    <w:rsid w:val="00950DDA"/>
    <w:rsid w:val="00950E3B"/>
    <w:rsid w:val="00950F8C"/>
    <w:rsid w:val="00950FA7"/>
    <w:rsid w:val="00950FF5"/>
    <w:rsid w:val="0095128B"/>
    <w:rsid w:val="00951334"/>
    <w:rsid w:val="00951367"/>
    <w:rsid w:val="0095136B"/>
    <w:rsid w:val="009513C4"/>
    <w:rsid w:val="009513C9"/>
    <w:rsid w:val="00951494"/>
    <w:rsid w:val="009514D0"/>
    <w:rsid w:val="009515C6"/>
    <w:rsid w:val="00951628"/>
    <w:rsid w:val="00951636"/>
    <w:rsid w:val="00951693"/>
    <w:rsid w:val="00951A41"/>
    <w:rsid w:val="00951A6E"/>
    <w:rsid w:val="00951AC7"/>
    <w:rsid w:val="00951ADD"/>
    <w:rsid w:val="00951B11"/>
    <w:rsid w:val="00951BB6"/>
    <w:rsid w:val="00951C52"/>
    <w:rsid w:val="00951C55"/>
    <w:rsid w:val="00951E10"/>
    <w:rsid w:val="00951E63"/>
    <w:rsid w:val="00951E97"/>
    <w:rsid w:val="00952000"/>
    <w:rsid w:val="00952002"/>
    <w:rsid w:val="00952032"/>
    <w:rsid w:val="00952041"/>
    <w:rsid w:val="00952067"/>
    <w:rsid w:val="009520F2"/>
    <w:rsid w:val="00952120"/>
    <w:rsid w:val="00952321"/>
    <w:rsid w:val="009523C5"/>
    <w:rsid w:val="009523EE"/>
    <w:rsid w:val="009523F2"/>
    <w:rsid w:val="00952466"/>
    <w:rsid w:val="009524E1"/>
    <w:rsid w:val="009524FE"/>
    <w:rsid w:val="0095253A"/>
    <w:rsid w:val="00952589"/>
    <w:rsid w:val="009525B1"/>
    <w:rsid w:val="009525B7"/>
    <w:rsid w:val="00952602"/>
    <w:rsid w:val="00952780"/>
    <w:rsid w:val="009527FA"/>
    <w:rsid w:val="009528CC"/>
    <w:rsid w:val="00952928"/>
    <w:rsid w:val="00952965"/>
    <w:rsid w:val="00952A47"/>
    <w:rsid w:val="00952A71"/>
    <w:rsid w:val="00952AB9"/>
    <w:rsid w:val="00952AE6"/>
    <w:rsid w:val="00952B07"/>
    <w:rsid w:val="00952BAF"/>
    <w:rsid w:val="00952C01"/>
    <w:rsid w:val="00952C9C"/>
    <w:rsid w:val="00952CE7"/>
    <w:rsid w:val="00952CFD"/>
    <w:rsid w:val="00952D06"/>
    <w:rsid w:val="00952D29"/>
    <w:rsid w:val="00952D2D"/>
    <w:rsid w:val="00952D3A"/>
    <w:rsid w:val="00952DAB"/>
    <w:rsid w:val="00952DD6"/>
    <w:rsid w:val="00952E09"/>
    <w:rsid w:val="00952E5D"/>
    <w:rsid w:val="00952F18"/>
    <w:rsid w:val="00952F40"/>
    <w:rsid w:val="00952F4B"/>
    <w:rsid w:val="00953019"/>
    <w:rsid w:val="00953070"/>
    <w:rsid w:val="009530EE"/>
    <w:rsid w:val="00953245"/>
    <w:rsid w:val="009532E3"/>
    <w:rsid w:val="00953321"/>
    <w:rsid w:val="0095348C"/>
    <w:rsid w:val="009534F9"/>
    <w:rsid w:val="00953631"/>
    <w:rsid w:val="009536CD"/>
    <w:rsid w:val="00953969"/>
    <w:rsid w:val="00953973"/>
    <w:rsid w:val="009539E0"/>
    <w:rsid w:val="00953A48"/>
    <w:rsid w:val="00953BF0"/>
    <w:rsid w:val="00953C2F"/>
    <w:rsid w:val="00953C90"/>
    <w:rsid w:val="00953CE1"/>
    <w:rsid w:val="00953D6B"/>
    <w:rsid w:val="00953D7A"/>
    <w:rsid w:val="00953DD3"/>
    <w:rsid w:val="00953FAC"/>
    <w:rsid w:val="00953FFA"/>
    <w:rsid w:val="00954043"/>
    <w:rsid w:val="0095413F"/>
    <w:rsid w:val="00954151"/>
    <w:rsid w:val="00954186"/>
    <w:rsid w:val="00954286"/>
    <w:rsid w:val="009542BE"/>
    <w:rsid w:val="00954308"/>
    <w:rsid w:val="0095436C"/>
    <w:rsid w:val="0095447D"/>
    <w:rsid w:val="0095451D"/>
    <w:rsid w:val="009546C9"/>
    <w:rsid w:val="009546FA"/>
    <w:rsid w:val="009547C9"/>
    <w:rsid w:val="00954815"/>
    <w:rsid w:val="00954858"/>
    <w:rsid w:val="0095485E"/>
    <w:rsid w:val="00954909"/>
    <w:rsid w:val="009549E7"/>
    <w:rsid w:val="00954B3A"/>
    <w:rsid w:val="00954CDE"/>
    <w:rsid w:val="00954CF4"/>
    <w:rsid w:val="00954D3C"/>
    <w:rsid w:val="00954D5C"/>
    <w:rsid w:val="00954D66"/>
    <w:rsid w:val="00954E65"/>
    <w:rsid w:val="00954E93"/>
    <w:rsid w:val="00954F4F"/>
    <w:rsid w:val="00954F83"/>
    <w:rsid w:val="00954FA2"/>
    <w:rsid w:val="00955030"/>
    <w:rsid w:val="0095506D"/>
    <w:rsid w:val="009550C8"/>
    <w:rsid w:val="009550CF"/>
    <w:rsid w:val="009550FE"/>
    <w:rsid w:val="0095510E"/>
    <w:rsid w:val="00955156"/>
    <w:rsid w:val="009551D1"/>
    <w:rsid w:val="00955344"/>
    <w:rsid w:val="00955440"/>
    <w:rsid w:val="009554A5"/>
    <w:rsid w:val="00955580"/>
    <w:rsid w:val="009555BF"/>
    <w:rsid w:val="0095560D"/>
    <w:rsid w:val="00955627"/>
    <w:rsid w:val="009556B4"/>
    <w:rsid w:val="0095579E"/>
    <w:rsid w:val="009557D4"/>
    <w:rsid w:val="0095581F"/>
    <w:rsid w:val="009558F4"/>
    <w:rsid w:val="00955A54"/>
    <w:rsid w:val="00955AC3"/>
    <w:rsid w:val="00955B8D"/>
    <w:rsid w:val="00955BB8"/>
    <w:rsid w:val="00955C78"/>
    <w:rsid w:val="00955C97"/>
    <w:rsid w:val="00955CE9"/>
    <w:rsid w:val="00955CF1"/>
    <w:rsid w:val="00955DC5"/>
    <w:rsid w:val="00955E55"/>
    <w:rsid w:val="00955F19"/>
    <w:rsid w:val="00955F46"/>
    <w:rsid w:val="0095602A"/>
    <w:rsid w:val="00956032"/>
    <w:rsid w:val="0095603C"/>
    <w:rsid w:val="009561B3"/>
    <w:rsid w:val="00956215"/>
    <w:rsid w:val="009562BB"/>
    <w:rsid w:val="0095636B"/>
    <w:rsid w:val="009563AF"/>
    <w:rsid w:val="009563B5"/>
    <w:rsid w:val="009564DE"/>
    <w:rsid w:val="00956624"/>
    <w:rsid w:val="00956628"/>
    <w:rsid w:val="009566CA"/>
    <w:rsid w:val="009567D2"/>
    <w:rsid w:val="009568EC"/>
    <w:rsid w:val="009569B1"/>
    <w:rsid w:val="00956ACC"/>
    <w:rsid w:val="00956B58"/>
    <w:rsid w:val="00956BA5"/>
    <w:rsid w:val="00956C28"/>
    <w:rsid w:val="00956CF5"/>
    <w:rsid w:val="00956D27"/>
    <w:rsid w:val="00956DEC"/>
    <w:rsid w:val="00956DFD"/>
    <w:rsid w:val="00956E22"/>
    <w:rsid w:val="00956F07"/>
    <w:rsid w:val="00956F60"/>
    <w:rsid w:val="00956F88"/>
    <w:rsid w:val="00956F8E"/>
    <w:rsid w:val="009570BA"/>
    <w:rsid w:val="009570BC"/>
    <w:rsid w:val="009570C8"/>
    <w:rsid w:val="00957125"/>
    <w:rsid w:val="0095718C"/>
    <w:rsid w:val="009571FB"/>
    <w:rsid w:val="009572B9"/>
    <w:rsid w:val="009573A4"/>
    <w:rsid w:val="009573D6"/>
    <w:rsid w:val="00957427"/>
    <w:rsid w:val="00957451"/>
    <w:rsid w:val="00957473"/>
    <w:rsid w:val="009574C0"/>
    <w:rsid w:val="00957566"/>
    <w:rsid w:val="00957686"/>
    <w:rsid w:val="009576E8"/>
    <w:rsid w:val="009576FB"/>
    <w:rsid w:val="0095776D"/>
    <w:rsid w:val="009577B2"/>
    <w:rsid w:val="009578A7"/>
    <w:rsid w:val="009578CB"/>
    <w:rsid w:val="009578CC"/>
    <w:rsid w:val="009578EB"/>
    <w:rsid w:val="009579CF"/>
    <w:rsid w:val="009579EE"/>
    <w:rsid w:val="00957AFB"/>
    <w:rsid w:val="00957B68"/>
    <w:rsid w:val="00957C1A"/>
    <w:rsid w:val="00957C39"/>
    <w:rsid w:val="00957C70"/>
    <w:rsid w:val="00957C79"/>
    <w:rsid w:val="00957D9A"/>
    <w:rsid w:val="00957DE7"/>
    <w:rsid w:val="00957E66"/>
    <w:rsid w:val="00957E6A"/>
    <w:rsid w:val="00957FE2"/>
    <w:rsid w:val="0096001F"/>
    <w:rsid w:val="0096008C"/>
    <w:rsid w:val="0096009C"/>
    <w:rsid w:val="0096012D"/>
    <w:rsid w:val="009601CE"/>
    <w:rsid w:val="009602B4"/>
    <w:rsid w:val="00960320"/>
    <w:rsid w:val="0096038B"/>
    <w:rsid w:val="009603EC"/>
    <w:rsid w:val="009604AE"/>
    <w:rsid w:val="0096056D"/>
    <w:rsid w:val="00960593"/>
    <w:rsid w:val="00960625"/>
    <w:rsid w:val="009606E1"/>
    <w:rsid w:val="00960718"/>
    <w:rsid w:val="009607F2"/>
    <w:rsid w:val="00960989"/>
    <w:rsid w:val="00960991"/>
    <w:rsid w:val="009609D1"/>
    <w:rsid w:val="009609E8"/>
    <w:rsid w:val="00960BB8"/>
    <w:rsid w:val="00960C80"/>
    <w:rsid w:val="00960CD5"/>
    <w:rsid w:val="00960D0A"/>
    <w:rsid w:val="00960E34"/>
    <w:rsid w:val="00960E3B"/>
    <w:rsid w:val="00960E63"/>
    <w:rsid w:val="00960F90"/>
    <w:rsid w:val="00960FE2"/>
    <w:rsid w:val="00960FE5"/>
    <w:rsid w:val="00961086"/>
    <w:rsid w:val="009610AB"/>
    <w:rsid w:val="009610DD"/>
    <w:rsid w:val="009610F0"/>
    <w:rsid w:val="00961178"/>
    <w:rsid w:val="009611CF"/>
    <w:rsid w:val="00961289"/>
    <w:rsid w:val="00961335"/>
    <w:rsid w:val="009613BD"/>
    <w:rsid w:val="00961535"/>
    <w:rsid w:val="009615B2"/>
    <w:rsid w:val="0096178A"/>
    <w:rsid w:val="009617AB"/>
    <w:rsid w:val="009617CB"/>
    <w:rsid w:val="009617D9"/>
    <w:rsid w:val="0096181E"/>
    <w:rsid w:val="009618F0"/>
    <w:rsid w:val="00961965"/>
    <w:rsid w:val="009619E9"/>
    <w:rsid w:val="00961A30"/>
    <w:rsid w:val="00961AFE"/>
    <w:rsid w:val="00961C3F"/>
    <w:rsid w:val="00961D81"/>
    <w:rsid w:val="00961DFD"/>
    <w:rsid w:val="00961E89"/>
    <w:rsid w:val="00961ED5"/>
    <w:rsid w:val="00961F19"/>
    <w:rsid w:val="00961F25"/>
    <w:rsid w:val="00961F33"/>
    <w:rsid w:val="00961F57"/>
    <w:rsid w:val="00962025"/>
    <w:rsid w:val="009620A2"/>
    <w:rsid w:val="009621AA"/>
    <w:rsid w:val="00962200"/>
    <w:rsid w:val="009622F2"/>
    <w:rsid w:val="009622FC"/>
    <w:rsid w:val="00962312"/>
    <w:rsid w:val="00962393"/>
    <w:rsid w:val="009623F2"/>
    <w:rsid w:val="00962490"/>
    <w:rsid w:val="009625EA"/>
    <w:rsid w:val="009625F6"/>
    <w:rsid w:val="0096269D"/>
    <w:rsid w:val="009626D4"/>
    <w:rsid w:val="00962794"/>
    <w:rsid w:val="009627E7"/>
    <w:rsid w:val="0096290A"/>
    <w:rsid w:val="0096298B"/>
    <w:rsid w:val="00962993"/>
    <w:rsid w:val="00962B99"/>
    <w:rsid w:val="00962C11"/>
    <w:rsid w:val="00962C5D"/>
    <w:rsid w:val="00962CA5"/>
    <w:rsid w:val="00962CEE"/>
    <w:rsid w:val="00962D01"/>
    <w:rsid w:val="00962D19"/>
    <w:rsid w:val="00962D9A"/>
    <w:rsid w:val="00962DB0"/>
    <w:rsid w:val="00962DE0"/>
    <w:rsid w:val="00962DF3"/>
    <w:rsid w:val="00962E03"/>
    <w:rsid w:val="00962FE6"/>
    <w:rsid w:val="0096304D"/>
    <w:rsid w:val="0096306C"/>
    <w:rsid w:val="009631B3"/>
    <w:rsid w:val="009631B5"/>
    <w:rsid w:val="009632A2"/>
    <w:rsid w:val="0096330D"/>
    <w:rsid w:val="0096332B"/>
    <w:rsid w:val="00963375"/>
    <w:rsid w:val="009633C2"/>
    <w:rsid w:val="009633F7"/>
    <w:rsid w:val="00963411"/>
    <w:rsid w:val="009634CA"/>
    <w:rsid w:val="009634CB"/>
    <w:rsid w:val="00963654"/>
    <w:rsid w:val="009636D8"/>
    <w:rsid w:val="00963729"/>
    <w:rsid w:val="00963736"/>
    <w:rsid w:val="00963761"/>
    <w:rsid w:val="00963855"/>
    <w:rsid w:val="009638DB"/>
    <w:rsid w:val="009639AB"/>
    <w:rsid w:val="009639E9"/>
    <w:rsid w:val="00963A26"/>
    <w:rsid w:val="00963B2F"/>
    <w:rsid w:val="00963B4D"/>
    <w:rsid w:val="00963B85"/>
    <w:rsid w:val="00963BAF"/>
    <w:rsid w:val="00963BBA"/>
    <w:rsid w:val="00963D16"/>
    <w:rsid w:val="00963D45"/>
    <w:rsid w:val="00963D73"/>
    <w:rsid w:val="00963DF7"/>
    <w:rsid w:val="00963F6D"/>
    <w:rsid w:val="00963FB6"/>
    <w:rsid w:val="00963FD2"/>
    <w:rsid w:val="00964086"/>
    <w:rsid w:val="009640EB"/>
    <w:rsid w:val="00964173"/>
    <w:rsid w:val="0096421D"/>
    <w:rsid w:val="0096426A"/>
    <w:rsid w:val="009642AD"/>
    <w:rsid w:val="009642BD"/>
    <w:rsid w:val="00964509"/>
    <w:rsid w:val="00964543"/>
    <w:rsid w:val="00964596"/>
    <w:rsid w:val="00964682"/>
    <w:rsid w:val="00964764"/>
    <w:rsid w:val="00964798"/>
    <w:rsid w:val="009647F7"/>
    <w:rsid w:val="00964865"/>
    <w:rsid w:val="009648B3"/>
    <w:rsid w:val="00964989"/>
    <w:rsid w:val="009649C6"/>
    <w:rsid w:val="00964A1F"/>
    <w:rsid w:val="00964BAB"/>
    <w:rsid w:val="00964C0F"/>
    <w:rsid w:val="00964C15"/>
    <w:rsid w:val="00964C27"/>
    <w:rsid w:val="00964CC7"/>
    <w:rsid w:val="00964D4B"/>
    <w:rsid w:val="00964E4D"/>
    <w:rsid w:val="00964ED0"/>
    <w:rsid w:val="00964EE9"/>
    <w:rsid w:val="00964F17"/>
    <w:rsid w:val="00964F78"/>
    <w:rsid w:val="00964FB2"/>
    <w:rsid w:val="00965002"/>
    <w:rsid w:val="0096500C"/>
    <w:rsid w:val="00965040"/>
    <w:rsid w:val="0096504F"/>
    <w:rsid w:val="009650E0"/>
    <w:rsid w:val="00965134"/>
    <w:rsid w:val="00965165"/>
    <w:rsid w:val="009651A3"/>
    <w:rsid w:val="009651CF"/>
    <w:rsid w:val="00965220"/>
    <w:rsid w:val="00965232"/>
    <w:rsid w:val="009652AC"/>
    <w:rsid w:val="009652CD"/>
    <w:rsid w:val="009653A4"/>
    <w:rsid w:val="00965408"/>
    <w:rsid w:val="0096543D"/>
    <w:rsid w:val="00965468"/>
    <w:rsid w:val="0096548C"/>
    <w:rsid w:val="009654FC"/>
    <w:rsid w:val="0096554E"/>
    <w:rsid w:val="0096572F"/>
    <w:rsid w:val="00965774"/>
    <w:rsid w:val="00965791"/>
    <w:rsid w:val="009657EE"/>
    <w:rsid w:val="0096582A"/>
    <w:rsid w:val="0096592B"/>
    <w:rsid w:val="00965973"/>
    <w:rsid w:val="00965A2E"/>
    <w:rsid w:val="00965AC7"/>
    <w:rsid w:val="00965BBA"/>
    <w:rsid w:val="00965C8B"/>
    <w:rsid w:val="00965C99"/>
    <w:rsid w:val="00965D88"/>
    <w:rsid w:val="00965DFB"/>
    <w:rsid w:val="00965ED3"/>
    <w:rsid w:val="00965FCE"/>
    <w:rsid w:val="00965FE2"/>
    <w:rsid w:val="009660E6"/>
    <w:rsid w:val="00966111"/>
    <w:rsid w:val="0096617F"/>
    <w:rsid w:val="009662C8"/>
    <w:rsid w:val="0096635D"/>
    <w:rsid w:val="00966389"/>
    <w:rsid w:val="009663FC"/>
    <w:rsid w:val="00966408"/>
    <w:rsid w:val="00966447"/>
    <w:rsid w:val="0096654B"/>
    <w:rsid w:val="0096655A"/>
    <w:rsid w:val="009665B7"/>
    <w:rsid w:val="00966634"/>
    <w:rsid w:val="00966646"/>
    <w:rsid w:val="00966647"/>
    <w:rsid w:val="009666D1"/>
    <w:rsid w:val="0096678E"/>
    <w:rsid w:val="0096679C"/>
    <w:rsid w:val="009667FC"/>
    <w:rsid w:val="009668B3"/>
    <w:rsid w:val="009668D1"/>
    <w:rsid w:val="00966978"/>
    <w:rsid w:val="009669A1"/>
    <w:rsid w:val="00966A46"/>
    <w:rsid w:val="00966ACB"/>
    <w:rsid w:val="00966DF0"/>
    <w:rsid w:val="00966E90"/>
    <w:rsid w:val="00966F54"/>
    <w:rsid w:val="00966FCD"/>
    <w:rsid w:val="0096709D"/>
    <w:rsid w:val="009670E8"/>
    <w:rsid w:val="00967106"/>
    <w:rsid w:val="00967140"/>
    <w:rsid w:val="00967159"/>
    <w:rsid w:val="00967242"/>
    <w:rsid w:val="00967283"/>
    <w:rsid w:val="009672B6"/>
    <w:rsid w:val="0096737A"/>
    <w:rsid w:val="009673C0"/>
    <w:rsid w:val="0096741E"/>
    <w:rsid w:val="00967442"/>
    <w:rsid w:val="0096748E"/>
    <w:rsid w:val="0096758E"/>
    <w:rsid w:val="00967675"/>
    <w:rsid w:val="00967717"/>
    <w:rsid w:val="009677F0"/>
    <w:rsid w:val="00967816"/>
    <w:rsid w:val="0096789D"/>
    <w:rsid w:val="009678C6"/>
    <w:rsid w:val="009679C8"/>
    <w:rsid w:val="00967AE8"/>
    <w:rsid w:val="00967B51"/>
    <w:rsid w:val="00967B78"/>
    <w:rsid w:val="00967BA5"/>
    <w:rsid w:val="00967BEE"/>
    <w:rsid w:val="00967C75"/>
    <w:rsid w:val="00967E1F"/>
    <w:rsid w:val="00967E59"/>
    <w:rsid w:val="00967EDB"/>
    <w:rsid w:val="00967F3A"/>
    <w:rsid w:val="00967F9D"/>
    <w:rsid w:val="00970005"/>
    <w:rsid w:val="0097005A"/>
    <w:rsid w:val="009700E6"/>
    <w:rsid w:val="009700F6"/>
    <w:rsid w:val="00970119"/>
    <w:rsid w:val="009701C8"/>
    <w:rsid w:val="009702F0"/>
    <w:rsid w:val="00970330"/>
    <w:rsid w:val="00970492"/>
    <w:rsid w:val="00970495"/>
    <w:rsid w:val="009704DD"/>
    <w:rsid w:val="009704E4"/>
    <w:rsid w:val="0097050A"/>
    <w:rsid w:val="00970576"/>
    <w:rsid w:val="009705C4"/>
    <w:rsid w:val="00970647"/>
    <w:rsid w:val="0097067C"/>
    <w:rsid w:val="0097069D"/>
    <w:rsid w:val="0097085C"/>
    <w:rsid w:val="00970948"/>
    <w:rsid w:val="00970962"/>
    <w:rsid w:val="0097098D"/>
    <w:rsid w:val="00970A80"/>
    <w:rsid w:val="00970A96"/>
    <w:rsid w:val="00970AA3"/>
    <w:rsid w:val="00970ADD"/>
    <w:rsid w:val="00970B81"/>
    <w:rsid w:val="00970BB1"/>
    <w:rsid w:val="00970C81"/>
    <w:rsid w:val="00970CFA"/>
    <w:rsid w:val="00970F96"/>
    <w:rsid w:val="00970FB1"/>
    <w:rsid w:val="009710A6"/>
    <w:rsid w:val="009710D7"/>
    <w:rsid w:val="009710EB"/>
    <w:rsid w:val="009711D3"/>
    <w:rsid w:val="00971360"/>
    <w:rsid w:val="009713E6"/>
    <w:rsid w:val="0097147F"/>
    <w:rsid w:val="009714D3"/>
    <w:rsid w:val="00971503"/>
    <w:rsid w:val="0097153F"/>
    <w:rsid w:val="00971579"/>
    <w:rsid w:val="009715A2"/>
    <w:rsid w:val="00971730"/>
    <w:rsid w:val="009718C3"/>
    <w:rsid w:val="00971A3D"/>
    <w:rsid w:val="00971AD1"/>
    <w:rsid w:val="00971AE2"/>
    <w:rsid w:val="00971B31"/>
    <w:rsid w:val="00971C50"/>
    <w:rsid w:val="00971D0E"/>
    <w:rsid w:val="00971D18"/>
    <w:rsid w:val="00971D7E"/>
    <w:rsid w:val="00971D94"/>
    <w:rsid w:val="00971DD8"/>
    <w:rsid w:val="00971EF9"/>
    <w:rsid w:val="00971F0D"/>
    <w:rsid w:val="00971F36"/>
    <w:rsid w:val="00971FA1"/>
    <w:rsid w:val="0097208E"/>
    <w:rsid w:val="009720AF"/>
    <w:rsid w:val="00972174"/>
    <w:rsid w:val="00972177"/>
    <w:rsid w:val="00972186"/>
    <w:rsid w:val="0097225A"/>
    <w:rsid w:val="0097235B"/>
    <w:rsid w:val="0097239F"/>
    <w:rsid w:val="009723C8"/>
    <w:rsid w:val="009723FB"/>
    <w:rsid w:val="00972466"/>
    <w:rsid w:val="0097250B"/>
    <w:rsid w:val="00972552"/>
    <w:rsid w:val="00972623"/>
    <w:rsid w:val="00972631"/>
    <w:rsid w:val="00972632"/>
    <w:rsid w:val="00972684"/>
    <w:rsid w:val="00972698"/>
    <w:rsid w:val="009726B6"/>
    <w:rsid w:val="009726F2"/>
    <w:rsid w:val="00972712"/>
    <w:rsid w:val="009727A6"/>
    <w:rsid w:val="00972883"/>
    <w:rsid w:val="009728D9"/>
    <w:rsid w:val="00972A9B"/>
    <w:rsid w:val="00972B92"/>
    <w:rsid w:val="00972BAD"/>
    <w:rsid w:val="00972CA3"/>
    <w:rsid w:val="00972CAE"/>
    <w:rsid w:val="00972CD6"/>
    <w:rsid w:val="00972DD0"/>
    <w:rsid w:val="00972F76"/>
    <w:rsid w:val="0097309C"/>
    <w:rsid w:val="009730C4"/>
    <w:rsid w:val="009730EC"/>
    <w:rsid w:val="009731E8"/>
    <w:rsid w:val="00973242"/>
    <w:rsid w:val="00973274"/>
    <w:rsid w:val="0097329C"/>
    <w:rsid w:val="0097338F"/>
    <w:rsid w:val="009733D8"/>
    <w:rsid w:val="009734C7"/>
    <w:rsid w:val="009735C2"/>
    <w:rsid w:val="009735D6"/>
    <w:rsid w:val="009736EE"/>
    <w:rsid w:val="00973882"/>
    <w:rsid w:val="00973919"/>
    <w:rsid w:val="009739F6"/>
    <w:rsid w:val="00973A31"/>
    <w:rsid w:val="00973A43"/>
    <w:rsid w:val="00973A62"/>
    <w:rsid w:val="00973A77"/>
    <w:rsid w:val="00973ABC"/>
    <w:rsid w:val="00973ADC"/>
    <w:rsid w:val="00973B3E"/>
    <w:rsid w:val="00973C12"/>
    <w:rsid w:val="00973C97"/>
    <w:rsid w:val="00973D6E"/>
    <w:rsid w:val="00973DC0"/>
    <w:rsid w:val="00973DF7"/>
    <w:rsid w:val="00973E09"/>
    <w:rsid w:val="00973E1E"/>
    <w:rsid w:val="00973E53"/>
    <w:rsid w:val="00973F38"/>
    <w:rsid w:val="00973FDE"/>
    <w:rsid w:val="009740D4"/>
    <w:rsid w:val="00974227"/>
    <w:rsid w:val="00974376"/>
    <w:rsid w:val="009743C4"/>
    <w:rsid w:val="00974454"/>
    <w:rsid w:val="0097447E"/>
    <w:rsid w:val="009744F1"/>
    <w:rsid w:val="00974638"/>
    <w:rsid w:val="00974651"/>
    <w:rsid w:val="009746E7"/>
    <w:rsid w:val="009747A1"/>
    <w:rsid w:val="009747EB"/>
    <w:rsid w:val="00974816"/>
    <w:rsid w:val="00974956"/>
    <w:rsid w:val="009749AA"/>
    <w:rsid w:val="009749B5"/>
    <w:rsid w:val="00974A43"/>
    <w:rsid w:val="00974B4D"/>
    <w:rsid w:val="00974C53"/>
    <w:rsid w:val="00974C7C"/>
    <w:rsid w:val="00974D9F"/>
    <w:rsid w:val="00974E0F"/>
    <w:rsid w:val="00974F75"/>
    <w:rsid w:val="00974FA3"/>
    <w:rsid w:val="00974FB6"/>
    <w:rsid w:val="00975027"/>
    <w:rsid w:val="00975077"/>
    <w:rsid w:val="0097513A"/>
    <w:rsid w:val="009751DD"/>
    <w:rsid w:val="009751F4"/>
    <w:rsid w:val="00975272"/>
    <w:rsid w:val="0097532F"/>
    <w:rsid w:val="00975359"/>
    <w:rsid w:val="00975384"/>
    <w:rsid w:val="00975385"/>
    <w:rsid w:val="009754FC"/>
    <w:rsid w:val="009756DC"/>
    <w:rsid w:val="0097577B"/>
    <w:rsid w:val="0097579B"/>
    <w:rsid w:val="009757B6"/>
    <w:rsid w:val="009757EB"/>
    <w:rsid w:val="009757F4"/>
    <w:rsid w:val="009758D2"/>
    <w:rsid w:val="0097597D"/>
    <w:rsid w:val="0097598E"/>
    <w:rsid w:val="00975A35"/>
    <w:rsid w:val="00975A7F"/>
    <w:rsid w:val="00975B19"/>
    <w:rsid w:val="00975B4C"/>
    <w:rsid w:val="00975CAD"/>
    <w:rsid w:val="00975CD3"/>
    <w:rsid w:val="00975D1B"/>
    <w:rsid w:val="00975D2F"/>
    <w:rsid w:val="00975E0E"/>
    <w:rsid w:val="00975E13"/>
    <w:rsid w:val="00975E61"/>
    <w:rsid w:val="00975F4B"/>
    <w:rsid w:val="00975F69"/>
    <w:rsid w:val="00975FA8"/>
    <w:rsid w:val="00975FE5"/>
    <w:rsid w:val="00976001"/>
    <w:rsid w:val="009760A6"/>
    <w:rsid w:val="009760F0"/>
    <w:rsid w:val="0097611F"/>
    <w:rsid w:val="00976159"/>
    <w:rsid w:val="009761F3"/>
    <w:rsid w:val="0097623B"/>
    <w:rsid w:val="0097635A"/>
    <w:rsid w:val="009763F2"/>
    <w:rsid w:val="00976404"/>
    <w:rsid w:val="0097644A"/>
    <w:rsid w:val="00976579"/>
    <w:rsid w:val="00976596"/>
    <w:rsid w:val="009765DD"/>
    <w:rsid w:val="00976645"/>
    <w:rsid w:val="0097668C"/>
    <w:rsid w:val="009766A9"/>
    <w:rsid w:val="009766C7"/>
    <w:rsid w:val="009766FF"/>
    <w:rsid w:val="009767D0"/>
    <w:rsid w:val="009767ED"/>
    <w:rsid w:val="00976836"/>
    <w:rsid w:val="00976969"/>
    <w:rsid w:val="00976970"/>
    <w:rsid w:val="009769C6"/>
    <w:rsid w:val="00976B04"/>
    <w:rsid w:val="00976B27"/>
    <w:rsid w:val="00976B4D"/>
    <w:rsid w:val="00976B9C"/>
    <w:rsid w:val="00976BB3"/>
    <w:rsid w:val="00976BF2"/>
    <w:rsid w:val="00976C39"/>
    <w:rsid w:val="00976CE1"/>
    <w:rsid w:val="00976D61"/>
    <w:rsid w:val="00976E31"/>
    <w:rsid w:val="00976E64"/>
    <w:rsid w:val="00976F35"/>
    <w:rsid w:val="009770F7"/>
    <w:rsid w:val="0097711C"/>
    <w:rsid w:val="00977215"/>
    <w:rsid w:val="009772F6"/>
    <w:rsid w:val="0097733E"/>
    <w:rsid w:val="0097739C"/>
    <w:rsid w:val="009773A7"/>
    <w:rsid w:val="009773B8"/>
    <w:rsid w:val="0097743B"/>
    <w:rsid w:val="00977459"/>
    <w:rsid w:val="00977480"/>
    <w:rsid w:val="009774E2"/>
    <w:rsid w:val="00977584"/>
    <w:rsid w:val="0097760F"/>
    <w:rsid w:val="0097763D"/>
    <w:rsid w:val="00977678"/>
    <w:rsid w:val="009776B3"/>
    <w:rsid w:val="00977798"/>
    <w:rsid w:val="0097790D"/>
    <w:rsid w:val="00977A3B"/>
    <w:rsid w:val="00977A95"/>
    <w:rsid w:val="00977ADF"/>
    <w:rsid w:val="00977B02"/>
    <w:rsid w:val="00977B31"/>
    <w:rsid w:val="00977B4B"/>
    <w:rsid w:val="00977B9E"/>
    <w:rsid w:val="00977C4B"/>
    <w:rsid w:val="00977C63"/>
    <w:rsid w:val="00977D32"/>
    <w:rsid w:val="00977DAB"/>
    <w:rsid w:val="00977E19"/>
    <w:rsid w:val="00977E47"/>
    <w:rsid w:val="00977E72"/>
    <w:rsid w:val="00977F88"/>
    <w:rsid w:val="00977F99"/>
    <w:rsid w:val="00980087"/>
    <w:rsid w:val="00980261"/>
    <w:rsid w:val="009802C7"/>
    <w:rsid w:val="009802D1"/>
    <w:rsid w:val="00980334"/>
    <w:rsid w:val="00980357"/>
    <w:rsid w:val="00980471"/>
    <w:rsid w:val="009804B3"/>
    <w:rsid w:val="009804C3"/>
    <w:rsid w:val="0098053B"/>
    <w:rsid w:val="0098057A"/>
    <w:rsid w:val="009805E5"/>
    <w:rsid w:val="00980642"/>
    <w:rsid w:val="0098067A"/>
    <w:rsid w:val="009806C6"/>
    <w:rsid w:val="00980710"/>
    <w:rsid w:val="009807F1"/>
    <w:rsid w:val="009807F8"/>
    <w:rsid w:val="009809AE"/>
    <w:rsid w:val="00980AE8"/>
    <w:rsid w:val="00980AE9"/>
    <w:rsid w:val="00980B75"/>
    <w:rsid w:val="00980B82"/>
    <w:rsid w:val="00980B98"/>
    <w:rsid w:val="00980BC7"/>
    <w:rsid w:val="00980BCE"/>
    <w:rsid w:val="00980C01"/>
    <w:rsid w:val="00980C0B"/>
    <w:rsid w:val="00980C57"/>
    <w:rsid w:val="00980D3D"/>
    <w:rsid w:val="00980D63"/>
    <w:rsid w:val="00980E13"/>
    <w:rsid w:val="00980E37"/>
    <w:rsid w:val="00980E38"/>
    <w:rsid w:val="00980EDC"/>
    <w:rsid w:val="00980F77"/>
    <w:rsid w:val="00980FAD"/>
    <w:rsid w:val="0098101D"/>
    <w:rsid w:val="0098110A"/>
    <w:rsid w:val="00981130"/>
    <w:rsid w:val="00981134"/>
    <w:rsid w:val="009811A9"/>
    <w:rsid w:val="009811D3"/>
    <w:rsid w:val="00981213"/>
    <w:rsid w:val="0098130C"/>
    <w:rsid w:val="00981355"/>
    <w:rsid w:val="0098140B"/>
    <w:rsid w:val="00981447"/>
    <w:rsid w:val="00981534"/>
    <w:rsid w:val="00981591"/>
    <w:rsid w:val="0098169C"/>
    <w:rsid w:val="0098172E"/>
    <w:rsid w:val="0098179B"/>
    <w:rsid w:val="009817B7"/>
    <w:rsid w:val="00981808"/>
    <w:rsid w:val="00981816"/>
    <w:rsid w:val="009818A7"/>
    <w:rsid w:val="009818B2"/>
    <w:rsid w:val="00981A8E"/>
    <w:rsid w:val="00981AD9"/>
    <w:rsid w:val="00981BCD"/>
    <w:rsid w:val="00981C5B"/>
    <w:rsid w:val="00981CFA"/>
    <w:rsid w:val="00981E74"/>
    <w:rsid w:val="00981EDC"/>
    <w:rsid w:val="00981EE9"/>
    <w:rsid w:val="00981F62"/>
    <w:rsid w:val="00981FB0"/>
    <w:rsid w:val="00981FCB"/>
    <w:rsid w:val="00982268"/>
    <w:rsid w:val="009822AA"/>
    <w:rsid w:val="009823D7"/>
    <w:rsid w:val="009823E6"/>
    <w:rsid w:val="009824BD"/>
    <w:rsid w:val="009824C1"/>
    <w:rsid w:val="00982596"/>
    <w:rsid w:val="009825EA"/>
    <w:rsid w:val="00982703"/>
    <w:rsid w:val="0098270F"/>
    <w:rsid w:val="00982730"/>
    <w:rsid w:val="00982782"/>
    <w:rsid w:val="009827C7"/>
    <w:rsid w:val="00982940"/>
    <w:rsid w:val="00982A39"/>
    <w:rsid w:val="00982AE7"/>
    <w:rsid w:val="00982B1A"/>
    <w:rsid w:val="00982B51"/>
    <w:rsid w:val="00982DD4"/>
    <w:rsid w:val="00982EAE"/>
    <w:rsid w:val="00982EDD"/>
    <w:rsid w:val="00982F84"/>
    <w:rsid w:val="00983019"/>
    <w:rsid w:val="00983031"/>
    <w:rsid w:val="0098305D"/>
    <w:rsid w:val="00983086"/>
    <w:rsid w:val="00983189"/>
    <w:rsid w:val="009831F7"/>
    <w:rsid w:val="0098323E"/>
    <w:rsid w:val="009832A1"/>
    <w:rsid w:val="00983303"/>
    <w:rsid w:val="00983387"/>
    <w:rsid w:val="00983403"/>
    <w:rsid w:val="0098341A"/>
    <w:rsid w:val="00983463"/>
    <w:rsid w:val="009834A3"/>
    <w:rsid w:val="00983580"/>
    <w:rsid w:val="009836C4"/>
    <w:rsid w:val="009837BB"/>
    <w:rsid w:val="009837DE"/>
    <w:rsid w:val="00983815"/>
    <w:rsid w:val="00983900"/>
    <w:rsid w:val="009839D0"/>
    <w:rsid w:val="00983A60"/>
    <w:rsid w:val="00983B0E"/>
    <w:rsid w:val="00983B82"/>
    <w:rsid w:val="00983CDF"/>
    <w:rsid w:val="00983CE1"/>
    <w:rsid w:val="00983D7C"/>
    <w:rsid w:val="00983E27"/>
    <w:rsid w:val="00983E76"/>
    <w:rsid w:val="00983FC6"/>
    <w:rsid w:val="00984006"/>
    <w:rsid w:val="00984138"/>
    <w:rsid w:val="009841E6"/>
    <w:rsid w:val="009842FA"/>
    <w:rsid w:val="0098430A"/>
    <w:rsid w:val="0098431B"/>
    <w:rsid w:val="00984338"/>
    <w:rsid w:val="009843A3"/>
    <w:rsid w:val="009843CD"/>
    <w:rsid w:val="00984467"/>
    <w:rsid w:val="00984491"/>
    <w:rsid w:val="009844A4"/>
    <w:rsid w:val="0098458A"/>
    <w:rsid w:val="0098459F"/>
    <w:rsid w:val="00984692"/>
    <w:rsid w:val="0098476C"/>
    <w:rsid w:val="009848F3"/>
    <w:rsid w:val="0098491C"/>
    <w:rsid w:val="009849C7"/>
    <w:rsid w:val="009849ED"/>
    <w:rsid w:val="009849F9"/>
    <w:rsid w:val="00984B63"/>
    <w:rsid w:val="00984BFB"/>
    <w:rsid w:val="00984D5F"/>
    <w:rsid w:val="00984D6B"/>
    <w:rsid w:val="00984E52"/>
    <w:rsid w:val="00984E6D"/>
    <w:rsid w:val="00984F03"/>
    <w:rsid w:val="00984F9F"/>
    <w:rsid w:val="0098504A"/>
    <w:rsid w:val="0098515C"/>
    <w:rsid w:val="009851A7"/>
    <w:rsid w:val="0098521F"/>
    <w:rsid w:val="00985241"/>
    <w:rsid w:val="0098524F"/>
    <w:rsid w:val="0098527F"/>
    <w:rsid w:val="009852CE"/>
    <w:rsid w:val="009853DA"/>
    <w:rsid w:val="00985465"/>
    <w:rsid w:val="0098548F"/>
    <w:rsid w:val="009854DC"/>
    <w:rsid w:val="0098551F"/>
    <w:rsid w:val="0098553F"/>
    <w:rsid w:val="00985584"/>
    <w:rsid w:val="009855A4"/>
    <w:rsid w:val="00985647"/>
    <w:rsid w:val="00985767"/>
    <w:rsid w:val="00985780"/>
    <w:rsid w:val="0098578D"/>
    <w:rsid w:val="00985850"/>
    <w:rsid w:val="009858E2"/>
    <w:rsid w:val="009859E0"/>
    <w:rsid w:val="009859EE"/>
    <w:rsid w:val="00985B23"/>
    <w:rsid w:val="00985B8C"/>
    <w:rsid w:val="00985BCC"/>
    <w:rsid w:val="00985CDC"/>
    <w:rsid w:val="00985D7B"/>
    <w:rsid w:val="00985DCB"/>
    <w:rsid w:val="00985DF0"/>
    <w:rsid w:val="00985DFF"/>
    <w:rsid w:val="00985E82"/>
    <w:rsid w:val="00985EA9"/>
    <w:rsid w:val="00985EE5"/>
    <w:rsid w:val="00985F09"/>
    <w:rsid w:val="00985F7A"/>
    <w:rsid w:val="00985F86"/>
    <w:rsid w:val="00985F92"/>
    <w:rsid w:val="009860AE"/>
    <w:rsid w:val="009860C3"/>
    <w:rsid w:val="00986140"/>
    <w:rsid w:val="00986239"/>
    <w:rsid w:val="00986271"/>
    <w:rsid w:val="0098628D"/>
    <w:rsid w:val="009862F9"/>
    <w:rsid w:val="00986371"/>
    <w:rsid w:val="009863BB"/>
    <w:rsid w:val="009863BD"/>
    <w:rsid w:val="009864EF"/>
    <w:rsid w:val="00986509"/>
    <w:rsid w:val="0098658A"/>
    <w:rsid w:val="0098662F"/>
    <w:rsid w:val="009867BB"/>
    <w:rsid w:val="009867BF"/>
    <w:rsid w:val="009867F7"/>
    <w:rsid w:val="009868D2"/>
    <w:rsid w:val="00986900"/>
    <w:rsid w:val="009869C0"/>
    <w:rsid w:val="00986A53"/>
    <w:rsid w:val="00986AB8"/>
    <w:rsid w:val="00986B7C"/>
    <w:rsid w:val="00986C7E"/>
    <w:rsid w:val="00986CAC"/>
    <w:rsid w:val="00986CBB"/>
    <w:rsid w:val="00986D7D"/>
    <w:rsid w:val="00986DA2"/>
    <w:rsid w:val="00986DEC"/>
    <w:rsid w:val="00986F28"/>
    <w:rsid w:val="00986FC7"/>
    <w:rsid w:val="00987036"/>
    <w:rsid w:val="00987081"/>
    <w:rsid w:val="009870D1"/>
    <w:rsid w:val="009870D3"/>
    <w:rsid w:val="00987209"/>
    <w:rsid w:val="0098748A"/>
    <w:rsid w:val="009875B0"/>
    <w:rsid w:val="009875E2"/>
    <w:rsid w:val="009875ED"/>
    <w:rsid w:val="00987617"/>
    <w:rsid w:val="009876A5"/>
    <w:rsid w:val="00987706"/>
    <w:rsid w:val="00987749"/>
    <w:rsid w:val="0098782F"/>
    <w:rsid w:val="009878AE"/>
    <w:rsid w:val="009878F0"/>
    <w:rsid w:val="00987960"/>
    <w:rsid w:val="00987993"/>
    <w:rsid w:val="009879E9"/>
    <w:rsid w:val="00987A1D"/>
    <w:rsid w:val="00987ABE"/>
    <w:rsid w:val="00987AE1"/>
    <w:rsid w:val="00987BD5"/>
    <w:rsid w:val="00987C30"/>
    <w:rsid w:val="00987C52"/>
    <w:rsid w:val="00987D0B"/>
    <w:rsid w:val="00987D41"/>
    <w:rsid w:val="00987EBB"/>
    <w:rsid w:val="00987F9A"/>
    <w:rsid w:val="00990102"/>
    <w:rsid w:val="009901CA"/>
    <w:rsid w:val="00990275"/>
    <w:rsid w:val="009903E0"/>
    <w:rsid w:val="0099040D"/>
    <w:rsid w:val="0099043C"/>
    <w:rsid w:val="0099045B"/>
    <w:rsid w:val="00990496"/>
    <w:rsid w:val="00990538"/>
    <w:rsid w:val="00990553"/>
    <w:rsid w:val="0099059A"/>
    <w:rsid w:val="00990613"/>
    <w:rsid w:val="009906C7"/>
    <w:rsid w:val="009906E3"/>
    <w:rsid w:val="009906E5"/>
    <w:rsid w:val="00990707"/>
    <w:rsid w:val="009907C1"/>
    <w:rsid w:val="009908D1"/>
    <w:rsid w:val="00990948"/>
    <w:rsid w:val="00990A9A"/>
    <w:rsid w:val="00990AF3"/>
    <w:rsid w:val="00990B84"/>
    <w:rsid w:val="00990C36"/>
    <w:rsid w:val="00990CFD"/>
    <w:rsid w:val="00990D74"/>
    <w:rsid w:val="00990D7D"/>
    <w:rsid w:val="00990DA8"/>
    <w:rsid w:val="00990DCC"/>
    <w:rsid w:val="00990E25"/>
    <w:rsid w:val="00990EDA"/>
    <w:rsid w:val="00990F80"/>
    <w:rsid w:val="00990FD4"/>
    <w:rsid w:val="009910F3"/>
    <w:rsid w:val="0099116A"/>
    <w:rsid w:val="00991206"/>
    <w:rsid w:val="00991236"/>
    <w:rsid w:val="0099123A"/>
    <w:rsid w:val="009912EC"/>
    <w:rsid w:val="00991566"/>
    <w:rsid w:val="0099166F"/>
    <w:rsid w:val="009916CD"/>
    <w:rsid w:val="009916D6"/>
    <w:rsid w:val="00991888"/>
    <w:rsid w:val="009918A1"/>
    <w:rsid w:val="009918FD"/>
    <w:rsid w:val="00991992"/>
    <w:rsid w:val="009919BF"/>
    <w:rsid w:val="00991AE9"/>
    <w:rsid w:val="00991BC0"/>
    <w:rsid w:val="00991C80"/>
    <w:rsid w:val="00991DE6"/>
    <w:rsid w:val="00991EB3"/>
    <w:rsid w:val="00991EF0"/>
    <w:rsid w:val="00991F08"/>
    <w:rsid w:val="00991FC7"/>
    <w:rsid w:val="00992041"/>
    <w:rsid w:val="00992084"/>
    <w:rsid w:val="0099210D"/>
    <w:rsid w:val="00992189"/>
    <w:rsid w:val="009921A7"/>
    <w:rsid w:val="0099222F"/>
    <w:rsid w:val="0099224E"/>
    <w:rsid w:val="00992266"/>
    <w:rsid w:val="00992269"/>
    <w:rsid w:val="009922A6"/>
    <w:rsid w:val="009922CC"/>
    <w:rsid w:val="0099231F"/>
    <w:rsid w:val="00992322"/>
    <w:rsid w:val="00992411"/>
    <w:rsid w:val="00992444"/>
    <w:rsid w:val="00992504"/>
    <w:rsid w:val="00992557"/>
    <w:rsid w:val="00992561"/>
    <w:rsid w:val="009925EA"/>
    <w:rsid w:val="00992627"/>
    <w:rsid w:val="00992652"/>
    <w:rsid w:val="0099265C"/>
    <w:rsid w:val="009926F0"/>
    <w:rsid w:val="00992769"/>
    <w:rsid w:val="0099281D"/>
    <w:rsid w:val="00992887"/>
    <w:rsid w:val="00992901"/>
    <w:rsid w:val="0099296A"/>
    <w:rsid w:val="009929CE"/>
    <w:rsid w:val="009929DB"/>
    <w:rsid w:val="009929ED"/>
    <w:rsid w:val="00992A21"/>
    <w:rsid w:val="00992A42"/>
    <w:rsid w:val="00992B55"/>
    <w:rsid w:val="00992B83"/>
    <w:rsid w:val="00992CB9"/>
    <w:rsid w:val="00992D80"/>
    <w:rsid w:val="00992E4A"/>
    <w:rsid w:val="00992E60"/>
    <w:rsid w:val="00992EAB"/>
    <w:rsid w:val="00992F15"/>
    <w:rsid w:val="00992F3F"/>
    <w:rsid w:val="00992F66"/>
    <w:rsid w:val="00992F97"/>
    <w:rsid w:val="00993125"/>
    <w:rsid w:val="00993143"/>
    <w:rsid w:val="0099314C"/>
    <w:rsid w:val="0099319F"/>
    <w:rsid w:val="0099323B"/>
    <w:rsid w:val="0099336A"/>
    <w:rsid w:val="009934B1"/>
    <w:rsid w:val="00993515"/>
    <w:rsid w:val="0099355F"/>
    <w:rsid w:val="009935D0"/>
    <w:rsid w:val="0099360D"/>
    <w:rsid w:val="0099362C"/>
    <w:rsid w:val="00993659"/>
    <w:rsid w:val="00993700"/>
    <w:rsid w:val="00993728"/>
    <w:rsid w:val="00993729"/>
    <w:rsid w:val="0099376E"/>
    <w:rsid w:val="009937D0"/>
    <w:rsid w:val="009937F3"/>
    <w:rsid w:val="00993825"/>
    <w:rsid w:val="0099383A"/>
    <w:rsid w:val="009938C2"/>
    <w:rsid w:val="00993911"/>
    <w:rsid w:val="00993939"/>
    <w:rsid w:val="009939E5"/>
    <w:rsid w:val="00993A24"/>
    <w:rsid w:val="00993AC0"/>
    <w:rsid w:val="00993B09"/>
    <w:rsid w:val="00993B37"/>
    <w:rsid w:val="00993B6B"/>
    <w:rsid w:val="00993B77"/>
    <w:rsid w:val="00993C3F"/>
    <w:rsid w:val="00993C95"/>
    <w:rsid w:val="00993CBD"/>
    <w:rsid w:val="00993DA5"/>
    <w:rsid w:val="00993DEA"/>
    <w:rsid w:val="00993DFB"/>
    <w:rsid w:val="00993E2F"/>
    <w:rsid w:val="00993E52"/>
    <w:rsid w:val="00993F5D"/>
    <w:rsid w:val="00993F93"/>
    <w:rsid w:val="00993FE0"/>
    <w:rsid w:val="00994049"/>
    <w:rsid w:val="00994081"/>
    <w:rsid w:val="009940C6"/>
    <w:rsid w:val="009940DF"/>
    <w:rsid w:val="009940E2"/>
    <w:rsid w:val="00994242"/>
    <w:rsid w:val="0099425F"/>
    <w:rsid w:val="00994307"/>
    <w:rsid w:val="0099430D"/>
    <w:rsid w:val="00994330"/>
    <w:rsid w:val="009943F4"/>
    <w:rsid w:val="0099444B"/>
    <w:rsid w:val="009944E9"/>
    <w:rsid w:val="0099454E"/>
    <w:rsid w:val="00994584"/>
    <w:rsid w:val="0099466C"/>
    <w:rsid w:val="00994696"/>
    <w:rsid w:val="0099469D"/>
    <w:rsid w:val="009946AE"/>
    <w:rsid w:val="009946ED"/>
    <w:rsid w:val="009946F2"/>
    <w:rsid w:val="00994757"/>
    <w:rsid w:val="00994760"/>
    <w:rsid w:val="0099484F"/>
    <w:rsid w:val="009948CE"/>
    <w:rsid w:val="009948E5"/>
    <w:rsid w:val="00994967"/>
    <w:rsid w:val="00994992"/>
    <w:rsid w:val="00994AC2"/>
    <w:rsid w:val="00994B15"/>
    <w:rsid w:val="00994B2D"/>
    <w:rsid w:val="00994B42"/>
    <w:rsid w:val="00994BA9"/>
    <w:rsid w:val="00994BE5"/>
    <w:rsid w:val="00994CBC"/>
    <w:rsid w:val="00994D21"/>
    <w:rsid w:val="00994D77"/>
    <w:rsid w:val="00994E1E"/>
    <w:rsid w:val="00994ECB"/>
    <w:rsid w:val="00994ED1"/>
    <w:rsid w:val="00994F85"/>
    <w:rsid w:val="00994F9E"/>
    <w:rsid w:val="0099514E"/>
    <w:rsid w:val="009951A3"/>
    <w:rsid w:val="00995287"/>
    <w:rsid w:val="009952D4"/>
    <w:rsid w:val="009952FB"/>
    <w:rsid w:val="00995322"/>
    <w:rsid w:val="009953C8"/>
    <w:rsid w:val="0099546F"/>
    <w:rsid w:val="009954A7"/>
    <w:rsid w:val="009954BB"/>
    <w:rsid w:val="009954BD"/>
    <w:rsid w:val="00995551"/>
    <w:rsid w:val="00995575"/>
    <w:rsid w:val="00995577"/>
    <w:rsid w:val="009956A9"/>
    <w:rsid w:val="009956BC"/>
    <w:rsid w:val="009956C7"/>
    <w:rsid w:val="009957AE"/>
    <w:rsid w:val="009957F4"/>
    <w:rsid w:val="00995849"/>
    <w:rsid w:val="009958EC"/>
    <w:rsid w:val="0099590A"/>
    <w:rsid w:val="00995912"/>
    <w:rsid w:val="00995963"/>
    <w:rsid w:val="0099596B"/>
    <w:rsid w:val="00995A79"/>
    <w:rsid w:val="00995AEF"/>
    <w:rsid w:val="00995B5C"/>
    <w:rsid w:val="00995BFF"/>
    <w:rsid w:val="00995CEF"/>
    <w:rsid w:val="00995D17"/>
    <w:rsid w:val="00995D31"/>
    <w:rsid w:val="00995D63"/>
    <w:rsid w:val="00995D71"/>
    <w:rsid w:val="00995D7E"/>
    <w:rsid w:val="00995E13"/>
    <w:rsid w:val="00995EA0"/>
    <w:rsid w:val="00995F13"/>
    <w:rsid w:val="00995F5E"/>
    <w:rsid w:val="00995F66"/>
    <w:rsid w:val="00996011"/>
    <w:rsid w:val="0099602E"/>
    <w:rsid w:val="00996059"/>
    <w:rsid w:val="009960C6"/>
    <w:rsid w:val="00996113"/>
    <w:rsid w:val="009961C9"/>
    <w:rsid w:val="00996328"/>
    <w:rsid w:val="0099638C"/>
    <w:rsid w:val="009963B4"/>
    <w:rsid w:val="009963CD"/>
    <w:rsid w:val="0099640C"/>
    <w:rsid w:val="00996463"/>
    <w:rsid w:val="009964DF"/>
    <w:rsid w:val="00996561"/>
    <w:rsid w:val="00996566"/>
    <w:rsid w:val="009965DC"/>
    <w:rsid w:val="009965F8"/>
    <w:rsid w:val="00996632"/>
    <w:rsid w:val="00996667"/>
    <w:rsid w:val="009967D5"/>
    <w:rsid w:val="0099680A"/>
    <w:rsid w:val="00996891"/>
    <w:rsid w:val="009968D8"/>
    <w:rsid w:val="009968F5"/>
    <w:rsid w:val="00996957"/>
    <w:rsid w:val="009969AE"/>
    <w:rsid w:val="00996A81"/>
    <w:rsid w:val="00996AB5"/>
    <w:rsid w:val="00996B0F"/>
    <w:rsid w:val="00996BA0"/>
    <w:rsid w:val="00996BA9"/>
    <w:rsid w:val="00996C7C"/>
    <w:rsid w:val="00996D16"/>
    <w:rsid w:val="00996D27"/>
    <w:rsid w:val="00996D51"/>
    <w:rsid w:val="00996DAC"/>
    <w:rsid w:val="00996DB6"/>
    <w:rsid w:val="00996DD2"/>
    <w:rsid w:val="00996DFD"/>
    <w:rsid w:val="00996E24"/>
    <w:rsid w:val="00996E92"/>
    <w:rsid w:val="00996EBB"/>
    <w:rsid w:val="00996F7F"/>
    <w:rsid w:val="00997147"/>
    <w:rsid w:val="009972BF"/>
    <w:rsid w:val="00997326"/>
    <w:rsid w:val="0099735C"/>
    <w:rsid w:val="009973E6"/>
    <w:rsid w:val="0099744C"/>
    <w:rsid w:val="009974E7"/>
    <w:rsid w:val="0099755D"/>
    <w:rsid w:val="00997666"/>
    <w:rsid w:val="00997682"/>
    <w:rsid w:val="00997720"/>
    <w:rsid w:val="0099777A"/>
    <w:rsid w:val="009977DA"/>
    <w:rsid w:val="009978B1"/>
    <w:rsid w:val="00997940"/>
    <w:rsid w:val="0099795E"/>
    <w:rsid w:val="00997966"/>
    <w:rsid w:val="00997A05"/>
    <w:rsid w:val="00997A17"/>
    <w:rsid w:val="00997A8C"/>
    <w:rsid w:val="00997B4F"/>
    <w:rsid w:val="00997C30"/>
    <w:rsid w:val="00997CD2"/>
    <w:rsid w:val="00997D27"/>
    <w:rsid w:val="00997D70"/>
    <w:rsid w:val="00997E0F"/>
    <w:rsid w:val="00997E6A"/>
    <w:rsid w:val="00997E96"/>
    <w:rsid w:val="00997FDD"/>
    <w:rsid w:val="00997FFE"/>
    <w:rsid w:val="009A0082"/>
    <w:rsid w:val="009A013E"/>
    <w:rsid w:val="009A021E"/>
    <w:rsid w:val="009A033A"/>
    <w:rsid w:val="009A0374"/>
    <w:rsid w:val="009A0395"/>
    <w:rsid w:val="009A0439"/>
    <w:rsid w:val="009A0491"/>
    <w:rsid w:val="009A04F9"/>
    <w:rsid w:val="009A0503"/>
    <w:rsid w:val="009A0548"/>
    <w:rsid w:val="009A059F"/>
    <w:rsid w:val="009A05CB"/>
    <w:rsid w:val="009A063A"/>
    <w:rsid w:val="009A064A"/>
    <w:rsid w:val="009A066A"/>
    <w:rsid w:val="009A06DA"/>
    <w:rsid w:val="009A076C"/>
    <w:rsid w:val="009A0779"/>
    <w:rsid w:val="009A07BE"/>
    <w:rsid w:val="009A07CC"/>
    <w:rsid w:val="009A09BA"/>
    <w:rsid w:val="009A09C2"/>
    <w:rsid w:val="009A0A6F"/>
    <w:rsid w:val="009A0AB6"/>
    <w:rsid w:val="009A0BAD"/>
    <w:rsid w:val="009A0CCF"/>
    <w:rsid w:val="009A0D55"/>
    <w:rsid w:val="009A0EA6"/>
    <w:rsid w:val="009A103D"/>
    <w:rsid w:val="009A1077"/>
    <w:rsid w:val="009A10BE"/>
    <w:rsid w:val="009A10EC"/>
    <w:rsid w:val="009A1126"/>
    <w:rsid w:val="009A115A"/>
    <w:rsid w:val="009A1205"/>
    <w:rsid w:val="009A1303"/>
    <w:rsid w:val="009A1362"/>
    <w:rsid w:val="009A13A3"/>
    <w:rsid w:val="009A13C5"/>
    <w:rsid w:val="009A13DE"/>
    <w:rsid w:val="009A1431"/>
    <w:rsid w:val="009A14BE"/>
    <w:rsid w:val="009A1511"/>
    <w:rsid w:val="009A153E"/>
    <w:rsid w:val="009A154B"/>
    <w:rsid w:val="009A1585"/>
    <w:rsid w:val="009A1591"/>
    <w:rsid w:val="009A15A4"/>
    <w:rsid w:val="009A1632"/>
    <w:rsid w:val="009A1647"/>
    <w:rsid w:val="009A17B5"/>
    <w:rsid w:val="009A1862"/>
    <w:rsid w:val="009A186C"/>
    <w:rsid w:val="009A189B"/>
    <w:rsid w:val="009A18D4"/>
    <w:rsid w:val="009A18F6"/>
    <w:rsid w:val="009A1900"/>
    <w:rsid w:val="009A1AA1"/>
    <w:rsid w:val="009A1B84"/>
    <w:rsid w:val="009A1B97"/>
    <w:rsid w:val="009A1BD6"/>
    <w:rsid w:val="009A1C18"/>
    <w:rsid w:val="009A1D9A"/>
    <w:rsid w:val="009A1D9B"/>
    <w:rsid w:val="009A1DC5"/>
    <w:rsid w:val="009A1E52"/>
    <w:rsid w:val="009A1F15"/>
    <w:rsid w:val="009A1FB6"/>
    <w:rsid w:val="009A200B"/>
    <w:rsid w:val="009A2036"/>
    <w:rsid w:val="009A203D"/>
    <w:rsid w:val="009A205D"/>
    <w:rsid w:val="009A20AB"/>
    <w:rsid w:val="009A20CD"/>
    <w:rsid w:val="009A2195"/>
    <w:rsid w:val="009A2213"/>
    <w:rsid w:val="009A2362"/>
    <w:rsid w:val="009A2379"/>
    <w:rsid w:val="009A2488"/>
    <w:rsid w:val="009A24A7"/>
    <w:rsid w:val="009A24BA"/>
    <w:rsid w:val="009A24E2"/>
    <w:rsid w:val="009A27E8"/>
    <w:rsid w:val="009A27FC"/>
    <w:rsid w:val="009A283A"/>
    <w:rsid w:val="009A2841"/>
    <w:rsid w:val="009A285B"/>
    <w:rsid w:val="009A28B5"/>
    <w:rsid w:val="009A2AC0"/>
    <w:rsid w:val="009A2B3A"/>
    <w:rsid w:val="009A2B65"/>
    <w:rsid w:val="009A2BAC"/>
    <w:rsid w:val="009A2BD2"/>
    <w:rsid w:val="009A2C80"/>
    <w:rsid w:val="009A2C9C"/>
    <w:rsid w:val="009A2CA2"/>
    <w:rsid w:val="009A2D53"/>
    <w:rsid w:val="009A2D60"/>
    <w:rsid w:val="009A2D69"/>
    <w:rsid w:val="009A2DDB"/>
    <w:rsid w:val="009A2DE8"/>
    <w:rsid w:val="009A2E02"/>
    <w:rsid w:val="009A2E32"/>
    <w:rsid w:val="009A2E6D"/>
    <w:rsid w:val="009A2E84"/>
    <w:rsid w:val="009A2EF5"/>
    <w:rsid w:val="009A2EF9"/>
    <w:rsid w:val="009A2FEF"/>
    <w:rsid w:val="009A300D"/>
    <w:rsid w:val="009A302C"/>
    <w:rsid w:val="009A31CF"/>
    <w:rsid w:val="009A3231"/>
    <w:rsid w:val="009A32DA"/>
    <w:rsid w:val="009A33F2"/>
    <w:rsid w:val="009A3491"/>
    <w:rsid w:val="009A361D"/>
    <w:rsid w:val="009A3729"/>
    <w:rsid w:val="009A374E"/>
    <w:rsid w:val="009A37EB"/>
    <w:rsid w:val="009A37EF"/>
    <w:rsid w:val="009A39A2"/>
    <w:rsid w:val="009A39EC"/>
    <w:rsid w:val="009A3AE3"/>
    <w:rsid w:val="009A3AE6"/>
    <w:rsid w:val="009A3B22"/>
    <w:rsid w:val="009A3C31"/>
    <w:rsid w:val="009A3CF5"/>
    <w:rsid w:val="009A3DAC"/>
    <w:rsid w:val="009A3DF4"/>
    <w:rsid w:val="009A3E10"/>
    <w:rsid w:val="009A3E54"/>
    <w:rsid w:val="009A3E8B"/>
    <w:rsid w:val="009A3F63"/>
    <w:rsid w:val="009A3F76"/>
    <w:rsid w:val="009A3FBC"/>
    <w:rsid w:val="009A3FE1"/>
    <w:rsid w:val="009A4050"/>
    <w:rsid w:val="009A4239"/>
    <w:rsid w:val="009A4358"/>
    <w:rsid w:val="009A43B7"/>
    <w:rsid w:val="009A43BB"/>
    <w:rsid w:val="009A445D"/>
    <w:rsid w:val="009A4589"/>
    <w:rsid w:val="009A45A8"/>
    <w:rsid w:val="009A462A"/>
    <w:rsid w:val="009A463C"/>
    <w:rsid w:val="009A4660"/>
    <w:rsid w:val="009A4675"/>
    <w:rsid w:val="009A46A1"/>
    <w:rsid w:val="009A46B2"/>
    <w:rsid w:val="009A46CA"/>
    <w:rsid w:val="009A492B"/>
    <w:rsid w:val="009A4965"/>
    <w:rsid w:val="009A4A1E"/>
    <w:rsid w:val="009A4AE3"/>
    <w:rsid w:val="009A4B61"/>
    <w:rsid w:val="009A4C30"/>
    <w:rsid w:val="009A4C46"/>
    <w:rsid w:val="009A4E10"/>
    <w:rsid w:val="009A4EED"/>
    <w:rsid w:val="009A4F9B"/>
    <w:rsid w:val="009A505E"/>
    <w:rsid w:val="009A50A3"/>
    <w:rsid w:val="009A5160"/>
    <w:rsid w:val="009A516A"/>
    <w:rsid w:val="009A558E"/>
    <w:rsid w:val="009A568A"/>
    <w:rsid w:val="009A56DF"/>
    <w:rsid w:val="009A572B"/>
    <w:rsid w:val="009A5802"/>
    <w:rsid w:val="009A582C"/>
    <w:rsid w:val="009A5880"/>
    <w:rsid w:val="009A59FD"/>
    <w:rsid w:val="009A5ABA"/>
    <w:rsid w:val="009A5AE1"/>
    <w:rsid w:val="009A5B91"/>
    <w:rsid w:val="009A5BEC"/>
    <w:rsid w:val="009A5C00"/>
    <w:rsid w:val="009A5C61"/>
    <w:rsid w:val="009A5DB0"/>
    <w:rsid w:val="009A5DE5"/>
    <w:rsid w:val="009A5E90"/>
    <w:rsid w:val="009A5F9F"/>
    <w:rsid w:val="009A608C"/>
    <w:rsid w:val="009A60B4"/>
    <w:rsid w:val="009A60CE"/>
    <w:rsid w:val="009A612F"/>
    <w:rsid w:val="009A62B6"/>
    <w:rsid w:val="009A6306"/>
    <w:rsid w:val="009A63D8"/>
    <w:rsid w:val="009A63F7"/>
    <w:rsid w:val="009A64D0"/>
    <w:rsid w:val="009A6565"/>
    <w:rsid w:val="009A65A2"/>
    <w:rsid w:val="009A65F3"/>
    <w:rsid w:val="009A662E"/>
    <w:rsid w:val="009A665A"/>
    <w:rsid w:val="009A674F"/>
    <w:rsid w:val="009A6852"/>
    <w:rsid w:val="009A6876"/>
    <w:rsid w:val="009A6914"/>
    <w:rsid w:val="009A6940"/>
    <w:rsid w:val="009A6A39"/>
    <w:rsid w:val="009A6A78"/>
    <w:rsid w:val="009A6A8E"/>
    <w:rsid w:val="009A6AB8"/>
    <w:rsid w:val="009A6B44"/>
    <w:rsid w:val="009A6C1F"/>
    <w:rsid w:val="009A6CC4"/>
    <w:rsid w:val="009A6D0B"/>
    <w:rsid w:val="009A6D3A"/>
    <w:rsid w:val="009A6E73"/>
    <w:rsid w:val="009A6EB9"/>
    <w:rsid w:val="009A6ED1"/>
    <w:rsid w:val="009A6EF6"/>
    <w:rsid w:val="009A6F0F"/>
    <w:rsid w:val="009A6F13"/>
    <w:rsid w:val="009A6F22"/>
    <w:rsid w:val="009A705D"/>
    <w:rsid w:val="009A70E5"/>
    <w:rsid w:val="009A70F2"/>
    <w:rsid w:val="009A7151"/>
    <w:rsid w:val="009A7291"/>
    <w:rsid w:val="009A73A7"/>
    <w:rsid w:val="009A7474"/>
    <w:rsid w:val="009A7493"/>
    <w:rsid w:val="009A753B"/>
    <w:rsid w:val="009A75C0"/>
    <w:rsid w:val="009A767E"/>
    <w:rsid w:val="009A76DF"/>
    <w:rsid w:val="009A76F9"/>
    <w:rsid w:val="009A7737"/>
    <w:rsid w:val="009A77AC"/>
    <w:rsid w:val="009A7833"/>
    <w:rsid w:val="009A7871"/>
    <w:rsid w:val="009A7889"/>
    <w:rsid w:val="009A78EB"/>
    <w:rsid w:val="009A7966"/>
    <w:rsid w:val="009A7A18"/>
    <w:rsid w:val="009A7A72"/>
    <w:rsid w:val="009A7A7B"/>
    <w:rsid w:val="009A7B0E"/>
    <w:rsid w:val="009A7C52"/>
    <w:rsid w:val="009A7CEC"/>
    <w:rsid w:val="009A7D50"/>
    <w:rsid w:val="009A7D9E"/>
    <w:rsid w:val="009A7DBC"/>
    <w:rsid w:val="009A7E15"/>
    <w:rsid w:val="009A7E8B"/>
    <w:rsid w:val="009A7F36"/>
    <w:rsid w:val="009A7F41"/>
    <w:rsid w:val="009A7F56"/>
    <w:rsid w:val="009A7FB8"/>
    <w:rsid w:val="009A7FC3"/>
    <w:rsid w:val="009B004A"/>
    <w:rsid w:val="009B0076"/>
    <w:rsid w:val="009B007E"/>
    <w:rsid w:val="009B007F"/>
    <w:rsid w:val="009B0103"/>
    <w:rsid w:val="009B0149"/>
    <w:rsid w:val="009B019F"/>
    <w:rsid w:val="009B01D5"/>
    <w:rsid w:val="009B0205"/>
    <w:rsid w:val="009B021A"/>
    <w:rsid w:val="009B0298"/>
    <w:rsid w:val="009B02B4"/>
    <w:rsid w:val="009B0306"/>
    <w:rsid w:val="009B0330"/>
    <w:rsid w:val="009B03BA"/>
    <w:rsid w:val="009B03D0"/>
    <w:rsid w:val="009B042A"/>
    <w:rsid w:val="009B0502"/>
    <w:rsid w:val="009B0530"/>
    <w:rsid w:val="009B055D"/>
    <w:rsid w:val="009B0596"/>
    <w:rsid w:val="009B05C4"/>
    <w:rsid w:val="009B060B"/>
    <w:rsid w:val="009B067F"/>
    <w:rsid w:val="009B099D"/>
    <w:rsid w:val="009B09BF"/>
    <w:rsid w:val="009B09CD"/>
    <w:rsid w:val="009B0A8B"/>
    <w:rsid w:val="009B0D96"/>
    <w:rsid w:val="009B0DAB"/>
    <w:rsid w:val="009B0DB4"/>
    <w:rsid w:val="009B0DB8"/>
    <w:rsid w:val="009B0E40"/>
    <w:rsid w:val="009B0EC3"/>
    <w:rsid w:val="009B0ED3"/>
    <w:rsid w:val="009B0F62"/>
    <w:rsid w:val="009B103F"/>
    <w:rsid w:val="009B1101"/>
    <w:rsid w:val="009B1163"/>
    <w:rsid w:val="009B117F"/>
    <w:rsid w:val="009B1186"/>
    <w:rsid w:val="009B1210"/>
    <w:rsid w:val="009B1232"/>
    <w:rsid w:val="009B12CF"/>
    <w:rsid w:val="009B1320"/>
    <w:rsid w:val="009B13B9"/>
    <w:rsid w:val="009B1436"/>
    <w:rsid w:val="009B1474"/>
    <w:rsid w:val="009B1504"/>
    <w:rsid w:val="009B151B"/>
    <w:rsid w:val="009B155C"/>
    <w:rsid w:val="009B16D6"/>
    <w:rsid w:val="009B1739"/>
    <w:rsid w:val="009B177F"/>
    <w:rsid w:val="009B17D8"/>
    <w:rsid w:val="009B17FB"/>
    <w:rsid w:val="009B1803"/>
    <w:rsid w:val="009B1AB5"/>
    <w:rsid w:val="009B1BB6"/>
    <w:rsid w:val="009B1BB9"/>
    <w:rsid w:val="009B1D98"/>
    <w:rsid w:val="009B1E36"/>
    <w:rsid w:val="009B1EA4"/>
    <w:rsid w:val="009B1ECD"/>
    <w:rsid w:val="009B1FB4"/>
    <w:rsid w:val="009B1FF4"/>
    <w:rsid w:val="009B2054"/>
    <w:rsid w:val="009B206E"/>
    <w:rsid w:val="009B2084"/>
    <w:rsid w:val="009B2166"/>
    <w:rsid w:val="009B217F"/>
    <w:rsid w:val="009B218E"/>
    <w:rsid w:val="009B227A"/>
    <w:rsid w:val="009B22BC"/>
    <w:rsid w:val="009B22C2"/>
    <w:rsid w:val="009B2313"/>
    <w:rsid w:val="009B2330"/>
    <w:rsid w:val="009B2417"/>
    <w:rsid w:val="009B243E"/>
    <w:rsid w:val="009B246D"/>
    <w:rsid w:val="009B24D8"/>
    <w:rsid w:val="009B2525"/>
    <w:rsid w:val="009B2602"/>
    <w:rsid w:val="009B266D"/>
    <w:rsid w:val="009B26E4"/>
    <w:rsid w:val="009B2861"/>
    <w:rsid w:val="009B2977"/>
    <w:rsid w:val="009B29D9"/>
    <w:rsid w:val="009B2A58"/>
    <w:rsid w:val="009B2B62"/>
    <w:rsid w:val="009B2BA8"/>
    <w:rsid w:val="009B2BCA"/>
    <w:rsid w:val="009B2C29"/>
    <w:rsid w:val="009B2D17"/>
    <w:rsid w:val="009B2D59"/>
    <w:rsid w:val="009B2E99"/>
    <w:rsid w:val="009B2EAD"/>
    <w:rsid w:val="009B2EC1"/>
    <w:rsid w:val="009B2FB2"/>
    <w:rsid w:val="009B2FBC"/>
    <w:rsid w:val="009B2FE6"/>
    <w:rsid w:val="009B305A"/>
    <w:rsid w:val="009B30A6"/>
    <w:rsid w:val="009B30CA"/>
    <w:rsid w:val="009B3185"/>
    <w:rsid w:val="009B3205"/>
    <w:rsid w:val="009B3210"/>
    <w:rsid w:val="009B323E"/>
    <w:rsid w:val="009B327F"/>
    <w:rsid w:val="009B32BC"/>
    <w:rsid w:val="009B32C4"/>
    <w:rsid w:val="009B32CA"/>
    <w:rsid w:val="009B3343"/>
    <w:rsid w:val="009B3366"/>
    <w:rsid w:val="009B3370"/>
    <w:rsid w:val="009B337C"/>
    <w:rsid w:val="009B3446"/>
    <w:rsid w:val="009B3491"/>
    <w:rsid w:val="009B35F7"/>
    <w:rsid w:val="009B3610"/>
    <w:rsid w:val="009B3612"/>
    <w:rsid w:val="009B3629"/>
    <w:rsid w:val="009B37C3"/>
    <w:rsid w:val="009B38B1"/>
    <w:rsid w:val="009B38B4"/>
    <w:rsid w:val="009B38ED"/>
    <w:rsid w:val="009B3957"/>
    <w:rsid w:val="009B3969"/>
    <w:rsid w:val="009B39E9"/>
    <w:rsid w:val="009B3A23"/>
    <w:rsid w:val="009B3A41"/>
    <w:rsid w:val="009B3A75"/>
    <w:rsid w:val="009B3AD1"/>
    <w:rsid w:val="009B3BAB"/>
    <w:rsid w:val="009B3C54"/>
    <w:rsid w:val="009B3CAE"/>
    <w:rsid w:val="009B3D79"/>
    <w:rsid w:val="009B3E7B"/>
    <w:rsid w:val="009B3ED1"/>
    <w:rsid w:val="009B411A"/>
    <w:rsid w:val="009B4130"/>
    <w:rsid w:val="009B41C3"/>
    <w:rsid w:val="009B4285"/>
    <w:rsid w:val="009B4360"/>
    <w:rsid w:val="009B4466"/>
    <w:rsid w:val="009B446D"/>
    <w:rsid w:val="009B44DC"/>
    <w:rsid w:val="009B4525"/>
    <w:rsid w:val="009B4529"/>
    <w:rsid w:val="009B452F"/>
    <w:rsid w:val="009B4586"/>
    <w:rsid w:val="009B459B"/>
    <w:rsid w:val="009B45A5"/>
    <w:rsid w:val="009B4692"/>
    <w:rsid w:val="009B46CF"/>
    <w:rsid w:val="009B46FD"/>
    <w:rsid w:val="009B4743"/>
    <w:rsid w:val="009B485A"/>
    <w:rsid w:val="009B48EF"/>
    <w:rsid w:val="009B48F1"/>
    <w:rsid w:val="009B48FC"/>
    <w:rsid w:val="009B4913"/>
    <w:rsid w:val="009B4A3B"/>
    <w:rsid w:val="009B4B25"/>
    <w:rsid w:val="009B4B55"/>
    <w:rsid w:val="009B4B5C"/>
    <w:rsid w:val="009B4B85"/>
    <w:rsid w:val="009B4BB9"/>
    <w:rsid w:val="009B4BDA"/>
    <w:rsid w:val="009B4C28"/>
    <w:rsid w:val="009B4C87"/>
    <w:rsid w:val="009B4CD8"/>
    <w:rsid w:val="009B4D09"/>
    <w:rsid w:val="009B4D0A"/>
    <w:rsid w:val="009B4DE5"/>
    <w:rsid w:val="009B4E9F"/>
    <w:rsid w:val="009B4F7B"/>
    <w:rsid w:val="009B4FC8"/>
    <w:rsid w:val="009B4FDD"/>
    <w:rsid w:val="009B5026"/>
    <w:rsid w:val="009B5168"/>
    <w:rsid w:val="009B51B5"/>
    <w:rsid w:val="009B51D0"/>
    <w:rsid w:val="009B51DB"/>
    <w:rsid w:val="009B5333"/>
    <w:rsid w:val="009B5375"/>
    <w:rsid w:val="009B53DA"/>
    <w:rsid w:val="009B541A"/>
    <w:rsid w:val="009B5485"/>
    <w:rsid w:val="009B5513"/>
    <w:rsid w:val="009B55FA"/>
    <w:rsid w:val="009B56B3"/>
    <w:rsid w:val="009B56DA"/>
    <w:rsid w:val="009B573A"/>
    <w:rsid w:val="009B573B"/>
    <w:rsid w:val="009B5798"/>
    <w:rsid w:val="009B5855"/>
    <w:rsid w:val="009B58D6"/>
    <w:rsid w:val="009B591E"/>
    <w:rsid w:val="009B597C"/>
    <w:rsid w:val="009B59D3"/>
    <w:rsid w:val="009B5B9A"/>
    <w:rsid w:val="009B5C2B"/>
    <w:rsid w:val="009B5C43"/>
    <w:rsid w:val="009B5C71"/>
    <w:rsid w:val="009B5C9C"/>
    <w:rsid w:val="009B5CAD"/>
    <w:rsid w:val="009B5CBF"/>
    <w:rsid w:val="009B5D38"/>
    <w:rsid w:val="009B5D42"/>
    <w:rsid w:val="009B5E34"/>
    <w:rsid w:val="009B5E87"/>
    <w:rsid w:val="009B5EBF"/>
    <w:rsid w:val="009B5ED1"/>
    <w:rsid w:val="009B5F1F"/>
    <w:rsid w:val="009B5F60"/>
    <w:rsid w:val="009B6079"/>
    <w:rsid w:val="009B6094"/>
    <w:rsid w:val="009B60B6"/>
    <w:rsid w:val="009B60D8"/>
    <w:rsid w:val="009B61E0"/>
    <w:rsid w:val="009B624E"/>
    <w:rsid w:val="009B62E0"/>
    <w:rsid w:val="009B6304"/>
    <w:rsid w:val="009B6333"/>
    <w:rsid w:val="009B6426"/>
    <w:rsid w:val="009B647C"/>
    <w:rsid w:val="009B64F1"/>
    <w:rsid w:val="009B652C"/>
    <w:rsid w:val="009B653B"/>
    <w:rsid w:val="009B67B0"/>
    <w:rsid w:val="009B67CF"/>
    <w:rsid w:val="009B681E"/>
    <w:rsid w:val="009B69F4"/>
    <w:rsid w:val="009B6A5F"/>
    <w:rsid w:val="009B6A9A"/>
    <w:rsid w:val="009B6AB8"/>
    <w:rsid w:val="009B6B47"/>
    <w:rsid w:val="009B6B79"/>
    <w:rsid w:val="009B6D63"/>
    <w:rsid w:val="009B6D99"/>
    <w:rsid w:val="009B6ECF"/>
    <w:rsid w:val="009B6EE3"/>
    <w:rsid w:val="009B6F29"/>
    <w:rsid w:val="009B7059"/>
    <w:rsid w:val="009B705E"/>
    <w:rsid w:val="009B70C4"/>
    <w:rsid w:val="009B70D1"/>
    <w:rsid w:val="009B7143"/>
    <w:rsid w:val="009B7162"/>
    <w:rsid w:val="009B7377"/>
    <w:rsid w:val="009B73DF"/>
    <w:rsid w:val="009B7411"/>
    <w:rsid w:val="009B7522"/>
    <w:rsid w:val="009B7582"/>
    <w:rsid w:val="009B76B3"/>
    <w:rsid w:val="009B7768"/>
    <w:rsid w:val="009B7795"/>
    <w:rsid w:val="009B7874"/>
    <w:rsid w:val="009B7A15"/>
    <w:rsid w:val="009B7A5B"/>
    <w:rsid w:val="009B7AA5"/>
    <w:rsid w:val="009B7AE8"/>
    <w:rsid w:val="009B7B32"/>
    <w:rsid w:val="009B7B42"/>
    <w:rsid w:val="009B7C58"/>
    <w:rsid w:val="009B7D3D"/>
    <w:rsid w:val="009B7DBF"/>
    <w:rsid w:val="009B7EFC"/>
    <w:rsid w:val="009B7F17"/>
    <w:rsid w:val="009B7F22"/>
    <w:rsid w:val="009B7F3D"/>
    <w:rsid w:val="009C001E"/>
    <w:rsid w:val="009C0023"/>
    <w:rsid w:val="009C0034"/>
    <w:rsid w:val="009C0036"/>
    <w:rsid w:val="009C009A"/>
    <w:rsid w:val="009C00B8"/>
    <w:rsid w:val="009C00F9"/>
    <w:rsid w:val="009C016B"/>
    <w:rsid w:val="009C019B"/>
    <w:rsid w:val="009C01BC"/>
    <w:rsid w:val="009C0302"/>
    <w:rsid w:val="009C03B6"/>
    <w:rsid w:val="009C03D2"/>
    <w:rsid w:val="009C03F2"/>
    <w:rsid w:val="009C041C"/>
    <w:rsid w:val="009C042C"/>
    <w:rsid w:val="009C0497"/>
    <w:rsid w:val="009C0515"/>
    <w:rsid w:val="009C0576"/>
    <w:rsid w:val="009C059B"/>
    <w:rsid w:val="009C05BC"/>
    <w:rsid w:val="009C064C"/>
    <w:rsid w:val="009C06B7"/>
    <w:rsid w:val="009C071A"/>
    <w:rsid w:val="009C072C"/>
    <w:rsid w:val="009C07F3"/>
    <w:rsid w:val="009C0883"/>
    <w:rsid w:val="009C08CA"/>
    <w:rsid w:val="009C095F"/>
    <w:rsid w:val="009C096B"/>
    <w:rsid w:val="009C0981"/>
    <w:rsid w:val="009C09B2"/>
    <w:rsid w:val="009C0A23"/>
    <w:rsid w:val="009C0AF2"/>
    <w:rsid w:val="009C0C1B"/>
    <w:rsid w:val="009C0C2B"/>
    <w:rsid w:val="009C0C3C"/>
    <w:rsid w:val="009C0C62"/>
    <w:rsid w:val="009C0CAC"/>
    <w:rsid w:val="009C0CFA"/>
    <w:rsid w:val="009C0E04"/>
    <w:rsid w:val="009C0E72"/>
    <w:rsid w:val="009C0F10"/>
    <w:rsid w:val="009C0F5B"/>
    <w:rsid w:val="009C0F64"/>
    <w:rsid w:val="009C0F7A"/>
    <w:rsid w:val="009C0F84"/>
    <w:rsid w:val="009C0F93"/>
    <w:rsid w:val="009C1031"/>
    <w:rsid w:val="009C10D9"/>
    <w:rsid w:val="009C10E4"/>
    <w:rsid w:val="009C111D"/>
    <w:rsid w:val="009C1134"/>
    <w:rsid w:val="009C121B"/>
    <w:rsid w:val="009C125C"/>
    <w:rsid w:val="009C13FE"/>
    <w:rsid w:val="009C14D5"/>
    <w:rsid w:val="009C15ED"/>
    <w:rsid w:val="009C1632"/>
    <w:rsid w:val="009C1726"/>
    <w:rsid w:val="009C17EC"/>
    <w:rsid w:val="009C184A"/>
    <w:rsid w:val="009C18F7"/>
    <w:rsid w:val="009C18FF"/>
    <w:rsid w:val="009C1907"/>
    <w:rsid w:val="009C1A09"/>
    <w:rsid w:val="009C1AF9"/>
    <w:rsid w:val="009C1B60"/>
    <w:rsid w:val="009C1B64"/>
    <w:rsid w:val="009C1B97"/>
    <w:rsid w:val="009C1C04"/>
    <w:rsid w:val="009C1D27"/>
    <w:rsid w:val="009C1D2C"/>
    <w:rsid w:val="009C1E1D"/>
    <w:rsid w:val="009C1EF3"/>
    <w:rsid w:val="009C1F2D"/>
    <w:rsid w:val="009C20A9"/>
    <w:rsid w:val="009C2158"/>
    <w:rsid w:val="009C21A0"/>
    <w:rsid w:val="009C21A6"/>
    <w:rsid w:val="009C2353"/>
    <w:rsid w:val="009C248C"/>
    <w:rsid w:val="009C251F"/>
    <w:rsid w:val="009C2533"/>
    <w:rsid w:val="009C256A"/>
    <w:rsid w:val="009C25A5"/>
    <w:rsid w:val="009C25C4"/>
    <w:rsid w:val="009C266D"/>
    <w:rsid w:val="009C26EB"/>
    <w:rsid w:val="009C2737"/>
    <w:rsid w:val="009C27DA"/>
    <w:rsid w:val="009C286A"/>
    <w:rsid w:val="009C287B"/>
    <w:rsid w:val="009C2918"/>
    <w:rsid w:val="009C292A"/>
    <w:rsid w:val="009C29C8"/>
    <w:rsid w:val="009C29CD"/>
    <w:rsid w:val="009C2A0F"/>
    <w:rsid w:val="009C2A51"/>
    <w:rsid w:val="009C2A97"/>
    <w:rsid w:val="009C2AAA"/>
    <w:rsid w:val="009C2B94"/>
    <w:rsid w:val="009C2BA8"/>
    <w:rsid w:val="009C2BE3"/>
    <w:rsid w:val="009C2C7B"/>
    <w:rsid w:val="009C2CA5"/>
    <w:rsid w:val="009C2CB6"/>
    <w:rsid w:val="009C2D11"/>
    <w:rsid w:val="009C2D5A"/>
    <w:rsid w:val="009C2DEE"/>
    <w:rsid w:val="009C2E24"/>
    <w:rsid w:val="009C2E31"/>
    <w:rsid w:val="009C2F25"/>
    <w:rsid w:val="009C300A"/>
    <w:rsid w:val="009C30E9"/>
    <w:rsid w:val="009C3174"/>
    <w:rsid w:val="009C31CE"/>
    <w:rsid w:val="009C32AB"/>
    <w:rsid w:val="009C3377"/>
    <w:rsid w:val="009C33E4"/>
    <w:rsid w:val="009C3405"/>
    <w:rsid w:val="009C342E"/>
    <w:rsid w:val="009C3654"/>
    <w:rsid w:val="009C36DA"/>
    <w:rsid w:val="009C3719"/>
    <w:rsid w:val="009C3736"/>
    <w:rsid w:val="009C37B0"/>
    <w:rsid w:val="009C38AC"/>
    <w:rsid w:val="009C38DE"/>
    <w:rsid w:val="009C3916"/>
    <w:rsid w:val="009C393A"/>
    <w:rsid w:val="009C3A08"/>
    <w:rsid w:val="009C3AFD"/>
    <w:rsid w:val="009C3B35"/>
    <w:rsid w:val="009C3B4D"/>
    <w:rsid w:val="009C3BCE"/>
    <w:rsid w:val="009C3BD1"/>
    <w:rsid w:val="009C3C72"/>
    <w:rsid w:val="009C3CA3"/>
    <w:rsid w:val="009C3E7E"/>
    <w:rsid w:val="009C3EC0"/>
    <w:rsid w:val="009C3ED1"/>
    <w:rsid w:val="009C3EFA"/>
    <w:rsid w:val="009C3F08"/>
    <w:rsid w:val="009C3FB6"/>
    <w:rsid w:val="009C402E"/>
    <w:rsid w:val="009C40A6"/>
    <w:rsid w:val="009C40A7"/>
    <w:rsid w:val="009C4159"/>
    <w:rsid w:val="009C41E5"/>
    <w:rsid w:val="009C4283"/>
    <w:rsid w:val="009C4342"/>
    <w:rsid w:val="009C4399"/>
    <w:rsid w:val="009C4462"/>
    <w:rsid w:val="009C4487"/>
    <w:rsid w:val="009C458E"/>
    <w:rsid w:val="009C45C5"/>
    <w:rsid w:val="009C482A"/>
    <w:rsid w:val="009C4851"/>
    <w:rsid w:val="009C49EF"/>
    <w:rsid w:val="009C49F6"/>
    <w:rsid w:val="009C4A0A"/>
    <w:rsid w:val="009C4A93"/>
    <w:rsid w:val="009C4AA4"/>
    <w:rsid w:val="009C4BCE"/>
    <w:rsid w:val="009C4BE9"/>
    <w:rsid w:val="009C4C45"/>
    <w:rsid w:val="009C4CF6"/>
    <w:rsid w:val="009C4D6B"/>
    <w:rsid w:val="009C4E70"/>
    <w:rsid w:val="009C4EFB"/>
    <w:rsid w:val="009C5032"/>
    <w:rsid w:val="009C50A4"/>
    <w:rsid w:val="009C50AA"/>
    <w:rsid w:val="009C5166"/>
    <w:rsid w:val="009C5217"/>
    <w:rsid w:val="009C523F"/>
    <w:rsid w:val="009C528E"/>
    <w:rsid w:val="009C52F7"/>
    <w:rsid w:val="009C533A"/>
    <w:rsid w:val="009C54F6"/>
    <w:rsid w:val="009C5555"/>
    <w:rsid w:val="009C560D"/>
    <w:rsid w:val="009C5646"/>
    <w:rsid w:val="009C5648"/>
    <w:rsid w:val="009C5670"/>
    <w:rsid w:val="009C584A"/>
    <w:rsid w:val="009C5860"/>
    <w:rsid w:val="009C58BC"/>
    <w:rsid w:val="009C5912"/>
    <w:rsid w:val="009C5A3D"/>
    <w:rsid w:val="009C5A5F"/>
    <w:rsid w:val="009C5A9D"/>
    <w:rsid w:val="009C5B27"/>
    <w:rsid w:val="009C5B93"/>
    <w:rsid w:val="009C5C4F"/>
    <w:rsid w:val="009C5C5B"/>
    <w:rsid w:val="009C5CA9"/>
    <w:rsid w:val="009C5EA0"/>
    <w:rsid w:val="009C5FB4"/>
    <w:rsid w:val="009C60C5"/>
    <w:rsid w:val="009C60FD"/>
    <w:rsid w:val="009C61A7"/>
    <w:rsid w:val="009C61DB"/>
    <w:rsid w:val="009C6327"/>
    <w:rsid w:val="009C63FF"/>
    <w:rsid w:val="009C642B"/>
    <w:rsid w:val="009C6442"/>
    <w:rsid w:val="009C652F"/>
    <w:rsid w:val="009C66E6"/>
    <w:rsid w:val="009C6798"/>
    <w:rsid w:val="009C6914"/>
    <w:rsid w:val="009C696C"/>
    <w:rsid w:val="009C69E2"/>
    <w:rsid w:val="009C6A18"/>
    <w:rsid w:val="009C6A73"/>
    <w:rsid w:val="009C6AD9"/>
    <w:rsid w:val="009C6BDD"/>
    <w:rsid w:val="009C6CB8"/>
    <w:rsid w:val="009C6D4A"/>
    <w:rsid w:val="009C6D6C"/>
    <w:rsid w:val="009C6E73"/>
    <w:rsid w:val="009C6EDD"/>
    <w:rsid w:val="009C6F33"/>
    <w:rsid w:val="009C6FB8"/>
    <w:rsid w:val="009C7053"/>
    <w:rsid w:val="009C70B4"/>
    <w:rsid w:val="009C70E5"/>
    <w:rsid w:val="009C7149"/>
    <w:rsid w:val="009C72D6"/>
    <w:rsid w:val="009C733A"/>
    <w:rsid w:val="009C739B"/>
    <w:rsid w:val="009C74B6"/>
    <w:rsid w:val="009C7523"/>
    <w:rsid w:val="009C7597"/>
    <w:rsid w:val="009C75E4"/>
    <w:rsid w:val="009C7644"/>
    <w:rsid w:val="009C7700"/>
    <w:rsid w:val="009C772C"/>
    <w:rsid w:val="009C7756"/>
    <w:rsid w:val="009C782C"/>
    <w:rsid w:val="009C7872"/>
    <w:rsid w:val="009C7922"/>
    <w:rsid w:val="009C7AEE"/>
    <w:rsid w:val="009C7BC7"/>
    <w:rsid w:val="009C7C20"/>
    <w:rsid w:val="009C7C53"/>
    <w:rsid w:val="009C7C9D"/>
    <w:rsid w:val="009C7D04"/>
    <w:rsid w:val="009C7DA0"/>
    <w:rsid w:val="009C7DC3"/>
    <w:rsid w:val="009C7E56"/>
    <w:rsid w:val="009C7EB5"/>
    <w:rsid w:val="009C7EE5"/>
    <w:rsid w:val="009C7EF8"/>
    <w:rsid w:val="009C7EFF"/>
    <w:rsid w:val="009C7F4A"/>
    <w:rsid w:val="009C7FA5"/>
    <w:rsid w:val="009C7FE5"/>
    <w:rsid w:val="009D005D"/>
    <w:rsid w:val="009D0085"/>
    <w:rsid w:val="009D008D"/>
    <w:rsid w:val="009D00B9"/>
    <w:rsid w:val="009D017E"/>
    <w:rsid w:val="009D01D3"/>
    <w:rsid w:val="009D027E"/>
    <w:rsid w:val="009D0290"/>
    <w:rsid w:val="009D02B0"/>
    <w:rsid w:val="009D036C"/>
    <w:rsid w:val="009D0379"/>
    <w:rsid w:val="009D03FF"/>
    <w:rsid w:val="009D0430"/>
    <w:rsid w:val="009D0487"/>
    <w:rsid w:val="009D04D9"/>
    <w:rsid w:val="009D0735"/>
    <w:rsid w:val="009D0745"/>
    <w:rsid w:val="009D0749"/>
    <w:rsid w:val="009D07A7"/>
    <w:rsid w:val="009D0863"/>
    <w:rsid w:val="009D0864"/>
    <w:rsid w:val="009D088F"/>
    <w:rsid w:val="009D0897"/>
    <w:rsid w:val="009D08D8"/>
    <w:rsid w:val="009D08E3"/>
    <w:rsid w:val="009D0900"/>
    <w:rsid w:val="009D0A7F"/>
    <w:rsid w:val="009D0ADA"/>
    <w:rsid w:val="009D0B4B"/>
    <w:rsid w:val="009D0B4C"/>
    <w:rsid w:val="009D0B86"/>
    <w:rsid w:val="009D0BCF"/>
    <w:rsid w:val="009D0C2F"/>
    <w:rsid w:val="009D0C46"/>
    <w:rsid w:val="009D0CC9"/>
    <w:rsid w:val="009D0CDA"/>
    <w:rsid w:val="009D0D8F"/>
    <w:rsid w:val="009D0F06"/>
    <w:rsid w:val="009D0F7D"/>
    <w:rsid w:val="009D101F"/>
    <w:rsid w:val="009D106A"/>
    <w:rsid w:val="009D10D8"/>
    <w:rsid w:val="009D10EC"/>
    <w:rsid w:val="009D126F"/>
    <w:rsid w:val="009D13E1"/>
    <w:rsid w:val="009D13FE"/>
    <w:rsid w:val="009D14F9"/>
    <w:rsid w:val="009D153B"/>
    <w:rsid w:val="009D16B1"/>
    <w:rsid w:val="009D16E1"/>
    <w:rsid w:val="009D17BD"/>
    <w:rsid w:val="009D1867"/>
    <w:rsid w:val="009D186C"/>
    <w:rsid w:val="009D1876"/>
    <w:rsid w:val="009D18FB"/>
    <w:rsid w:val="009D1914"/>
    <w:rsid w:val="009D1A55"/>
    <w:rsid w:val="009D1BDD"/>
    <w:rsid w:val="009D1C20"/>
    <w:rsid w:val="009D1C59"/>
    <w:rsid w:val="009D1D0B"/>
    <w:rsid w:val="009D1D8E"/>
    <w:rsid w:val="009D1DB1"/>
    <w:rsid w:val="009D1E48"/>
    <w:rsid w:val="009D1E8D"/>
    <w:rsid w:val="009D1E91"/>
    <w:rsid w:val="009D1EC8"/>
    <w:rsid w:val="009D1ED6"/>
    <w:rsid w:val="009D1EE8"/>
    <w:rsid w:val="009D20DB"/>
    <w:rsid w:val="009D213E"/>
    <w:rsid w:val="009D2155"/>
    <w:rsid w:val="009D228C"/>
    <w:rsid w:val="009D22F3"/>
    <w:rsid w:val="009D2367"/>
    <w:rsid w:val="009D2412"/>
    <w:rsid w:val="009D241F"/>
    <w:rsid w:val="009D2489"/>
    <w:rsid w:val="009D24B9"/>
    <w:rsid w:val="009D2531"/>
    <w:rsid w:val="009D254D"/>
    <w:rsid w:val="009D267A"/>
    <w:rsid w:val="009D26C8"/>
    <w:rsid w:val="009D2757"/>
    <w:rsid w:val="009D2853"/>
    <w:rsid w:val="009D287D"/>
    <w:rsid w:val="009D297B"/>
    <w:rsid w:val="009D29E5"/>
    <w:rsid w:val="009D2C7A"/>
    <w:rsid w:val="009D2C9C"/>
    <w:rsid w:val="009D2CDB"/>
    <w:rsid w:val="009D2EBE"/>
    <w:rsid w:val="009D2FA5"/>
    <w:rsid w:val="009D2FAB"/>
    <w:rsid w:val="009D3069"/>
    <w:rsid w:val="009D30C3"/>
    <w:rsid w:val="009D30F3"/>
    <w:rsid w:val="009D31CF"/>
    <w:rsid w:val="009D31F4"/>
    <w:rsid w:val="009D3243"/>
    <w:rsid w:val="009D3261"/>
    <w:rsid w:val="009D3299"/>
    <w:rsid w:val="009D3326"/>
    <w:rsid w:val="009D3353"/>
    <w:rsid w:val="009D337F"/>
    <w:rsid w:val="009D343F"/>
    <w:rsid w:val="009D34BC"/>
    <w:rsid w:val="009D34C8"/>
    <w:rsid w:val="009D352A"/>
    <w:rsid w:val="009D35B3"/>
    <w:rsid w:val="009D35E8"/>
    <w:rsid w:val="009D36B2"/>
    <w:rsid w:val="009D36D3"/>
    <w:rsid w:val="009D373F"/>
    <w:rsid w:val="009D3984"/>
    <w:rsid w:val="009D398F"/>
    <w:rsid w:val="009D39FF"/>
    <w:rsid w:val="009D3AB5"/>
    <w:rsid w:val="009D3BA9"/>
    <w:rsid w:val="009D3BB9"/>
    <w:rsid w:val="009D3D02"/>
    <w:rsid w:val="009D3D6B"/>
    <w:rsid w:val="009D3D8B"/>
    <w:rsid w:val="009D3DA6"/>
    <w:rsid w:val="009D3DBE"/>
    <w:rsid w:val="009D3DCD"/>
    <w:rsid w:val="009D3DEF"/>
    <w:rsid w:val="009D3E0D"/>
    <w:rsid w:val="009D3E45"/>
    <w:rsid w:val="009D3F0B"/>
    <w:rsid w:val="009D3F6F"/>
    <w:rsid w:val="009D3FD5"/>
    <w:rsid w:val="009D4051"/>
    <w:rsid w:val="009D40A7"/>
    <w:rsid w:val="009D40F4"/>
    <w:rsid w:val="009D425D"/>
    <w:rsid w:val="009D43D6"/>
    <w:rsid w:val="009D43E4"/>
    <w:rsid w:val="009D43FA"/>
    <w:rsid w:val="009D4471"/>
    <w:rsid w:val="009D4481"/>
    <w:rsid w:val="009D4484"/>
    <w:rsid w:val="009D4549"/>
    <w:rsid w:val="009D4589"/>
    <w:rsid w:val="009D46F6"/>
    <w:rsid w:val="009D4724"/>
    <w:rsid w:val="009D472A"/>
    <w:rsid w:val="009D4788"/>
    <w:rsid w:val="009D4847"/>
    <w:rsid w:val="009D488E"/>
    <w:rsid w:val="009D48C1"/>
    <w:rsid w:val="009D492B"/>
    <w:rsid w:val="009D4937"/>
    <w:rsid w:val="009D4A19"/>
    <w:rsid w:val="009D4A77"/>
    <w:rsid w:val="009D4A8E"/>
    <w:rsid w:val="009D4A97"/>
    <w:rsid w:val="009D4AB0"/>
    <w:rsid w:val="009D4B14"/>
    <w:rsid w:val="009D4BD2"/>
    <w:rsid w:val="009D4BE8"/>
    <w:rsid w:val="009D4C02"/>
    <w:rsid w:val="009D4C18"/>
    <w:rsid w:val="009D4DBF"/>
    <w:rsid w:val="009D4DC7"/>
    <w:rsid w:val="009D4DD6"/>
    <w:rsid w:val="009D4E59"/>
    <w:rsid w:val="009D4E63"/>
    <w:rsid w:val="009D4EBF"/>
    <w:rsid w:val="009D4ED7"/>
    <w:rsid w:val="009D4F0A"/>
    <w:rsid w:val="009D4F3B"/>
    <w:rsid w:val="009D4FF1"/>
    <w:rsid w:val="009D504B"/>
    <w:rsid w:val="009D50AD"/>
    <w:rsid w:val="009D5164"/>
    <w:rsid w:val="009D5180"/>
    <w:rsid w:val="009D519C"/>
    <w:rsid w:val="009D51C9"/>
    <w:rsid w:val="009D5207"/>
    <w:rsid w:val="009D5237"/>
    <w:rsid w:val="009D52C5"/>
    <w:rsid w:val="009D52E5"/>
    <w:rsid w:val="009D5304"/>
    <w:rsid w:val="009D530D"/>
    <w:rsid w:val="009D542D"/>
    <w:rsid w:val="009D559F"/>
    <w:rsid w:val="009D56BE"/>
    <w:rsid w:val="009D56ED"/>
    <w:rsid w:val="009D57BB"/>
    <w:rsid w:val="009D589B"/>
    <w:rsid w:val="009D58A0"/>
    <w:rsid w:val="009D58C4"/>
    <w:rsid w:val="009D58E3"/>
    <w:rsid w:val="009D5957"/>
    <w:rsid w:val="009D5970"/>
    <w:rsid w:val="009D5980"/>
    <w:rsid w:val="009D5A1F"/>
    <w:rsid w:val="009D5AA1"/>
    <w:rsid w:val="009D5AC8"/>
    <w:rsid w:val="009D5B4D"/>
    <w:rsid w:val="009D5B98"/>
    <w:rsid w:val="009D5C11"/>
    <w:rsid w:val="009D5C56"/>
    <w:rsid w:val="009D5FAF"/>
    <w:rsid w:val="009D600E"/>
    <w:rsid w:val="009D605F"/>
    <w:rsid w:val="009D6090"/>
    <w:rsid w:val="009D60D6"/>
    <w:rsid w:val="009D61C4"/>
    <w:rsid w:val="009D6243"/>
    <w:rsid w:val="009D657B"/>
    <w:rsid w:val="009D6626"/>
    <w:rsid w:val="009D6643"/>
    <w:rsid w:val="009D6683"/>
    <w:rsid w:val="009D6693"/>
    <w:rsid w:val="009D673D"/>
    <w:rsid w:val="009D694D"/>
    <w:rsid w:val="009D6A48"/>
    <w:rsid w:val="009D6A95"/>
    <w:rsid w:val="009D6AAB"/>
    <w:rsid w:val="009D6ACF"/>
    <w:rsid w:val="009D6ADF"/>
    <w:rsid w:val="009D6B40"/>
    <w:rsid w:val="009D6B8E"/>
    <w:rsid w:val="009D6D65"/>
    <w:rsid w:val="009D6DA9"/>
    <w:rsid w:val="009D6DF0"/>
    <w:rsid w:val="009D6E14"/>
    <w:rsid w:val="009D6F0E"/>
    <w:rsid w:val="009D6F10"/>
    <w:rsid w:val="009D6FC5"/>
    <w:rsid w:val="009D7019"/>
    <w:rsid w:val="009D706D"/>
    <w:rsid w:val="009D7077"/>
    <w:rsid w:val="009D7138"/>
    <w:rsid w:val="009D71D4"/>
    <w:rsid w:val="009D7208"/>
    <w:rsid w:val="009D72DB"/>
    <w:rsid w:val="009D730F"/>
    <w:rsid w:val="009D7312"/>
    <w:rsid w:val="009D7325"/>
    <w:rsid w:val="009D73B7"/>
    <w:rsid w:val="009D73F5"/>
    <w:rsid w:val="009D7474"/>
    <w:rsid w:val="009D74A9"/>
    <w:rsid w:val="009D7520"/>
    <w:rsid w:val="009D7578"/>
    <w:rsid w:val="009D757B"/>
    <w:rsid w:val="009D764F"/>
    <w:rsid w:val="009D7792"/>
    <w:rsid w:val="009D77B1"/>
    <w:rsid w:val="009D7816"/>
    <w:rsid w:val="009D781D"/>
    <w:rsid w:val="009D78D9"/>
    <w:rsid w:val="009D7950"/>
    <w:rsid w:val="009D7A9A"/>
    <w:rsid w:val="009D7AC3"/>
    <w:rsid w:val="009D7B07"/>
    <w:rsid w:val="009D7B53"/>
    <w:rsid w:val="009D7B63"/>
    <w:rsid w:val="009D7C3D"/>
    <w:rsid w:val="009D7C4B"/>
    <w:rsid w:val="009D7C70"/>
    <w:rsid w:val="009D7CF4"/>
    <w:rsid w:val="009D7D12"/>
    <w:rsid w:val="009D7D88"/>
    <w:rsid w:val="009D7E45"/>
    <w:rsid w:val="009D7E61"/>
    <w:rsid w:val="009D7F65"/>
    <w:rsid w:val="009D7F80"/>
    <w:rsid w:val="009D7F81"/>
    <w:rsid w:val="009D7FB4"/>
    <w:rsid w:val="009D7FDD"/>
    <w:rsid w:val="009E0018"/>
    <w:rsid w:val="009E014A"/>
    <w:rsid w:val="009E01A6"/>
    <w:rsid w:val="009E02DA"/>
    <w:rsid w:val="009E0626"/>
    <w:rsid w:val="009E0693"/>
    <w:rsid w:val="009E0699"/>
    <w:rsid w:val="009E06B7"/>
    <w:rsid w:val="009E06BC"/>
    <w:rsid w:val="009E06D3"/>
    <w:rsid w:val="009E0721"/>
    <w:rsid w:val="009E076C"/>
    <w:rsid w:val="009E07CC"/>
    <w:rsid w:val="009E07E9"/>
    <w:rsid w:val="009E0BD5"/>
    <w:rsid w:val="009E0C0F"/>
    <w:rsid w:val="009E0C3F"/>
    <w:rsid w:val="009E0CD0"/>
    <w:rsid w:val="009E0DB5"/>
    <w:rsid w:val="009E0E1A"/>
    <w:rsid w:val="009E0E3E"/>
    <w:rsid w:val="009E0EF2"/>
    <w:rsid w:val="009E0F00"/>
    <w:rsid w:val="009E1030"/>
    <w:rsid w:val="009E1032"/>
    <w:rsid w:val="009E10DB"/>
    <w:rsid w:val="009E1209"/>
    <w:rsid w:val="009E1302"/>
    <w:rsid w:val="009E1376"/>
    <w:rsid w:val="009E13AC"/>
    <w:rsid w:val="009E1545"/>
    <w:rsid w:val="009E1588"/>
    <w:rsid w:val="009E168D"/>
    <w:rsid w:val="009E177D"/>
    <w:rsid w:val="009E17A1"/>
    <w:rsid w:val="009E1830"/>
    <w:rsid w:val="009E1865"/>
    <w:rsid w:val="009E18F4"/>
    <w:rsid w:val="009E1A6F"/>
    <w:rsid w:val="009E1AFF"/>
    <w:rsid w:val="009E1B87"/>
    <w:rsid w:val="009E1BC1"/>
    <w:rsid w:val="009E1C78"/>
    <w:rsid w:val="009E1CD5"/>
    <w:rsid w:val="009E1D05"/>
    <w:rsid w:val="009E1DB9"/>
    <w:rsid w:val="009E1E10"/>
    <w:rsid w:val="009E1E8D"/>
    <w:rsid w:val="009E1EAF"/>
    <w:rsid w:val="009E1EBB"/>
    <w:rsid w:val="009E1F28"/>
    <w:rsid w:val="009E1F3A"/>
    <w:rsid w:val="009E1F89"/>
    <w:rsid w:val="009E1F8A"/>
    <w:rsid w:val="009E1FB2"/>
    <w:rsid w:val="009E2089"/>
    <w:rsid w:val="009E2091"/>
    <w:rsid w:val="009E20D5"/>
    <w:rsid w:val="009E20EA"/>
    <w:rsid w:val="009E2175"/>
    <w:rsid w:val="009E2230"/>
    <w:rsid w:val="009E2265"/>
    <w:rsid w:val="009E2271"/>
    <w:rsid w:val="009E22D2"/>
    <w:rsid w:val="009E2307"/>
    <w:rsid w:val="009E247E"/>
    <w:rsid w:val="009E24E9"/>
    <w:rsid w:val="009E25E8"/>
    <w:rsid w:val="009E261A"/>
    <w:rsid w:val="009E2656"/>
    <w:rsid w:val="009E26DA"/>
    <w:rsid w:val="009E2789"/>
    <w:rsid w:val="009E27C9"/>
    <w:rsid w:val="009E27EC"/>
    <w:rsid w:val="009E27F2"/>
    <w:rsid w:val="009E2801"/>
    <w:rsid w:val="009E2843"/>
    <w:rsid w:val="009E291E"/>
    <w:rsid w:val="009E29AC"/>
    <w:rsid w:val="009E2B10"/>
    <w:rsid w:val="009E2B1C"/>
    <w:rsid w:val="009E2B8D"/>
    <w:rsid w:val="009E2BBC"/>
    <w:rsid w:val="009E2CFC"/>
    <w:rsid w:val="009E2D5E"/>
    <w:rsid w:val="009E2DE8"/>
    <w:rsid w:val="009E2DF8"/>
    <w:rsid w:val="009E2FA8"/>
    <w:rsid w:val="009E3100"/>
    <w:rsid w:val="009E3160"/>
    <w:rsid w:val="009E31B1"/>
    <w:rsid w:val="009E31E4"/>
    <w:rsid w:val="009E3269"/>
    <w:rsid w:val="009E3350"/>
    <w:rsid w:val="009E337C"/>
    <w:rsid w:val="009E33AA"/>
    <w:rsid w:val="009E3430"/>
    <w:rsid w:val="009E3635"/>
    <w:rsid w:val="009E3648"/>
    <w:rsid w:val="009E3678"/>
    <w:rsid w:val="009E36F7"/>
    <w:rsid w:val="009E370C"/>
    <w:rsid w:val="009E372E"/>
    <w:rsid w:val="009E37E6"/>
    <w:rsid w:val="009E3838"/>
    <w:rsid w:val="009E384D"/>
    <w:rsid w:val="009E3873"/>
    <w:rsid w:val="009E3ACD"/>
    <w:rsid w:val="009E3AD3"/>
    <w:rsid w:val="009E3B4E"/>
    <w:rsid w:val="009E3B59"/>
    <w:rsid w:val="009E3B86"/>
    <w:rsid w:val="009E3CE1"/>
    <w:rsid w:val="009E3D18"/>
    <w:rsid w:val="009E3D76"/>
    <w:rsid w:val="009E3D8F"/>
    <w:rsid w:val="009E3E48"/>
    <w:rsid w:val="009E3EDB"/>
    <w:rsid w:val="009E4005"/>
    <w:rsid w:val="009E4071"/>
    <w:rsid w:val="009E41A8"/>
    <w:rsid w:val="009E41AA"/>
    <w:rsid w:val="009E41D8"/>
    <w:rsid w:val="009E422A"/>
    <w:rsid w:val="009E422D"/>
    <w:rsid w:val="009E4259"/>
    <w:rsid w:val="009E432C"/>
    <w:rsid w:val="009E43D6"/>
    <w:rsid w:val="009E44C0"/>
    <w:rsid w:val="009E4547"/>
    <w:rsid w:val="009E45BF"/>
    <w:rsid w:val="009E45C0"/>
    <w:rsid w:val="009E465A"/>
    <w:rsid w:val="009E46D2"/>
    <w:rsid w:val="009E471B"/>
    <w:rsid w:val="009E4745"/>
    <w:rsid w:val="009E4783"/>
    <w:rsid w:val="009E484A"/>
    <w:rsid w:val="009E48F5"/>
    <w:rsid w:val="009E4979"/>
    <w:rsid w:val="009E49E4"/>
    <w:rsid w:val="009E4A0C"/>
    <w:rsid w:val="009E4B44"/>
    <w:rsid w:val="009E4B69"/>
    <w:rsid w:val="009E4B8F"/>
    <w:rsid w:val="009E4BCD"/>
    <w:rsid w:val="009E4CEC"/>
    <w:rsid w:val="009E4D06"/>
    <w:rsid w:val="009E4D29"/>
    <w:rsid w:val="009E4D35"/>
    <w:rsid w:val="009E4D7D"/>
    <w:rsid w:val="009E4DFA"/>
    <w:rsid w:val="009E4FD5"/>
    <w:rsid w:val="009E5029"/>
    <w:rsid w:val="009E5051"/>
    <w:rsid w:val="009E50DD"/>
    <w:rsid w:val="009E50F1"/>
    <w:rsid w:val="009E519C"/>
    <w:rsid w:val="009E51B4"/>
    <w:rsid w:val="009E51D2"/>
    <w:rsid w:val="009E51D3"/>
    <w:rsid w:val="009E52A4"/>
    <w:rsid w:val="009E5348"/>
    <w:rsid w:val="009E5453"/>
    <w:rsid w:val="009E553B"/>
    <w:rsid w:val="009E5612"/>
    <w:rsid w:val="009E568D"/>
    <w:rsid w:val="009E56FC"/>
    <w:rsid w:val="009E575E"/>
    <w:rsid w:val="009E5774"/>
    <w:rsid w:val="009E583E"/>
    <w:rsid w:val="009E5883"/>
    <w:rsid w:val="009E58BB"/>
    <w:rsid w:val="009E5900"/>
    <w:rsid w:val="009E5955"/>
    <w:rsid w:val="009E59DA"/>
    <w:rsid w:val="009E5A41"/>
    <w:rsid w:val="009E5A7A"/>
    <w:rsid w:val="009E5A8C"/>
    <w:rsid w:val="009E5AB5"/>
    <w:rsid w:val="009E5B65"/>
    <w:rsid w:val="009E5BB9"/>
    <w:rsid w:val="009E5BC9"/>
    <w:rsid w:val="009E5C05"/>
    <w:rsid w:val="009E5C60"/>
    <w:rsid w:val="009E5D47"/>
    <w:rsid w:val="009E5FAE"/>
    <w:rsid w:val="009E6060"/>
    <w:rsid w:val="009E60CE"/>
    <w:rsid w:val="009E615B"/>
    <w:rsid w:val="009E61BC"/>
    <w:rsid w:val="009E61DD"/>
    <w:rsid w:val="009E627E"/>
    <w:rsid w:val="009E628F"/>
    <w:rsid w:val="009E632F"/>
    <w:rsid w:val="009E6342"/>
    <w:rsid w:val="009E6398"/>
    <w:rsid w:val="009E639A"/>
    <w:rsid w:val="009E63F2"/>
    <w:rsid w:val="009E64AE"/>
    <w:rsid w:val="009E64B5"/>
    <w:rsid w:val="009E6525"/>
    <w:rsid w:val="009E658F"/>
    <w:rsid w:val="009E665B"/>
    <w:rsid w:val="009E6687"/>
    <w:rsid w:val="009E6741"/>
    <w:rsid w:val="009E67C6"/>
    <w:rsid w:val="009E69EA"/>
    <w:rsid w:val="009E6A2E"/>
    <w:rsid w:val="009E6A76"/>
    <w:rsid w:val="009E6AAF"/>
    <w:rsid w:val="009E6BC3"/>
    <w:rsid w:val="009E6BEB"/>
    <w:rsid w:val="009E6C33"/>
    <w:rsid w:val="009E6C72"/>
    <w:rsid w:val="009E6CED"/>
    <w:rsid w:val="009E6D89"/>
    <w:rsid w:val="009E6E72"/>
    <w:rsid w:val="009E6F2F"/>
    <w:rsid w:val="009E7024"/>
    <w:rsid w:val="009E70AD"/>
    <w:rsid w:val="009E7101"/>
    <w:rsid w:val="009E7109"/>
    <w:rsid w:val="009E716C"/>
    <w:rsid w:val="009E72BC"/>
    <w:rsid w:val="009E7337"/>
    <w:rsid w:val="009E736D"/>
    <w:rsid w:val="009E738E"/>
    <w:rsid w:val="009E747A"/>
    <w:rsid w:val="009E74D0"/>
    <w:rsid w:val="009E751C"/>
    <w:rsid w:val="009E766C"/>
    <w:rsid w:val="009E7750"/>
    <w:rsid w:val="009E77E3"/>
    <w:rsid w:val="009E7876"/>
    <w:rsid w:val="009E78EB"/>
    <w:rsid w:val="009E78FE"/>
    <w:rsid w:val="009E7968"/>
    <w:rsid w:val="009E79AF"/>
    <w:rsid w:val="009E79B6"/>
    <w:rsid w:val="009E79D1"/>
    <w:rsid w:val="009E7A4A"/>
    <w:rsid w:val="009E7A88"/>
    <w:rsid w:val="009E7AA7"/>
    <w:rsid w:val="009E7B87"/>
    <w:rsid w:val="009E7BBA"/>
    <w:rsid w:val="009E7CBC"/>
    <w:rsid w:val="009E7CFC"/>
    <w:rsid w:val="009E7D01"/>
    <w:rsid w:val="009E7D19"/>
    <w:rsid w:val="009E7DC1"/>
    <w:rsid w:val="009E7DE9"/>
    <w:rsid w:val="009F0164"/>
    <w:rsid w:val="009F016B"/>
    <w:rsid w:val="009F0200"/>
    <w:rsid w:val="009F020D"/>
    <w:rsid w:val="009F0259"/>
    <w:rsid w:val="009F025C"/>
    <w:rsid w:val="009F0365"/>
    <w:rsid w:val="009F041D"/>
    <w:rsid w:val="009F0435"/>
    <w:rsid w:val="009F04B7"/>
    <w:rsid w:val="009F0567"/>
    <w:rsid w:val="009F067D"/>
    <w:rsid w:val="009F0697"/>
    <w:rsid w:val="009F080B"/>
    <w:rsid w:val="009F0854"/>
    <w:rsid w:val="009F087F"/>
    <w:rsid w:val="009F0890"/>
    <w:rsid w:val="009F08D0"/>
    <w:rsid w:val="009F08EB"/>
    <w:rsid w:val="009F09EF"/>
    <w:rsid w:val="009F0A7C"/>
    <w:rsid w:val="009F0A96"/>
    <w:rsid w:val="009F0AED"/>
    <w:rsid w:val="009F0AF1"/>
    <w:rsid w:val="009F0BC4"/>
    <w:rsid w:val="009F0BE1"/>
    <w:rsid w:val="009F0BE5"/>
    <w:rsid w:val="009F0CA1"/>
    <w:rsid w:val="009F0CD7"/>
    <w:rsid w:val="009F0D59"/>
    <w:rsid w:val="009F0DCF"/>
    <w:rsid w:val="009F0DE9"/>
    <w:rsid w:val="009F0E61"/>
    <w:rsid w:val="009F0E6C"/>
    <w:rsid w:val="009F0ED7"/>
    <w:rsid w:val="009F0EF9"/>
    <w:rsid w:val="009F0F31"/>
    <w:rsid w:val="009F0FD4"/>
    <w:rsid w:val="009F110D"/>
    <w:rsid w:val="009F1150"/>
    <w:rsid w:val="009F121C"/>
    <w:rsid w:val="009F1238"/>
    <w:rsid w:val="009F12BA"/>
    <w:rsid w:val="009F1336"/>
    <w:rsid w:val="009F133C"/>
    <w:rsid w:val="009F13B2"/>
    <w:rsid w:val="009F141A"/>
    <w:rsid w:val="009F1450"/>
    <w:rsid w:val="009F1568"/>
    <w:rsid w:val="009F1625"/>
    <w:rsid w:val="009F1639"/>
    <w:rsid w:val="009F165A"/>
    <w:rsid w:val="009F1661"/>
    <w:rsid w:val="009F171C"/>
    <w:rsid w:val="009F176D"/>
    <w:rsid w:val="009F17D9"/>
    <w:rsid w:val="009F18F9"/>
    <w:rsid w:val="009F19C1"/>
    <w:rsid w:val="009F1A78"/>
    <w:rsid w:val="009F1BC7"/>
    <w:rsid w:val="009F1C2D"/>
    <w:rsid w:val="009F1CC1"/>
    <w:rsid w:val="009F1CE3"/>
    <w:rsid w:val="009F1DC8"/>
    <w:rsid w:val="009F1E3A"/>
    <w:rsid w:val="009F1E7A"/>
    <w:rsid w:val="009F1ECA"/>
    <w:rsid w:val="009F1ED6"/>
    <w:rsid w:val="009F1F52"/>
    <w:rsid w:val="009F1F8B"/>
    <w:rsid w:val="009F2024"/>
    <w:rsid w:val="009F2044"/>
    <w:rsid w:val="009F20EF"/>
    <w:rsid w:val="009F21C7"/>
    <w:rsid w:val="009F22B4"/>
    <w:rsid w:val="009F242A"/>
    <w:rsid w:val="009F2436"/>
    <w:rsid w:val="009F2439"/>
    <w:rsid w:val="009F24ED"/>
    <w:rsid w:val="009F253B"/>
    <w:rsid w:val="009F2554"/>
    <w:rsid w:val="009F256C"/>
    <w:rsid w:val="009F25DF"/>
    <w:rsid w:val="009F2659"/>
    <w:rsid w:val="009F271B"/>
    <w:rsid w:val="009F277A"/>
    <w:rsid w:val="009F286C"/>
    <w:rsid w:val="009F28A2"/>
    <w:rsid w:val="009F298D"/>
    <w:rsid w:val="009F2A49"/>
    <w:rsid w:val="009F2B65"/>
    <w:rsid w:val="009F2B9C"/>
    <w:rsid w:val="009F2BD8"/>
    <w:rsid w:val="009F2BE9"/>
    <w:rsid w:val="009F2C0E"/>
    <w:rsid w:val="009F2C87"/>
    <w:rsid w:val="009F2CC6"/>
    <w:rsid w:val="009F2DF6"/>
    <w:rsid w:val="009F2FED"/>
    <w:rsid w:val="009F301C"/>
    <w:rsid w:val="009F316D"/>
    <w:rsid w:val="009F3182"/>
    <w:rsid w:val="009F31DF"/>
    <w:rsid w:val="009F32C2"/>
    <w:rsid w:val="009F32D1"/>
    <w:rsid w:val="009F32F1"/>
    <w:rsid w:val="009F331B"/>
    <w:rsid w:val="009F332B"/>
    <w:rsid w:val="009F3347"/>
    <w:rsid w:val="009F33A0"/>
    <w:rsid w:val="009F3417"/>
    <w:rsid w:val="009F342F"/>
    <w:rsid w:val="009F3472"/>
    <w:rsid w:val="009F34A0"/>
    <w:rsid w:val="009F34E7"/>
    <w:rsid w:val="009F351F"/>
    <w:rsid w:val="009F3613"/>
    <w:rsid w:val="009F3727"/>
    <w:rsid w:val="009F37BA"/>
    <w:rsid w:val="009F3839"/>
    <w:rsid w:val="009F38E9"/>
    <w:rsid w:val="009F39C1"/>
    <w:rsid w:val="009F3A2C"/>
    <w:rsid w:val="009F3AE2"/>
    <w:rsid w:val="009F3B21"/>
    <w:rsid w:val="009F3B37"/>
    <w:rsid w:val="009F3B95"/>
    <w:rsid w:val="009F3D74"/>
    <w:rsid w:val="009F3F7B"/>
    <w:rsid w:val="009F3F89"/>
    <w:rsid w:val="009F3FC2"/>
    <w:rsid w:val="009F40B9"/>
    <w:rsid w:val="009F40DB"/>
    <w:rsid w:val="009F41D2"/>
    <w:rsid w:val="009F41E2"/>
    <w:rsid w:val="009F42BF"/>
    <w:rsid w:val="009F4342"/>
    <w:rsid w:val="009F4366"/>
    <w:rsid w:val="009F43A7"/>
    <w:rsid w:val="009F4493"/>
    <w:rsid w:val="009F45A0"/>
    <w:rsid w:val="009F45E5"/>
    <w:rsid w:val="009F466A"/>
    <w:rsid w:val="009F46A2"/>
    <w:rsid w:val="009F46F2"/>
    <w:rsid w:val="009F4766"/>
    <w:rsid w:val="009F4787"/>
    <w:rsid w:val="009F47C4"/>
    <w:rsid w:val="009F480E"/>
    <w:rsid w:val="009F481B"/>
    <w:rsid w:val="009F4915"/>
    <w:rsid w:val="009F493B"/>
    <w:rsid w:val="009F49C9"/>
    <w:rsid w:val="009F4A15"/>
    <w:rsid w:val="009F4A2F"/>
    <w:rsid w:val="009F4AD3"/>
    <w:rsid w:val="009F4AF3"/>
    <w:rsid w:val="009F4B6A"/>
    <w:rsid w:val="009F4B6F"/>
    <w:rsid w:val="009F4B88"/>
    <w:rsid w:val="009F4BDD"/>
    <w:rsid w:val="009F4C8F"/>
    <w:rsid w:val="009F4CCC"/>
    <w:rsid w:val="009F4E19"/>
    <w:rsid w:val="009F4F9D"/>
    <w:rsid w:val="009F4FFF"/>
    <w:rsid w:val="009F508B"/>
    <w:rsid w:val="009F511F"/>
    <w:rsid w:val="009F518A"/>
    <w:rsid w:val="009F520C"/>
    <w:rsid w:val="009F52C1"/>
    <w:rsid w:val="009F53A0"/>
    <w:rsid w:val="009F53D3"/>
    <w:rsid w:val="009F53F4"/>
    <w:rsid w:val="009F540D"/>
    <w:rsid w:val="009F5422"/>
    <w:rsid w:val="009F543E"/>
    <w:rsid w:val="009F544F"/>
    <w:rsid w:val="009F5471"/>
    <w:rsid w:val="009F54F6"/>
    <w:rsid w:val="009F55B2"/>
    <w:rsid w:val="009F563D"/>
    <w:rsid w:val="009F574F"/>
    <w:rsid w:val="009F5777"/>
    <w:rsid w:val="009F582B"/>
    <w:rsid w:val="009F5835"/>
    <w:rsid w:val="009F58A0"/>
    <w:rsid w:val="009F59BB"/>
    <w:rsid w:val="009F59E0"/>
    <w:rsid w:val="009F5A08"/>
    <w:rsid w:val="009F5ACE"/>
    <w:rsid w:val="009F5B61"/>
    <w:rsid w:val="009F5B9B"/>
    <w:rsid w:val="009F5BBE"/>
    <w:rsid w:val="009F5C2E"/>
    <w:rsid w:val="009F5C56"/>
    <w:rsid w:val="009F5D75"/>
    <w:rsid w:val="009F5D7C"/>
    <w:rsid w:val="009F5DCF"/>
    <w:rsid w:val="009F5E22"/>
    <w:rsid w:val="009F604A"/>
    <w:rsid w:val="009F6121"/>
    <w:rsid w:val="009F61A2"/>
    <w:rsid w:val="009F6225"/>
    <w:rsid w:val="009F62F6"/>
    <w:rsid w:val="009F6487"/>
    <w:rsid w:val="009F6490"/>
    <w:rsid w:val="009F6691"/>
    <w:rsid w:val="009F66D3"/>
    <w:rsid w:val="009F66FD"/>
    <w:rsid w:val="009F673B"/>
    <w:rsid w:val="009F681E"/>
    <w:rsid w:val="009F6843"/>
    <w:rsid w:val="009F68DF"/>
    <w:rsid w:val="009F6984"/>
    <w:rsid w:val="009F6A0B"/>
    <w:rsid w:val="009F6A46"/>
    <w:rsid w:val="009F6A7F"/>
    <w:rsid w:val="009F6A89"/>
    <w:rsid w:val="009F6BC3"/>
    <w:rsid w:val="009F6C0C"/>
    <w:rsid w:val="009F6E5C"/>
    <w:rsid w:val="009F6E7D"/>
    <w:rsid w:val="009F6F4F"/>
    <w:rsid w:val="009F7089"/>
    <w:rsid w:val="009F7142"/>
    <w:rsid w:val="009F7180"/>
    <w:rsid w:val="009F71DF"/>
    <w:rsid w:val="009F727D"/>
    <w:rsid w:val="009F7307"/>
    <w:rsid w:val="009F73BE"/>
    <w:rsid w:val="009F74E2"/>
    <w:rsid w:val="009F757A"/>
    <w:rsid w:val="009F7587"/>
    <w:rsid w:val="009F75D8"/>
    <w:rsid w:val="009F75F0"/>
    <w:rsid w:val="009F7734"/>
    <w:rsid w:val="009F777C"/>
    <w:rsid w:val="009F7788"/>
    <w:rsid w:val="009F7841"/>
    <w:rsid w:val="009F7AB2"/>
    <w:rsid w:val="009F7B04"/>
    <w:rsid w:val="009F7CAC"/>
    <w:rsid w:val="009F7CC5"/>
    <w:rsid w:val="009F7D16"/>
    <w:rsid w:val="009F7D2B"/>
    <w:rsid w:val="009F7D4C"/>
    <w:rsid w:val="009F7D75"/>
    <w:rsid w:val="009F7D83"/>
    <w:rsid w:val="009F7E56"/>
    <w:rsid w:val="009F7E59"/>
    <w:rsid w:val="00A00060"/>
    <w:rsid w:val="00A003F2"/>
    <w:rsid w:val="00A004A2"/>
    <w:rsid w:val="00A00564"/>
    <w:rsid w:val="00A0061B"/>
    <w:rsid w:val="00A006A6"/>
    <w:rsid w:val="00A006C1"/>
    <w:rsid w:val="00A00742"/>
    <w:rsid w:val="00A007B5"/>
    <w:rsid w:val="00A007CC"/>
    <w:rsid w:val="00A00810"/>
    <w:rsid w:val="00A008A2"/>
    <w:rsid w:val="00A009BC"/>
    <w:rsid w:val="00A009D7"/>
    <w:rsid w:val="00A00A9B"/>
    <w:rsid w:val="00A00C29"/>
    <w:rsid w:val="00A00CEF"/>
    <w:rsid w:val="00A00D3E"/>
    <w:rsid w:val="00A00D9A"/>
    <w:rsid w:val="00A00F35"/>
    <w:rsid w:val="00A00F78"/>
    <w:rsid w:val="00A010EF"/>
    <w:rsid w:val="00A0111D"/>
    <w:rsid w:val="00A0126B"/>
    <w:rsid w:val="00A0126E"/>
    <w:rsid w:val="00A01279"/>
    <w:rsid w:val="00A01301"/>
    <w:rsid w:val="00A01374"/>
    <w:rsid w:val="00A01408"/>
    <w:rsid w:val="00A0146B"/>
    <w:rsid w:val="00A014A2"/>
    <w:rsid w:val="00A014BE"/>
    <w:rsid w:val="00A01552"/>
    <w:rsid w:val="00A01568"/>
    <w:rsid w:val="00A015BF"/>
    <w:rsid w:val="00A0166B"/>
    <w:rsid w:val="00A016AF"/>
    <w:rsid w:val="00A019E5"/>
    <w:rsid w:val="00A019F3"/>
    <w:rsid w:val="00A01A08"/>
    <w:rsid w:val="00A01A0E"/>
    <w:rsid w:val="00A01B51"/>
    <w:rsid w:val="00A01B78"/>
    <w:rsid w:val="00A01B7B"/>
    <w:rsid w:val="00A01DCF"/>
    <w:rsid w:val="00A01E0C"/>
    <w:rsid w:val="00A01EA3"/>
    <w:rsid w:val="00A01EBC"/>
    <w:rsid w:val="00A01EF5"/>
    <w:rsid w:val="00A01F43"/>
    <w:rsid w:val="00A01FCC"/>
    <w:rsid w:val="00A01FD8"/>
    <w:rsid w:val="00A01FE0"/>
    <w:rsid w:val="00A02025"/>
    <w:rsid w:val="00A022A2"/>
    <w:rsid w:val="00A022E7"/>
    <w:rsid w:val="00A02315"/>
    <w:rsid w:val="00A023CD"/>
    <w:rsid w:val="00A0241A"/>
    <w:rsid w:val="00A02657"/>
    <w:rsid w:val="00A0267B"/>
    <w:rsid w:val="00A02743"/>
    <w:rsid w:val="00A0274C"/>
    <w:rsid w:val="00A02799"/>
    <w:rsid w:val="00A027A5"/>
    <w:rsid w:val="00A027E0"/>
    <w:rsid w:val="00A028A1"/>
    <w:rsid w:val="00A0290F"/>
    <w:rsid w:val="00A02910"/>
    <w:rsid w:val="00A02937"/>
    <w:rsid w:val="00A02A28"/>
    <w:rsid w:val="00A02B72"/>
    <w:rsid w:val="00A02BDD"/>
    <w:rsid w:val="00A02D15"/>
    <w:rsid w:val="00A02D2C"/>
    <w:rsid w:val="00A02D6B"/>
    <w:rsid w:val="00A02D83"/>
    <w:rsid w:val="00A02D8C"/>
    <w:rsid w:val="00A02EBE"/>
    <w:rsid w:val="00A02F1A"/>
    <w:rsid w:val="00A02F39"/>
    <w:rsid w:val="00A02F6D"/>
    <w:rsid w:val="00A02FCD"/>
    <w:rsid w:val="00A0308E"/>
    <w:rsid w:val="00A031A7"/>
    <w:rsid w:val="00A031F6"/>
    <w:rsid w:val="00A03200"/>
    <w:rsid w:val="00A0321F"/>
    <w:rsid w:val="00A03238"/>
    <w:rsid w:val="00A03337"/>
    <w:rsid w:val="00A03398"/>
    <w:rsid w:val="00A03442"/>
    <w:rsid w:val="00A03480"/>
    <w:rsid w:val="00A034F5"/>
    <w:rsid w:val="00A03575"/>
    <w:rsid w:val="00A0357A"/>
    <w:rsid w:val="00A0357D"/>
    <w:rsid w:val="00A036D2"/>
    <w:rsid w:val="00A0373C"/>
    <w:rsid w:val="00A03749"/>
    <w:rsid w:val="00A03782"/>
    <w:rsid w:val="00A038EC"/>
    <w:rsid w:val="00A03924"/>
    <w:rsid w:val="00A039DE"/>
    <w:rsid w:val="00A039E4"/>
    <w:rsid w:val="00A039F7"/>
    <w:rsid w:val="00A03A44"/>
    <w:rsid w:val="00A03A6A"/>
    <w:rsid w:val="00A03B15"/>
    <w:rsid w:val="00A03B38"/>
    <w:rsid w:val="00A03C0F"/>
    <w:rsid w:val="00A03C6F"/>
    <w:rsid w:val="00A03DA5"/>
    <w:rsid w:val="00A03E31"/>
    <w:rsid w:val="00A03E69"/>
    <w:rsid w:val="00A03F68"/>
    <w:rsid w:val="00A03F97"/>
    <w:rsid w:val="00A03FCA"/>
    <w:rsid w:val="00A04024"/>
    <w:rsid w:val="00A0404E"/>
    <w:rsid w:val="00A04101"/>
    <w:rsid w:val="00A041BA"/>
    <w:rsid w:val="00A041E9"/>
    <w:rsid w:val="00A0426E"/>
    <w:rsid w:val="00A0429B"/>
    <w:rsid w:val="00A04343"/>
    <w:rsid w:val="00A04349"/>
    <w:rsid w:val="00A04365"/>
    <w:rsid w:val="00A04379"/>
    <w:rsid w:val="00A04459"/>
    <w:rsid w:val="00A046AE"/>
    <w:rsid w:val="00A0477A"/>
    <w:rsid w:val="00A048AF"/>
    <w:rsid w:val="00A048F7"/>
    <w:rsid w:val="00A049DC"/>
    <w:rsid w:val="00A049F5"/>
    <w:rsid w:val="00A04A9C"/>
    <w:rsid w:val="00A04AA9"/>
    <w:rsid w:val="00A04BCA"/>
    <w:rsid w:val="00A04C80"/>
    <w:rsid w:val="00A04CC4"/>
    <w:rsid w:val="00A04CF3"/>
    <w:rsid w:val="00A04D1A"/>
    <w:rsid w:val="00A04DCB"/>
    <w:rsid w:val="00A04DDA"/>
    <w:rsid w:val="00A04DFD"/>
    <w:rsid w:val="00A04E64"/>
    <w:rsid w:val="00A04EB3"/>
    <w:rsid w:val="00A04EEE"/>
    <w:rsid w:val="00A05078"/>
    <w:rsid w:val="00A050C5"/>
    <w:rsid w:val="00A05119"/>
    <w:rsid w:val="00A0512C"/>
    <w:rsid w:val="00A05175"/>
    <w:rsid w:val="00A05243"/>
    <w:rsid w:val="00A0527F"/>
    <w:rsid w:val="00A052C0"/>
    <w:rsid w:val="00A0536D"/>
    <w:rsid w:val="00A05380"/>
    <w:rsid w:val="00A05449"/>
    <w:rsid w:val="00A05496"/>
    <w:rsid w:val="00A055A0"/>
    <w:rsid w:val="00A055B8"/>
    <w:rsid w:val="00A05609"/>
    <w:rsid w:val="00A05678"/>
    <w:rsid w:val="00A056AC"/>
    <w:rsid w:val="00A056F8"/>
    <w:rsid w:val="00A05719"/>
    <w:rsid w:val="00A058B3"/>
    <w:rsid w:val="00A059EF"/>
    <w:rsid w:val="00A05A60"/>
    <w:rsid w:val="00A05A6E"/>
    <w:rsid w:val="00A05AAA"/>
    <w:rsid w:val="00A05AB9"/>
    <w:rsid w:val="00A05BA0"/>
    <w:rsid w:val="00A05BA2"/>
    <w:rsid w:val="00A05BFC"/>
    <w:rsid w:val="00A05CDD"/>
    <w:rsid w:val="00A05CFF"/>
    <w:rsid w:val="00A05DC9"/>
    <w:rsid w:val="00A05DFD"/>
    <w:rsid w:val="00A05F58"/>
    <w:rsid w:val="00A05F6D"/>
    <w:rsid w:val="00A05FBA"/>
    <w:rsid w:val="00A05FFB"/>
    <w:rsid w:val="00A0604E"/>
    <w:rsid w:val="00A0607B"/>
    <w:rsid w:val="00A060BF"/>
    <w:rsid w:val="00A060C8"/>
    <w:rsid w:val="00A06139"/>
    <w:rsid w:val="00A06156"/>
    <w:rsid w:val="00A06170"/>
    <w:rsid w:val="00A06290"/>
    <w:rsid w:val="00A062A2"/>
    <w:rsid w:val="00A062B1"/>
    <w:rsid w:val="00A062BD"/>
    <w:rsid w:val="00A06337"/>
    <w:rsid w:val="00A06370"/>
    <w:rsid w:val="00A064D0"/>
    <w:rsid w:val="00A0652A"/>
    <w:rsid w:val="00A06587"/>
    <w:rsid w:val="00A065F6"/>
    <w:rsid w:val="00A06690"/>
    <w:rsid w:val="00A066FA"/>
    <w:rsid w:val="00A0671C"/>
    <w:rsid w:val="00A067D7"/>
    <w:rsid w:val="00A06818"/>
    <w:rsid w:val="00A06848"/>
    <w:rsid w:val="00A06876"/>
    <w:rsid w:val="00A0688A"/>
    <w:rsid w:val="00A06894"/>
    <w:rsid w:val="00A068CB"/>
    <w:rsid w:val="00A06A17"/>
    <w:rsid w:val="00A06A43"/>
    <w:rsid w:val="00A06B27"/>
    <w:rsid w:val="00A06B40"/>
    <w:rsid w:val="00A06B68"/>
    <w:rsid w:val="00A06BA6"/>
    <w:rsid w:val="00A06C22"/>
    <w:rsid w:val="00A06C2F"/>
    <w:rsid w:val="00A06C7D"/>
    <w:rsid w:val="00A06CA8"/>
    <w:rsid w:val="00A06D3D"/>
    <w:rsid w:val="00A06FFE"/>
    <w:rsid w:val="00A07018"/>
    <w:rsid w:val="00A07038"/>
    <w:rsid w:val="00A07092"/>
    <w:rsid w:val="00A070F3"/>
    <w:rsid w:val="00A07126"/>
    <w:rsid w:val="00A0712D"/>
    <w:rsid w:val="00A071DB"/>
    <w:rsid w:val="00A07258"/>
    <w:rsid w:val="00A0730D"/>
    <w:rsid w:val="00A0733A"/>
    <w:rsid w:val="00A07415"/>
    <w:rsid w:val="00A074B2"/>
    <w:rsid w:val="00A074DE"/>
    <w:rsid w:val="00A07517"/>
    <w:rsid w:val="00A07554"/>
    <w:rsid w:val="00A07584"/>
    <w:rsid w:val="00A075CD"/>
    <w:rsid w:val="00A075EE"/>
    <w:rsid w:val="00A076FF"/>
    <w:rsid w:val="00A0774F"/>
    <w:rsid w:val="00A07872"/>
    <w:rsid w:val="00A078F9"/>
    <w:rsid w:val="00A0791E"/>
    <w:rsid w:val="00A07992"/>
    <w:rsid w:val="00A079A8"/>
    <w:rsid w:val="00A079F0"/>
    <w:rsid w:val="00A07A04"/>
    <w:rsid w:val="00A07A80"/>
    <w:rsid w:val="00A07BBB"/>
    <w:rsid w:val="00A07BE6"/>
    <w:rsid w:val="00A07E53"/>
    <w:rsid w:val="00A07E8D"/>
    <w:rsid w:val="00A07EB0"/>
    <w:rsid w:val="00A07EC6"/>
    <w:rsid w:val="00A07F02"/>
    <w:rsid w:val="00A07F45"/>
    <w:rsid w:val="00A07F97"/>
    <w:rsid w:val="00A1011A"/>
    <w:rsid w:val="00A101D9"/>
    <w:rsid w:val="00A101F0"/>
    <w:rsid w:val="00A10250"/>
    <w:rsid w:val="00A1026E"/>
    <w:rsid w:val="00A10279"/>
    <w:rsid w:val="00A10382"/>
    <w:rsid w:val="00A10430"/>
    <w:rsid w:val="00A104B6"/>
    <w:rsid w:val="00A106FC"/>
    <w:rsid w:val="00A107E7"/>
    <w:rsid w:val="00A108BB"/>
    <w:rsid w:val="00A108CB"/>
    <w:rsid w:val="00A10950"/>
    <w:rsid w:val="00A10A19"/>
    <w:rsid w:val="00A10A56"/>
    <w:rsid w:val="00A10A86"/>
    <w:rsid w:val="00A10A96"/>
    <w:rsid w:val="00A10B21"/>
    <w:rsid w:val="00A10B38"/>
    <w:rsid w:val="00A10BE1"/>
    <w:rsid w:val="00A10C05"/>
    <w:rsid w:val="00A10C5B"/>
    <w:rsid w:val="00A10D04"/>
    <w:rsid w:val="00A10D89"/>
    <w:rsid w:val="00A10E04"/>
    <w:rsid w:val="00A10E17"/>
    <w:rsid w:val="00A10F85"/>
    <w:rsid w:val="00A1105C"/>
    <w:rsid w:val="00A110E1"/>
    <w:rsid w:val="00A111DA"/>
    <w:rsid w:val="00A11253"/>
    <w:rsid w:val="00A11403"/>
    <w:rsid w:val="00A1145C"/>
    <w:rsid w:val="00A1146A"/>
    <w:rsid w:val="00A1148B"/>
    <w:rsid w:val="00A1158A"/>
    <w:rsid w:val="00A115F7"/>
    <w:rsid w:val="00A1165F"/>
    <w:rsid w:val="00A116C2"/>
    <w:rsid w:val="00A116E6"/>
    <w:rsid w:val="00A116FE"/>
    <w:rsid w:val="00A118A1"/>
    <w:rsid w:val="00A1192C"/>
    <w:rsid w:val="00A1199C"/>
    <w:rsid w:val="00A119A5"/>
    <w:rsid w:val="00A11A1E"/>
    <w:rsid w:val="00A11A56"/>
    <w:rsid w:val="00A11A5C"/>
    <w:rsid w:val="00A11B3B"/>
    <w:rsid w:val="00A11BBC"/>
    <w:rsid w:val="00A11C22"/>
    <w:rsid w:val="00A11C27"/>
    <w:rsid w:val="00A11CA1"/>
    <w:rsid w:val="00A11CE8"/>
    <w:rsid w:val="00A11F1A"/>
    <w:rsid w:val="00A11F55"/>
    <w:rsid w:val="00A11F8C"/>
    <w:rsid w:val="00A12092"/>
    <w:rsid w:val="00A12178"/>
    <w:rsid w:val="00A121F9"/>
    <w:rsid w:val="00A12293"/>
    <w:rsid w:val="00A122A3"/>
    <w:rsid w:val="00A1232C"/>
    <w:rsid w:val="00A123BE"/>
    <w:rsid w:val="00A12403"/>
    <w:rsid w:val="00A12469"/>
    <w:rsid w:val="00A124B1"/>
    <w:rsid w:val="00A12533"/>
    <w:rsid w:val="00A12558"/>
    <w:rsid w:val="00A12569"/>
    <w:rsid w:val="00A1264C"/>
    <w:rsid w:val="00A126B1"/>
    <w:rsid w:val="00A12700"/>
    <w:rsid w:val="00A1273E"/>
    <w:rsid w:val="00A1275E"/>
    <w:rsid w:val="00A127B4"/>
    <w:rsid w:val="00A127C0"/>
    <w:rsid w:val="00A1284D"/>
    <w:rsid w:val="00A12879"/>
    <w:rsid w:val="00A128B0"/>
    <w:rsid w:val="00A12925"/>
    <w:rsid w:val="00A1299B"/>
    <w:rsid w:val="00A129B4"/>
    <w:rsid w:val="00A129E4"/>
    <w:rsid w:val="00A12AA2"/>
    <w:rsid w:val="00A12D6A"/>
    <w:rsid w:val="00A12E0D"/>
    <w:rsid w:val="00A12E54"/>
    <w:rsid w:val="00A12EC3"/>
    <w:rsid w:val="00A12ECF"/>
    <w:rsid w:val="00A12F62"/>
    <w:rsid w:val="00A12F9B"/>
    <w:rsid w:val="00A13087"/>
    <w:rsid w:val="00A1322A"/>
    <w:rsid w:val="00A132C6"/>
    <w:rsid w:val="00A13336"/>
    <w:rsid w:val="00A1348E"/>
    <w:rsid w:val="00A1349F"/>
    <w:rsid w:val="00A13506"/>
    <w:rsid w:val="00A13589"/>
    <w:rsid w:val="00A135C1"/>
    <w:rsid w:val="00A13600"/>
    <w:rsid w:val="00A1362F"/>
    <w:rsid w:val="00A136C3"/>
    <w:rsid w:val="00A136D1"/>
    <w:rsid w:val="00A136D8"/>
    <w:rsid w:val="00A136F3"/>
    <w:rsid w:val="00A13701"/>
    <w:rsid w:val="00A1379E"/>
    <w:rsid w:val="00A13865"/>
    <w:rsid w:val="00A1387F"/>
    <w:rsid w:val="00A138A1"/>
    <w:rsid w:val="00A13922"/>
    <w:rsid w:val="00A13A3F"/>
    <w:rsid w:val="00A13B78"/>
    <w:rsid w:val="00A13C0D"/>
    <w:rsid w:val="00A13C15"/>
    <w:rsid w:val="00A13CF9"/>
    <w:rsid w:val="00A13D49"/>
    <w:rsid w:val="00A13DA7"/>
    <w:rsid w:val="00A13DD0"/>
    <w:rsid w:val="00A13DF4"/>
    <w:rsid w:val="00A13E11"/>
    <w:rsid w:val="00A13E49"/>
    <w:rsid w:val="00A13E6B"/>
    <w:rsid w:val="00A13EF2"/>
    <w:rsid w:val="00A13EFD"/>
    <w:rsid w:val="00A13F0B"/>
    <w:rsid w:val="00A14046"/>
    <w:rsid w:val="00A14081"/>
    <w:rsid w:val="00A140DA"/>
    <w:rsid w:val="00A140F4"/>
    <w:rsid w:val="00A14102"/>
    <w:rsid w:val="00A14166"/>
    <w:rsid w:val="00A141AF"/>
    <w:rsid w:val="00A141B4"/>
    <w:rsid w:val="00A14273"/>
    <w:rsid w:val="00A142D6"/>
    <w:rsid w:val="00A1435F"/>
    <w:rsid w:val="00A143C6"/>
    <w:rsid w:val="00A1442B"/>
    <w:rsid w:val="00A144E9"/>
    <w:rsid w:val="00A1454D"/>
    <w:rsid w:val="00A14578"/>
    <w:rsid w:val="00A145AC"/>
    <w:rsid w:val="00A145AF"/>
    <w:rsid w:val="00A145F4"/>
    <w:rsid w:val="00A1461A"/>
    <w:rsid w:val="00A14651"/>
    <w:rsid w:val="00A146AD"/>
    <w:rsid w:val="00A146D4"/>
    <w:rsid w:val="00A1475B"/>
    <w:rsid w:val="00A14773"/>
    <w:rsid w:val="00A1485D"/>
    <w:rsid w:val="00A1486B"/>
    <w:rsid w:val="00A14971"/>
    <w:rsid w:val="00A149A4"/>
    <w:rsid w:val="00A14A1A"/>
    <w:rsid w:val="00A14AC1"/>
    <w:rsid w:val="00A14B31"/>
    <w:rsid w:val="00A14B38"/>
    <w:rsid w:val="00A14C54"/>
    <w:rsid w:val="00A14C64"/>
    <w:rsid w:val="00A14C67"/>
    <w:rsid w:val="00A14CC5"/>
    <w:rsid w:val="00A14D1E"/>
    <w:rsid w:val="00A14D56"/>
    <w:rsid w:val="00A150AB"/>
    <w:rsid w:val="00A15116"/>
    <w:rsid w:val="00A15282"/>
    <w:rsid w:val="00A15368"/>
    <w:rsid w:val="00A154D9"/>
    <w:rsid w:val="00A15567"/>
    <w:rsid w:val="00A15573"/>
    <w:rsid w:val="00A155CC"/>
    <w:rsid w:val="00A1560B"/>
    <w:rsid w:val="00A15629"/>
    <w:rsid w:val="00A1577E"/>
    <w:rsid w:val="00A15845"/>
    <w:rsid w:val="00A1589E"/>
    <w:rsid w:val="00A15928"/>
    <w:rsid w:val="00A15937"/>
    <w:rsid w:val="00A1593A"/>
    <w:rsid w:val="00A159DF"/>
    <w:rsid w:val="00A15A14"/>
    <w:rsid w:val="00A15A44"/>
    <w:rsid w:val="00A15AE7"/>
    <w:rsid w:val="00A15B15"/>
    <w:rsid w:val="00A15BE0"/>
    <w:rsid w:val="00A15C18"/>
    <w:rsid w:val="00A15CA5"/>
    <w:rsid w:val="00A15CEB"/>
    <w:rsid w:val="00A15D00"/>
    <w:rsid w:val="00A15D22"/>
    <w:rsid w:val="00A15D2D"/>
    <w:rsid w:val="00A15D87"/>
    <w:rsid w:val="00A15DB3"/>
    <w:rsid w:val="00A15E0B"/>
    <w:rsid w:val="00A15E83"/>
    <w:rsid w:val="00A15E86"/>
    <w:rsid w:val="00A15F08"/>
    <w:rsid w:val="00A15FC3"/>
    <w:rsid w:val="00A1600D"/>
    <w:rsid w:val="00A160C6"/>
    <w:rsid w:val="00A160E5"/>
    <w:rsid w:val="00A16260"/>
    <w:rsid w:val="00A162EA"/>
    <w:rsid w:val="00A16393"/>
    <w:rsid w:val="00A163FA"/>
    <w:rsid w:val="00A164DD"/>
    <w:rsid w:val="00A165C5"/>
    <w:rsid w:val="00A16714"/>
    <w:rsid w:val="00A16885"/>
    <w:rsid w:val="00A168B1"/>
    <w:rsid w:val="00A168D1"/>
    <w:rsid w:val="00A16902"/>
    <w:rsid w:val="00A16957"/>
    <w:rsid w:val="00A16A67"/>
    <w:rsid w:val="00A16A8A"/>
    <w:rsid w:val="00A16B41"/>
    <w:rsid w:val="00A16B42"/>
    <w:rsid w:val="00A16B58"/>
    <w:rsid w:val="00A16B9D"/>
    <w:rsid w:val="00A16BFA"/>
    <w:rsid w:val="00A16C37"/>
    <w:rsid w:val="00A16C4E"/>
    <w:rsid w:val="00A16C61"/>
    <w:rsid w:val="00A16D2E"/>
    <w:rsid w:val="00A16D41"/>
    <w:rsid w:val="00A16D6A"/>
    <w:rsid w:val="00A16E79"/>
    <w:rsid w:val="00A16E7F"/>
    <w:rsid w:val="00A16F03"/>
    <w:rsid w:val="00A16F2A"/>
    <w:rsid w:val="00A16F37"/>
    <w:rsid w:val="00A17012"/>
    <w:rsid w:val="00A1709C"/>
    <w:rsid w:val="00A170BE"/>
    <w:rsid w:val="00A170CC"/>
    <w:rsid w:val="00A1711A"/>
    <w:rsid w:val="00A1714B"/>
    <w:rsid w:val="00A1717E"/>
    <w:rsid w:val="00A17262"/>
    <w:rsid w:val="00A17377"/>
    <w:rsid w:val="00A173A5"/>
    <w:rsid w:val="00A173B6"/>
    <w:rsid w:val="00A173F0"/>
    <w:rsid w:val="00A174C1"/>
    <w:rsid w:val="00A175AD"/>
    <w:rsid w:val="00A1776F"/>
    <w:rsid w:val="00A177C4"/>
    <w:rsid w:val="00A177CA"/>
    <w:rsid w:val="00A1784D"/>
    <w:rsid w:val="00A178F2"/>
    <w:rsid w:val="00A17A31"/>
    <w:rsid w:val="00A17A8E"/>
    <w:rsid w:val="00A17BB3"/>
    <w:rsid w:val="00A17C4D"/>
    <w:rsid w:val="00A17C97"/>
    <w:rsid w:val="00A17CEB"/>
    <w:rsid w:val="00A17D10"/>
    <w:rsid w:val="00A17E0B"/>
    <w:rsid w:val="00A17EBF"/>
    <w:rsid w:val="00A17F2D"/>
    <w:rsid w:val="00A17F80"/>
    <w:rsid w:val="00A17F8D"/>
    <w:rsid w:val="00A201E1"/>
    <w:rsid w:val="00A20208"/>
    <w:rsid w:val="00A20209"/>
    <w:rsid w:val="00A20222"/>
    <w:rsid w:val="00A20235"/>
    <w:rsid w:val="00A202A7"/>
    <w:rsid w:val="00A202DA"/>
    <w:rsid w:val="00A2041D"/>
    <w:rsid w:val="00A20544"/>
    <w:rsid w:val="00A20546"/>
    <w:rsid w:val="00A20584"/>
    <w:rsid w:val="00A205B5"/>
    <w:rsid w:val="00A20640"/>
    <w:rsid w:val="00A2070E"/>
    <w:rsid w:val="00A2073F"/>
    <w:rsid w:val="00A207EA"/>
    <w:rsid w:val="00A207EF"/>
    <w:rsid w:val="00A2080B"/>
    <w:rsid w:val="00A208A5"/>
    <w:rsid w:val="00A20A9C"/>
    <w:rsid w:val="00A20AC8"/>
    <w:rsid w:val="00A20B3D"/>
    <w:rsid w:val="00A20B41"/>
    <w:rsid w:val="00A20B92"/>
    <w:rsid w:val="00A20BBC"/>
    <w:rsid w:val="00A20BD1"/>
    <w:rsid w:val="00A20BD4"/>
    <w:rsid w:val="00A20BE5"/>
    <w:rsid w:val="00A20CE8"/>
    <w:rsid w:val="00A20E67"/>
    <w:rsid w:val="00A20EAB"/>
    <w:rsid w:val="00A20ED5"/>
    <w:rsid w:val="00A2104D"/>
    <w:rsid w:val="00A21198"/>
    <w:rsid w:val="00A21223"/>
    <w:rsid w:val="00A2124D"/>
    <w:rsid w:val="00A21250"/>
    <w:rsid w:val="00A21252"/>
    <w:rsid w:val="00A2126F"/>
    <w:rsid w:val="00A212DB"/>
    <w:rsid w:val="00A21426"/>
    <w:rsid w:val="00A2144B"/>
    <w:rsid w:val="00A21498"/>
    <w:rsid w:val="00A21532"/>
    <w:rsid w:val="00A21574"/>
    <w:rsid w:val="00A2169E"/>
    <w:rsid w:val="00A2177E"/>
    <w:rsid w:val="00A217E2"/>
    <w:rsid w:val="00A2182E"/>
    <w:rsid w:val="00A21863"/>
    <w:rsid w:val="00A218D3"/>
    <w:rsid w:val="00A219B2"/>
    <w:rsid w:val="00A219F4"/>
    <w:rsid w:val="00A21A19"/>
    <w:rsid w:val="00A21ACF"/>
    <w:rsid w:val="00A21AEF"/>
    <w:rsid w:val="00A21B18"/>
    <w:rsid w:val="00A21B94"/>
    <w:rsid w:val="00A21B98"/>
    <w:rsid w:val="00A21BBA"/>
    <w:rsid w:val="00A21C8C"/>
    <w:rsid w:val="00A21C93"/>
    <w:rsid w:val="00A21CE3"/>
    <w:rsid w:val="00A21D3F"/>
    <w:rsid w:val="00A21DAE"/>
    <w:rsid w:val="00A21E48"/>
    <w:rsid w:val="00A21E6F"/>
    <w:rsid w:val="00A21EB8"/>
    <w:rsid w:val="00A21EC8"/>
    <w:rsid w:val="00A21FBE"/>
    <w:rsid w:val="00A22000"/>
    <w:rsid w:val="00A2201F"/>
    <w:rsid w:val="00A22097"/>
    <w:rsid w:val="00A220BF"/>
    <w:rsid w:val="00A220DF"/>
    <w:rsid w:val="00A220F7"/>
    <w:rsid w:val="00A2217F"/>
    <w:rsid w:val="00A22261"/>
    <w:rsid w:val="00A2230F"/>
    <w:rsid w:val="00A223D2"/>
    <w:rsid w:val="00A224B0"/>
    <w:rsid w:val="00A224F0"/>
    <w:rsid w:val="00A22514"/>
    <w:rsid w:val="00A2256B"/>
    <w:rsid w:val="00A22589"/>
    <w:rsid w:val="00A225B9"/>
    <w:rsid w:val="00A2265D"/>
    <w:rsid w:val="00A22670"/>
    <w:rsid w:val="00A2289D"/>
    <w:rsid w:val="00A229C1"/>
    <w:rsid w:val="00A22A02"/>
    <w:rsid w:val="00A22A5E"/>
    <w:rsid w:val="00A22AAF"/>
    <w:rsid w:val="00A22B29"/>
    <w:rsid w:val="00A22B4F"/>
    <w:rsid w:val="00A22C1B"/>
    <w:rsid w:val="00A22C79"/>
    <w:rsid w:val="00A22CA3"/>
    <w:rsid w:val="00A22D4B"/>
    <w:rsid w:val="00A22DD8"/>
    <w:rsid w:val="00A22E3E"/>
    <w:rsid w:val="00A22ED3"/>
    <w:rsid w:val="00A22EF6"/>
    <w:rsid w:val="00A22F2F"/>
    <w:rsid w:val="00A22F9D"/>
    <w:rsid w:val="00A2314F"/>
    <w:rsid w:val="00A231F6"/>
    <w:rsid w:val="00A2325C"/>
    <w:rsid w:val="00A232A3"/>
    <w:rsid w:val="00A234A6"/>
    <w:rsid w:val="00A234BF"/>
    <w:rsid w:val="00A2351F"/>
    <w:rsid w:val="00A235F5"/>
    <w:rsid w:val="00A23605"/>
    <w:rsid w:val="00A23707"/>
    <w:rsid w:val="00A23778"/>
    <w:rsid w:val="00A23817"/>
    <w:rsid w:val="00A23943"/>
    <w:rsid w:val="00A23A48"/>
    <w:rsid w:val="00A23ACE"/>
    <w:rsid w:val="00A23B06"/>
    <w:rsid w:val="00A23CBD"/>
    <w:rsid w:val="00A23CF6"/>
    <w:rsid w:val="00A23D57"/>
    <w:rsid w:val="00A23E0D"/>
    <w:rsid w:val="00A23ED2"/>
    <w:rsid w:val="00A23EE3"/>
    <w:rsid w:val="00A23EF7"/>
    <w:rsid w:val="00A23F33"/>
    <w:rsid w:val="00A23F57"/>
    <w:rsid w:val="00A2400A"/>
    <w:rsid w:val="00A24036"/>
    <w:rsid w:val="00A2404E"/>
    <w:rsid w:val="00A24089"/>
    <w:rsid w:val="00A2408E"/>
    <w:rsid w:val="00A240D3"/>
    <w:rsid w:val="00A240F3"/>
    <w:rsid w:val="00A24194"/>
    <w:rsid w:val="00A241A0"/>
    <w:rsid w:val="00A241A6"/>
    <w:rsid w:val="00A24242"/>
    <w:rsid w:val="00A24246"/>
    <w:rsid w:val="00A2424E"/>
    <w:rsid w:val="00A2438D"/>
    <w:rsid w:val="00A243BA"/>
    <w:rsid w:val="00A24419"/>
    <w:rsid w:val="00A24427"/>
    <w:rsid w:val="00A24445"/>
    <w:rsid w:val="00A24482"/>
    <w:rsid w:val="00A244FD"/>
    <w:rsid w:val="00A24555"/>
    <w:rsid w:val="00A2457A"/>
    <w:rsid w:val="00A24674"/>
    <w:rsid w:val="00A24715"/>
    <w:rsid w:val="00A24744"/>
    <w:rsid w:val="00A247B7"/>
    <w:rsid w:val="00A247BC"/>
    <w:rsid w:val="00A24818"/>
    <w:rsid w:val="00A248AF"/>
    <w:rsid w:val="00A248D5"/>
    <w:rsid w:val="00A248D9"/>
    <w:rsid w:val="00A2491F"/>
    <w:rsid w:val="00A24975"/>
    <w:rsid w:val="00A24996"/>
    <w:rsid w:val="00A249B9"/>
    <w:rsid w:val="00A24AED"/>
    <w:rsid w:val="00A24C2A"/>
    <w:rsid w:val="00A24C45"/>
    <w:rsid w:val="00A24C8A"/>
    <w:rsid w:val="00A24D03"/>
    <w:rsid w:val="00A24D8D"/>
    <w:rsid w:val="00A24DF9"/>
    <w:rsid w:val="00A24DFC"/>
    <w:rsid w:val="00A24E5D"/>
    <w:rsid w:val="00A24F6D"/>
    <w:rsid w:val="00A24F9B"/>
    <w:rsid w:val="00A24F9F"/>
    <w:rsid w:val="00A24FB4"/>
    <w:rsid w:val="00A24FB9"/>
    <w:rsid w:val="00A2508E"/>
    <w:rsid w:val="00A251D2"/>
    <w:rsid w:val="00A25275"/>
    <w:rsid w:val="00A2530F"/>
    <w:rsid w:val="00A25340"/>
    <w:rsid w:val="00A25348"/>
    <w:rsid w:val="00A253DB"/>
    <w:rsid w:val="00A253EA"/>
    <w:rsid w:val="00A25625"/>
    <w:rsid w:val="00A256E9"/>
    <w:rsid w:val="00A2575A"/>
    <w:rsid w:val="00A2576A"/>
    <w:rsid w:val="00A25777"/>
    <w:rsid w:val="00A258CD"/>
    <w:rsid w:val="00A25917"/>
    <w:rsid w:val="00A25940"/>
    <w:rsid w:val="00A25984"/>
    <w:rsid w:val="00A259C1"/>
    <w:rsid w:val="00A25A08"/>
    <w:rsid w:val="00A25A9E"/>
    <w:rsid w:val="00A25B93"/>
    <w:rsid w:val="00A25BAA"/>
    <w:rsid w:val="00A25C73"/>
    <w:rsid w:val="00A25C7C"/>
    <w:rsid w:val="00A25C8A"/>
    <w:rsid w:val="00A25D16"/>
    <w:rsid w:val="00A25DF5"/>
    <w:rsid w:val="00A25E9B"/>
    <w:rsid w:val="00A25EEF"/>
    <w:rsid w:val="00A25F26"/>
    <w:rsid w:val="00A25F3F"/>
    <w:rsid w:val="00A26001"/>
    <w:rsid w:val="00A26112"/>
    <w:rsid w:val="00A2619C"/>
    <w:rsid w:val="00A261DF"/>
    <w:rsid w:val="00A26395"/>
    <w:rsid w:val="00A263DA"/>
    <w:rsid w:val="00A2643F"/>
    <w:rsid w:val="00A2647A"/>
    <w:rsid w:val="00A2647E"/>
    <w:rsid w:val="00A264D8"/>
    <w:rsid w:val="00A264FD"/>
    <w:rsid w:val="00A26525"/>
    <w:rsid w:val="00A26547"/>
    <w:rsid w:val="00A2663A"/>
    <w:rsid w:val="00A26676"/>
    <w:rsid w:val="00A266C0"/>
    <w:rsid w:val="00A267F6"/>
    <w:rsid w:val="00A26807"/>
    <w:rsid w:val="00A26846"/>
    <w:rsid w:val="00A2686E"/>
    <w:rsid w:val="00A26880"/>
    <w:rsid w:val="00A2688B"/>
    <w:rsid w:val="00A26AD4"/>
    <w:rsid w:val="00A26ADB"/>
    <w:rsid w:val="00A26AE7"/>
    <w:rsid w:val="00A26AE8"/>
    <w:rsid w:val="00A26B09"/>
    <w:rsid w:val="00A26B0D"/>
    <w:rsid w:val="00A26B6C"/>
    <w:rsid w:val="00A26B79"/>
    <w:rsid w:val="00A26BC9"/>
    <w:rsid w:val="00A26BEB"/>
    <w:rsid w:val="00A26C2A"/>
    <w:rsid w:val="00A26C2E"/>
    <w:rsid w:val="00A26C3F"/>
    <w:rsid w:val="00A26CDF"/>
    <w:rsid w:val="00A26D21"/>
    <w:rsid w:val="00A26D7E"/>
    <w:rsid w:val="00A26ECF"/>
    <w:rsid w:val="00A27044"/>
    <w:rsid w:val="00A27128"/>
    <w:rsid w:val="00A271BE"/>
    <w:rsid w:val="00A271CB"/>
    <w:rsid w:val="00A271ED"/>
    <w:rsid w:val="00A27285"/>
    <w:rsid w:val="00A272DF"/>
    <w:rsid w:val="00A27320"/>
    <w:rsid w:val="00A2732D"/>
    <w:rsid w:val="00A27440"/>
    <w:rsid w:val="00A2748F"/>
    <w:rsid w:val="00A27673"/>
    <w:rsid w:val="00A27766"/>
    <w:rsid w:val="00A277A6"/>
    <w:rsid w:val="00A2781B"/>
    <w:rsid w:val="00A2788C"/>
    <w:rsid w:val="00A278B7"/>
    <w:rsid w:val="00A278D3"/>
    <w:rsid w:val="00A278E1"/>
    <w:rsid w:val="00A27935"/>
    <w:rsid w:val="00A27955"/>
    <w:rsid w:val="00A27A0C"/>
    <w:rsid w:val="00A27B12"/>
    <w:rsid w:val="00A27BEE"/>
    <w:rsid w:val="00A27E38"/>
    <w:rsid w:val="00A27F3D"/>
    <w:rsid w:val="00A27F60"/>
    <w:rsid w:val="00A27FDC"/>
    <w:rsid w:val="00A3024A"/>
    <w:rsid w:val="00A302BC"/>
    <w:rsid w:val="00A302D7"/>
    <w:rsid w:val="00A3030F"/>
    <w:rsid w:val="00A30410"/>
    <w:rsid w:val="00A30423"/>
    <w:rsid w:val="00A3047F"/>
    <w:rsid w:val="00A3048C"/>
    <w:rsid w:val="00A30755"/>
    <w:rsid w:val="00A307FA"/>
    <w:rsid w:val="00A30810"/>
    <w:rsid w:val="00A3085E"/>
    <w:rsid w:val="00A30910"/>
    <w:rsid w:val="00A30A0A"/>
    <w:rsid w:val="00A30A89"/>
    <w:rsid w:val="00A30B75"/>
    <w:rsid w:val="00A30B81"/>
    <w:rsid w:val="00A30B97"/>
    <w:rsid w:val="00A30C1A"/>
    <w:rsid w:val="00A30C5E"/>
    <w:rsid w:val="00A30CA5"/>
    <w:rsid w:val="00A30D38"/>
    <w:rsid w:val="00A30D60"/>
    <w:rsid w:val="00A30D6B"/>
    <w:rsid w:val="00A30D8A"/>
    <w:rsid w:val="00A30DC2"/>
    <w:rsid w:val="00A30E46"/>
    <w:rsid w:val="00A30FD6"/>
    <w:rsid w:val="00A30FFA"/>
    <w:rsid w:val="00A31020"/>
    <w:rsid w:val="00A310BF"/>
    <w:rsid w:val="00A312DF"/>
    <w:rsid w:val="00A3131A"/>
    <w:rsid w:val="00A314C6"/>
    <w:rsid w:val="00A31571"/>
    <w:rsid w:val="00A315C8"/>
    <w:rsid w:val="00A3162E"/>
    <w:rsid w:val="00A31662"/>
    <w:rsid w:val="00A316B6"/>
    <w:rsid w:val="00A3185F"/>
    <w:rsid w:val="00A318F5"/>
    <w:rsid w:val="00A319EF"/>
    <w:rsid w:val="00A31A1A"/>
    <w:rsid w:val="00A31A7D"/>
    <w:rsid w:val="00A31B1E"/>
    <w:rsid w:val="00A31B61"/>
    <w:rsid w:val="00A31B68"/>
    <w:rsid w:val="00A31BD9"/>
    <w:rsid w:val="00A31BE4"/>
    <w:rsid w:val="00A31BED"/>
    <w:rsid w:val="00A31CE5"/>
    <w:rsid w:val="00A31CE6"/>
    <w:rsid w:val="00A31D0B"/>
    <w:rsid w:val="00A31D89"/>
    <w:rsid w:val="00A31DC1"/>
    <w:rsid w:val="00A31DF8"/>
    <w:rsid w:val="00A31E7D"/>
    <w:rsid w:val="00A31E86"/>
    <w:rsid w:val="00A31F20"/>
    <w:rsid w:val="00A31F68"/>
    <w:rsid w:val="00A31F7C"/>
    <w:rsid w:val="00A32040"/>
    <w:rsid w:val="00A32076"/>
    <w:rsid w:val="00A32082"/>
    <w:rsid w:val="00A320C5"/>
    <w:rsid w:val="00A32110"/>
    <w:rsid w:val="00A321BB"/>
    <w:rsid w:val="00A321FD"/>
    <w:rsid w:val="00A32336"/>
    <w:rsid w:val="00A323EE"/>
    <w:rsid w:val="00A324D3"/>
    <w:rsid w:val="00A32506"/>
    <w:rsid w:val="00A3250B"/>
    <w:rsid w:val="00A32575"/>
    <w:rsid w:val="00A325B0"/>
    <w:rsid w:val="00A325E0"/>
    <w:rsid w:val="00A32726"/>
    <w:rsid w:val="00A32800"/>
    <w:rsid w:val="00A328A5"/>
    <w:rsid w:val="00A32940"/>
    <w:rsid w:val="00A329A8"/>
    <w:rsid w:val="00A32ADC"/>
    <w:rsid w:val="00A32AEA"/>
    <w:rsid w:val="00A32B52"/>
    <w:rsid w:val="00A32B72"/>
    <w:rsid w:val="00A32B96"/>
    <w:rsid w:val="00A32B9A"/>
    <w:rsid w:val="00A32BC4"/>
    <w:rsid w:val="00A32C04"/>
    <w:rsid w:val="00A32C13"/>
    <w:rsid w:val="00A32C1D"/>
    <w:rsid w:val="00A32C5A"/>
    <w:rsid w:val="00A32D98"/>
    <w:rsid w:val="00A32DBE"/>
    <w:rsid w:val="00A32E2E"/>
    <w:rsid w:val="00A32E88"/>
    <w:rsid w:val="00A32E89"/>
    <w:rsid w:val="00A32EBF"/>
    <w:rsid w:val="00A32F09"/>
    <w:rsid w:val="00A32F90"/>
    <w:rsid w:val="00A330BA"/>
    <w:rsid w:val="00A330F7"/>
    <w:rsid w:val="00A3311C"/>
    <w:rsid w:val="00A3312B"/>
    <w:rsid w:val="00A33145"/>
    <w:rsid w:val="00A3315F"/>
    <w:rsid w:val="00A33168"/>
    <w:rsid w:val="00A331E5"/>
    <w:rsid w:val="00A33247"/>
    <w:rsid w:val="00A3325A"/>
    <w:rsid w:val="00A33268"/>
    <w:rsid w:val="00A33282"/>
    <w:rsid w:val="00A332CB"/>
    <w:rsid w:val="00A3332F"/>
    <w:rsid w:val="00A33475"/>
    <w:rsid w:val="00A334AA"/>
    <w:rsid w:val="00A3354E"/>
    <w:rsid w:val="00A335A8"/>
    <w:rsid w:val="00A335FD"/>
    <w:rsid w:val="00A33605"/>
    <w:rsid w:val="00A336B8"/>
    <w:rsid w:val="00A336E5"/>
    <w:rsid w:val="00A3372F"/>
    <w:rsid w:val="00A3373B"/>
    <w:rsid w:val="00A337CA"/>
    <w:rsid w:val="00A3397E"/>
    <w:rsid w:val="00A339D2"/>
    <w:rsid w:val="00A33A1D"/>
    <w:rsid w:val="00A33A3D"/>
    <w:rsid w:val="00A33A45"/>
    <w:rsid w:val="00A33AB3"/>
    <w:rsid w:val="00A33BD7"/>
    <w:rsid w:val="00A33C26"/>
    <w:rsid w:val="00A33C2C"/>
    <w:rsid w:val="00A33C4F"/>
    <w:rsid w:val="00A33D8A"/>
    <w:rsid w:val="00A33E38"/>
    <w:rsid w:val="00A33E94"/>
    <w:rsid w:val="00A33F0B"/>
    <w:rsid w:val="00A34063"/>
    <w:rsid w:val="00A34067"/>
    <w:rsid w:val="00A34088"/>
    <w:rsid w:val="00A340A9"/>
    <w:rsid w:val="00A342B0"/>
    <w:rsid w:val="00A342E4"/>
    <w:rsid w:val="00A34406"/>
    <w:rsid w:val="00A34527"/>
    <w:rsid w:val="00A3462B"/>
    <w:rsid w:val="00A34734"/>
    <w:rsid w:val="00A34745"/>
    <w:rsid w:val="00A3478B"/>
    <w:rsid w:val="00A347B6"/>
    <w:rsid w:val="00A34848"/>
    <w:rsid w:val="00A3491C"/>
    <w:rsid w:val="00A34934"/>
    <w:rsid w:val="00A34963"/>
    <w:rsid w:val="00A349CD"/>
    <w:rsid w:val="00A349F3"/>
    <w:rsid w:val="00A34A91"/>
    <w:rsid w:val="00A34B7B"/>
    <w:rsid w:val="00A34C9E"/>
    <w:rsid w:val="00A34D5E"/>
    <w:rsid w:val="00A34DD6"/>
    <w:rsid w:val="00A34E0C"/>
    <w:rsid w:val="00A34E19"/>
    <w:rsid w:val="00A34E69"/>
    <w:rsid w:val="00A34EDA"/>
    <w:rsid w:val="00A34F0C"/>
    <w:rsid w:val="00A34FA3"/>
    <w:rsid w:val="00A35042"/>
    <w:rsid w:val="00A350BA"/>
    <w:rsid w:val="00A35104"/>
    <w:rsid w:val="00A351C6"/>
    <w:rsid w:val="00A351E6"/>
    <w:rsid w:val="00A3521D"/>
    <w:rsid w:val="00A352A0"/>
    <w:rsid w:val="00A352EC"/>
    <w:rsid w:val="00A35331"/>
    <w:rsid w:val="00A3538C"/>
    <w:rsid w:val="00A35402"/>
    <w:rsid w:val="00A3551C"/>
    <w:rsid w:val="00A35662"/>
    <w:rsid w:val="00A35723"/>
    <w:rsid w:val="00A3572F"/>
    <w:rsid w:val="00A357BE"/>
    <w:rsid w:val="00A3583F"/>
    <w:rsid w:val="00A35884"/>
    <w:rsid w:val="00A35A62"/>
    <w:rsid w:val="00A35B78"/>
    <w:rsid w:val="00A35BCA"/>
    <w:rsid w:val="00A35C08"/>
    <w:rsid w:val="00A35C70"/>
    <w:rsid w:val="00A35CDB"/>
    <w:rsid w:val="00A35CFA"/>
    <w:rsid w:val="00A35D44"/>
    <w:rsid w:val="00A35D5F"/>
    <w:rsid w:val="00A35DA2"/>
    <w:rsid w:val="00A35E23"/>
    <w:rsid w:val="00A35EC9"/>
    <w:rsid w:val="00A35ECE"/>
    <w:rsid w:val="00A35ED5"/>
    <w:rsid w:val="00A35EFE"/>
    <w:rsid w:val="00A35F9C"/>
    <w:rsid w:val="00A36020"/>
    <w:rsid w:val="00A361ED"/>
    <w:rsid w:val="00A3621B"/>
    <w:rsid w:val="00A364BD"/>
    <w:rsid w:val="00A3655F"/>
    <w:rsid w:val="00A36639"/>
    <w:rsid w:val="00A36659"/>
    <w:rsid w:val="00A36688"/>
    <w:rsid w:val="00A3672C"/>
    <w:rsid w:val="00A36754"/>
    <w:rsid w:val="00A36787"/>
    <w:rsid w:val="00A367BA"/>
    <w:rsid w:val="00A367FC"/>
    <w:rsid w:val="00A36868"/>
    <w:rsid w:val="00A36945"/>
    <w:rsid w:val="00A3699A"/>
    <w:rsid w:val="00A36A20"/>
    <w:rsid w:val="00A36B56"/>
    <w:rsid w:val="00A36CA1"/>
    <w:rsid w:val="00A36D66"/>
    <w:rsid w:val="00A36DFC"/>
    <w:rsid w:val="00A36E5B"/>
    <w:rsid w:val="00A36ED4"/>
    <w:rsid w:val="00A36EE6"/>
    <w:rsid w:val="00A36F34"/>
    <w:rsid w:val="00A37008"/>
    <w:rsid w:val="00A37024"/>
    <w:rsid w:val="00A37076"/>
    <w:rsid w:val="00A3708B"/>
    <w:rsid w:val="00A370CB"/>
    <w:rsid w:val="00A37172"/>
    <w:rsid w:val="00A371F8"/>
    <w:rsid w:val="00A37226"/>
    <w:rsid w:val="00A372F4"/>
    <w:rsid w:val="00A3731C"/>
    <w:rsid w:val="00A3735A"/>
    <w:rsid w:val="00A373E4"/>
    <w:rsid w:val="00A37425"/>
    <w:rsid w:val="00A3745C"/>
    <w:rsid w:val="00A37550"/>
    <w:rsid w:val="00A37576"/>
    <w:rsid w:val="00A376D1"/>
    <w:rsid w:val="00A37792"/>
    <w:rsid w:val="00A377B6"/>
    <w:rsid w:val="00A37834"/>
    <w:rsid w:val="00A37A04"/>
    <w:rsid w:val="00A37B1F"/>
    <w:rsid w:val="00A37BE6"/>
    <w:rsid w:val="00A37C56"/>
    <w:rsid w:val="00A37D23"/>
    <w:rsid w:val="00A37DA8"/>
    <w:rsid w:val="00A37DC8"/>
    <w:rsid w:val="00A37E11"/>
    <w:rsid w:val="00A37E89"/>
    <w:rsid w:val="00A37F0A"/>
    <w:rsid w:val="00A37FD3"/>
    <w:rsid w:val="00A400D8"/>
    <w:rsid w:val="00A400F1"/>
    <w:rsid w:val="00A40147"/>
    <w:rsid w:val="00A4015A"/>
    <w:rsid w:val="00A401F1"/>
    <w:rsid w:val="00A401F9"/>
    <w:rsid w:val="00A40211"/>
    <w:rsid w:val="00A402C4"/>
    <w:rsid w:val="00A402CB"/>
    <w:rsid w:val="00A402F5"/>
    <w:rsid w:val="00A4031B"/>
    <w:rsid w:val="00A40377"/>
    <w:rsid w:val="00A4039E"/>
    <w:rsid w:val="00A403A8"/>
    <w:rsid w:val="00A403AC"/>
    <w:rsid w:val="00A404C0"/>
    <w:rsid w:val="00A404E6"/>
    <w:rsid w:val="00A40564"/>
    <w:rsid w:val="00A4058F"/>
    <w:rsid w:val="00A4063E"/>
    <w:rsid w:val="00A40687"/>
    <w:rsid w:val="00A406B3"/>
    <w:rsid w:val="00A407EC"/>
    <w:rsid w:val="00A40815"/>
    <w:rsid w:val="00A408C4"/>
    <w:rsid w:val="00A4097F"/>
    <w:rsid w:val="00A409F1"/>
    <w:rsid w:val="00A40A30"/>
    <w:rsid w:val="00A40A56"/>
    <w:rsid w:val="00A40AF0"/>
    <w:rsid w:val="00A40B17"/>
    <w:rsid w:val="00A40B31"/>
    <w:rsid w:val="00A40B93"/>
    <w:rsid w:val="00A40D20"/>
    <w:rsid w:val="00A40D3C"/>
    <w:rsid w:val="00A40D62"/>
    <w:rsid w:val="00A40D96"/>
    <w:rsid w:val="00A40DFD"/>
    <w:rsid w:val="00A40E00"/>
    <w:rsid w:val="00A40E23"/>
    <w:rsid w:val="00A40E48"/>
    <w:rsid w:val="00A40E6F"/>
    <w:rsid w:val="00A40E99"/>
    <w:rsid w:val="00A40F07"/>
    <w:rsid w:val="00A40F3F"/>
    <w:rsid w:val="00A41010"/>
    <w:rsid w:val="00A4105C"/>
    <w:rsid w:val="00A413BA"/>
    <w:rsid w:val="00A413D6"/>
    <w:rsid w:val="00A414E0"/>
    <w:rsid w:val="00A4151F"/>
    <w:rsid w:val="00A4154F"/>
    <w:rsid w:val="00A415F4"/>
    <w:rsid w:val="00A416AF"/>
    <w:rsid w:val="00A417CC"/>
    <w:rsid w:val="00A418D5"/>
    <w:rsid w:val="00A4190F"/>
    <w:rsid w:val="00A419B6"/>
    <w:rsid w:val="00A41AE4"/>
    <w:rsid w:val="00A41BC7"/>
    <w:rsid w:val="00A41BCD"/>
    <w:rsid w:val="00A41C5F"/>
    <w:rsid w:val="00A41D6C"/>
    <w:rsid w:val="00A41D73"/>
    <w:rsid w:val="00A41E0A"/>
    <w:rsid w:val="00A41E0E"/>
    <w:rsid w:val="00A41E2F"/>
    <w:rsid w:val="00A41EBE"/>
    <w:rsid w:val="00A41EF5"/>
    <w:rsid w:val="00A41F64"/>
    <w:rsid w:val="00A41F83"/>
    <w:rsid w:val="00A41F94"/>
    <w:rsid w:val="00A41FC0"/>
    <w:rsid w:val="00A41FD9"/>
    <w:rsid w:val="00A421FC"/>
    <w:rsid w:val="00A42223"/>
    <w:rsid w:val="00A42307"/>
    <w:rsid w:val="00A42379"/>
    <w:rsid w:val="00A423BE"/>
    <w:rsid w:val="00A423FA"/>
    <w:rsid w:val="00A424D7"/>
    <w:rsid w:val="00A4252B"/>
    <w:rsid w:val="00A42658"/>
    <w:rsid w:val="00A4282B"/>
    <w:rsid w:val="00A4283C"/>
    <w:rsid w:val="00A4289C"/>
    <w:rsid w:val="00A42A79"/>
    <w:rsid w:val="00A42B16"/>
    <w:rsid w:val="00A42B30"/>
    <w:rsid w:val="00A42BC2"/>
    <w:rsid w:val="00A42BCB"/>
    <w:rsid w:val="00A42BD5"/>
    <w:rsid w:val="00A42BFB"/>
    <w:rsid w:val="00A42CD1"/>
    <w:rsid w:val="00A42D36"/>
    <w:rsid w:val="00A42D70"/>
    <w:rsid w:val="00A42E37"/>
    <w:rsid w:val="00A42ECA"/>
    <w:rsid w:val="00A42F1B"/>
    <w:rsid w:val="00A43136"/>
    <w:rsid w:val="00A431D9"/>
    <w:rsid w:val="00A43221"/>
    <w:rsid w:val="00A43258"/>
    <w:rsid w:val="00A4329B"/>
    <w:rsid w:val="00A432AF"/>
    <w:rsid w:val="00A4333E"/>
    <w:rsid w:val="00A43352"/>
    <w:rsid w:val="00A433CB"/>
    <w:rsid w:val="00A43425"/>
    <w:rsid w:val="00A4343D"/>
    <w:rsid w:val="00A43466"/>
    <w:rsid w:val="00A434CA"/>
    <w:rsid w:val="00A43535"/>
    <w:rsid w:val="00A43610"/>
    <w:rsid w:val="00A43620"/>
    <w:rsid w:val="00A436B2"/>
    <w:rsid w:val="00A436CE"/>
    <w:rsid w:val="00A4370B"/>
    <w:rsid w:val="00A43B09"/>
    <w:rsid w:val="00A43B2A"/>
    <w:rsid w:val="00A43B3B"/>
    <w:rsid w:val="00A43B3F"/>
    <w:rsid w:val="00A43CF6"/>
    <w:rsid w:val="00A43D95"/>
    <w:rsid w:val="00A43EF6"/>
    <w:rsid w:val="00A43F19"/>
    <w:rsid w:val="00A43F8A"/>
    <w:rsid w:val="00A44012"/>
    <w:rsid w:val="00A44099"/>
    <w:rsid w:val="00A440D2"/>
    <w:rsid w:val="00A440EF"/>
    <w:rsid w:val="00A4435A"/>
    <w:rsid w:val="00A443F6"/>
    <w:rsid w:val="00A44436"/>
    <w:rsid w:val="00A44498"/>
    <w:rsid w:val="00A444EF"/>
    <w:rsid w:val="00A445F6"/>
    <w:rsid w:val="00A445FB"/>
    <w:rsid w:val="00A44605"/>
    <w:rsid w:val="00A44825"/>
    <w:rsid w:val="00A448A0"/>
    <w:rsid w:val="00A44935"/>
    <w:rsid w:val="00A4496F"/>
    <w:rsid w:val="00A44A18"/>
    <w:rsid w:val="00A44A1C"/>
    <w:rsid w:val="00A44A88"/>
    <w:rsid w:val="00A44AEA"/>
    <w:rsid w:val="00A44AF3"/>
    <w:rsid w:val="00A44BAB"/>
    <w:rsid w:val="00A44C69"/>
    <w:rsid w:val="00A44C97"/>
    <w:rsid w:val="00A44CF6"/>
    <w:rsid w:val="00A44DA0"/>
    <w:rsid w:val="00A44DA4"/>
    <w:rsid w:val="00A44DEB"/>
    <w:rsid w:val="00A44DEF"/>
    <w:rsid w:val="00A44E61"/>
    <w:rsid w:val="00A44E72"/>
    <w:rsid w:val="00A44EBE"/>
    <w:rsid w:val="00A44ED9"/>
    <w:rsid w:val="00A450C8"/>
    <w:rsid w:val="00A45155"/>
    <w:rsid w:val="00A4519D"/>
    <w:rsid w:val="00A4525F"/>
    <w:rsid w:val="00A4534A"/>
    <w:rsid w:val="00A45352"/>
    <w:rsid w:val="00A45364"/>
    <w:rsid w:val="00A453FF"/>
    <w:rsid w:val="00A45405"/>
    <w:rsid w:val="00A4541F"/>
    <w:rsid w:val="00A4545F"/>
    <w:rsid w:val="00A45684"/>
    <w:rsid w:val="00A4575C"/>
    <w:rsid w:val="00A45777"/>
    <w:rsid w:val="00A458ED"/>
    <w:rsid w:val="00A45A04"/>
    <w:rsid w:val="00A45A15"/>
    <w:rsid w:val="00A45A1A"/>
    <w:rsid w:val="00A45A57"/>
    <w:rsid w:val="00A45C05"/>
    <w:rsid w:val="00A45C15"/>
    <w:rsid w:val="00A45C1D"/>
    <w:rsid w:val="00A45C44"/>
    <w:rsid w:val="00A45C85"/>
    <w:rsid w:val="00A45CAD"/>
    <w:rsid w:val="00A45CBD"/>
    <w:rsid w:val="00A45CF5"/>
    <w:rsid w:val="00A45D05"/>
    <w:rsid w:val="00A45E4F"/>
    <w:rsid w:val="00A45F6A"/>
    <w:rsid w:val="00A45FCF"/>
    <w:rsid w:val="00A4606C"/>
    <w:rsid w:val="00A460C0"/>
    <w:rsid w:val="00A460D3"/>
    <w:rsid w:val="00A460E3"/>
    <w:rsid w:val="00A461E2"/>
    <w:rsid w:val="00A46216"/>
    <w:rsid w:val="00A46231"/>
    <w:rsid w:val="00A46246"/>
    <w:rsid w:val="00A46432"/>
    <w:rsid w:val="00A46529"/>
    <w:rsid w:val="00A46613"/>
    <w:rsid w:val="00A46759"/>
    <w:rsid w:val="00A467F9"/>
    <w:rsid w:val="00A46854"/>
    <w:rsid w:val="00A4687C"/>
    <w:rsid w:val="00A46891"/>
    <w:rsid w:val="00A4689D"/>
    <w:rsid w:val="00A4692F"/>
    <w:rsid w:val="00A46948"/>
    <w:rsid w:val="00A46978"/>
    <w:rsid w:val="00A4699B"/>
    <w:rsid w:val="00A469A7"/>
    <w:rsid w:val="00A46A71"/>
    <w:rsid w:val="00A46A8C"/>
    <w:rsid w:val="00A46BA3"/>
    <w:rsid w:val="00A46C65"/>
    <w:rsid w:val="00A46C72"/>
    <w:rsid w:val="00A46CE9"/>
    <w:rsid w:val="00A46CF3"/>
    <w:rsid w:val="00A46CF7"/>
    <w:rsid w:val="00A46D08"/>
    <w:rsid w:val="00A46EBA"/>
    <w:rsid w:val="00A46F9C"/>
    <w:rsid w:val="00A46FD4"/>
    <w:rsid w:val="00A470D1"/>
    <w:rsid w:val="00A471DE"/>
    <w:rsid w:val="00A47385"/>
    <w:rsid w:val="00A4738E"/>
    <w:rsid w:val="00A473AE"/>
    <w:rsid w:val="00A47403"/>
    <w:rsid w:val="00A4740B"/>
    <w:rsid w:val="00A474DE"/>
    <w:rsid w:val="00A47699"/>
    <w:rsid w:val="00A4769C"/>
    <w:rsid w:val="00A47795"/>
    <w:rsid w:val="00A477E9"/>
    <w:rsid w:val="00A4785A"/>
    <w:rsid w:val="00A47921"/>
    <w:rsid w:val="00A47955"/>
    <w:rsid w:val="00A47A22"/>
    <w:rsid w:val="00A47A37"/>
    <w:rsid w:val="00A47A69"/>
    <w:rsid w:val="00A47A6F"/>
    <w:rsid w:val="00A47AA1"/>
    <w:rsid w:val="00A47AB3"/>
    <w:rsid w:val="00A47CF0"/>
    <w:rsid w:val="00A47CF3"/>
    <w:rsid w:val="00A47D60"/>
    <w:rsid w:val="00A47D8F"/>
    <w:rsid w:val="00A47EA3"/>
    <w:rsid w:val="00A47F1D"/>
    <w:rsid w:val="00A47F2B"/>
    <w:rsid w:val="00A47F61"/>
    <w:rsid w:val="00A47F86"/>
    <w:rsid w:val="00A47FD1"/>
    <w:rsid w:val="00A47FD8"/>
    <w:rsid w:val="00A50027"/>
    <w:rsid w:val="00A5002D"/>
    <w:rsid w:val="00A5004D"/>
    <w:rsid w:val="00A500FD"/>
    <w:rsid w:val="00A50158"/>
    <w:rsid w:val="00A50184"/>
    <w:rsid w:val="00A5018E"/>
    <w:rsid w:val="00A50199"/>
    <w:rsid w:val="00A50256"/>
    <w:rsid w:val="00A5026E"/>
    <w:rsid w:val="00A5028A"/>
    <w:rsid w:val="00A50292"/>
    <w:rsid w:val="00A50319"/>
    <w:rsid w:val="00A50361"/>
    <w:rsid w:val="00A5038B"/>
    <w:rsid w:val="00A5039A"/>
    <w:rsid w:val="00A503BD"/>
    <w:rsid w:val="00A503E5"/>
    <w:rsid w:val="00A50527"/>
    <w:rsid w:val="00A50659"/>
    <w:rsid w:val="00A5067E"/>
    <w:rsid w:val="00A5075A"/>
    <w:rsid w:val="00A50779"/>
    <w:rsid w:val="00A50799"/>
    <w:rsid w:val="00A5084A"/>
    <w:rsid w:val="00A5085B"/>
    <w:rsid w:val="00A50884"/>
    <w:rsid w:val="00A50A1D"/>
    <w:rsid w:val="00A50A2C"/>
    <w:rsid w:val="00A50AC3"/>
    <w:rsid w:val="00A50BDE"/>
    <w:rsid w:val="00A50C3B"/>
    <w:rsid w:val="00A50C43"/>
    <w:rsid w:val="00A50C5F"/>
    <w:rsid w:val="00A50CE9"/>
    <w:rsid w:val="00A50DA7"/>
    <w:rsid w:val="00A50DAB"/>
    <w:rsid w:val="00A50E86"/>
    <w:rsid w:val="00A50E88"/>
    <w:rsid w:val="00A50EC7"/>
    <w:rsid w:val="00A50F10"/>
    <w:rsid w:val="00A50F24"/>
    <w:rsid w:val="00A50F34"/>
    <w:rsid w:val="00A50FC9"/>
    <w:rsid w:val="00A51051"/>
    <w:rsid w:val="00A510C8"/>
    <w:rsid w:val="00A510EA"/>
    <w:rsid w:val="00A510EC"/>
    <w:rsid w:val="00A5111B"/>
    <w:rsid w:val="00A51129"/>
    <w:rsid w:val="00A51194"/>
    <w:rsid w:val="00A51273"/>
    <w:rsid w:val="00A512B7"/>
    <w:rsid w:val="00A512D4"/>
    <w:rsid w:val="00A51361"/>
    <w:rsid w:val="00A5136C"/>
    <w:rsid w:val="00A513C4"/>
    <w:rsid w:val="00A51437"/>
    <w:rsid w:val="00A5145B"/>
    <w:rsid w:val="00A514FC"/>
    <w:rsid w:val="00A5152F"/>
    <w:rsid w:val="00A5157E"/>
    <w:rsid w:val="00A515C5"/>
    <w:rsid w:val="00A515CE"/>
    <w:rsid w:val="00A5171B"/>
    <w:rsid w:val="00A5171C"/>
    <w:rsid w:val="00A51761"/>
    <w:rsid w:val="00A5176C"/>
    <w:rsid w:val="00A519F6"/>
    <w:rsid w:val="00A51A1A"/>
    <w:rsid w:val="00A51AA6"/>
    <w:rsid w:val="00A51AD4"/>
    <w:rsid w:val="00A51B87"/>
    <w:rsid w:val="00A51C26"/>
    <w:rsid w:val="00A51C41"/>
    <w:rsid w:val="00A51CB3"/>
    <w:rsid w:val="00A51DBF"/>
    <w:rsid w:val="00A51E05"/>
    <w:rsid w:val="00A51EB3"/>
    <w:rsid w:val="00A51EC8"/>
    <w:rsid w:val="00A51F3B"/>
    <w:rsid w:val="00A51F9E"/>
    <w:rsid w:val="00A51FA5"/>
    <w:rsid w:val="00A5207E"/>
    <w:rsid w:val="00A52126"/>
    <w:rsid w:val="00A521ED"/>
    <w:rsid w:val="00A5231D"/>
    <w:rsid w:val="00A5243E"/>
    <w:rsid w:val="00A52503"/>
    <w:rsid w:val="00A52537"/>
    <w:rsid w:val="00A5257E"/>
    <w:rsid w:val="00A52686"/>
    <w:rsid w:val="00A5274E"/>
    <w:rsid w:val="00A5276D"/>
    <w:rsid w:val="00A528F5"/>
    <w:rsid w:val="00A52927"/>
    <w:rsid w:val="00A5299A"/>
    <w:rsid w:val="00A529F0"/>
    <w:rsid w:val="00A52A58"/>
    <w:rsid w:val="00A52AB2"/>
    <w:rsid w:val="00A52B21"/>
    <w:rsid w:val="00A52CAA"/>
    <w:rsid w:val="00A52CEE"/>
    <w:rsid w:val="00A52DA1"/>
    <w:rsid w:val="00A52EC9"/>
    <w:rsid w:val="00A52EE2"/>
    <w:rsid w:val="00A52F51"/>
    <w:rsid w:val="00A52F5C"/>
    <w:rsid w:val="00A52F5D"/>
    <w:rsid w:val="00A53027"/>
    <w:rsid w:val="00A53052"/>
    <w:rsid w:val="00A5306A"/>
    <w:rsid w:val="00A5319C"/>
    <w:rsid w:val="00A531B0"/>
    <w:rsid w:val="00A531FA"/>
    <w:rsid w:val="00A5325C"/>
    <w:rsid w:val="00A53284"/>
    <w:rsid w:val="00A5328B"/>
    <w:rsid w:val="00A53326"/>
    <w:rsid w:val="00A53379"/>
    <w:rsid w:val="00A5355E"/>
    <w:rsid w:val="00A535B6"/>
    <w:rsid w:val="00A535FB"/>
    <w:rsid w:val="00A5366A"/>
    <w:rsid w:val="00A536A1"/>
    <w:rsid w:val="00A536BD"/>
    <w:rsid w:val="00A53786"/>
    <w:rsid w:val="00A537E9"/>
    <w:rsid w:val="00A5381E"/>
    <w:rsid w:val="00A53836"/>
    <w:rsid w:val="00A5388D"/>
    <w:rsid w:val="00A53901"/>
    <w:rsid w:val="00A53922"/>
    <w:rsid w:val="00A539DB"/>
    <w:rsid w:val="00A53B1D"/>
    <w:rsid w:val="00A53BB3"/>
    <w:rsid w:val="00A53BFF"/>
    <w:rsid w:val="00A53D38"/>
    <w:rsid w:val="00A53DB8"/>
    <w:rsid w:val="00A53DFF"/>
    <w:rsid w:val="00A53E96"/>
    <w:rsid w:val="00A53EEF"/>
    <w:rsid w:val="00A53FFA"/>
    <w:rsid w:val="00A540A0"/>
    <w:rsid w:val="00A54141"/>
    <w:rsid w:val="00A5414B"/>
    <w:rsid w:val="00A541A2"/>
    <w:rsid w:val="00A542D6"/>
    <w:rsid w:val="00A542E2"/>
    <w:rsid w:val="00A54311"/>
    <w:rsid w:val="00A5447A"/>
    <w:rsid w:val="00A54513"/>
    <w:rsid w:val="00A5451F"/>
    <w:rsid w:val="00A5455C"/>
    <w:rsid w:val="00A54567"/>
    <w:rsid w:val="00A545CA"/>
    <w:rsid w:val="00A54619"/>
    <w:rsid w:val="00A54622"/>
    <w:rsid w:val="00A54642"/>
    <w:rsid w:val="00A546BC"/>
    <w:rsid w:val="00A54760"/>
    <w:rsid w:val="00A547C6"/>
    <w:rsid w:val="00A5483D"/>
    <w:rsid w:val="00A54867"/>
    <w:rsid w:val="00A548C5"/>
    <w:rsid w:val="00A54946"/>
    <w:rsid w:val="00A5498E"/>
    <w:rsid w:val="00A549B2"/>
    <w:rsid w:val="00A54A11"/>
    <w:rsid w:val="00A54A71"/>
    <w:rsid w:val="00A54B00"/>
    <w:rsid w:val="00A54B10"/>
    <w:rsid w:val="00A54B1D"/>
    <w:rsid w:val="00A54B65"/>
    <w:rsid w:val="00A54CD6"/>
    <w:rsid w:val="00A54CE6"/>
    <w:rsid w:val="00A54D2B"/>
    <w:rsid w:val="00A54D42"/>
    <w:rsid w:val="00A54D61"/>
    <w:rsid w:val="00A54E1A"/>
    <w:rsid w:val="00A54E4F"/>
    <w:rsid w:val="00A54E7B"/>
    <w:rsid w:val="00A54EA7"/>
    <w:rsid w:val="00A54FCB"/>
    <w:rsid w:val="00A550EA"/>
    <w:rsid w:val="00A553BA"/>
    <w:rsid w:val="00A55488"/>
    <w:rsid w:val="00A554AB"/>
    <w:rsid w:val="00A554F2"/>
    <w:rsid w:val="00A55598"/>
    <w:rsid w:val="00A555AF"/>
    <w:rsid w:val="00A5561F"/>
    <w:rsid w:val="00A55648"/>
    <w:rsid w:val="00A5569F"/>
    <w:rsid w:val="00A556C4"/>
    <w:rsid w:val="00A557E8"/>
    <w:rsid w:val="00A558E0"/>
    <w:rsid w:val="00A55918"/>
    <w:rsid w:val="00A55989"/>
    <w:rsid w:val="00A559C1"/>
    <w:rsid w:val="00A559D9"/>
    <w:rsid w:val="00A55A7A"/>
    <w:rsid w:val="00A55A7D"/>
    <w:rsid w:val="00A55ABC"/>
    <w:rsid w:val="00A55ACF"/>
    <w:rsid w:val="00A55B8C"/>
    <w:rsid w:val="00A55BCA"/>
    <w:rsid w:val="00A55CF7"/>
    <w:rsid w:val="00A55D38"/>
    <w:rsid w:val="00A55E35"/>
    <w:rsid w:val="00A55F09"/>
    <w:rsid w:val="00A55F1D"/>
    <w:rsid w:val="00A55FB9"/>
    <w:rsid w:val="00A55FCC"/>
    <w:rsid w:val="00A55FF7"/>
    <w:rsid w:val="00A560C0"/>
    <w:rsid w:val="00A560D8"/>
    <w:rsid w:val="00A56176"/>
    <w:rsid w:val="00A562AA"/>
    <w:rsid w:val="00A5636E"/>
    <w:rsid w:val="00A563A3"/>
    <w:rsid w:val="00A563FC"/>
    <w:rsid w:val="00A56412"/>
    <w:rsid w:val="00A56432"/>
    <w:rsid w:val="00A5647D"/>
    <w:rsid w:val="00A56495"/>
    <w:rsid w:val="00A564C1"/>
    <w:rsid w:val="00A564FC"/>
    <w:rsid w:val="00A5652F"/>
    <w:rsid w:val="00A56641"/>
    <w:rsid w:val="00A56669"/>
    <w:rsid w:val="00A5668C"/>
    <w:rsid w:val="00A5673B"/>
    <w:rsid w:val="00A567EB"/>
    <w:rsid w:val="00A56869"/>
    <w:rsid w:val="00A5694A"/>
    <w:rsid w:val="00A569AE"/>
    <w:rsid w:val="00A56AC6"/>
    <w:rsid w:val="00A56B01"/>
    <w:rsid w:val="00A56B25"/>
    <w:rsid w:val="00A56BD9"/>
    <w:rsid w:val="00A56BFC"/>
    <w:rsid w:val="00A56CC3"/>
    <w:rsid w:val="00A56D8C"/>
    <w:rsid w:val="00A56E34"/>
    <w:rsid w:val="00A56E39"/>
    <w:rsid w:val="00A56EAB"/>
    <w:rsid w:val="00A56ED6"/>
    <w:rsid w:val="00A56F28"/>
    <w:rsid w:val="00A56FC5"/>
    <w:rsid w:val="00A56FDC"/>
    <w:rsid w:val="00A5701F"/>
    <w:rsid w:val="00A5704F"/>
    <w:rsid w:val="00A570CE"/>
    <w:rsid w:val="00A57105"/>
    <w:rsid w:val="00A571CA"/>
    <w:rsid w:val="00A5729F"/>
    <w:rsid w:val="00A572C6"/>
    <w:rsid w:val="00A572EE"/>
    <w:rsid w:val="00A5731F"/>
    <w:rsid w:val="00A5738E"/>
    <w:rsid w:val="00A5739D"/>
    <w:rsid w:val="00A573E1"/>
    <w:rsid w:val="00A57472"/>
    <w:rsid w:val="00A57505"/>
    <w:rsid w:val="00A5756B"/>
    <w:rsid w:val="00A5759C"/>
    <w:rsid w:val="00A576A7"/>
    <w:rsid w:val="00A576DB"/>
    <w:rsid w:val="00A57726"/>
    <w:rsid w:val="00A577B6"/>
    <w:rsid w:val="00A5782B"/>
    <w:rsid w:val="00A57890"/>
    <w:rsid w:val="00A578FB"/>
    <w:rsid w:val="00A57919"/>
    <w:rsid w:val="00A5791C"/>
    <w:rsid w:val="00A57A65"/>
    <w:rsid w:val="00A57AA2"/>
    <w:rsid w:val="00A57AEC"/>
    <w:rsid w:val="00A57B7B"/>
    <w:rsid w:val="00A57DDE"/>
    <w:rsid w:val="00A57DE9"/>
    <w:rsid w:val="00A57F1C"/>
    <w:rsid w:val="00A57F7C"/>
    <w:rsid w:val="00A60037"/>
    <w:rsid w:val="00A60335"/>
    <w:rsid w:val="00A60373"/>
    <w:rsid w:val="00A603D2"/>
    <w:rsid w:val="00A60416"/>
    <w:rsid w:val="00A60485"/>
    <w:rsid w:val="00A604F7"/>
    <w:rsid w:val="00A6050C"/>
    <w:rsid w:val="00A6055B"/>
    <w:rsid w:val="00A605AE"/>
    <w:rsid w:val="00A6069C"/>
    <w:rsid w:val="00A60980"/>
    <w:rsid w:val="00A609CA"/>
    <w:rsid w:val="00A60A16"/>
    <w:rsid w:val="00A60A39"/>
    <w:rsid w:val="00A60A8D"/>
    <w:rsid w:val="00A60AAA"/>
    <w:rsid w:val="00A60AC9"/>
    <w:rsid w:val="00A60BBA"/>
    <w:rsid w:val="00A60C74"/>
    <w:rsid w:val="00A60D61"/>
    <w:rsid w:val="00A60DAD"/>
    <w:rsid w:val="00A60DF3"/>
    <w:rsid w:val="00A60E95"/>
    <w:rsid w:val="00A60EFF"/>
    <w:rsid w:val="00A60F0C"/>
    <w:rsid w:val="00A60F67"/>
    <w:rsid w:val="00A60FFE"/>
    <w:rsid w:val="00A61037"/>
    <w:rsid w:val="00A610EE"/>
    <w:rsid w:val="00A61339"/>
    <w:rsid w:val="00A61352"/>
    <w:rsid w:val="00A6139D"/>
    <w:rsid w:val="00A613E0"/>
    <w:rsid w:val="00A61585"/>
    <w:rsid w:val="00A615C9"/>
    <w:rsid w:val="00A615FB"/>
    <w:rsid w:val="00A61603"/>
    <w:rsid w:val="00A6179C"/>
    <w:rsid w:val="00A617B6"/>
    <w:rsid w:val="00A61850"/>
    <w:rsid w:val="00A6187A"/>
    <w:rsid w:val="00A618FC"/>
    <w:rsid w:val="00A619AA"/>
    <w:rsid w:val="00A61A2C"/>
    <w:rsid w:val="00A61A6F"/>
    <w:rsid w:val="00A61B73"/>
    <w:rsid w:val="00A61C1D"/>
    <w:rsid w:val="00A61C9F"/>
    <w:rsid w:val="00A61CF5"/>
    <w:rsid w:val="00A61D25"/>
    <w:rsid w:val="00A61D3B"/>
    <w:rsid w:val="00A61E08"/>
    <w:rsid w:val="00A61E38"/>
    <w:rsid w:val="00A61E73"/>
    <w:rsid w:val="00A61EBB"/>
    <w:rsid w:val="00A61EE8"/>
    <w:rsid w:val="00A61F40"/>
    <w:rsid w:val="00A61F8C"/>
    <w:rsid w:val="00A61FE2"/>
    <w:rsid w:val="00A62146"/>
    <w:rsid w:val="00A6216C"/>
    <w:rsid w:val="00A6216F"/>
    <w:rsid w:val="00A62269"/>
    <w:rsid w:val="00A622B7"/>
    <w:rsid w:val="00A622E7"/>
    <w:rsid w:val="00A623C0"/>
    <w:rsid w:val="00A6241D"/>
    <w:rsid w:val="00A62479"/>
    <w:rsid w:val="00A6247A"/>
    <w:rsid w:val="00A62527"/>
    <w:rsid w:val="00A62540"/>
    <w:rsid w:val="00A62622"/>
    <w:rsid w:val="00A62747"/>
    <w:rsid w:val="00A627AC"/>
    <w:rsid w:val="00A6293C"/>
    <w:rsid w:val="00A62991"/>
    <w:rsid w:val="00A629D9"/>
    <w:rsid w:val="00A629DF"/>
    <w:rsid w:val="00A629F3"/>
    <w:rsid w:val="00A62A8D"/>
    <w:rsid w:val="00A62BAF"/>
    <w:rsid w:val="00A62BD5"/>
    <w:rsid w:val="00A62CF5"/>
    <w:rsid w:val="00A62D5A"/>
    <w:rsid w:val="00A62E88"/>
    <w:rsid w:val="00A62EAE"/>
    <w:rsid w:val="00A62EC3"/>
    <w:rsid w:val="00A62EF9"/>
    <w:rsid w:val="00A62F49"/>
    <w:rsid w:val="00A62FB6"/>
    <w:rsid w:val="00A63073"/>
    <w:rsid w:val="00A630AB"/>
    <w:rsid w:val="00A630C1"/>
    <w:rsid w:val="00A6315D"/>
    <w:rsid w:val="00A63184"/>
    <w:rsid w:val="00A63238"/>
    <w:rsid w:val="00A632D2"/>
    <w:rsid w:val="00A63369"/>
    <w:rsid w:val="00A633F5"/>
    <w:rsid w:val="00A63444"/>
    <w:rsid w:val="00A634C3"/>
    <w:rsid w:val="00A6354D"/>
    <w:rsid w:val="00A63657"/>
    <w:rsid w:val="00A63776"/>
    <w:rsid w:val="00A637F2"/>
    <w:rsid w:val="00A6385E"/>
    <w:rsid w:val="00A63887"/>
    <w:rsid w:val="00A63A12"/>
    <w:rsid w:val="00A63B6C"/>
    <w:rsid w:val="00A63BBA"/>
    <w:rsid w:val="00A63CBD"/>
    <w:rsid w:val="00A63CBE"/>
    <w:rsid w:val="00A63DA4"/>
    <w:rsid w:val="00A63FC2"/>
    <w:rsid w:val="00A63FCB"/>
    <w:rsid w:val="00A64038"/>
    <w:rsid w:val="00A6408A"/>
    <w:rsid w:val="00A64141"/>
    <w:rsid w:val="00A64243"/>
    <w:rsid w:val="00A64252"/>
    <w:rsid w:val="00A6425A"/>
    <w:rsid w:val="00A643C7"/>
    <w:rsid w:val="00A643E7"/>
    <w:rsid w:val="00A644B6"/>
    <w:rsid w:val="00A6450B"/>
    <w:rsid w:val="00A64564"/>
    <w:rsid w:val="00A64578"/>
    <w:rsid w:val="00A64599"/>
    <w:rsid w:val="00A645EC"/>
    <w:rsid w:val="00A6467D"/>
    <w:rsid w:val="00A646D9"/>
    <w:rsid w:val="00A6470D"/>
    <w:rsid w:val="00A64817"/>
    <w:rsid w:val="00A64900"/>
    <w:rsid w:val="00A649E3"/>
    <w:rsid w:val="00A64A73"/>
    <w:rsid w:val="00A64AFC"/>
    <w:rsid w:val="00A64BC1"/>
    <w:rsid w:val="00A64C14"/>
    <w:rsid w:val="00A64C40"/>
    <w:rsid w:val="00A64CC8"/>
    <w:rsid w:val="00A64D13"/>
    <w:rsid w:val="00A64D39"/>
    <w:rsid w:val="00A64EEA"/>
    <w:rsid w:val="00A64F87"/>
    <w:rsid w:val="00A64FFC"/>
    <w:rsid w:val="00A64FFD"/>
    <w:rsid w:val="00A6526D"/>
    <w:rsid w:val="00A652E3"/>
    <w:rsid w:val="00A65330"/>
    <w:rsid w:val="00A653BC"/>
    <w:rsid w:val="00A654EB"/>
    <w:rsid w:val="00A65715"/>
    <w:rsid w:val="00A65789"/>
    <w:rsid w:val="00A6599D"/>
    <w:rsid w:val="00A65ABF"/>
    <w:rsid w:val="00A65ADB"/>
    <w:rsid w:val="00A65B10"/>
    <w:rsid w:val="00A65BEC"/>
    <w:rsid w:val="00A65C2F"/>
    <w:rsid w:val="00A65C3D"/>
    <w:rsid w:val="00A65C77"/>
    <w:rsid w:val="00A65C8E"/>
    <w:rsid w:val="00A65C9B"/>
    <w:rsid w:val="00A65CA6"/>
    <w:rsid w:val="00A65CF3"/>
    <w:rsid w:val="00A65D8F"/>
    <w:rsid w:val="00A65D9E"/>
    <w:rsid w:val="00A65E9E"/>
    <w:rsid w:val="00A65EC4"/>
    <w:rsid w:val="00A65F4F"/>
    <w:rsid w:val="00A6617C"/>
    <w:rsid w:val="00A661EE"/>
    <w:rsid w:val="00A66222"/>
    <w:rsid w:val="00A662FE"/>
    <w:rsid w:val="00A6631E"/>
    <w:rsid w:val="00A6632A"/>
    <w:rsid w:val="00A6633A"/>
    <w:rsid w:val="00A663E9"/>
    <w:rsid w:val="00A6642D"/>
    <w:rsid w:val="00A664C3"/>
    <w:rsid w:val="00A664F6"/>
    <w:rsid w:val="00A6670B"/>
    <w:rsid w:val="00A667D2"/>
    <w:rsid w:val="00A66813"/>
    <w:rsid w:val="00A668D5"/>
    <w:rsid w:val="00A669F3"/>
    <w:rsid w:val="00A66AB7"/>
    <w:rsid w:val="00A66AD9"/>
    <w:rsid w:val="00A66B55"/>
    <w:rsid w:val="00A66B77"/>
    <w:rsid w:val="00A66C30"/>
    <w:rsid w:val="00A66C53"/>
    <w:rsid w:val="00A66ED7"/>
    <w:rsid w:val="00A6702C"/>
    <w:rsid w:val="00A6713F"/>
    <w:rsid w:val="00A67146"/>
    <w:rsid w:val="00A67194"/>
    <w:rsid w:val="00A671D7"/>
    <w:rsid w:val="00A67253"/>
    <w:rsid w:val="00A6732B"/>
    <w:rsid w:val="00A67338"/>
    <w:rsid w:val="00A673B9"/>
    <w:rsid w:val="00A673F2"/>
    <w:rsid w:val="00A67450"/>
    <w:rsid w:val="00A67476"/>
    <w:rsid w:val="00A67492"/>
    <w:rsid w:val="00A67511"/>
    <w:rsid w:val="00A67521"/>
    <w:rsid w:val="00A6758E"/>
    <w:rsid w:val="00A6765E"/>
    <w:rsid w:val="00A6766E"/>
    <w:rsid w:val="00A676EA"/>
    <w:rsid w:val="00A6784A"/>
    <w:rsid w:val="00A67957"/>
    <w:rsid w:val="00A679A2"/>
    <w:rsid w:val="00A679E5"/>
    <w:rsid w:val="00A679FC"/>
    <w:rsid w:val="00A67A06"/>
    <w:rsid w:val="00A67A42"/>
    <w:rsid w:val="00A67A61"/>
    <w:rsid w:val="00A67ABC"/>
    <w:rsid w:val="00A67D22"/>
    <w:rsid w:val="00A67E43"/>
    <w:rsid w:val="00A67E5D"/>
    <w:rsid w:val="00A7002F"/>
    <w:rsid w:val="00A7005D"/>
    <w:rsid w:val="00A7010F"/>
    <w:rsid w:val="00A70185"/>
    <w:rsid w:val="00A70187"/>
    <w:rsid w:val="00A701EA"/>
    <w:rsid w:val="00A70240"/>
    <w:rsid w:val="00A70252"/>
    <w:rsid w:val="00A70262"/>
    <w:rsid w:val="00A70282"/>
    <w:rsid w:val="00A70285"/>
    <w:rsid w:val="00A7031F"/>
    <w:rsid w:val="00A70363"/>
    <w:rsid w:val="00A70486"/>
    <w:rsid w:val="00A70487"/>
    <w:rsid w:val="00A70540"/>
    <w:rsid w:val="00A7056E"/>
    <w:rsid w:val="00A70595"/>
    <w:rsid w:val="00A705AE"/>
    <w:rsid w:val="00A705B5"/>
    <w:rsid w:val="00A70610"/>
    <w:rsid w:val="00A7061E"/>
    <w:rsid w:val="00A7067B"/>
    <w:rsid w:val="00A706BE"/>
    <w:rsid w:val="00A706CE"/>
    <w:rsid w:val="00A70720"/>
    <w:rsid w:val="00A7075A"/>
    <w:rsid w:val="00A70844"/>
    <w:rsid w:val="00A7084C"/>
    <w:rsid w:val="00A7088A"/>
    <w:rsid w:val="00A70899"/>
    <w:rsid w:val="00A7096C"/>
    <w:rsid w:val="00A70B11"/>
    <w:rsid w:val="00A70B20"/>
    <w:rsid w:val="00A70B23"/>
    <w:rsid w:val="00A70BBB"/>
    <w:rsid w:val="00A70C40"/>
    <w:rsid w:val="00A70CBC"/>
    <w:rsid w:val="00A70CE7"/>
    <w:rsid w:val="00A70DBA"/>
    <w:rsid w:val="00A70DEF"/>
    <w:rsid w:val="00A70DFD"/>
    <w:rsid w:val="00A70EBB"/>
    <w:rsid w:val="00A70EF5"/>
    <w:rsid w:val="00A70FE0"/>
    <w:rsid w:val="00A7102A"/>
    <w:rsid w:val="00A71040"/>
    <w:rsid w:val="00A710B8"/>
    <w:rsid w:val="00A710D3"/>
    <w:rsid w:val="00A711DF"/>
    <w:rsid w:val="00A7120C"/>
    <w:rsid w:val="00A71216"/>
    <w:rsid w:val="00A712B9"/>
    <w:rsid w:val="00A712D2"/>
    <w:rsid w:val="00A712D4"/>
    <w:rsid w:val="00A713CC"/>
    <w:rsid w:val="00A71428"/>
    <w:rsid w:val="00A71471"/>
    <w:rsid w:val="00A71537"/>
    <w:rsid w:val="00A71559"/>
    <w:rsid w:val="00A715E0"/>
    <w:rsid w:val="00A7169C"/>
    <w:rsid w:val="00A716D8"/>
    <w:rsid w:val="00A717E9"/>
    <w:rsid w:val="00A718B9"/>
    <w:rsid w:val="00A71951"/>
    <w:rsid w:val="00A71A18"/>
    <w:rsid w:val="00A71A60"/>
    <w:rsid w:val="00A71B40"/>
    <w:rsid w:val="00A71C67"/>
    <w:rsid w:val="00A71CBC"/>
    <w:rsid w:val="00A71D0B"/>
    <w:rsid w:val="00A71D4D"/>
    <w:rsid w:val="00A71D90"/>
    <w:rsid w:val="00A71DAA"/>
    <w:rsid w:val="00A71DBE"/>
    <w:rsid w:val="00A71DC6"/>
    <w:rsid w:val="00A71E1F"/>
    <w:rsid w:val="00A71E67"/>
    <w:rsid w:val="00A71EC6"/>
    <w:rsid w:val="00A71EF4"/>
    <w:rsid w:val="00A71EFA"/>
    <w:rsid w:val="00A71F7F"/>
    <w:rsid w:val="00A71F96"/>
    <w:rsid w:val="00A71FAE"/>
    <w:rsid w:val="00A72006"/>
    <w:rsid w:val="00A72018"/>
    <w:rsid w:val="00A720FD"/>
    <w:rsid w:val="00A72255"/>
    <w:rsid w:val="00A722D1"/>
    <w:rsid w:val="00A722EA"/>
    <w:rsid w:val="00A723AC"/>
    <w:rsid w:val="00A723FC"/>
    <w:rsid w:val="00A72479"/>
    <w:rsid w:val="00A724CC"/>
    <w:rsid w:val="00A72541"/>
    <w:rsid w:val="00A725BB"/>
    <w:rsid w:val="00A7276D"/>
    <w:rsid w:val="00A727AD"/>
    <w:rsid w:val="00A727E3"/>
    <w:rsid w:val="00A72947"/>
    <w:rsid w:val="00A72A4D"/>
    <w:rsid w:val="00A72A4E"/>
    <w:rsid w:val="00A72A78"/>
    <w:rsid w:val="00A72AD8"/>
    <w:rsid w:val="00A72AF2"/>
    <w:rsid w:val="00A72BBD"/>
    <w:rsid w:val="00A72CFA"/>
    <w:rsid w:val="00A72DDD"/>
    <w:rsid w:val="00A72E18"/>
    <w:rsid w:val="00A72E7D"/>
    <w:rsid w:val="00A72F16"/>
    <w:rsid w:val="00A72F92"/>
    <w:rsid w:val="00A72FC4"/>
    <w:rsid w:val="00A73061"/>
    <w:rsid w:val="00A73079"/>
    <w:rsid w:val="00A73166"/>
    <w:rsid w:val="00A732A2"/>
    <w:rsid w:val="00A732A3"/>
    <w:rsid w:val="00A732CE"/>
    <w:rsid w:val="00A732E7"/>
    <w:rsid w:val="00A73301"/>
    <w:rsid w:val="00A73312"/>
    <w:rsid w:val="00A73393"/>
    <w:rsid w:val="00A734C9"/>
    <w:rsid w:val="00A73598"/>
    <w:rsid w:val="00A7362B"/>
    <w:rsid w:val="00A73780"/>
    <w:rsid w:val="00A737F4"/>
    <w:rsid w:val="00A7385A"/>
    <w:rsid w:val="00A7388C"/>
    <w:rsid w:val="00A738BA"/>
    <w:rsid w:val="00A738BD"/>
    <w:rsid w:val="00A738C8"/>
    <w:rsid w:val="00A73908"/>
    <w:rsid w:val="00A739F9"/>
    <w:rsid w:val="00A73B10"/>
    <w:rsid w:val="00A73B2B"/>
    <w:rsid w:val="00A73BAB"/>
    <w:rsid w:val="00A73BD1"/>
    <w:rsid w:val="00A73BD2"/>
    <w:rsid w:val="00A73C7A"/>
    <w:rsid w:val="00A73C87"/>
    <w:rsid w:val="00A73CA8"/>
    <w:rsid w:val="00A73DE3"/>
    <w:rsid w:val="00A73E1D"/>
    <w:rsid w:val="00A73E2B"/>
    <w:rsid w:val="00A73E99"/>
    <w:rsid w:val="00A73EA4"/>
    <w:rsid w:val="00A73F63"/>
    <w:rsid w:val="00A7401D"/>
    <w:rsid w:val="00A740DE"/>
    <w:rsid w:val="00A74108"/>
    <w:rsid w:val="00A74116"/>
    <w:rsid w:val="00A741DC"/>
    <w:rsid w:val="00A741F9"/>
    <w:rsid w:val="00A74259"/>
    <w:rsid w:val="00A7427B"/>
    <w:rsid w:val="00A7429C"/>
    <w:rsid w:val="00A743C1"/>
    <w:rsid w:val="00A743F7"/>
    <w:rsid w:val="00A7442E"/>
    <w:rsid w:val="00A74437"/>
    <w:rsid w:val="00A74447"/>
    <w:rsid w:val="00A74495"/>
    <w:rsid w:val="00A7454B"/>
    <w:rsid w:val="00A745A5"/>
    <w:rsid w:val="00A746E7"/>
    <w:rsid w:val="00A7479C"/>
    <w:rsid w:val="00A748EE"/>
    <w:rsid w:val="00A74910"/>
    <w:rsid w:val="00A74997"/>
    <w:rsid w:val="00A749F4"/>
    <w:rsid w:val="00A74A05"/>
    <w:rsid w:val="00A74A29"/>
    <w:rsid w:val="00A74AF6"/>
    <w:rsid w:val="00A74AFA"/>
    <w:rsid w:val="00A74B2B"/>
    <w:rsid w:val="00A74B8F"/>
    <w:rsid w:val="00A74D82"/>
    <w:rsid w:val="00A74F31"/>
    <w:rsid w:val="00A74F34"/>
    <w:rsid w:val="00A74F81"/>
    <w:rsid w:val="00A75085"/>
    <w:rsid w:val="00A75155"/>
    <w:rsid w:val="00A75186"/>
    <w:rsid w:val="00A75192"/>
    <w:rsid w:val="00A751F7"/>
    <w:rsid w:val="00A75220"/>
    <w:rsid w:val="00A752AE"/>
    <w:rsid w:val="00A752BE"/>
    <w:rsid w:val="00A75306"/>
    <w:rsid w:val="00A75482"/>
    <w:rsid w:val="00A7552A"/>
    <w:rsid w:val="00A75651"/>
    <w:rsid w:val="00A7574E"/>
    <w:rsid w:val="00A758D9"/>
    <w:rsid w:val="00A759C9"/>
    <w:rsid w:val="00A759E6"/>
    <w:rsid w:val="00A75AB3"/>
    <w:rsid w:val="00A75C13"/>
    <w:rsid w:val="00A75CD2"/>
    <w:rsid w:val="00A75CD5"/>
    <w:rsid w:val="00A75D32"/>
    <w:rsid w:val="00A75DDE"/>
    <w:rsid w:val="00A75E5A"/>
    <w:rsid w:val="00A75E87"/>
    <w:rsid w:val="00A75E94"/>
    <w:rsid w:val="00A75EB0"/>
    <w:rsid w:val="00A75EEA"/>
    <w:rsid w:val="00A75F93"/>
    <w:rsid w:val="00A75FA7"/>
    <w:rsid w:val="00A75FEA"/>
    <w:rsid w:val="00A76056"/>
    <w:rsid w:val="00A76124"/>
    <w:rsid w:val="00A761C7"/>
    <w:rsid w:val="00A761EA"/>
    <w:rsid w:val="00A7620C"/>
    <w:rsid w:val="00A7621A"/>
    <w:rsid w:val="00A76249"/>
    <w:rsid w:val="00A7626B"/>
    <w:rsid w:val="00A762C7"/>
    <w:rsid w:val="00A7630E"/>
    <w:rsid w:val="00A76369"/>
    <w:rsid w:val="00A763D5"/>
    <w:rsid w:val="00A763EE"/>
    <w:rsid w:val="00A76534"/>
    <w:rsid w:val="00A76544"/>
    <w:rsid w:val="00A76566"/>
    <w:rsid w:val="00A765F2"/>
    <w:rsid w:val="00A7674E"/>
    <w:rsid w:val="00A76784"/>
    <w:rsid w:val="00A76791"/>
    <w:rsid w:val="00A767B2"/>
    <w:rsid w:val="00A76931"/>
    <w:rsid w:val="00A76A53"/>
    <w:rsid w:val="00A76B98"/>
    <w:rsid w:val="00A76CA4"/>
    <w:rsid w:val="00A76D95"/>
    <w:rsid w:val="00A76DC0"/>
    <w:rsid w:val="00A76DEB"/>
    <w:rsid w:val="00A76E99"/>
    <w:rsid w:val="00A76EF2"/>
    <w:rsid w:val="00A76F8C"/>
    <w:rsid w:val="00A76FDB"/>
    <w:rsid w:val="00A76FF1"/>
    <w:rsid w:val="00A770D3"/>
    <w:rsid w:val="00A7712D"/>
    <w:rsid w:val="00A77171"/>
    <w:rsid w:val="00A77189"/>
    <w:rsid w:val="00A771B3"/>
    <w:rsid w:val="00A77216"/>
    <w:rsid w:val="00A77226"/>
    <w:rsid w:val="00A77261"/>
    <w:rsid w:val="00A772B3"/>
    <w:rsid w:val="00A772E0"/>
    <w:rsid w:val="00A772E7"/>
    <w:rsid w:val="00A7731A"/>
    <w:rsid w:val="00A7748A"/>
    <w:rsid w:val="00A77577"/>
    <w:rsid w:val="00A775E7"/>
    <w:rsid w:val="00A776D2"/>
    <w:rsid w:val="00A7774E"/>
    <w:rsid w:val="00A7785C"/>
    <w:rsid w:val="00A77866"/>
    <w:rsid w:val="00A7790B"/>
    <w:rsid w:val="00A77971"/>
    <w:rsid w:val="00A77980"/>
    <w:rsid w:val="00A779DE"/>
    <w:rsid w:val="00A77A7B"/>
    <w:rsid w:val="00A77ABB"/>
    <w:rsid w:val="00A77AF2"/>
    <w:rsid w:val="00A77BA5"/>
    <w:rsid w:val="00A77CDF"/>
    <w:rsid w:val="00A77D21"/>
    <w:rsid w:val="00A77D95"/>
    <w:rsid w:val="00A77DA2"/>
    <w:rsid w:val="00A77E39"/>
    <w:rsid w:val="00A77EEA"/>
    <w:rsid w:val="00A77F2E"/>
    <w:rsid w:val="00A77F5C"/>
    <w:rsid w:val="00A8001A"/>
    <w:rsid w:val="00A80040"/>
    <w:rsid w:val="00A800F0"/>
    <w:rsid w:val="00A8014F"/>
    <w:rsid w:val="00A801C0"/>
    <w:rsid w:val="00A801D6"/>
    <w:rsid w:val="00A80211"/>
    <w:rsid w:val="00A8026D"/>
    <w:rsid w:val="00A80419"/>
    <w:rsid w:val="00A80506"/>
    <w:rsid w:val="00A8055D"/>
    <w:rsid w:val="00A806EE"/>
    <w:rsid w:val="00A8078A"/>
    <w:rsid w:val="00A807D5"/>
    <w:rsid w:val="00A808E6"/>
    <w:rsid w:val="00A80B64"/>
    <w:rsid w:val="00A80B68"/>
    <w:rsid w:val="00A80BCF"/>
    <w:rsid w:val="00A80BF3"/>
    <w:rsid w:val="00A80BF4"/>
    <w:rsid w:val="00A80C71"/>
    <w:rsid w:val="00A80CA5"/>
    <w:rsid w:val="00A80CDD"/>
    <w:rsid w:val="00A80CFF"/>
    <w:rsid w:val="00A80D8B"/>
    <w:rsid w:val="00A80DD1"/>
    <w:rsid w:val="00A80DEC"/>
    <w:rsid w:val="00A80E0B"/>
    <w:rsid w:val="00A80E4D"/>
    <w:rsid w:val="00A80E6F"/>
    <w:rsid w:val="00A80E99"/>
    <w:rsid w:val="00A80ED0"/>
    <w:rsid w:val="00A80EF9"/>
    <w:rsid w:val="00A80F4E"/>
    <w:rsid w:val="00A80FF7"/>
    <w:rsid w:val="00A81063"/>
    <w:rsid w:val="00A810BD"/>
    <w:rsid w:val="00A810C9"/>
    <w:rsid w:val="00A811F9"/>
    <w:rsid w:val="00A81201"/>
    <w:rsid w:val="00A812C3"/>
    <w:rsid w:val="00A812EA"/>
    <w:rsid w:val="00A812F5"/>
    <w:rsid w:val="00A8131F"/>
    <w:rsid w:val="00A8135A"/>
    <w:rsid w:val="00A81390"/>
    <w:rsid w:val="00A81398"/>
    <w:rsid w:val="00A8143F"/>
    <w:rsid w:val="00A81442"/>
    <w:rsid w:val="00A8146B"/>
    <w:rsid w:val="00A8149D"/>
    <w:rsid w:val="00A81579"/>
    <w:rsid w:val="00A815A2"/>
    <w:rsid w:val="00A815C4"/>
    <w:rsid w:val="00A815E8"/>
    <w:rsid w:val="00A81635"/>
    <w:rsid w:val="00A8164A"/>
    <w:rsid w:val="00A8172D"/>
    <w:rsid w:val="00A817B3"/>
    <w:rsid w:val="00A817C2"/>
    <w:rsid w:val="00A8185B"/>
    <w:rsid w:val="00A81883"/>
    <w:rsid w:val="00A818A3"/>
    <w:rsid w:val="00A818AF"/>
    <w:rsid w:val="00A819AE"/>
    <w:rsid w:val="00A81A1B"/>
    <w:rsid w:val="00A81A62"/>
    <w:rsid w:val="00A81AFB"/>
    <w:rsid w:val="00A81B5A"/>
    <w:rsid w:val="00A81CCD"/>
    <w:rsid w:val="00A81D7E"/>
    <w:rsid w:val="00A81DA8"/>
    <w:rsid w:val="00A81DBA"/>
    <w:rsid w:val="00A81E3A"/>
    <w:rsid w:val="00A81E68"/>
    <w:rsid w:val="00A81E6F"/>
    <w:rsid w:val="00A81E89"/>
    <w:rsid w:val="00A81EDE"/>
    <w:rsid w:val="00A81EE5"/>
    <w:rsid w:val="00A81FC8"/>
    <w:rsid w:val="00A82006"/>
    <w:rsid w:val="00A82074"/>
    <w:rsid w:val="00A820B3"/>
    <w:rsid w:val="00A8212F"/>
    <w:rsid w:val="00A82199"/>
    <w:rsid w:val="00A821E3"/>
    <w:rsid w:val="00A822D2"/>
    <w:rsid w:val="00A8233F"/>
    <w:rsid w:val="00A82396"/>
    <w:rsid w:val="00A823FC"/>
    <w:rsid w:val="00A824F3"/>
    <w:rsid w:val="00A82585"/>
    <w:rsid w:val="00A825A6"/>
    <w:rsid w:val="00A82722"/>
    <w:rsid w:val="00A82764"/>
    <w:rsid w:val="00A82773"/>
    <w:rsid w:val="00A8278C"/>
    <w:rsid w:val="00A827C6"/>
    <w:rsid w:val="00A8287A"/>
    <w:rsid w:val="00A82894"/>
    <w:rsid w:val="00A8290B"/>
    <w:rsid w:val="00A8296B"/>
    <w:rsid w:val="00A829B0"/>
    <w:rsid w:val="00A829D0"/>
    <w:rsid w:val="00A82A58"/>
    <w:rsid w:val="00A82B6E"/>
    <w:rsid w:val="00A82BB1"/>
    <w:rsid w:val="00A82BF1"/>
    <w:rsid w:val="00A82C46"/>
    <w:rsid w:val="00A82CBE"/>
    <w:rsid w:val="00A82CC0"/>
    <w:rsid w:val="00A82CC9"/>
    <w:rsid w:val="00A82DE7"/>
    <w:rsid w:val="00A82ED4"/>
    <w:rsid w:val="00A82F6D"/>
    <w:rsid w:val="00A82F91"/>
    <w:rsid w:val="00A83036"/>
    <w:rsid w:val="00A83042"/>
    <w:rsid w:val="00A830A7"/>
    <w:rsid w:val="00A830AE"/>
    <w:rsid w:val="00A830C4"/>
    <w:rsid w:val="00A830CC"/>
    <w:rsid w:val="00A830FC"/>
    <w:rsid w:val="00A832F2"/>
    <w:rsid w:val="00A83324"/>
    <w:rsid w:val="00A83394"/>
    <w:rsid w:val="00A83405"/>
    <w:rsid w:val="00A8347A"/>
    <w:rsid w:val="00A83639"/>
    <w:rsid w:val="00A836A9"/>
    <w:rsid w:val="00A836AF"/>
    <w:rsid w:val="00A836E5"/>
    <w:rsid w:val="00A83771"/>
    <w:rsid w:val="00A837EA"/>
    <w:rsid w:val="00A83945"/>
    <w:rsid w:val="00A8398C"/>
    <w:rsid w:val="00A839B0"/>
    <w:rsid w:val="00A839BA"/>
    <w:rsid w:val="00A839C5"/>
    <w:rsid w:val="00A83A0D"/>
    <w:rsid w:val="00A83A3D"/>
    <w:rsid w:val="00A83B19"/>
    <w:rsid w:val="00A83BE2"/>
    <w:rsid w:val="00A83C47"/>
    <w:rsid w:val="00A83CBE"/>
    <w:rsid w:val="00A83D3C"/>
    <w:rsid w:val="00A83D6F"/>
    <w:rsid w:val="00A83DF3"/>
    <w:rsid w:val="00A83E65"/>
    <w:rsid w:val="00A83E71"/>
    <w:rsid w:val="00A83F81"/>
    <w:rsid w:val="00A83FD2"/>
    <w:rsid w:val="00A83FED"/>
    <w:rsid w:val="00A84063"/>
    <w:rsid w:val="00A840D7"/>
    <w:rsid w:val="00A8417E"/>
    <w:rsid w:val="00A84219"/>
    <w:rsid w:val="00A84258"/>
    <w:rsid w:val="00A842B6"/>
    <w:rsid w:val="00A84301"/>
    <w:rsid w:val="00A84320"/>
    <w:rsid w:val="00A843F4"/>
    <w:rsid w:val="00A8443D"/>
    <w:rsid w:val="00A84481"/>
    <w:rsid w:val="00A844A0"/>
    <w:rsid w:val="00A84518"/>
    <w:rsid w:val="00A84624"/>
    <w:rsid w:val="00A8467C"/>
    <w:rsid w:val="00A84801"/>
    <w:rsid w:val="00A84977"/>
    <w:rsid w:val="00A84A08"/>
    <w:rsid w:val="00A84A14"/>
    <w:rsid w:val="00A84A21"/>
    <w:rsid w:val="00A84A4C"/>
    <w:rsid w:val="00A84A89"/>
    <w:rsid w:val="00A84A9A"/>
    <w:rsid w:val="00A84B3E"/>
    <w:rsid w:val="00A84BB3"/>
    <w:rsid w:val="00A84C53"/>
    <w:rsid w:val="00A84CEF"/>
    <w:rsid w:val="00A84D3D"/>
    <w:rsid w:val="00A84D87"/>
    <w:rsid w:val="00A84DFD"/>
    <w:rsid w:val="00A84ECB"/>
    <w:rsid w:val="00A84ED4"/>
    <w:rsid w:val="00A8503F"/>
    <w:rsid w:val="00A850BB"/>
    <w:rsid w:val="00A8510C"/>
    <w:rsid w:val="00A8519E"/>
    <w:rsid w:val="00A851A8"/>
    <w:rsid w:val="00A8523F"/>
    <w:rsid w:val="00A85269"/>
    <w:rsid w:val="00A852CC"/>
    <w:rsid w:val="00A852FD"/>
    <w:rsid w:val="00A853A8"/>
    <w:rsid w:val="00A853D8"/>
    <w:rsid w:val="00A8542B"/>
    <w:rsid w:val="00A85430"/>
    <w:rsid w:val="00A8547F"/>
    <w:rsid w:val="00A85485"/>
    <w:rsid w:val="00A8553F"/>
    <w:rsid w:val="00A855FA"/>
    <w:rsid w:val="00A8561B"/>
    <w:rsid w:val="00A856FA"/>
    <w:rsid w:val="00A85739"/>
    <w:rsid w:val="00A85827"/>
    <w:rsid w:val="00A8583E"/>
    <w:rsid w:val="00A85876"/>
    <w:rsid w:val="00A858DA"/>
    <w:rsid w:val="00A85915"/>
    <w:rsid w:val="00A85A16"/>
    <w:rsid w:val="00A85AA5"/>
    <w:rsid w:val="00A85AFF"/>
    <w:rsid w:val="00A85B4F"/>
    <w:rsid w:val="00A85B6D"/>
    <w:rsid w:val="00A85B96"/>
    <w:rsid w:val="00A85C2A"/>
    <w:rsid w:val="00A85C35"/>
    <w:rsid w:val="00A85C7C"/>
    <w:rsid w:val="00A85CA1"/>
    <w:rsid w:val="00A85CB0"/>
    <w:rsid w:val="00A85CE4"/>
    <w:rsid w:val="00A86159"/>
    <w:rsid w:val="00A8616D"/>
    <w:rsid w:val="00A86196"/>
    <w:rsid w:val="00A861C0"/>
    <w:rsid w:val="00A8625D"/>
    <w:rsid w:val="00A86270"/>
    <w:rsid w:val="00A86321"/>
    <w:rsid w:val="00A86351"/>
    <w:rsid w:val="00A863E6"/>
    <w:rsid w:val="00A86455"/>
    <w:rsid w:val="00A86492"/>
    <w:rsid w:val="00A864C4"/>
    <w:rsid w:val="00A8669A"/>
    <w:rsid w:val="00A868F7"/>
    <w:rsid w:val="00A8692F"/>
    <w:rsid w:val="00A86961"/>
    <w:rsid w:val="00A869B6"/>
    <w:rsid w:val="00A869C1"/>
    <w:rsid w:val="00A86A24"/>
    <w:rsid w:val="00A86ABA"/>
    <w:rsid w:val="00A86ADE"/>
    <w:rsid w:val="00A86AF6"/>
    <w:rsid w:val="00A86B36"/>
    <w:rsid w:val="00A86C03"/>
    <w:rsid w:val="00A86C2F"/>
    <w:rsid w:val="00A86CC9"/>
    <w:rsid w:val="00A86CDD"/>
    <w:rsid w:val="00A86E26"/>
    <w:rsid w:val="00A86E71"/>
    <w:rsid w:val="00A86ED1"/>
    <w:rsid w:val="00A86F48"/>
    <w:rsid w:val="00A86F72"/>
    <w:rsid w:val="00A86F7B"/>
    <w:rsid w:val="00A8700A"/>
    <w:rsid w:val="00A8702B"/>
    <w:rsid w:val="00A8705A"/>
    <w:rsid w:val="00A87243"/>
    <w:rsid w:val="00A8725B"/>
    <w:rsid w:val="00A8727E"/>
    <w:rsid w:val="00A87284"/>
    <w:rsid w:val="00A87351"/>
    <w:rsid w:val="00A873B0"/>
    <w:rsid w:val="00A873FA"/>
    <w:rsid w:val="00A87412"/>
    <w:rsid w:val="00A8741C"/>
    <w:rsid w:val="00A87461"/>
    <w:rsid w:val="00A874E6"/>
    <w:rsid w:val="00A875F2"/>
    <w:rsid w:val="00A8760A"/>
    <w:rsid w:val="00A8767E"/>
    <w:rsid w:val="00A8771C"/>
    <w:rsid w:val="00A87746"/>
    <w:rsid w:val="00A877C9"/>
    <w:rsid w:val="00A87805"/>
    <w:rsid w:val="00A87860"/>
    <w:rsid w:val="00A87864"/>
    <w:rsid w:val="00A87B25"/>
    <w:rsid w:val="00A87B65"/>
    <w:rsid w:val="00A87BE6"/>
    <w:rsid w:val="00A87D11"/>
    <w:rsid w:val="00A87D13"/>
    <w:rsid w:val="00A87D5C"/>
    <w:rsid w:val="00A87D6C"/>
    <w:rsid w:val="00A87E6D"/>
    <w:rsid w:val="00A87F94"/>
    <w:rsid w:val="00A90046"/>
    <w:rsid w:val="00A90077"/>
    <w:rsid w:val="00A900CB"/>
    <w:rsid w:val="00A900D2"/>
    <w:rsid w:val="00A90152"/>
    <w:rsid w:val="00A901A1"/>
    <w:rsid w:val="00A902B1"/>
    <w:rsid w:val="00A9030D"/>
    <w:rsid w:val="00A90360"/>
    <w:rsid w:val="00A90373"/>
    <w:rsid w:val="00A90450"/>
    <w:rsid w:val="00A9045E"/>
    <w:rsid w:val="00A9047D"/>
    <w:rsid w:val="00A90503"/>
    <w:rsid w:val="00A9060B"/>
    <w:rsid w:val="00A90639"/>
    <w:rsid w:val="00A90652"/>
    <w:rsid w:val="00A906C8"/>
    <w:rsid w:val="00A9090A"/>
    <w:rsid w:val="00A9090F"/>
    <w:rsid w:val="00A9092D"/>
    <w:rsid w:val="00A90953"/>
    <w:rsid w:val="00A9096A"/>
    <w:rsid w:val="00A90973"/>
    <w:rsid w:val="00A9098E"/>
    <w:rsid w:val="00A9099A"/>
    <w:rsid w:val="00A9099E"/>
    <w:rsid w:val="00A909B9"/>
    <w:rsid w:val="00A909BC"/>
    <w:rsid w:val="00A90A15"/>
    <w:rsid w:val="00A90BD8"/>
    <w:rsid w:val="00A90BE5"/>
    <w:rsid w:val="00A90C64"/>
    <w:rsid w:val="00A90C71"/>
    <w:rsid w:val="00A90CA9"/>
    <w:rsid w:val="00A90CC3"/>
    <w:rsid w:val="00A90CFC"/>
    <w:rsid w:val="00A90DC9"/>
    <w:rsid w:val="00A90E5E"/>
    <w:rsid w:val="00A90E60"/>
    <w:rsid w:val="00A90EA5"/>
    <w:rsid w:val="00A90F14"/>
    <w:rsid w:val="00A90F1C"/>
    <w:rsid w:val="00A90FA6"/>
    <w:rsid w:val="00A90FFB"/>
    <w:rsid w:val="00A9116D"/>
    <w:rsid w:val="00A911E9"/>
    <w:rsid w:val="00A91320"/>
    <w:rsid w:val="00A9135F"/>
    <w:rsid w:val="00A913F8"/>
    <w:rsid w:val="00A9142F"/>
    <w:rsid w:val="00A9143D"/>
    <w:rsid w:val="00A91457"/>
    <w:rsid w:val="00A91529"/>
    <w:rsid w:val="00A9156D"/>
    <w:rsid w:val="00A915F8"/>
    <w:rsid w:val="00A9160E"/>
    <w:rsid w:val="00A91691"/>
    <w:rsid w:val="00A91696"/>
    <w:rsid w:val="00A916BB"/>
    <w:rsid w:val="00A91758"/>
    <w:rsid w:val="00A917F5"/>
    <w:rsid w:val="00A9183D"/>
    <w:rsid w:val="00A918B7"/>
    <w:rsid w:val="00A918E2"/>
    <w:rsid w:val="00A91931"/>
    <w:rsid w:val="00A919CD"/>
    <w:rsid w:val="00A919F0"/>
    <w:rsid w:val="00A91A4F"/>
    <w:rsid w:val="00A91B07"/>
    <w:rsid w:val="00A91C96"/>
    <w:rsid w:val="00A91D1C"/>
    <w:rsid w:val="00A91D2D"/>
    <w:rsid w:val="00A91D30"/>
    <w:rsid w:val="00A91E55"/>
    <w:rsid w:val="00A91EBE"/>
    <w:rsid w:val="00A91F3D"/>
    <w:rsid w:val="00A91F93"/>
    <w:rsid w:val="00A9202E"/>
    <w:rsid w:val="00A92043"/>
    <w:rsid w:val="00A920F8"/>
    <w:rsid w:val="00A921D6"/>
    <w:rsid w:val="00A922A8"/>
    <w:rsid w:val="00A9231C"/>
    <w:rsid w:val="00A92345"/>
    <w:rsid w:val="00A92371"/>
    <w:rsid w:val="00A9242E"/>
    <w:rsid w:val="00A924B2"/>
    <w:rsid w:val="00A924CC"/>
    <w:rsid w:val="00A924DF"/>
    <w:rsid w:val="00A92559"/>
    <w:rsid w:val="00A92568"/>
    <w:rsid w:val="00A925D7"/>
    <w:rsid w:val="00A9269C"/>
    <w:rsid w:val="00A926AD"/>
    <w:rsid w:val="00A9273C"/>
    <w:rsid w:val="00A927D7"/>
    <w:rsid w:val="00A9282B"/>
    <w:rsid w:val="00A92862"/>
    <w:rsid w:val="00A9289A"/>
    <w:rsid w:val="00A928B5"/>
    <w:rsid w:val="00A9295A"/>
    <w:rsid w:val="00A9299F"/>
    <w:rsid w:val="00A929C6"/>
    <w:rsid w:val="00A92A11"/>
    <w:rsid w:val="00A92A48"/>
    <w:rsid w:val="00A92A64"/>
    <w:rsid w:val="00A92AA1"/>
    <w:rsid w:val="00A92AC6"/>
    <w:rsid w:val="00A92AF8"/>
    <w:rsid w:val="00A92B22"/>
    <w:rsid w:val="00A92B26"/>
    <w:rsid w:val="00A92C56"/>
    <w:rsid w:val="00A92CEB"/>
    <w:rsid w:val="00A92DF2"/>
    <w:rsid w:val="00A92E21"/>
    <w:rsid w:val="00A92E6E"/>
    <w:rsid w:val="00A92EE8"/>
    <w:rsid w:val="00A92F51"/>
    <w:rsid w:val="00A92F5B"/>
    <w:rsid w:val="00A92F88"/>
    <w:rsid w:val="00A92FC9"/>
    <w:rsid w:val="00A93026"/>
    <w:rsid w:val="00A93196"/>
    <w:rsid w:val="00A931F0"/>
    <w:rsid w:val="00A93260"/>
    <w:rsid w:val="00A9332D"/>
    <w:rsid w:val="00A933E4"/>
    <w:rsid w:val="00A933F3"/>
    <w:rsid w:val="00A93433"/>
    <w:rsid w:val="00A93452"/>
    <w:rsid w:val="00A9347A"/>
    <w:rsid w:val="00A93488"/>
    <w:rsid w:val="00A934CD"/>
    <w:rsid w:val="00A93560"/>
    <w:rsid w:val="00A93612"/>
    <w:rsid w:val="00A9377A"/>
    <w:rsid w:val="00A9379F"/>
    <w:rsid w:val="00A93971"/>
    <w:rsid w:val="00A93A38"/>
    <w:rsid w:val="00A93A5F"/>
    <w:rsid w:val="00A93A94"/>
    <w:rsid w:val="00A93B31"/>
    <w:rsid w:val="00A93B94"/>
    <w:rsid w:val="00A93BFA"/>
    <w:rsid w:val="00A93C29"/>
    <w:rsid w:val="00A93DD6"/>
    <w:rsid w:val="00A93DDD"/>
    <w:rsid w:val="00A93E08"/>
    <w:rsid w:val="00A93F45"/>
    <w:rsid w:val="00A93F4F"/>
    <w:rsid w:val="00A93F70"/>
    <w:rsid w:val="00A94029"/>
    <w:rsid w:val="00A94127"/>
    <w:rsid w:val="00A9428F"/>
    <w:rsid w:val="00A94297"/>
    <w:rsid w:val="00A942EB"/>
    <w:rsid w:val="00A9433C"/>
    <w:rsid w:val="00A94360"/>
    <w:rsid w:val="00A94564"/>
    <w:rsid w:val="00A9456C"/>
    <w:rsid w:val="00A94665"/>
    <w:rsid w:val="00A947EF"/>
    <w:rsid w:val="00A9485B"/>
    <w:rsid w:val="00A948B2"/>
    <w:rsid w:val="00A94AC5"/>
    <w:rsid w:val="00A94B2A"/>
    <w:rsid w:val="00A94B99"/>
    <w:rsid w:val="00A94CB2"/>
    <w:rsid w:val="00A94D44"/>
    <w:rsid w:val="00A94E18"/>
    <w:rsid w:val="00A94EB5"/>
    <w:rsid w:val="00A94F80"/>
    <w:rsid w:val="00A94FAD"/>
    <w:rsid w:val="00A9514B"/>
    <w:rsid w:val="00A9516B"/>
    <w:rsid w:val="00A951A7"/>
    <w:rsid w:val="00A95277"/>
    <w:rsid w:val="00A952A0"/>
    <w:rsid w:val="00A952AB"/>
    <w:rsid w:val="00A95328"/>
    <w:rsid w:val="00A953BC"/>
    <w:rsid w:val="00A95407"/>
    <w:rsid w:val="00A95536"/>
    <w:rsid w:val="00A9555C"/>
    <w:rsid w:val="00A95572"/>
    <w:rsid w:val="00A955A6"/>
    <w:rsid w:val="00A95737"/>
    <w:rsid w:val="00A95790"/>
    <w:rsid w:val="00A957D0"/>
    <w:rsid w:val="00A9589D"/>
    <w:rsid w:val="00A958F1"/>
    <w:rsid w:val="00A959FD"/>
    <w:rsid w:val="00A95A3D"/>
    <w:rsid w:val="00A95C51"/>
    <w:rsid w:val="00A95D12"/>
    <w:rsid w:val="00A95E46"/>
    <w:rsid w:val="00A95E5C"/>
    <w:rsid w:val="00A95E73"/>
    <w:rsid w:val="00A95E90"/>
    <w:rsid w:val="00A96121"/>
    <w:rsid w:val="00A96411"/>
    <w:rsid w:val="00A96468"/>
    <w:rsid w:val="00A964F2"/>
    <w:rsid w:val="00A9653E"/>
    <w:rsid w:val="00A966F8"/>
    <w:rsid w:val="00A9683F"/>
    <w:rsid w:val="00A96A2E"/>
    <w:rsid w:val="00A96A65"/>
    <w:rsid w:val="00A96B0B"/>
    <w:rsid w:val="00A96B3A"/>
    <w:rsid w:val="00A96BFF"/>
    <w:rsid w:val="00A96C75"/>
    <w:rsid w:val="00A96CA6"/>
    <w:rsid w:val="00A96DBE"/>
    <w:rsid w:val="00A96F10"/>
    <w:rsid w:val="00A96F51"/>
    <w:rsid w:val="00A96FF8"/>
    <w:rsid w:val="00A97073"/>
    <w:rsid w:val="00A97266"/>
    <w:rsid w:val="00A97269"/>
    <w:rsid w:val="00A97281"/>
    <w:rsid w:val="00A97364"/>
    <w:rsid w:val="00A9736E"/>
    <w:rsid w:val="00A974F0"/>
    <w:rsid w:val="00A975DF"/>
    <w:rsid w:val="00A976A4"/>
    <w:rsid w:val="00A977A4"/>
    <w:rsid w:val="00A977CB"/>
    <w:rsid w:val="00A9783D"/>
    <w:rsid w:val="00A978C7"/>
    <w:rsid w:val="00A979DB"/>
    <w:rsid w:val="00A97AFE"/>
    <w:rsid w:val="00A97B3F"/>
    <w:rsid w:val="00A97BDD"/>
    <w:rsid w:val="00A97C6A"/>
    <w:rsid w:val="00A97D2C"/>
    <w:rsid w:val="00A97DD2"/>
    <w:rsid w:val="00A97E72"/>
    <w:rsid w:val="00A97EE5"/>
    <w:rsid w:val="00A97EE6"/>
    <w:rsid w:val="00A97FCD"/>
    <w:rsid w:val="00A97FD0"/>
    <w:rsid w:val="00A97FF3"/>
    <w:rsid w:val="00AA00D5"/>
    <w:rsid w:val="00AA00F8"/>
    <w:rsid w:val="00AA011B"/>
    <w:rsid w:val="00AA0243"/>
    <w:rsid w:val="00AA027A"/>
    <w:rsid w:val="00AA02B6"/>
    <w:rsid w:val="00AA031E"/>
    <w:rsid w:val="00AA0333"/>
    <w:rsid w:val="00AA04F4"/>
    <w:rsid w:val="00AA058A"/>
    <w:rsid w:val="00AA05CD"/>
    <w:rsid w:val="00AA0647"/>
    <w:rsid w:val="00AA06FA"/>
    <w:rsid w:val="00AA0824"/>
    <w:rsid w:val="00AA09FB"/>
    <w:rsid w:val="00AA0A23"/>
    <w:rsid w:val="00AA0AD9"/>
    <w:rsid w:val="00AA0B5F"/>
    <w:rsid w:val="00AA0C06"/>
    <w:rsid w:val="00AA0CD0"/>
    <w:rsid w:val="00AA0D05"/>
    <w:rsid w:val="00AA0D48"/>
    <w:rsid w:val="00AA0D67"/>
    <w:rsid w:val="00AA0D6A"/>
    <w:rsid w:val="00AA0DE2"/>
    <w:rsid w:val="00AA0E00"/>
    <w:rsid w:val="00AA0E16"/>
    <w:rsid w:val="00AA0E19"/>
    <w:rsid w:val="00AA0E4E"/>
    <w:rsid w:val="00AA0EC7"/>
    <w:rsid w:val="00AA0F25"/>
    <w:rsid w:val="00AA10AE"/>
    <w:rsid w:val="00AA1119"/>
    <w:rsid w:val="00AA111C"/>
    <w:rsid w:val="00AA11B7"/>
    <w:rsid w:val="00AA1258"/>
    <w:rsid w:val="00AA1325"/>
    <w:rsid w:val="00AA13B3"/>
    <w:rsid w:val="00AA13EC"/>
    <w:rsid w:val="00AA14EF"/>
    <w:rsid w:val="00AA16B9"/>
    <w:rsid w:val="00AA16FF"/>
    <w:rsid w:val="00AA1717"/>
    <w:rsid w:val="00AA17E6"/>
    <w:rsid w:val="00AA1850"/>
    <w:rsid w:val="00AA1876"/>
    <w:rsid w:val="00AA18CE"/>
    <w:rsid w:val="00AA18F6"/>
    <w:rsid w:val="00AA1A12"/>
    <w:rsid w:val="00AA1B33"/>
    <w:rsid w:val="00AA1B81"/>
    <w:rsid w:val="00AA1B92"/>
    <w:rsid w:val="00AA1BC6"/>
    <w:rsid w:val="00AA1BF3"/>
    <w:rsid w:val="00AA1C75"/>
    <w:rsid w:val="00AA1DE9"/>
    <w:rsid w:val="00AA1DFC"/>
    <w:rsid w:val="00AA1F75"/>
    <w:rsid w:val="00AA1FC3"/>
    <w:rsid w:val="00AA1FC7"/>
    <w:rsid w:val="00AA1FF8"/>
    <w:rsid w:val="00AA2139"/>
    <w:rsid w:val="00AA231D"/>
    <w:rsid w:val="00AA249A"/>
    <w:rsid w:val="00AA24A9"/>
    <w:rsid w:val="00AA253D"/>
    <w:rsid w:val="00AA25A1"/>
    <w:rsid w:val="00AA264F"/>
    <w:rsid w:val="00AA2789"/>
    <w:rsid w:val="00AA2868"/>
    <w:rsid w:val="00AA2986"/>
    <w:rsid w:val="00AA2A38"/>
    <w:rsid w:val="00AA2BE7"/>
    <w:rsid w:val="00AA2C0D"/>
    <w:rsid w:val="00AA2CE6"/>
    <w:rsid w:val="00AA2CEA"/>
    <w:rsid w:val="00AA2D35"/>
    <w:rsid w:val="00AA2DD9"/>
    <w:rsid w:val="00AA2E60"/>
    <w:rsid w:val="00AA2E6B"/>
    <w:rsid w:val="00AA2F67"/>
    <w:rsid w:val="00AA2F7A"/>
    <w:rsid w:val="00AA2F9D"/>
    <w:rsid w:val="00AA2F9F"/>
    <w:rsid w:val="00AA3022"/>
    <w:rsid w:val="00AA304F"/>
    <w:rsid w:val="00AA3233"/>
    <w:rsid w:val="00AA323C"/>
    <w:rsid w:val="00AA32C5"/>
    <w:rsid w:val="00AA32D9"/>
    <w:rsid w:val="00AA32DD"/>
    <w:rsid w:val="00AA3301"/>
    <w:rsid w:val="00AA334B"/>
    <w:rsid w:val="00AA3410"/>
    <w:rsid w:val="00AA346A"/>
    <w:rsid w:val="00AA3489"/>
    <w:rsid w:val="00AA34C1"/>
    <w:rsid w:val="00AA3585"/>
    <w:rsid w:val="00AA35D9"/>
    <w:rsid w:val="00AA36BA"/>
    <w:rsid w:val="00AA37CA"/>
    <w:rsid w:val="00AA37E2"/>
    <w:rsid w:val="00AA391B"/>
    <w:rsid w:val="00AA3A12"/>
    <w:rsid w:val="00AA3A32"/>
    <w:rsid w:val="00AA3A4B"/>
    <w:rsid w:val="00AA3A6F"/>
    <w:rsid w:val="00AA3A81"/>
    <w:rsid w:val="00AA3AA1"/>
    <w:rsid w:val="00AA3B4B"/>
    <w:rsid w:val="00AA3B68"/>
    <w:rsid w:val="00AA3C6E"/>
    <w:rsid w:val="00AA3D23"/>
    <w:rsid w:val="00AA3D8A"/>
    <w:rsid w:val="00AA3DDB"/>
    <w:rsid w:val="00AA3E2A"/>
    <w:rsid w:val="00AA3EE2"/>
    <w:rsid w:val="00AA3F12"/>
    <w:rsid w:val="00AA3F27"/>
    <w:rsid w:val="00AA3F4B"/>
    <w:rsid w:val="00AA3FBA"/>
    <w:rsid w:val="00AA3FDF"/>
    <w:rsid w:val="00AA3FFD"/>
    <w:rsid w:val="00AA401B"/>
    <w:rsid w:val="00AA4035"/>
    <w:rsid w:val="00AA40FB"/>
    <w:rsid w:val="00AA411C"/>
    <w:rsid w:val="00AA41DB"/>
    <w:rsid w:val="00AA42C1"/>
    <w:rsid w:val="00AA43B7"/>
    <w:rsid w:val="00AA43D3"/>
    <w:rsid w:val="00AA43E8"/>
    <w:rsid w:val="00AA4541"/>
    <w:rsid w:val="00AA45E6"/>
    <w:rsid w:val="00AA46D0"/>
    <w:rsid w:val="00AA48FE"/>
    <w:rsid w:val="00AA4969"/>
    <w:rsid w:val="00AA4971"/>
    <w:rsid w:val="00AA4A03"/>
    <w:rsid w:val="00AA4AEB"/>
    <w:rsid w:val="00AA4B6A"/>
    <w:rsid w:val="00AA4BAD"/>
    <w:rsid w:val="00AA4C06"/>
    <w:rsid w:val="00AA4C6C"/>
    <w:rsid w:val="00AA4CE0"/>
    <w:rsid w:val="00AA4D84"/>
    <w:rsid w:val="00AA4DD6"/>
    <w:rsid w:val="00AA4E23"/>
    <w:rsid w:val="00AA4E51"/>
    <w:rsid w:val="00AA4E63"/>
    <w:rsid w:val="00AA4F07"/>
    <w:rsid w:val="00AA4F37"/>
    <w:rsid w:val="00AA4F49"/>
    <w:rsid w:val="00AA4F8F"/>
    <w:rsid w:val="00AA5121"/>
    <w:rsid w:val="00AA514B"/>
    <w:rsid w:val="00AA519B"/>
    <w:rsid w:val="00AA5315"/>
    <w:rsid w:val="00AA5471"/>
    <w:rsid w:val="00AA5590"/>
    <w:rsid w:val="00AA55E6"/>
    <w:rsid w:val="00AA5714"/>
    <w:rsid w:val="00AA5739"/>
    <w:rsid w:val="00AA57C4"/>
    <w:rsid w:val="00AA57D5"/>
    <w:rsid w:val="00AA5942"/>
    <w:rsid w:val="00AA5949"/>
    <w:rsid w:val="00AA5A10"/>
    <w:rsid w:val="00AA5A1D"/>
    <w:rsid w:val="00AA5A37"/>
    <w:rsid w:val="00AA5A4E"/>
    <w:rsid w:val="00AA5B29"/>
    <w:rsid w:val="00AA5B57"/>
    <w:rsid w:val="00AA5C18"/>
    <w:rsid w:val="00AA5C2C"/>
    <w:rsid w:val="00AA5C6B"/>
    <w:rsid w:val="00AA5CD7"/>
    <w:rsid w:val="00AA5CFD"/>
    <w:rsid w:val="00AA5D02"/>
    <w:rsid w:val="00AA5D69"/>
    <w:rsid w:val="00AA5DCA"/>
    <w:rsid w:val="00AA5DF4"/>
    <w:rsid w:val="00AA5E3D"/>
    <w:rsid w:val="00AA5F9B"/>
    <w:rsid w:val="00AA603B"/>
    <w:rsid w:val="00AA6062"/>
    <w:rsid w:val="00AA60C8"/>
    <w:rsid w:val="00AA61B6"/>
    <w:rsid w:val="00AA61DC"/>
    <w:rsid w:val="00AA61E4"/>
    <w:rsid w:val="00AA61FA"/>
    <w:rsid w:val="00AA6204"/>
    <w:rsid w:val="00AA6326"/>
    <w:rsid w:val="00AA63EC"/>
    <w:rsid w:val="00AA6427"/>
    <w:rsid w:val="00AA6440"/>
    <w:rsid w:val="00AA64DC"/>
    <w:rsid w:val="00AA6536"/>
    <w:rsid w:val="00AA65E7"/>
    <w:rsid w:val="00AA65F4"/>
    <w:rsid w:val="00AA662C"/>
    <w:rsid w:val="00AA664B"/>
    <w:rsid w:val="00AA666A"/>
    <w:rsid w:val="00AA6690"/>
    <w:rsid w:val="00AA6710"/>
    <w:rsid w:val="00AA6730"/>
    <w:rsid w:val="00AA67A9"/>
    <w:rsid w:val="00AA6889"/>
    <w:rsid w:val="00AA6952"/>
    <w:rsid w:val="00AA6A42"/>
    <w:rsid w:val="00AA6B41"/>
    <w:rsid w:val="00AA6B52"/>
    <w:rsid w:val="00AA6BB5"/>
    <w:rsid w:val="00AA6C4B"/>
    <w:rsid w:val="00AA6D47"/>
    <w:rsid w:val="00AA6DA6"/>
    <w:rsid w:val="00AA6DD4"/>
    <w:rsid w:val="00AA6E55"/>
    <w:rsid w:val="00AA6EA5"/>
    <w:rsid w:val="00AA6F67"/>
    <w:rsid w:val="00AA6F9D"/>
    <w:rsid w:val="00AA6FBB"/>
    <w:rsid w:val="00AA700F"/>
    <w:rsid w:val="00AA7026"/>
    <w:rsid w:val="00AA7086"/>
    <w:rsid w:val="00AA70AE"/>
    <w:rsid w:val="00AA70B8"/>
    <w:rsid w:val="00AA70C4"/>
    <w:rsid w:val="00AA7161"/>
    <w:rsid w:val="00AA717A"/>
    <w:rsid w:val="00AA71EE"/>
    <w:rsid w:val="00AA7202"/>
    <w:rsid w:val="00AA7233"/>
    <w:rsid w:val="00AA72E5"/>
    <w:rsid w:val="00AA73C8"/>
    <w:rsid w:val="00AA73FD"/>
    <w:rsid w:val="00AA7425"/>
    <w:rsid w:val="00AA74CE"/>
    <w:rsid w:val="00AA7567"/>
    <w:rsid w:val="00AA7624"/>
    <w:rsid w:val="00AA76CF"/>
    <w:rsid w:val="00AA773E"/>
    <w:rsid w:val="00AA77AC"/>
    <w:rsid w:val="00AA77B2"/>
    <w:rsid w:val="00AA780B"/>
    <w:rsid w:val="00AA781C"/>
    <w:rsid w:val="00AA7839"/>
    <w:rsid w:val="00AA79F6"/>
    <w:rsid w:val="00AA7AB3"/>
    <w:rsid w:val="00AA7BC7"/>
    <w:rsid w:val="00AA7C99"/>
    <w:rsid w:val="00AA7D8E"/>
    <w:rsid w:val="00AA7DC1"/>
    <w:rsid w:val="00AA7F28"/>
    <w:rsid w:val="00AA7F43"/>
    <w:rsid w:val="00AA7F82"/>
    <w:rsid w:val="00AB00D4"/>
    <w:rsid w:val="00AB0151"/>
    <w:rsid w:val="00AB0197"/>
    <w:rsid w:val="00AB01C4"/>
    <w:rsid w:val="00AB02CB"/>
    <w:rsid w:val="00AB035E"/>
    <w:rsid w:val="00AB0438"/>
    <w:rsid w:val="00AB04C7"/>
    <w:rsid w:val="00AB0582"/>
    <w:rsid w:val="00AB064E"/>
    <w:rsid w:val="00AB06BB"/>
    <w:rsid w:val="00AB0736"/>
    <w:rsid w:val="00AB0763"/>
    <w:rsid w:val="00AB07F8"/>
    <w:rsid w:val="00AB0855"/>
    <w:rsid w:val="00AB0A8D"/>
    <w:rsid w:val="00AB0AD7"/>
    <w:rsid w:val="00AB0AFA"/>
    <w:rsid w:val="00AB0BB3"/>
    <w:rsid w:val="00AB0C64"/>
    <w:rsid w:val="00AB0CC8"/>
    <w:rsid w:val="00AB0DAA"/>
    <w:rsid w:val="00AB0EA9"/>
    <w:rsid w:val="00AB0FDD"/>
    <w:rsid w:val="00AB1130"/>
    <w:rsid w:val="00AB1155"/>
    <w:rsid w:val="00AB1179"/>
    <w:rsid w:val="00AB1180"/>
    <w:rsid w:val="00AB1201"/>
    <w:rsid w:val="00AB1289"/>
    <w:rsid w:val="00AB12AF"/>
    <w:rsid w:val="00AB1332"/>
    <w:rsid w:val="00AB13F9"/>
    <w:rsid w:val="00AB1431"/>
    <w:rsid w:val="00AB1445"/>
    <w:rsid w:val="00AB14AA"/>
    <w:rsid w:val="00AB14EF"/>
    <w:rsid w:val="00AB1508"/>
    <w:rsid w:val="00AB1534"/>
    <w:rsid w:val="00AB155B"/>
    <w:rsid w:val="00AB15CD"/>
    <w:rsid w:val="00AB161A"/>
    <w:rsid w:val="00AB1773"/>
    <w:rsid w:val="00AB18E3"/>
    <w:rsid w:val="00AB18F8"/>
    <w:rsid w:val="00AB18F9"/>
    <w:rsid w:val="00AB1989"/>
    <w:rsid w:val="00AB19CC"/>
    <w:rsid w:val="00AB1A81"/>
    <w:rsid w:val="00AB1AE0"/>
    <w:rsid w:val="00AB1AF5"/>
    <w:rsid w:val="00AB1B85"/>
    <w:rsid w:val="00AB1B95"/>
    <w:rsid w:val="00AB1BF0"/>
    <w:rsid w:val="00AB1C06"/>
    <w:rsid w:val="00AB1C0E"/>
    <w:rsid w:val="00AB1DBA"/>
    <w:rsid w:val="00AB1E08"/>
    <w:rsid w:val="00AB1EE7"/>
    <w:rsid w:val="00AB1EF6"/>
    <w:rsid w:val="00AB1F8B"/>
    <w:rsid w:val="00AB20E4"/>
    <w:rsid w:val="00AB2158"/>
    <w:rsid w:val="00AB2232"/>
    <w:rsid w:val="00AB227D"/>
    <w:rsid w:val="00AB22B5"/>
    <w:rsid w:val="00AB2303"/>
    <w:rsid w:val="00AB2327"/>
    <w:rsid w:val="00AB23CB"/>
    <w:rsid w:val="00AB23E7"/>
    <w:rsid w:val="00AB2490"/>
    <w:rsid w:val="00AB24A0"/>
    <w:rsid w:val="00AB269A"/>
    <w:rsid w:val="00AB2702"/>
    <w:rsid w:val="00AB2723"/>
    <w:rsid w:val="00AB2797"/>
    <w:rsid w:val="00AB27C9"/>
    <w:rsid w:val="00AB27FC"/>
    <w:rsid w:val="00AB2821"/>
    <w:rsid w:val="00AB2935"/>
    <w:rsid w:val="00AB2A59"/>
    <w:rsid w:val="00AB2AAB"/>
    <w:rsid w:val="00AB2B46"/>
    <w:rsid w:val="00AB2B49"/>
    <w:rsid w:val="00AB2BB0"/>
    <w:rsid w:val="00AB2CB3"/>
    <w:rsid w:val="00AB2D66"/>
    <w:rsid w:val="00AB2D9F"/>
    <w:rsid w:val="00AB2DA0"/>
    <w:rsid w:val="00AB2DA9"/>
    <w:rsid w:val="00AB2DAA"/>
    <w:rsid w:val="00AB2DC7"/>
    <w:rsid w:val="00AB2F03"/>
    <w:rsid w:val="00AB2F68"/>
    <w:rsid w:val="00AB2F6D"/>
    <w:rsid w:val="00AB2FEF"/>
    <w:rsid w:val="00AB303F"/>
    <w:rsid w:val="00AB3097"/>
    <w:rsid w:val="00AB30B7"/>
    <w:rsid w:val="00AB30EC"/>
    <w:rsid w:val="00AB3139"/>
    <w:rsid w:val="00AB3386"/>
    <w:rsid w:val="00AB3396"/>
    <w:rsid w:val="00AB33F2"/>
    <w:rsid w:val="00AB3483"/>
    <w:rsid w:val="00AB34E6"/>
    <w:rsid w:val="00AB353E"/>
    <w:rsid w:val="00AB358C"/>
    <w:rsid w:val="00AB3675"/>
    <w:rsid w:val="00AB36E3"/>
    <w:rsid w:val="00AB3752"/>
    <w:rsid w:val="00AB375B"/>
    <w:rsid w:val="00AB378D"/>
    <w:rsid w:val="00AB3821"/>
    <w:rsid w:val="00AB38E8"/>
    <w:rsid w:val="00AB3976"/>
    <w:rsid w:val="00AB39E6"/>
    <w:rsid w:val="00AB3A5E"/>
    <w:rsid w:val="00AB3AAB"/>
    <w:rsid w:val="00AB3BBB"/>
    <w:rsid w:val="00AB3CDC"/>
    <w:rsid w:val="00AB3DD5"/>
    <w:rsid w:val="00AB3DEA"/>
    <w:rsid w:val="00AB3DFF"/>
    <w:rsid w:val="00AB3E3E"/>
    <w:rsid w:val="00AB3EC2"/>
    <w:rsid w:val="00AB3ED4"/>
    <w:rsid w:val="00AB3FAC"/>
    <w:rsid w:val="00AB3FED"/>
    <w:rsid w:val="00AB3FFC"/>
    <w:rsid w:val="00AB4080"/>
    <w:rsid w:val="00AB408F"/>
    <w:rsid w:val="00AB4094"/>
    <w:rsid w:val="00AB40F9"/>
    <w:rsid w:val="00AB42B1"/>
    <w:rsid w:val="00AB42B2"/>
    <w:rsid w:val="00AB437A"/>
    <w:rsid w:val="00AB4392"/>
    <w:rsid w:val="00AB4397"/>
    <w:rsid w:val="00AB4468"/>
    <w:rsid w:val="00AB453B"/>
    <w:rsid w:val="00AB45CE"/>
    <w:rsid w:val="00AB45FE"/>
    <w:rsid w:val="00AB460C"/>
    <w:rsid w:val="00AB46FD"/>
    <w:rsid w:val="00AB4784"/>
    <w:rsid w:val="00AB47B4"/>
    <w:rsid w:val="00AB47C4"/>
    <w:rsid w:val="00AB489C"/>
    <w:rsid w:val="00AB48FD"/>
    <w:rsid w:val="00AB4911"/>
    <w:rsid w:val="00AB4924"/>
    <w:rsid w:val="00AB4934"/>
    <w:rsid w:val="00AB4A8C"/>
    <w:rsid w:val="00AB4BA8"/>
    <w:rsid w:val="00AB4BD0"/>
    <w:rsid w:val="00AB4C45"/>
    <w:rsid w:val="00AB4CD3"/>
    <w:rsid w:val="00AB4E34"/>
    <w:rsid w:val="00AB4E3C"/>
    <w:rsid w:val="00AB4ED9"/>
    <w:rsid w:val="00AB4EEB"/>
    <w:rsid w:val="00AB4F35"/>
    <w:rsid w:val="00AB4FC6"/>
    <w:rsid w:val="00AB4FD0"/>
    <w:rsid w:val="00AB506B"/>
    <w:rsid w:val="00AB5090"/>
    <w:rsid w:val="00AB50A4"/>
    <w:rsid w:val="00AB50C1"/>
    <w:rsid w:val="00AB51D5"/>
    <w:rsid w:val="00AB5202"/>
    <w:rsid w:val="00AB5215"/>
    <w:rsid w:val="00AB52A9"/>
    <w:rsid w:val="00AB52B5"/>
    <w:rsid w:val="00AB52D6"/>
    <w:rsid w:val="00AB52E2"/>
    <w:rsid w:val="00AB5346"/>
    <w:rsid w:val="00AB5353"/>
    <w:rsid w:val="00AB541B"/>
    <w:rsid w:val="00AB5461"/>
    <w:rsid w:val="00AB5466"/>
    <w:rsid w:val="00AB54EC"/>
    <w:rsid w:val="00AB5539"/>
    <w:rsid w:val="00AB5560"/>
    <w:rsid w:val="00AB5592"/>
    <w:rsid w:val="00AB56C3"/>
    <w:rsid w:val="00AB56D1"/>
    <w:rsid w:val="00AB5751"/>
    <w:rsid w:val="00AB576B"/>
    <w:rsid w:val="00AB57A2"/>
    <w:rsid w:val="00AB5888"/>
    <w:rsid w:val="00AB58D8"/>
    <w:rsid w:val="00AB5B31"/>
    <w:rsid w:val="00AB5B4F"/>
    <w:rsid w:val="00AB5B8D"/>
    <w:rsid w:val="00AB5B92"/>
    <w:rsid w:val="00AB5B98"/>
    <w:rsid w:val="00AB5C66"/>
    <w:rsid w:val="00AB5E33"/>
    <w:rsid w:val="00AB5E8F"/>
    <w:rsid w:val="00AB5EFC"/>
    <w:rsid w:val="00AB5F7A"/>
    <w:rsid w:val="00AB5F7D"/>
    <w:rsid w:val="00AB5FAF"/>
    <w:rsid w:val="00AB6031"/>
    <w:rsid w:val="00AB603C"/>
    <w:rsid w:val="00AB619D"/>
    <w:rsid w:val="00AB61F3"/>
    <w:rsid w:val="00AB63CA"/>
    <w:rsid w:val="00AB6409"/>
    <w:rsid w:val="00AB64D5"/>
    <w:rsid w:val="00AB6592"/>
    <w:rsid w:val="00AB66E2"/>
    <w:rsid w:val="00AB676A"/>
    <w:rsid w:val="00AB67FD"/>
    <w:rsid w:val="00AB6872"/>
    <w:rsid w:val="00AB68B1"/>
    <w:rsid w:val="00AB6936"/>
    <w:rsid w:val="00AB69A9"/>
    <w:rsid w:val="00AB6A0C"/>
    <w:rsid w:val="00AB6A3B"/>
    <w:rsid w:val="00AB6A62"/>
    <w:rsid w:val="00AB6A8F"/>
    <w:rsid w:val="00AB6B39"/>
    <w:rsid w:val="00AB6B70"/>
    <w:rsid w:val="00AB6C07"/>
    <w:rsid w:val="00AB6C66"/>
    <w:rsid w:val="00AB6D28"/>
    <w:rsid w:val="00AB6D30"/>
    <w:rsid w:val="00AB6D8D"/>
    <w:rsid w:val="00AB6D9E"/>
    <w:rsid w:val="00AB6DDE"/>
    <w:rsid w:val="00AB6E07"/>
    <w:rsid w:val="00AB6F0D"/>
    <w:rsid w:val="00AB6FA4"/>
    <w:rsid w:val="00AB6FB3"/>
    <w:rsid w:val="00AB717A"/>
    <w:rsid w:val="00AB71A3"/>
    <w:rsid w:val="00AB735E"/>
    <w:rsid w:val="00AB73A5"/>
    <w:rsid w:val="00AB73FB"/>
    <w:rsid w:val="00AB749A"/>
    <w:rsid w:val="00AB7594"/>
    <w:rsid w:val="00AB75BE"/>
    <w:rsid w:val="00AB7601"/>
    <w:rsid w:val="00AB76A5"/>
    <w:rsid w:val="00AB76B9"/>
    <w:rsid w:val="00AB7700"/>
    <w:rsid w:val="00AB7833"/>
    <w:rsid w:val="00AB783E"/>
    <w:rsid w:val="00AB7882"/>
    <w:rsid w:val="00AB793B"/>
    <w:rsid w:val="00AB7961"/>
    <w:rsid w:val="00AB79A6"/>
    <w:rsid w:val="00AB7A65"/>
    <w:rsid w:val="00AB7A88"/>
    <w:rsid w:val="00AB7AB3"/>
    <w:rsid w:val="00AB7B32"/>
    <w:rsid w:val="00AB7B3F"/>
    <w:rsid w:val="00AB7C09"/>
    <w:rsid w:val="00AB7C67"/>
    <w:rsid w:val="00AB7CF8"/>
    <w:rsid w:val="00AB7DF6"/>
    <w:rsid w:val="00AB7E45"/>
    <w:rsid w:val="00AB7F4C"/>
    <w:rsid w:val="00AC00C8"/>
    <w:rsid w:val="00AC00E1"/>
    <w:rsid w:val="00AC0164"/>
    <w:rsid w:val="00AC022E"/>
    <w:rsid w:val="00AC0298"/>
    <w:rsid w:val="00AC0329"/>
    <w:rsid w:val="00AC033D"/>
    <w:rsid w:val="00AC036D"/>
    <w:rsid w:val="00AC052C"/>
    <w:rsid w:val="00AC0586"/>
    <w:rsid w:val="00AC0596"/>
    <w:rsid w:val="00AC05A2"/>
    <w:rsid w:val="00AC05B6"/>
    <w:rsid w:val="00AC072A"/>
    <w:rsid w:val="00AC0794"/>
    <w:rsid w:val="00AC07A2"/>
    <w:rsid w:val="00AC07B5"/>
    <w:rsid w:val="00AC0804"/>
    <w:rsid w:val="00AC0946"/>
    <w:rsid w:val="00AC0989"/>
    <w:rsid w:val="00AC09C0"/>
    <w:rsid w:val="00AC0BA9"/>
    <w:rsid w:val="00AC0C3B"/>
    <w:rsid w:val="00AC0C64"/>
    <w:rsid w:val="00AC0CC9"/>
    <w:rsid w:val="00AC0D51"/>
    <w:rsid w:val="00AC0EA3"/>
    <w:rsid w:val="00AC0EC3"/>
    <w:rsid w:val="00AC0EF2"/>
    <w:rsid w:val="00AC0F36"/>
    <w:rsid w:val="00AC0F85"/>
    <w:rsid w:val="00AC0FB6"/>
    <w:rsid w:val="00AC10C9"/>
    <w:rsid w:val="00AC1125"/>
    <w:rsid w:val="00AC116A"/>
    <w:rsid w:val="00AC11C9"/>
    <w:rsid w:val="00AC1228"/>
    <w:rsid w:val="00AC1256"/>
    <w:rsid w:val="00AC136F"/>
    <w:rsid w:val="00AC13DB"/>
    <w:rsid w:val="00AC161B"/>
    <w:rsid w:val="00AC161F"/>
    <w:rsid w:val="00AC16CB"/>
    <w:rsid w:val="00AC1750"/>
    <w:rsid w:val="00AC17ED"/>
    <w:rsid w:val="00AC17FC"/>
    <w:rsid w:val="00AC1805"/>
    <w:rsid w:val="00AC185F"/>
    <w:rsid w:val="00AC1879"/>
    <w:rsid w:val="00AC18CF"/>
    <w:rsid w:val="00AC1928"/>
    <w:rsid w:val="00AC19F7"/>
    <w:rsid w:val="00AC1A4A"/>
    <w:rsid w:val="00AC1C3C"/>
    <w:rsid w:val="00AC1C54"/>
    <w:rsid w:val="00AC1C8C"/>
    <w:rsid w:val="00AC1D3C"/>
    <w:rsid w:val="00AC1FC4"/>
    <w:rsid w:val="00AC209B"/>
    <w:rsid w:val="00AC20B0"/>
    <w:rsid w:val="00AC20E3"/>
    <w:rsid w:val="00AC21C0"/>
    <w:rsid w:val="00AC22AB"/>
    <w:rsid w:val="00AC2310"/>
    <w:rsid w:val="00AC23E5"/>
    <w:rsid w:val="00AC244A"/>
    <w:rsid w:val="00AC246A"/>
    <w:rsid w:val="00AC259E"/>
    <w:rsid w:val="00AC25D3"/>
    <w:rsid w:val="00AC2637"/>
    <w:rsid w:val="00AC26D9"/>
    <w:rsid w:val="00AC2723"/>
    <w:rsid w:val="00AC273D"/>
    <w:rsid w:val="00AC27B0"/>
    <w:rsid w:val="00AC27C1"/>
    <w:rsid w:val="00AC27D2"/>
    <w:rsid w:val="00AC281C"/>
    <w:rsid w:val="00AC2828"/>
    <w:rsid w:val="00AC285F"/>
    <w:rsid w:val="00AC293C"/>
    <w:rsid w:val="00AC2960"/>
    <w:rsid w:val="00AC29C5"/>
    <w:rsid w:val="00AC2AB4"/>
    <w:rsid w:val="00AC2AE7"/>
    <w:rsid w:val="00AC2B00"/>
    <w:rsid w:val="00AC2B20"/>
    <w:rsid w:val="00AC2B8C"/>
    <w:rsid w:val="00AC2B93"/>
    <w:rsid w:val="00AC2BFD"/>
    <w:rsid w:val="00AC2CE0"/>
    <w:rsid w:val="00AC2D5E"/>
    <w:rsid w:val="00AC2D61"/>
    <w:rsid w:val="00AC2D63"/>
    <w:rsid w:val="00AC2DE1"/>
    <w:rsid w:val="00AC2DEF"/>
    <w:rsid w:val="00AC2E42"/>
    <w:rsid w:val="00AC2E79"/>
    <w:rsid w:val="00AC2ED1"/>
    <w:rsid w:val="00AC2F56"/>
    <w:rsid w:val="00AC2F9E"/>
    <w:rsid w:val="00AC30AE"/>
    <w:rsid w:val="00AC30C3"/>
    <w:rsid w:val="00AC30D3"/>
    <w:rsid w:val="00AC313E"/>
    <w:rsid w:val="00AC3169"/>
    <w:rsid w:val="00AC322B"/>
    <w:rsid w:val="00AC336F"/>
    <w:rsid w:val="00AC33A3"/>
    <w:rsid w:val="00AC34DC"/>
    <w:rsid w:val="00AC352D"/>
    <w:rsid w:val="00AC35BB"/>
    <w:rsid w:val="00AC3743"/>
    <w:rsid w:val="00AC3783"/>
    <w:rsid w:val="00AC37FE"/>
    <w:rsid w:val="00AC3840"/>
    <w:rsid w:val="00AC384B"/>
    <w:rsid w:val="00AC3929"/>
    <w:rsid w:val="00AC3967"/>
    <w:rsid w:val="00AC3993"/>
    <w:rsid w:val="00AC3A33"/>
    <w:rsid w:val="00AC3A84"/>
    <w:rsid w:val="00AC3B05"/>
    <w:rsid w:val="00AC3BAD"/>
    <w:rsid w:val="00AC3BEE"/>
    <w:rsid w:val="00AC3CC5"/>
    <w:rsid w:val="00AC3CE1"/>
    <w:rsid w:val="00AC3D3B"/>
    <w:rsid w:val="00AC3E79"/>
    <w:rsid w:val="00AC3F04"/>
    <w:rsid w:val="00AC4007"/>
    <w:rsid w:val="00AC4033"/>
    <w:rsid w:val="00AC415C"/>
    <w:rsid w:val="00AC416B"/>
    <w:rsid w:val="00AC429A"/>
    <w:rsid w:val="00AC42AC"/>
    <w:rsid w:val="00AC4343"/>
    <w:rsid w:val="00AC4390"/>
    <w:rsid w:val="00AC43BF"/>
    <w:rsid w:val="00AC43FD"/>
    <w:rsid w:val="00AC4509"/>
    <w:rsid w:val="00AC4518"/>
    <w:rsid w:val="00AC4597"/>
    <w:rsid w:val="00AC45DC"/>
    <w:rsid w:val="00AC45DE"/>
    <w:rsid w:val="00AC464C"/>
    <w:rsid w:val="00AC4811"/>
    <w:rsid w:val="00AC4958"/>
    <w:rsid w:val="00AC49D1"/>
    <w:rsid w:val="00AC4A8C"/>
    <w:rsid w:val="00AC4CCD"/>
    <w:rsid w:val="00AC4D15"/>
    <w:rsid w:val="00AC4E30"/>
    <w:rsid w:val="00AC4E43"/>
    <w:rsid w:val="00AC4E70"/>
    <w:rsid w:val="00AC4ED6"/>
    <w:rsid w:val="00AC4F43"/>
    <w:rsid w:val="00AC4F53"/>
    <w:rsid w:val="00AC51CF"/>
    <w:rsid w:val="00AC51F0"/>
    <w:rsid w:val="00AC522A"/>
    <w:rsid w:val="00AC5298"/>
    <w:rsid w:val="00AC531F"/>
    <w:rsid w:val="00AC53B3"/>
    <w:rsid w:val="00AC5443"/>
    <w:rsid w:val="00AC5475"/>
    <w:rsid w:val="00AC54D8"/>
    <w:rsid w:val="00AC54E4"/>
    <w:rsid w:val="00AC55A5"/>
    <w:rsid w:val="00AC5730"/>
    <w:rsid w:val="00AC57B2"/>
    <w:rsid w:val="00AC57CF"/>
    <w:rsid w:val="00AC5851"/>
    <w:rsid w:val="00AC587F"/>
    <w:rsid w:val="00AC590A"/>
    <w:rsid w:val="00AC5983"/>
    <w:rsid w:val="00AC5BD5"/>
    <w:rsid w:val="00AC5CA3"/>
    <w:rsid w:val="00AC5D0D"/>
    <w:rsid w:val="00AC5D0E"/>
    <w:rsid w:val="00AC5EA1"/>
    <w:rsid w:val="00AC5EA4"/>
    <w:rsid w:val="00AC5EB9"/>
    <w:rsid w:val="00AC5EBF"/>
    <w:rsid w:val="00AC5EE6"/>
    <w:rsid w:val="00AC5EFA"/>
    <w:rsid w:val="00AC6066"/>
    <w:rsid w:val="00AC60C8"/>
    <w:rsid w:val="00AC613A"/>
    <w:rsid w:val="00AC614F"/>
    <w:rsid w:val="00AC6156"/>
    <w:rsid w:val="00AC633F"/>
    <w:rsid w:val="00AC6418"/>
    <w:rsid w:val="00AC642E"/>
    <w:rsid w:val="00AC6438"/>
    <w:rsid w:val="00AC647E"/>
    <w:rsid w:val="00AC659D"/>
    <w:rsid w:val="00AC65B1"/>
    <w:rsid w:val="00AC65D5"/>
    <w:rsid w:val="00AC66ED"/>
    <w:rsid w:val="00AC6745"/>
    <w:rsid w:val="00AC6767"/>
    <w:rsid w:val="00AC681C"/>
    <w:rsid w:val="00AC6882"/>
    <w:rsid w:val="00AC6901"/>
    <w:rsid w:val="00AC6911"/>
    <w:rsid w:val="00AC6949"/>
    <w:rsid w:val="00AC69AB"/>
    <w:rsid w:val="00AC6A17"/>
    <w:rsid w:val="00AC6C01"/>
    <w:rsid w:val="00AC6CE4"/>
    <w:rsid w:val="00AC6DB9"/>
    <w:rsid w:val="00AC6E02"/>
    <w:rsid w:val="00AC6E78"/>
    <w:rsid w:val="00AC6FCF"/>
    <w:rsid w:val="00AC6FFD"/>
    <w:rsid w:val="00AC715E"/>
    <w:rsid w:val="00AC71A7"/>
    <w:rsid w:val="00AC71C4"/>
    <w:rsid w:val="00AC722F"/>
    <w:rsid w:val="00AC72D6"/>
    <w:rsid w:val="00AC7320"/>
    <w:rsid w:val="00AC73D2"/>
    <w:rsid w:val="00AC745E"/>
    <w:rsid w:val="00AC74B8"/>
    <w:rsid w:val="00AC74DF"/>
    <w:rsid w:val="00AC7521"/>
    <w:rsid w:val="00AC75CC"/>
    <w:rsid w:val="00AC75D3"/>
    <w:rsid w:val="00AC7606"/>
    <w:rsid w:val="00AC7688"/>
    <w:rsid w:val="00AC76D4"/>
    <w:rsid w:val="00AC7795"/>
    <w:rsid w:val="00AC7848"/>
    <w:rsid w:val="00AC78B2"/>
    <w:rsid w:val="00AC7977"/>
    <w:rsid w:val="00AC7979"/>
    <w:rsid w:val="00AC7A0A"/>
    <w:rsid w:val="00AC7A78"/>
    <w:rsid w:val="00AC7AEB"/>
    <w:rsid w:val="00AC7AFD"/>
    <w:rsid w:val="00AC7B33"/>
    <w:rsid w:val="00AC7B9E"/>
    <w:rsid w:val="00AC7C26"/>
    <w:rsid w:val="00AC7C52"/>
    <w:rsid w:val="00AC7C7F"/>
    <w:rsid w:val="00AC7CDB"/>
    <w:rsid w:val="00AC7D35"/>
    <w:rsid w:val="00AC7DCB"/>
    <w:rsid w:val="00AC7EB6"/>
    <w:rsid w:val="00AC7F9C"/>
    <w:rsid w:val="00AC7FC8"/>
    <w:rsid w:val="00AD00BB"/>
    <w:rsid w:val="00AD012D"/>
    <w:rsid w:val="00AD01A2"/>
    <w:rsid w:val="00AD0335"/>
    <w:rsid w:val="00AD0360"/>
    <w:rsid w:val="00AD03D8"/>
    <w:rsid w:val="00AD0453"/>
    <w:rsid w:val="00AD047E"/>
    <w:rsid w:val="00AD049A"/>
    <w:rsid w:val="00AD0565"/>
    <w:rsid w:val="00AD05B5"/>
    <w:rsid w:val="00AD0644"/>
    <w:rsid w:val="00AD0711"/>
    <w:rsid w:val="00AD0764"/>
    <w:rsid w:val="00AD07A0"/>
    <w:rsid w:val="00AD0813"/>
    <w:rsid w:val="00AD083B"/>
    <w:rsid w:val="00AD0887"/>
    <w:rsid w:val="00AD08A4"/>
    <w:rsid w:val="00AD0934"/>
    <w:rsid w:val="00AD09A7"/>
    <w:rsid w:val="00AD0AA2"/>
    <w:rsid w:val="00AD0B6F"/>
    <w:rsid w:val="00AD0BAA"/>
    <w:rsid w:val="00AD0C31"/>
    <w:rsid w:val="00AD0C8D"/>
    <w:rsid w:val="00AD0D48"/>
    <w:rsid w:val="00AD0EF0"/>
    <w:rsid w:val="00AD0F7A"/>
    <w:rsid w:val="00AD0F9E"/>
    <w:rsid w:val="00AD0FFB"/>
    <w:rsid w:val="00AD100D"/>
    <w:rsid w:val="00AD1015"/>
    <w:rsid w:val="00AD1153"/>
    <w:rsid w:val="00AD11A2"/>
    <w:rsid w:val="00AD11A7"/>
    <w:rsid w:val="00AD11FD"/>
    <w:rsid w:val="00AD140C"/>
    <w:rsid w:val="00AD1448"/>
    <w:rsid w:val="00AD14B5"/>
    <w:rsid w:val="00AD152A"/>
    <w:rsid w:val="00AD1558"/>
    <w:rsid w:val="00AD1563"/>
    <w:rsid w:val="00AD1634"/>
    <w:rsid w:val="00AD16B5"/>
    <w:rsid w:val="00AD17B3"/>
    <w:rsid w:val="00AD17BB"/>
    <w:rsid w:val="00AD1817"/>
    <w:rsid w:val="00AD183A"/>
    <w:rsid w:val="00AD187D"/>
    <w:rsid w:val="00AD18C3"/>
    <w:rsid w:val="00AD18D2"/>
    <w:rsid w:val="00AD18F7"/>
    <w:rsid w:val="00AD1906"/>
    <w:rsid w:val="00AD1914"/>
    <w:rsid w:val="00AD1B2F"/>
    <w:rsid w:val="00AD1B33"/>
    <w:rsid w:val="00AD1B3B"/>
    <w:rsid w:val="00AD1C7E"/>
    <w:rsid w:val="00AD1C94"/>
    <w:rsid w:val="00AD1CB0"/>
    <w:rsid w:val="00AD1CB2"/>
    <w:rsid w:val="00AD1CDA"/>
    <w:rsid w:val="00AD1E7B"/>
    <w:rsid w:val="00AD1EA5"/>
    <w:rsid w:val="00AD1F1E"/>
    <w:rsid w:val="00AD1F84"/>
    <w:rsid w:val="00AD2085"/>
    <w:rsid w:val="00AD2100"/>
    <w:rsid w:val="00AD21CB"/>
    <w:rsid w:val="00AD2212"/>
    <w:rsid w:val="00AD2216"/>
    <w:rsid w:val="00AD22D1"/>
    <w:rsid w:val="00AD237D"/>
    <w:rsid w:val="00AD2459"/>
    <w:rsid w:val="00AD250D"/>
    <w:rsid w:val="00AD256F"/>
    <w:rsid w:val="00AD257B"/>
    <w:rsid w:val="00AD265B"/>
    <w:rsid w:val="00AD2692"/>
    <w:rsid w:val="00AD2785"/>
    <w:rsid w:val="00AD27D2"/>
    <w:rsid w:val="00AD2887"/>
    <w:rsid w:val="00AD2992"/>
    <w:rsid w:val="00AD2B33"/>
    <w:rsid w:val="00AD2B47"/>
    <w:rsid w:val="00AD2BD3"/>
    <w:rsid w:val="00AD2C4D"/>
    <w:rsid w:val="00AD2C4F"/>
    <w:rsid w:val="00AD2C72"/>
    <w:rsid w:val="00AD2D3D"/>
    <w:rsid w:val="00AD2D79"/>
    <w:rsid w:val="00AD2D87"/>
    <w:rsid w:val="00AD2E19"/>
    <w:rsid w:val="00AD2EF3"/>
    <w:rsid w:val="00AD2F34"/>
    <w:rsid w:val="00AD2F47"/>
    <w:rsid w:val="00AD2FCD"/>
    <w:rsid w:val="00AD3055"/>
    <w:rsid w:val="00AD3071"/>
    <w:rsid w:val="00AD3072"/>
    <w:rsid w:val="00AD3082"/>
    <w:rsid w:val="00AD317B"/>
    <w:rsid w:val="00AD32F4"/>
    <w:rsid w:val="00AD32FB"/>
    <w:rsid w:val="00AD3306"/>
    <w:rsid w:val="00AD3311"/>
    <w:rsid w:val="00AD336B"/>
    <w:rsid w:val="00AD338B"/>
    <w:rsid w:val="00AD341C"/>
    <w:rsid w:val="00AD3455"/>
    <w:rsid w:val="00AD3461"/>
    <w:rsid w:val="00AD3525"/>
    <w:rsid w:val="00AD3689"/>
    <w:rsid w:val="00AD3726"/>
    <w:rsid w:val="00AD3730"/>
    <w:rsid w:val="00AD37F2"/>
    <w:rsid w:val="00AD380B"/>
    <w:rsid w:val="00AD3AA4"/>
    <w:rsid w:val="00AD3B09"/>
    <w:rsid w:val="00AD3B43"/>
    <w:rsid w:val="00AD3BE7"/>
    <w:rsid w:val="00AD3C0B"/>
    <w:rsid w:val="00AD3C15"/>
    <w:rsid w:val="00AD3C45"/>
    <w:rsid w:val="00AD3C54"/>
    <w:rsid w:val="00AD3C97"/>
    <w:rsid w:val="00AD3CBA"/>
    <w:rsid w:val="00AD3D29"/>
    <w:rsid w:val="00AD3E42"/>
    <w:rsid w:val="00AD3EE8"/>
    <w:rsid w:val="00AD3F23"/>
    <w:rsid w:val="00AD3FA8"/>
    <w:rsid w:val="00AD4117"/>
    <w:rsid w:val="00AD41D1"/>
    <w:rsid w:val="00AD422E"/>
    <w:rsid w:val="00AD4391"/>
    <w:rsid w:val="00AD43D3"/>
    <w:rsid w:val="00AD442B"/>
    <w:rsid w:val="00AD442F"/>
    <w:rsid w:val="00AD4457"/>
    <w:rsid w:val="00AD449F"/>
    <w:rsid w:val="00AD44D5"/>
    <w:rsid w:val="00AD44ED"/>
    <w:rsid w:val="00AD4536"/>
    <w:rsid w:val="00AD45E2"/>
    <w:rsid w:val="00AD45ED"/>
    <w:rsid w:val="00AD467A"/>
    <w:rsid w:val="00AD46D0"/>
    <w:rsid w:val="00AD46DC"/>
    <w:rsid w:val="00AD4734"/>
    <w:rsid w:val="00AD477E"/>
    <w:rsid w:val="00AD47DC"/>
    <w:rsid w:val="00AD4890"/>
    <w:rsid w:val="00AD48EE"/>
    <w:rsid w:val="00AD4A27"/>
    <w:rsid w:val="00AD4A53"/>
    <w:rsid w:val="00AD4A7A"/>
    <w:rsid w:val="00AD4B39"/>
    <w:rsid w:val="00AD4B4B"/>
    <w:rsid w:val="00AD4C41"/>
    <w:rsid w:val="00AD4CA8"/>
    <w:rsid w:val="00AD4CFD"/>
    <w:rsid w:val="00AD4D54"/>
    <w:rsid w:val="00AD4D5C"/>
    <w:rsid w:val="00AD4D66"/>
    <w:rsid w:val="00AD4E4C"/>
    <w:rsid w:val="00AD5076"/>
    <w:rsid w:val="00AD5172"/>
    <w:rsid w:val="00AD5182"/>
    <w:rsid w:val="00AD51C0"/>
    <w:rsid w:val="00AD523F"/>
    <w:rsid w:val="00AD5324"/>
    <w:rsid w:val="00AD536F"/>
    <w:rsid w:val="00AD53E8"/>
    <w:rsid w:val="00AD5724"/>
    <w:rsid w:val="00AD5729"/>
    <w:rsid w:val="00AD57D4"/>
    <w:rsid w:val="00AD5873"/>
    <w:rsid w:val="00AD5A36"/>
    <w:rsid w:val="00AD5A43"/>
    <w:rsid w:val="00AD5B02"/>
    <w:rsid w:val="00AD5B3C"/>
    <w:rsid w:val="00AD5B6E"/>
    <w:rsid w:val="00AD5BD1"/>
    <w:rsid w:val="00AD5C00"/>
    <w:rsid w:val="00AD5C09"/>
    <w:rsid w:val="00AD5D3F"/>
    <w:rsid w:val="00AD5E43"/>
    <w:rsid w:val="00AD5F4F"/>
    <w:rsid w:val="00AD5FBF"/>
    <w:rsid w:val="00AD6097"/>
    <w:rsid w:val="00AD60A2"/>
    <w:rsid w:val="00AD612E"/>
    <w:rsid w:val="00AD61B9"/>
    <w:rsid w:val="00AD624A"/>
    <w:rsid w:val="00AD628D"/>
    <w:rsid w:val="00AD62E8"/>
    <w:rsid w:val="00AD6389"/>
    <w:rsid w:val="00AD63B5"/>
    <w:rsid w:val="00AD63C6"/>
    <w:rsid w:val="00AD63F2"/>
    <w:rsid w:val="00AD64D9"/>
    <w:rsid w:val="00AD64E2"/>
    <w:rsid w:val="00AD64E4"/>
    <w:rsid w:val="00AD64E7"/>
    <w:rsid w:val="00AD65AF"/>
    <w:rsid w:val="00AD65B8"/>
    <w:rsid w:val="00AD65BC"/>
    <w:rsid w:val="00AD65D3"/>
    <w:rsid w:val="00AD6687"/>
    <w:rsid w:val="00AD6802"/>
    <w:rsid w:val="00AD682B"/>
    <w:rsid w:val="00AD6836"/>
    <w:rsid w:val="00AD68ED"/>
    <w:rsid w:val="00AD690E"/>
    <w:rsid w:val="00AD69AE"/>
    <w:rsid w:val="00AD69CE"/>
    <w:rsid w:val="00AD6C90"/>
    <w:rsid w:val="00AD6CA2"/>
    <w:rsid w:val="00AD6CB7"/>
    <w:rsid w:val="00AD6CF0"/>
    <w:rsid w:val="00AD6D30"/>
    <w:rsid w:val="00AD6D33"/>
    <w:rsid w:val="00AD6D86"/>
    <w:rsid w:val="00AD6EA3"/>
    <w:rsid w:val="00AD6ED0"/>
    <w:rsid w:val="00AD6F7C"/>
    <w:rsid w:val="00AD6FB8"/>
    <w:rsid w:val="00AD704E"/>
    <w:rsid w:val="00AD70C5"/>
    <w:rsid w:val="00AD70E5"/>
    <w:rsid w:val="00AD722D"/>
    <w:rsid w:val="00AD725C"/>
    <w:rsid w:val="00AD7343"/>
    <w:rsid w:val="00AD741F"/>
    <w:rsid w:val="00AD758F"/>
    <w:rsid w:val="00AD7617"/>
    <w:rsid w:val="00AD7661"/>
    <w:rsid w:val="00AD76D5"/>
    <w:rsid w:val="00AD76E6"/>
    <w:rsid w:val="00AD7800"/>
    <w:rsid w:val="00AD7908"/>
    <w:rsid w:val="00AD791B"/>
    <w:rsid w:val="00AD791C"/>
    <w:rsid w:val="00AD7931"/>
    <w:rsid w:val="00AD7A03"/>
    <w:rsid w:val="00AD7AE6"/>
    <w:rsid w:val="00AD7B4E"/>
    <w:rsid w:val="00AD7C4C"/>
    <w:rsid w:val="00AD7C99"/>
    <w:rsid w:val="00AD7C9C"/>
    <w:rsid w:val="00AD7CD6"/>
    <w:rsid w:val="00AD7CD7"/>
    <w:rsid w:val="00AD7CFB"/>
    <w:rsid w:val="00AD7DC7"/>
    <w:rsid w:val="00AE00ED"/>
    <w:rsid w:val="00AE0208"/>
    <w:rsid w:val="00AE0375"/>
    <w:rsid w:val="00AE049C"/>
    <w:rsid w:val="00AE04E3"/>
    <w:rsid w:val="00AE0517"/>
    <w:rsid w:val="00AE061C"/>
    <w:rsid w:val="00AE0675"/>
    <w:rsid w:val="00AE06A0"/>
    <w:rsid w:val="00AE07B3"/>
    <w:rsid w:val="00AE07FA"/>
    <w:rsid w:val="00AE0846"/>
    <w:rsid w:val="00AE08D3"/>
    <w:rsid w:val="00AE0A77"/>
    <w:rsid w:val="00AE0A8F"/>
    <w:rsid w:val="00AE0A9B"/>
    <w:rsid w:val="00AE0AB2"/>
    <w:rsid w:val="00AE0C6F"/>
    <w:rsid w:val="00AE0D24"/>
    <w:rsid w:val="00AE0DD5"/>
    <w:rsid w:val="00AE0DF5"/>
    <w:rsid w:val="00AE0DF8"/>
    <w:rsid w:val="00AE0E19"/>
    <w:rsid w:val="00AE0F8C"/>
    <w:rsid w:val="00AE0FBD"/>
    <w:rsid w:val="00AE1007"/>
    <w:rsid w:val="00AE10CC"/>
    <w:rsid w:val="00AE10E9"/>
    <w:rsid w:val="00AE10FB"/>
    <w:rsid w:val="00AE1133"/>
    <w:rsid w:val="00AE114D"/>
    <w:rsid w:val="00AE1229"/>
    <w:rsid w:val="00AE123E"/>
    <w:rsid w:val="00AE1266"/>
    <w:rsid w:val="00AE12F2"/>
    <w:rsid w:val="00AE1307"/>
    <w:rsid w:val="00AE13D1"/>
    <w:rsid w:val="00AE14E1"/>
    <w:rsid w:val="00AE15A7"/>
    <w:rsid w:val="00AE16A4"/>
    <w:rsid w:val="00AE16F3"/>
    <w:rsid w:val="00AE1730"/>
    <w:rsid w:val="00AE1751"/>
    <w:rsid w:val="00AE175E"/>
    <w:rsid w:val="00AE1858"/>
    <w:rsid w:val="00AE186C"/>
    <w:rsid w:val="00AE1895"/>
    <w:rsid w:val="00AE1952"/>
    <w:rsid w:val="00AE1979"/>
    <w:rsid w:val="00AE1A11"/>
    <w:rsid w:val="00AE1A46"/>
    <w:rsid w:val="00AE1A87"/>
    <w:rsid w:val="00AE1A8F"/>
    <w:rsid w:val="00AE1AA0"/>
    <w:rsid w:val="00AE1ABF"/>
    <w:rsid w:val="00AE1B17"/>
    <w:rsid w:val="00AE1B70"/>
    <w:rsid w:val="00AE1B9C"/>
    <w:rsid w:val="00AE1BCE"/>
    <w:rsid w:val="00AE1C16"/>
    <w:rsid w:val="00AE1C56"/>
    <w:rsid w:val="00AE1CCD"/>
    <w:rsid w:val="00AE1D79"/>
    <w:rsid w:val="00AE1D82"/>
    <w:rsid w:val="00AE1D9A"/>
    <w:rsid w:val="00AE1E5E"/>
    <w:rsid w:val="00AE1E92"/>
    <w:rsid w:val="00AE1ECD"/>
    <w:rsid w:val="00AE1FEC"/>
    <w:rsid w:val="00AE2164"/>
    <w:rsid w:val="00AE223E"/>
    <w:rsid w:val="00AE2397"/>
    <w:rsid w:val="00AE2488"/>
    <w:rsid w:val="00AE25FA"/>
    <w:rsid w:val="00AE2680"/>
    <w:rsid w:val="00AE268A"/>
    <w:rsid w:val="00AE273F"/>
    <w:rsid w:val="00AE2859"/>
    <w:rsid w:val="00AE28BD"/>
    <w:rsid w:val="00AE28E5"/>
    <w:rsid w:val="00AE2988"/>
    <w:rsid w:val="00AE29B0"/>
    <w:rsid w:val="00AE2A21"/>
    <w:rsid w:val="00AE2ACD"/>
    <w:rsid w:val="00AE2B34"/>
    <w:rsid w:val="00AE2B97"/>
    <w:rsid w:val="00AE2BC7"/>
    <w:rsid w:val="00AE2C5C"/>
    <w:rsid w:val="00AE2D40"/>
    <w:rsid w:val="00AE2E07"/>
    <w:rsid w:val="00AE2F36"/>
    <w:rsid w:val="00AE2FEB"/>
    <w:rsid w:val="00AE3039"/>
    <w:rsid w:val="00AE304C"/>
    <w:rsid w:val="00AE3237"/>
    <w:rsid w:val="00AE325A"/>
    <w:rsid w:val="00AE3261"/>
    <w:rsid w:val="00AE3289"/>
    <w:rsid w:val="00AE332E"/>
    <w:rsid w:val="00AE3334"/>
    <w:rsid w:val="00AE3371"/>
    <w:rsid w:val="00AE3483"/>
    <w:rsid w:val="00AE3494"/>
    <w:rsid w:val="00AE35DB"/>
    <w:rsid w:val="00AE35E2"/>
    <w:rsid w:val="00AE368F"/>
    <w:rsid w:val="00AE37AA"/>
    <w:rsid w:val="00AE37C4"/>
    <w:rsid w:val="00AE3808"/>
    <w:rsid w:val="00AE3814"/>
    <w:rsid w:val="00AE3826"/>
    <w:rsid w:val="00AE3849"/>
    <w:rsid w:val="00AE3862"/>
    <w:rsid w:val="00AE387D"/>
    <w:rsid w:val="00AE38BD"/>
    <w:rsid w:val="00AE38CA"/>
    <w:rsid w:val="00AE397B"/>
    <w:rsid w:val="00AE39C5"/>
    <w:rsid w:val="00AE3A17"/>
    <w:rsid w:val="00AE3A3A"/>
    <w:rsid w:val="00AE3A66"/>
    <w:rsid w:val="00AE3AB0"/>
    <w:rsid w:val="00AE3B06"/>
    <w:rsid w:val="00AE3B09"/>
    <w:rsid w:val="00AE3B10"/>
    <w:rsid w:val="00AE3B5B"/>
    <w:rsid w:val="00AE3C17"/>
    <w:rsid w:val="00AE3C96"/>
    <w:rsid w:val="00AE3D4F"/>
    <w:rsid w:val="00AE3D82"/>
    <w:rsid w:val="00AE3DA9"/>
    <w:rsid w:val="00AE3E25"/>
    <w:rsid w:val="00AE3E3A"/>
    <w:rsid w:val="00AE3E5C"/>
    <w:rsid w:val="00AE3EF7"/>
    <w:rsid w:val="00AE3F13"/>
    <w:rsid w:val="00AE3F63"/>
    <w:rsid w:val="00AE4202"/>
    <w:rsid w:val="00AE4276"/>
    <w:rsid w:val="00AE4371"/>
    <w:rsid w:val="00AE43B5"/>
    <w:rsid w:val="00AE4481"/>
    <w:rsid w:val="00AE4592"/>
    <w:rsid w:val="00AE467D"/>
    <w:rsid w:val="00AE474B"/>
    <w:rsid w:val="00AE4756"/>
    <w:rsid w:val="00AE4776"/>
    <w:rsid w:val="00AE47DA"/>
    <w:rsid w:val="00AE482F"/>
    <w:rsid w:val="00AE4880"/>
    <w:rsid w:val="00AE4996"/>
    <w:rsid w:val="00AE49EB"/>
    <w:rsid w:val="00AE4A32"/>
    <w:rsid w:val="00AE4ABF"/>
    <w:rsid w:val="00AE4BD6"/>
    <w:rsid w:val="00AE4C06"/>
    <w:rsid w:val="00AE4C27"/>
    <w:rsid w:val="00AE4CEC"/>
    <w:rsid w:val="00AE4D73"/>
    <w:rsid w:val="00AE4D9E"/>
    <w:rsid w:val="00AE4F07"/>
    <w:rsid w:val="00AE4F13"/>
    <w:rsid w:val="00AE4FD9"/>
    <w:rsid w:val="00AE5004"/>
    <w:rsid w:val="00AE502F"/>
    <w:rsid w:val="00AE50A7"/>
    <w:rsid w:val="00AE519E"/>
    <w:rsid w:val="00AE51F2"/>
    <w:rsid w:val="00AE5203"/>
    <w:rsid w:val="00AE524D"/>
    <w:rsid w:val="00AE5356"/>
    <w:rsid w:val="00AE552C"/>
    <w:rsid w:val="00AE568F"/>
    <w:rsid w:val="00AE5728"/>
    <w:rsid w:val="00AE577A"/>
    <w:rsid w:val="00AE5825"/>
    <w:rsid w:val="00AE5843"/>
    <w:rsid w:val="00AE58BC"/>
    <w:rsid w:val="00AE5989"/>
    <w:rsid w:val="00AE5A08"/>
    <w:rsid w:val="00AE5A0D"/>
    <w:rsid w:val="00AE5A1E"/>
    <w:rsid w:val="00AE5A3A"/>
    <w:rsid w:val="00AE5A4D"/>
    <w:rsid w:val="00AE5BE1"/>
    <w:rsid w:val="00AE5C6F"/>
    <w:rsid w:val="00AE5C80"/>
    <w:rsid w:val="00AE5C81"/>
    <w:rsid w:val="00AE5C8D"/>
    <w:rsid w:val="00AE5CD5"/>
    <w:rsid w:val="00AE5D64"/>
    <w:rsid w:val="00AE5D73"/>
    <w:rsid w:val="00AE5DDC"/>
    <w:rsid w:val="00AE5E44"/>
    <w:rsid w:val="00AE5E47"/>
    <w:rsid w:val="00AE5EE7"/>
    <w:rsid w:val="00AE5F08"/>
    <w:rsid w:val="00AE5F36"/>
    <w:rsid w:val="00AE5F61"/>
    <w:rsid w:val="00AE5F82"/>
    <w:rsid w:val="00AE5FE0"/>
    <w:rsid w:val="00AE60B7"/>
    <w:rsid w:val="00AE6280"/>
    <w:rsid w:val="00AE62F1"/>
    <w:rsid w:val="00AE6428"/>
    <w:rsid w:val="00AE642E"/>
    <w:rsid w:val="00AE6465"/>
    <w:rsid w:val="00AE649B"/>
    <w:rsid w:val="00AE649E"/>
    <w:rsid w:val="00AE64F7"/>
    <w:rsid w:val="00AE6514"/>
    <w:rsid w:val="00AE65A5"/>
    <w:rsid w:val="00AE65E5"/>
    <w:rsid w:val="00AE6616"/>
    <w:rsid w:val="00AE66A1"/>
    <w:rsid w:val="00AE66E4"/>
    <w:rsid w:val="00AE6716"/>
    <w:rsid w:val="00AE676A"/>
    <w:rsid w:val="00AE6794"/>
    <w:rsid w:val="00AE6894"/>
    <w:rsid w:val="00AE68C7"/>
    <w:rsid w:val="00AE6916"/>
    <w:rsid w:val="00AE6966"/>
    <w:rsid w:val="00AE69F0"/>
    <w:rsid w:val="00AE6B40"/>
    <w:rsid w:val="00AE6B50"/>
    <w:rsid w:val="00AE6BDE"/>
    <w:rsid w:val="00AE6CC7"/>
    <w:rsid w:val="00AE6D64"/>
    <w:rsid w:val="00AE6E0E"/>
    <w:rsid w:val="00AE6E84"/>
    <w:rsid w:val="00AE6FB7"/>
    <w:rsid w:val="00AE70F4"/>
    <w:rsid w:val="00AE7110"/>
    <w:rsid w:val="00AE7145"/>
    <w:rsid w:val="00AE7152"/>
    <w:rsid w:val="00AE716F"/>
    <w:rsid w:val="00AE71A3"/>
    <w:rsid w:val="00AE7215"/>
    <w:rsid w:val="00AE7242"/>
    <w:rsid w:val="00AE7273"/>
    <w:rsid w:val="00AE728A"/>
    <w:rsid w:val="00AE72B3"/>
    <w:rsid w:val="00AE7349"/>
    <w:rsid w:val="00AE73AC"/>
    <w:rsid w:val="00AE743F"/>
    <w:rsid w:val="00AE74F7"/>
    <w:rsid w:val="00AE750E"/>
    <w:rsid w:val="00AE7543"/>
    <w:rsid w:val="00AE756A"/>
    <w:rsid w:val="00AE7600"/>
    <w:rsid w:val="00AE7611"/>
    <w:rsid w:val="00AE7629"/>
    <w:rsid w:val="00AE7653"/>
    <w:rsid w:val="00AE76AB"/>
    <w:rsid w:val="00AE76C8"/>
    <w:rsid w:val="00AE76EA"/>
    <w:rsid w:val="00AE7808"/>
    <w:rsid w:val="00AE7821"/>
    <w:rsid w:val="00AE7843"/>
    <w:rsid w:val="00AE7895"/>
    <w:rsid w:val="00AE78CA"/>
    <w:rsid w:val="00AE7A44"/>
    <w:rsid w:val="00AE7B58"/>
    <w:rsid w:val="00AE7B71"/>
    <w:rsid w:val="00AE7BA5"/>
    <w:rsid w:val="00AE7BF2"/>
    <w:rsid w:val="00AE7C51"/>
    <w:rsid w:val="00AE7C91"/>
    <w:rsid w:val="00AE7CC2"/>
    <w:rsid w:val="00AE7CC3"/>
    <w:rsid w:val="00AE7D8A"/>
    <w:rsid w:val="00AE7EA4"/>
    <w:rsid w:val="00AE7F5D"/>
    <w:rsid w:val="00AE7FA0"/>
    <w:rsid w:val="00AF000B"/>
    <w:rsid w:val="00AF0081"/>
    <w:rsid w:val="00AF00A6"/>
    <w:rsid w:val="00AF0110"/>
    <w:rsid w:val="00AF014F"/>
    <w:rsid w:val="00AF0210"/>
    <w:rsid w:val="00AF026B"/>
    <w:rsid w:val="00AF02B2"/>
    <w:rsid w:val="00AF02F3"/>
    <w:rsid w:val="00AF03D3"/>
    <w:rsid w:val="00AF0415"/>
    <w:rsid w:val="00AF0445"/>
    <w:rsid w:val="00AF04E6"/>
    <w:rsid w:val="00AF058C"/>
    <w:rsid w:val="00AF060F"/>
    <w:rsid w:val="00AF0670"/>
    <w:rsid w:val="00AF06DD"/>
    <w:rsid w:val="00AF0784"/>
    <w:rsid w:val="00AF0797"/>
    <w:rsid w:val="00AF0798"/>
    <w:rsid w:val="00AF07EE"/>
    <w:rsid w:val="00AF0834"/>
    <w:rsid w:val="00AF0874"/>
    <w:rsid w:val="00AF08E2"/>
    <w:rsid w:val="00AF098D"/>
    <w:rsid w:val="00AF09BE"/>
    <w:rsid w:val="00AF0ADC"/>
    <w:rsid w:val="00AF0AF6"/>
    <w:rsid w:val="00AF0C73"/>
    <w:rsid w:val="00AF0C76"/>
    <w:rsid w:val="00AF0C8A"/>
    <w:rsid w:val="00AF0CCF"/>
    <w:rsid w:val="00AF0CDC"/>
    <w:rsid w:val="00AF0CF9"/>
    <w:rsid w:val="00AF0D38"/>
    <w:rsid w:val="00AF0D64"/>
    <w:rsid w:val="00AF0D81"/>
    <w:rsid w:val="00AF0D99"/>
    <w:rsid w:val="00AF0DD5"/>
    <w:rsid w:val="00AF0DDD"/>
    <w:rsid w:val="00AF0E13"/>
    <w:rsid w:val="00AF0E2A"/>
    <w:rsid w:val="00AF0E51"/>
    <w:rsid w:val="00AF0FC1"/>
    <w:rsid w:val="00AF1086"/>
    <w:rsid w:val="00AF112E"/>
    <w:rsid w:val="00AF11A6"/>
    <w:rsid w:val="00AF11BA"/>
    <w:rsid w:val="00AF11C3"/>
    <w:rsid w:val="00AF11E0"/>
    <w:rsid w:val="00AF11F2"/>
    <w:rsid w:val="00AF1258"/>
    <w:rsid w:val="00AF1269"/>
    <w:rsid w:val="00AF12EB"/>
    <w:rsid w:val="00AF130F"/>
    <w:rsid w:val="00AF147B"/>
    <w:rsid w:val="00AF14D0"/>
    <w:rsid w:val="00AF1544"/>
    <w:rsid w:val="00AF157B"/>
    <w:rsid w:val="00AF15C7"/>
    <w:rsid w:val="00AF161A"/>
    <w:rsid w:val="00AF1632"/>
    <w:rsid w:val="00AF16CE"/>
    <w:rsid w:val="00AF1810"/>
    <w:rsid w:val="00AF1814"/>
    <w:rsid w:val="00AF183A"/>
    <w:rsid w:val="00AF184D"/>
    <w:rsid w:val="00AF18EF"/>
    <w:rsid w:val="00AF19A1"/>
    <w:rsid w:val="00AF1A16"/>
    <w:rsid w:val="00AF1A30"/>
    <w:rsid w:val="00AF1A3C"/>
    <w:rsid w:val="00AF1A91"/>
    <w:rsid w:val="00AF1C02"/>
    <w:rsid w:val="00AF1C10"/>
    <w:rsid w:val="00AF1C24"/>
    <w:rsid w:val="00AF1D11"/>
    <w:rsid w:val="00AF1D56"/>
    <w:rsid w:val="00AF1F33"/>
    <w:rsid w:val="00AF1FB7"/>
    <w:rsid w:val="00AF2028"/>
    <w:rsid w:val="00AF2041"/>
    <w:rsid w:val="00AF20C4"/>
    <w:rsid w:val="00AF2125"/>
    <w:rsid w:val="00AF226B"/>
    <w:rsid w:val="00AF2371"/>
    <w:rsid w:val="00AF2510"/>
    <w:rsid w:val="00AF25A9"/>
    <w:rsid w:val="00AF2669"/>
    <w:rsid w:val="00AF273E"/>
    <w:rsid w:val="00AF28C6"/>
    <w:rsid w:val="00AF29AC"/>
    <w:rsid w:val="00AF2AB7"/>
    <w:rsid w:val="00AF2ADE"/>
    <w:rsid w:val="00AF2B1C"/>
    <w:rsid w:val="00AF2C14"/>
    <w:rsid w:val="00AF2C41"/>
    <w:rsid w:val="00AF2C75"/>
    <w:rsid w:val="00AF2CA4"/>
    <w:rsid w:val="00AF2D71"/>
    <w:rsid w:val="00AF2DA4"/>
    <w:rsid w:val="00AF2E34"/>
    <w:rsid w:val="00AF2E9F"/>
    <w:rsid w:val="00AF2F2B"/>
    <w:rsid w:val="00AF2F42"/>
    <w:rsid w:val="00AF2F87"/>
    <w:rsid w:val="00AF2F9B"/>
    <w:rsid w:val="00AF2FB6"/>
    <w:rsid w:val="00AF3016"/>
    <w:rsid w:val="00AF305B"/>
    <w:rsid w:val="00AF3073"/>
    <w:rsid w:val="00AF314C"/>
    <w:rsid w:val="00AF328A"/>
    <w:rsid w:val="00AF32B4"/>
    <w:rsid w:val="00AF32D3"/>
    <w:rsid w:val="00AF3503"/>
    <w:rsid w:val="00AF35AE"/>
    <w:rsid w:val="00AF35B6"/>
    <w:rsid w:val="00AF35CE"/>
    <w:rsid w:val="00AF374A"/>
    <w:rsid w:val="00AF376E"/>
    <w:rsid w:val="00AF3774"/>
    <w:rsid w:val="00AF37A1"/>
    <w:rsid w:val="00AF3855"/>
    <w:rsid w:val="00AF3A09"/>
    <w:rsid w:val="00AF3A6F"/>
    <w:rsid w:val="00AF3A7F"/>
    <w:rsid w:val="00AF3B02"/>
    <w:rsid w:val="00AF3B44"/>
    <w:rsid w:val="00AF3B4C"/>
    <w:rsid w:val="00AF3B94"/>
    <w:rsid w:val="00AF3BA0"/>
    <w:rsid w:val="00AF3CF5"/>
    <w:rsid w:val="00AF3D55"/>
    <w:rsid w:val="00AF3D5B"/>
    <w:rsid w:val="00AF3E83"/>
    <w:rsid w:val="00AF3F1B"/>
    <w:rsid w:val="00AF3F2A"/>
    <w:rsid w:val="00AF3FC6"/>
    <w:rsid w:val="00AF401C"/>
    <w:rsid w:val="00AF402B"/>
    <w:rsid w:val="00AF412B"/>
    <w:rsid w:val="00AF414F"/>
    <w:rsid w:val="00AF4216"/>
    <w:rsid w:val="00AF4299"/>
    <w:rsid w:val="00AF4358"/>
    <w:rsid w:val="00AF4386"/>
    <w:rsid w:val="00AF4452"/>
    <w:rsid w:val="00AF4479"/>
    <w:rsid w:val="00AF44B8"/>
    <w:rsid w:val="00AF44BD"/>
    <w:rsid w:val="00AF4505"/>
    <w:rsid w:val="00AF454D"/>
    <w:rsid w:val="00AF4573"/>
    <w:rsid w:val="00AF45A2"/>
    <w:rsid w:val="00AF4617"/>
    <w:rsid w:val="00AF47B1"/>
    <w:rsid w:val="00AF481E"/>
    <w:rsid w:val="00AF4823"/>
    <w:rsid w:val="00AF482D"/>
    <w:rsid w:val="00AF49FB"/>
    <w:rsid w:val="00AF4AC8"/>
    <w:rsid w:val="00AF4B48"/>
    <w:rsid w:val="00AF4BC3"/>
    <w:rsid w:val="00AF4BC6"/>
    <w:rsid w:val="00AF4C31"/>
    <w:rsid w:val="00AF4C95"/>
    <w:rsid w:val="00AF4CC0"/>
    <w:rsid w:val="00AF4D3F"/>
    <w:rsid w:val="00AF4DC4"/>
    <w:rsid w:val="00AF4E07"/>
    <w:rsid w:val="00AF4E2F"/>
    <w:rsid w:val="00AF4F87"/>
    <w:rsid w:val="00AF4FE5"/>
    <w:rsid w:val="00AF501C"/>
    <w:rsid w:val="00AF505A"/>
    <w:rsid w:val="00AF5062"/>
    <w:rsid w:val="00AF5151"/>
    <w:rsid w:val="00AF51E8"/>
    <w:rsid w:val="00AF524F"/>
    <w:rsid w:val="00AF52D8"/>
    <w:rsid w:val="00AF52EC"/>
    <w:rsid w:val="00AF5309"/>
    <w:rsid w:val="00AF536A"/>
    <w:rsid w:val="00AF537C"/>
    <w:rsid w:val="00AF5456"/>
    <w:rsid w:val="00AF566C"/>
    <w:rsid w:val="00AF56AC"/>
    <w:rsid w:val="00AF571F"/>
    <w:rsid w:val="00AF575A"/>
    <w:rsid w:val="00AF5978"/>
    <w:rsid w:val="00AF59CD"/>
    <w:rsid w:val="00AF5B62"/>
    <w:rsid w:val="00AF5BDD"/>
    <w:rsid w:val="00AF5C9B"/>
    <w:rsid w:val="00AF5C9E"/>
    <w:rsid w:val="00AF5D55"/>
    <w:rsid w:val="00AF5D5A"/>
    <w:rsid w:val="00AF5D88"/>
    <w:rsid w:val="00AF6031"/>
    <w:rsid w:val="00AF614B"/>
    <w:rsid w:val="00AF627E"/>
    <w:rsid w:val="00AF62B9"/>
    <w:rsid w:val="00AF6381"/>
    <w:rsid w:val="00AF6391"/>
    <w:rsid w:val="00AF63E7"/>
    <w:rsid w:val="00AF6407"/>
    <w:rsid w:val="00AF641D"/>
    <w:rsid w:val="00AF64C4"/>
    <w:rsid w:val="00AF64ED"/>
    <w:rsid w:val="00AF655A"/>
    <w:rsid w:val="00AF658B"/>
    <w:rsid w:val="00AF659F"/>
    <w:rsid w:val="00AF65BF"/>
    <w:rsid w:val="00AF65E8"/>
    <w:rsid w:val="00AF65F2"/>
    <w:rsid w:val="00AF6621"/>
    <w:rsid w:val="00AF6628"/>
    <w:rsid w:val="00AF662B"/>
    <w:rsid w:val="00AF6703"/>
    <w:rsid w:val="00AF6785"/>
    <w:rsid w:val="00AF6792"/>
    <w:rsid w:val="00AF6827"/>
    <w:rsid w:val="00AF68E5"/>
    <w:rsid w:val="00AF6901"/>
    <w:rsid w:val="00AF6905"/>
    <w:rsid w:val="00AF6947"/>
    <w:rsid w:val="00AF6995"/>
    <w:rsid w:val="00AF69F6"/>
    <w:rsid w:val="00AF6A60"/>
    <w:rsid w:val="00AF6AAA"/>
    <w:rsid w:val="00AF6B05"/>
    <w:rsid w:val="00AF6BA7"/>
    <w:rsid w:val="00AF6BF4"/>
    <w:rsid w:val="00AF6BF7"/>
    <w:rsid w:val="00AF6CE7"/>
    <w:rsid w:val="00AF6D17"/>
    <w:rsid w:val="00AF6D71"/>
    <w:rsid w:val="00AF6DD2"/>
    <w:rsid w:val="00AF6E1C"/>
    <w:rsid w:val="00AF6E1D"/>
    <w:rsid w:val="00AF6E7F"/>
    <w:rsid w:val="00AF6ECB"/>
    <w:rsid w:val="00AF6F60"/>
    <w:rsid w:val="00AF7082"/>
    <w:rsid w:val="00AF708D"/>
    <w:rsid w:val="00AF70FA"/>
    <w:rsid w:val="00AF7215"/>
    <w:rsid w:val="00AF7270"/>
    <w:rsid w:val="00AF7301"/>
    <w:rsid w:val="00AF73AC"/>
    <w:rsid w:val="00AF73B2"/>
    <w:rsid w:val="00AF740C"/>
    <w:rsid w:val="00AF7419"/>
    <w:rsid w:val="00AF7479"/>
    <w:rsid w:val="00AF748A"/>
    <w:rsid w:val="00AF74F2"/>
    <w:rsid w:val="00AF76D2"/>
    <w:rsid w:val="00AF76DA"/>
    <w:rsid w:val="00AF781F"/>
    <w:rsid w:val="00AF789F"/>
    <w:rsid w:val="00AF790E"/>
    <w:rsid w:val="00AF7AB8"/>
    <w:rsid w:val="00AF7B16"/>
    <w:rsid w:val="00AF7B90"/>
    <w:rsid w:val="00AF7BA4"/>
    <w:rsid w:val="00AF7C2A"/>
    <w:rsid w:val="00AF7C59"/>
    <w:rsid w:val="00AF7D5E"/>
    <w:rsid w:val="00AF7EE2"/>
    <w:rsid w:val="00AF7F06"/>
    <w:rsid w:val="00B00036"/>
    <w:rsid w:val="00B0004E"/>
    <w:rsid w:val="00B0008E"/>
    <w:rsid w:val="00B00099"/>
    <w:rsid w:val="00B000F2"/>
    <w:rsid w:val="00B000F6"/>
    <w:rsid w:val="00B00137"/>
    <w:rsid w:val="00B002C8"/>
    <w:rsid w:val="00B003BF"/>
    <w:rsid w:val="00B004A5"/>
    <w:rsid w:val="00B00540"/>
    <w:rsid w:val="00B005E2"/>
    <w:rsid w:val="00B0060B"/>
    <w:rsid w:val="00B006B3"/>
    <w:rsid w:val="00B006CF"/>
    <w:rsid w:val="00B006DD"/>
    <w:rsid w:val="00B0070F"/>
    <w:rsid w:val="00B0078A"/>
    <w:rsid w:val="00B00AEF"/>
    <w:rsid w:val="00B00B1E"/>
    <w:rsid w:val="00B00B2F"/>
    <w:rsid w:val="00B00D15"/>
    <w:rsid w:val="00B00D20"/>
    <w:rsid w:val="00B00D48"/>
    <w:rsid w:val="00B00D9E"/>
    <w:rsid w:val="00B00EDC"/>
    <w:rsid w:val="00B00F9A"/>
    <w:rsid w:val="00B010E1"/>
    <w:rsid w:val="00B011AC"/>
    <w:rsid w:val="00B012AF"/>
    <w:rsid w:val="00B0132D"/>
    <w:rsid w:val="00B01331"/>
    <w:rsid w:val="00B01344"/>
    <w:rsid w:val="00B0139D"/>
    <w:rsid w:val="00B013F5"/>
    <w:rsid w:val="00B014DB"/>
    <w:rsid w:val="00B01522"/>
    <w:rsid w:val="00B0159B"/>
    <w:rsid w:val="00B015BE"/>
    <w:rsid w:val="00B015C0"/>
    <w:rsid w:val="00B01706"/>
    <w:rsid w:val="00B01770"/>
    <w:rsid w:val="00B017B2"/>
    <w:rsid w:val="00B017C5"/>
    <w:rsid w:val="00B017FC"/>
    <w:rsid w:val="00B0183C"/>
    <w:rsid w:val="00B019C0"/>
    <w:rsid w:val="00B01A11"/>
    <w:rsid w:val="00B01A82"/>
    <w:rsid w:val="00B01AFD"/>
    <w:rsid w:val="00B01B10"/>
    <w:rsid w:val="00B01B4E"/>
    <w:rsid w:val="00B01B79"/>
    <w:rsid w:val="00B01CFE"/>
    <w:rsid w:val="00B01D10"/>
    <w:rsid w:val="00B01E3D"/>
    <w:rsid w:val="00B01EFC"/>
    <w:rsid w:val="00B01F94"/>
    <w:rsid w:val="00B01FFD"/>
    <w:rsid w:val="00B021D8"/>
    <w:rsid w:val="00B021F1"/>
    <w:rsid w:val="00B02287"/>
    <w:rsid w:val="00B022D0"/>
    <w:rsid w:val="00B022FF"/>
    <w:rsid w:val="00B02352"/>
    <w:rsid w:val="00B0235D"/>
    <w:rsid w:val="00B0244B"/>
    <w:rsid w:val="00B02576"/>
    <w:rsid w:val="00B02635"/>
    <w:rsid w:val="00B026BF"/>
    <w:rsid w:val="00B027EF"/>
    <w:rsid w:val="00B0286A"/>
    <w:rsid w:val="00B02904"/>
    <w:rsid w:val="00B02909"/>
    <w:rsid w:val="00B0299F"/>
    <w:rsid w:val="00B029AF"/>
    <w:rsid w:val="00B029BB"/>
    <w:rsid w:val="00B02A5F"/>
    <w:rsid w:val="00B02AE5"/>
    <w:rsid w:val="00B02B94"/>
    <w:rsid w:val="00B02BB0"/>
    <w:rsid w:val="00B02BC1"/>
    <w:rsid w:val="00B02CA5"/>
    <w:rsid w:val="00B02D52"/>
    <w:rsid w:val="00B02D8B"/>
    <w:rsid w:val="00B02DA1"/>
    <w:rsid w:val="00B02EE3"/>
    <w:rsid w:val="00B02FF3"/>
    <w:rsid w:val="00B0300B"/>
    <w:rsid w:val="00B03028"/>
    <w:rsid w:val="00B03066"/>
    <w:rsid w:val="00B03070"/>
    <w:rsid w:val="00B030A6"/>
    <w:rsid w:val="00B030F4"/>
    <w:rsid w:val="00B0313C"/>
    <w:rsid w:val="00B031AA"/>
    <w:rsid w:val="00B031B3"/>
    <w:rsid w:val="00B031DF"/>
    <w:rsid w:val="00B03225"/>
    <w:rsid w:val="00B0322D"/>
    <w:rsid w:val="00B0326F"/>
    <w:rsid w:val="00B032A7"/>
    <w:rsid w:val="00B032C1"/>
    <w:rsid w:val="00B032FE"/>
    <w:rsid w:val="00B03329"/>
    <w:rsid w:val="00B03355"/>
    <w:rsid w:val="00B03360"/>
    <w:rsid w:val="00B033DA"/>
    <w:rsid w:val="00B0343B"/>
    <w:rsid w:val="00B035AB"/>
    <w:rsid w:val="00B035CE"/>
    <w:rsid w:val="00B036CE"/>
    <w:rsid w:val="00B036D1"/>
    <w:rsid w:val="00B03748"/>
    <w:rsid w:val="00B037A2"/>
    <w:rsid w:val="00B037EA"/>
    <w:rsid w:val="00B0387A"/>
    <w:rsid w:val="00B03917"/>
    <w:rsid w:val="00B03927"/>
    <w:rsid w:val="00B03961"/>
    <w:rsid w:val="00B03972"/>
    <w:rsid w:val="00B039DE"/>
    <w:rsid w:val="00B03A4B"/>
    <w:rsid w:val="00B03A6C"/>
    <w:rsid w:val="00B03B46"/>
    <w:rsid w:val="00B03BCD"/>
    <w:rsid w:val="00B03C3E"/>
    <w:rsid w:val="00B03CF4"/>
    <w:rsid w:val="00B03D9C"/>
    <w:rsid w:val="00B03EB9"/>
    <w:rsid w:val="00B03F21"/>
    <w:rsid w:val="00B03F35"/>
    <w:rsid w:val="00B040C3"/>
    <w:rsid w:val="00B040FB"/>
    <w:rsid w:val="00B041CA"/>
    <w:rsid w:val="00B04312"/>
    <w:rsid w:val="00B04345"/>
    <w:rsid w:val="00B04468"/>
    <w:rsid w:val="00B044B3"/>
    <w:rsid w:val="00B04547"/>
    <w:rsid w:val="00B045FC"/>
    <w:rsid w:val="00B04693"/>
    <w:rsid w:val="00B047DA"/>
    <w:rsid w:val="00B0483D"/>
    <w:rsid w:val="00B048EB"/>
    <w:rsid w:val="00B04910"/>
    <w:rsid w:val="00B0497F"/>
    <w:rsid w:val="00B0499E"/>
    <w:rsid w:val="00B04ACF"/>
    <w:rsid w:val="00B04AFE"/>
    <w:rsid w:val="00B04BA6"/>
    <w:rsid w:val="00B04BA8"/>
    <w:rsid w:val="00B04C25"/>
    <w:rsid w:val="00B04C96"/>
    <w:rsid w:val="00B04D00"/>
    <w:rsid w:val="00B04D0C"/>
    <w:rsid w:val="00B04D6F"/>
    <w:rsid w:val="00B04EEE"/>
    <w:rsid w:val="00B04F4F"/>
    <w:rsid w:val="00B04F73"/>
    <w:rsid w:val="00B04FD5"/>
    <w:rsid w:val="00B04FF3"/>
    <w:rsid w:val="00B05132"/>
    <w:rsid w:val="00B0514E"/>
    <w:rsid w:val="00B05159"/>
    <w:rsid w:val="00B05265"/>
    <w:rsid w:val="00B052C0"/>
    <w:rsid w:val="00B052DF"/>
    <w:rsid w:val="00B05457"/>
    <w:rsid w:val="00B0549B"/>
    <w:rsid w:val="00B054C5"/>
    <w:rsid w:val="00B054E7"/>
    <w:rsid w:val="00B0550D"/>
    <w:rsid w:val="00B05538"/>
    <w:rsid w:val="00B05620"/>
    <w:rsid w:val="00B05659"/>
    <w:rsid w:val="00B056FD"/>
    <w:rsid w:val="00B057F5"/>
    <w:rsid w:val="00B059F3"/>
    <w:rsid w:val="00B05AA2"/>
    <w:rsid w:val="00B05AD3"/>
    <w:rsid w:val="00B05BAE"/>
    <w:rsid w:val="00B05C50"/>
    <w:rsid w:val="00B05C51"/>
    <w:rsid w:val="00B05CDE"/>
    <w:rsid w:val="00B05D1D"/>
    <w:rsid w:val="00B05E62"/>
    <w:rsid w:val="00B060D7"/>
    <w:rsid w:val="00B06117"/>
    <w:rsid w:val="00B0615A"/>
    <w:rsid w:val="00B062AA"/>
    <w:rsid w:val="00B06307"/>
    <w:rsid w:val="00B0631A"/>
    <w:rsid w:val="00B06365"/>
    <w:rsid w:val="00B063A5"/>
    <w:rsid w:val="00B063E7"/>
    <w:rsid w:val="00B0642A"/>
    <w:rsid w:val="00B0642D"/>
    <w:rsid w:val="00B0647D"/>
    <w:rsid w:val="00B0650B"/>
    <w:rsid w:val="00B065E0"/>
    <w:rsid w:val="00B0667C"/>
    <w:rsid w:val="00B066D4"/>
    <w:rsid w:val="00B06755"/>
    <w:rsid w:val="00B06772"/>
    <w:rsid w:val="00B067C3"/>
    <w:rsid w:val="00B06835"/>
    <w:rsid w:val="00B0695E"/>
    <w:rsid w:val="00B069A2"/>
    <w:rsid w:val="00B06A3C"/>
    <w:rsid w:val="00B06A75"/>
    <w:rsid w:val="00B06A90"/>
    <w:rsid w:val="00B06A9A"/>
    <w:rsid w:val="00B06B5D"/>
    <w:rsid w:val="00B06B88"/>
    <w:rsid w:val="00B06BD8"/>
    <w:rsid w:val="00B06C54"/>
    <w:rsid w:val="00B06C72"/>
    <w:rsid w:val="00B06D87"/>
    <w:rsid w:val="00B06E45"/>
    <w:rsid w:val="00B06EB2"/>
    <w:rsid w:val="00B06EF5"/>
    <w:rsid w:val="00B06F33"/>
    <w:rsid w:val="00B0709C"/>
    <w:rsid w:val="00B07135"/>
    <w:rsid w:val="00B07157"/>
    <w:rsid w:val="00B07209"/>
    <w:rsid w:val="00B0725D"/>
    <w:rsid w:val="00B0729F"/>
    <w:rsid w:val="00B072FF"/>
    <w:rsid w:val="00B07381"/>
    <w:rsid w:val="00B07385"/>
    <w:rsid w:val="00B07390"/>
    <w:rsid w:val="00B07493"/>
    <w:rsid w:val="00B07581"/>
    <w:rsid w:val="00B0759D"/>
    <w:rsid w:val="00B076CA"/>
    <w:rsid w:val="00B0771D"/>
    <w:rsid w:val="00B077E1"/>
    <w:rsid w:val="00B07822"/>
    <w:rsid w:val="00B07839"/>
    <w:rsid w:val="00B0785B"/>
    <w:rsid w:val="00B07890"/>
    <w:rsid w:val="00B078A3"/>
    <w:rsid w:val="00B079EC"/>
    <w:rsid w:val="00B07A69"/>
    <w:rsid w:val="00B07A8D"/>
    <w:rsid w:val="00B07AC1"/>
    <w:rsid w:val="00B07ADC"/>
    <w:rsid w:val="00B07C11"/>
    <w:rsid w:val="00B07C9C"/>
    <w:rsid w:val="00B07CA7"/>
    <w:rsid w:val="00B07CCE"/>
    <w:rsid w:val="00B07D38"/>
    <w:rsid w:val="00B07DA1"/>
    <w:rsid w:val="00B07E09"/>
    <w:rsid w:val="00B07F60"/>
    <w:rsid w:val="00B10287"/>
    <w:rsid w:val="00B1031B"/>
    <w:rsid w:val="00B10323"/>
    <w:rsid w:val="00B10370"/>
    <w:rsid w:val="00B104CA"/>
    <w:rsid w:val="00B10524"/>
    <w:rsid w:val="00B10541"/>
    <w:rsid w:val="00B105AB"/>
    <w:rsid w:val="00B10638"/>
    <w:rsid w:val="00B10774"/>
    <w:rsid w:val="00B107B6"/>
    <w:rsid w:val="00B10858"/>
    <w:rsid w:val="00B1085D"/>
    <w:rsid w:val="00B1087F"/>
    <w:rsid w:val="00B10893"/>
    <w:rsid w:val="00B109C1"/>
    <w:rsid w:val="00B109E7"/>
    <w:rsid w:val="00B10A73"/>
    <w:rsid w:val="00B10BE6"/>
    <w:rsid w:val="00B10BFA"/>
    <w:rsid w:val="00B10CFB"/>
    <w:rsid w:val="00B10CFD"/>
    <w:rsid w:val="00B10D27"/>
    <w:rsid w:val="00B10DBA"/>
    <w:rsid w:val="00B10E15"/>
    <w:rsid w:val="00B10E81"/>
    <w:rsid w:val="00B10ECB"/>
    <w:rsid w:val="00B10F0D"/>
    <w:rsid w:val="00B10F66"/>
    <w:rsid w:val="00B1107C"/>
    <w:rsid w:val="00B1109A"/>
    <w:rsid w:val="00B110B1"/>
    <w:rsid w:val="00B110C5"/>
    <w:rsid w:val="00B1112D"/>
    <w:rsid w:val="00B11231"/>
    <w:rsid w:val="00B1126C"/>
    <w:rsid w:val="00B1138B"/>
    <w:rsid w:val="00B113B7"/>
    <w:rsid w:val="00B115D2"/>
    <w:rsid w:val="00B115D7"/>
    <w:rsid w:val="00B1163E"/>
    <w:rsid w:val="00B11663"/>
    <w:rsid w:val="00B1180C"/>
    <w:rsid w:val="00B11852"/>
    <w:rsid w:val="00B1185E"/>
    <w:rsid w:val="00B118C0"/>
    <w:rsid w:val="00B118D6"/>
    <w:rsid w:val="00B11973"/>
    <w:rsid w:val="00B11977"/>
    <w:rsid w:val="00B11A36"/>
    <w:rsid w:val="00B11A66"/>
    <w:rsid w:val="00B11A8F"/>
    <w:rsid w:val="00B11AA5"/>
    <w:rsid w:val="00B11AB7"/>
    <w:rsid w:val="00B11B03"/>
    <w:rsid w:val="00B11BE4"/>
    <w:rsid w:val="00B11C0B"/>
    <w:rsid w:val="00B11C22"/>
    <w:rsid w:val="00B11C6D"/>
    <w:rsid w:val="00B11DD3"/>
    <w:rsid w:val="00B11E6B"/>
    <w:rsid w:val="00B11E75"/>
    <w:rsid w:val="00B11E91"/>
    <w:rsid w:val="00B11F40"/>
    <w:rsid w:val="00B11F41"/>
    <w:rsid w:val="00B11F5C"/>
    <w:rsid w:val="00B11F61"/>
    <w:rsid w:val="00B11FE3"/>
    <w:rsid w:val="00B1210C"/>
    <w:rsid w:val="00B12149"/>
    <w:rsid w:val="00B12199"/>
    <w:rsid w:val="00B1231C"/>
    <w:rsid w:val="00B123AB"/>
    <w:rsid w:val="00B123D7"/>
    <w:rsid w:val="00B12437"/>
    <w:rsid w:val="00B12458"/>
    <w:rsid w:val="00B12578"/>
    <w:rsid w:val="00B125B2"/>
    <w:rsid w:val="00B126E1"/>
    <w:rsid w:val="00B127A9"/>
    <w:rsid w:val="00B128A0"/>
    <w:rsid w:val="00B128F4"/>
    <w:rsid w:val="00B1291E"/>
    <w:rsid w:val="00B129A6"/>
    <w:rsid w:val="00B129B0"/>
    <w:rsid w:val="00B129D5"/>
    <w:rsid w:val="00B12A01"/>
    <w:rsid w:val="00B12A0F"/>
    <w:rsid w:val="00B12AAC"/>
    <w:rsid w:val="00B12AD1"/>
    <w:rsid w:val="00B12AEA"/>
    <w:rsid w:val="00B12B37"/>
    <w:rsid w:val="00B12B40"/>
    <w:rsid w:val="00B12B70"/>
    <w:rsid w:val="00B12C24"/>
    <w:rsid w:val="00B12CB8"/>
    <w:rsid w:val="00B12D45"/>
    <w:rsid w:val="00B12D7F"/>
    <w:rsid w:val="00B12E47"/>
    <w:rsid w:val="00B12E56"/>
    <w:rsid w:val="00B12FD9"/>
    <w:rsid w:val="00B1302F"/>
    <w:rsid w:val="00B130A8"/>
    <w:rsid w:val="00B13189"/>
    <w:rsid w:val="00B131E1"/>
    <w:rsid w:val="00B131F2"/>
    <w:rsid w:val="00B131F5"/>
    <w:rsid w:val="00B132D3"/>
    <w:rsid w:val="00B13308"/>
    <w:rsid w:val="00B1331D"/>
    <w:rsid w:val="00B133AB"/>
    <w:rsid w:val="00B133D6"/>
    <w:rsid w:val="00B13456"/>
    <w:rsid w:val="00B1347E"/>
    <w:rsid w:val="00B134E7"/>
    <w:rsid w:val="00B13516"/>
    <w:rsid w:val="00B13521"/>
    <w:rsid w:val="00B13526"/>
    <w:rsid w:val="00B13750"/>
    <w:rsid w:val="00B13781"/>
    <w:rsid w:val="00B137E6"/>
    <w:rsid w:val="00B13861"/>
    <w:rsid w:val="00B1386B"/>
    <w:rsid w:val="00B138DA"/>
    <w:rsid w:val="00B13922"/>
    <w:rsid w:val="00B13A9A"/>
    <w:rsid w:val="00B13A9B"/>
    <w:rsid w:val="00B13AC0"/>
    <w:rsid w:val="00B13ACE"/>
    <w:rsid w:val="00B13AF4"/>
    <w:rsid w:val="00B13AF9"/>
    <w:rsid w:val="00B13B76"/>
    <w:rsid w:val="00B13C78"/>
    <w:rsid w:val="00B13D36"/>
    <w:rsid w:val="00B13D52"/>
    <w:rsid w:val="00B13F26"/>
    <w:rsid w:val="00B14010"/>
    <w:rsid w:val="00B1405B"/>
    <w:rsid w:val="00B14086"/>
    <w:rsid w:val="00B14091"/>
    <w:rsid w:val="00B140D0"/>
    <w:rsid w:val="00B14155"/>
    <w:rsid w:val="00B14208"/>
    <w:rsid w:val="00B1425C"/>
    <w:rsid w:val="00B14267"/>
    <w:rsid w:val="00B14279"/>
    <w:rsid w:val="00B14422"/>
    <w:rsid w:val="00B1442C"/>
    <w:rsid w:val="00B14645"/>
    <w:rsid w:val="00B1469C"/>
    <w:rsid w:val="00B1470D"/>
    <w:rsid w:val="00B14968"/>
    <w:rsid w:val="00B14A2B"/>
    <w:rsid w:val="00B14AA3"/>
    <w:rsid w:val="00B14B74"/>
    <w:rsid w:val="00B14BA9"/>
    <w:rsid w:val="00B14BEB"/>
    <w:rsid w:val="00B14C13"/>
    <w:rsid w:val="00B14C3A"/>
    <w:rsid w:val="00B14C48"/>
    <w:rsid w:val="00B14C83"/>
    <w:rsid w:val="00B14CA3"/>
    <w:rsid w:val="00B14CD1"/>
    <w:rsid w:val="00B14CF6"/>
    <w:rsid w:val="00B14D1D"/>
    <w:rsid w:val="00B14D70"/>
    <w:rsid w:val="00B14DC3"/>
    <w:rsid w:val="00B15082"/>
    <w:rsid w:val="00B15145"/>
    <w:rsid w:val="00B15172"/>
    <w:rsid w:val="00B15418"/>
    <w:rsid w:val="00B15437"/>
    <w:rsid w:val="00B154B4"/>
    <w:rsid w:val="00B154C1"/>
    <w:rsid w:val="00B15541"/>
    <w:rsid w:val="00B15692"/>
    <w:rsid w:val="00B156A5"/>
    <w:rsid w:val="00B156C3"/>
    <w:rsid w:val="00B15750"/>
    <w:rsid w:val="00B15850"/>
    <w:rsid w:val="00B158C3"/>
    <w:rsid w:val="00B1593B"/>
    <w:rsid w:val="00B15970"/>
    <w:rsid w:val="00B159F5"/>
    <w:rsid w:val="00B15A09"/>
    <w:rsid w:val="00B15A2C"/>
    <w:rsid w:val="00B15A88"/>
    <w:rsid w:val="00B15AA9"/>
    <w:rsid w:val="00B15AC0"/>
    <w:rsid w:val="00B15AD2"/>
    <w:rsid w:val="00B15B0D"/>
    <w:rsid w:val="00B15B75"/>
    <w:rsid w:val="00B15BB0"/>
    <w:rsid w:val="00B15C29"/>
    <w:rsid w:val="00B15D5E"/>
    <w:rsid w:val="00B15D79"/>
    <w:rsid w:val="00B15D7A"/>
    <w:rsid w:val="00B15DCB"/>
    <w:rsid w:val="00B15E33"/>
    <w:rsid w:val="00B15E6C"/>
    <w:rsid w:val="00B15EE4"/>
    <w:rsid w:val="00B15FBB"/>
    <w:rsid w:val="00B16043"/>
    <w:rsid w:val="00B1609C"/>
    <w:rsid w:val="00B160B8"/>
    <w:rsid w:val="00B161D8"/>
    <w:rsid w:val="00B162CC"/>
    <w:rsid w:val="00B1630B"/>
    <w:rsid w:val="00B16310"/>
    <w:rsid w:val="00B163E2"/>
    <w:rsid w:val="00B1640B"/>
    <w:rsid w:val="00B16421"/>
    <w:rsid w:val="00B16449"/>
    <w:rsid w:val="00B1648C"/>
    <w:rsid w:val="00B1658E"/>
    <w:rsid w:val="00B16637"/>
    <w:rsid w:val="00B1668B"/>
    <w:rsid w:val="00B16778"/>
    <w:rsid w:val="00B1685A"/>
    <w:rsid w:val="00B168EC"/>
    <w:rsid w:val="00B168F5"/>
    <w:rsid w:val="00B16900"/>
    <w:rsid w:val="00B16947"/>
    <w:rsid w:val="00B16A8C"/>
    <w:rsid w:val="00B16AE3"/>
    <w:rsid w:val="00B16BCB"/>
    <w:rsid w:val="00B16C82"/>
    <w:rsid w:val="00B16CB1"/>
    <w:rsid w:val="00B16CD6"/>
    <w:rsid w:val="00B16CFF"/>
    <w:rsid w:val="00B16D2E"/>
    <w:rsid w:val="00B16D54"/>
    <w:rsid w:val="00B16DB3"/>
    <w:rsid w:val="00B16E6E"/>
    <w:rsid w:val="00B16E70"/>
    <w:rsid w:val="00B16F02"/>
    <w:rsid w:val="00B16F24"/>
    <w:rsid w:val="00B16F31"/>
    <w:rsid w:val="00B16F3D"/>
    <w:rsid w:val="00B16FA1"/>
    <w:rsid w:val="00B1703D"/>
    <w:rsid w:val="00B17041"/>
    <w:rsid w:val="00B1717A"/>
    <w:rsid w:val="00B171F1"/>
    <w:rsid w:val="00B17251"/>
    <w:rsid w:val="00B17274"/>
    <w:rsid w:val="00B1728D"/>
    <w:rsid w:val="00B17429"/>
    <w:rsid w:val="00B17454"/>
    <w:rsid w:val="00B17460"/>
    <w:rsid w:val="00B17494"/>
    <w:rsid w:val="00B174B8"/>
    <w:rsid w:val="00B17500"/>
    <w:rsid w:val="00B17526"/>
    <w:rsid w:val="00B175A0"/>
    <w:rsid w:val="00B175DB"/>
    <w:rsid w:val="00B17605"/>
    <w:rsid w:val="00B1763E"/>
    <w:rsid w:val="00B17645"/>
    <w:rsid w:val="00B176A2"/>
    <w:rsid w:val="00B17793"/>
    <w:rsid w:val="00B17854"/>
    <w:rsid w:val="00B1788F"/>
    <w:rsid w:val="00B178C5"/>
    <w:rsid w:val="00B178F9"/>
    <w:rsid w:val="00B1798D"/>
    <w:rsid w:val="00B179A7"/>
    <w:rsid w:val="00B179CE"/>
    <w:rsid w:val="00B17A23"/>
    <w:rsid w:val="00B17BAD"/>
    <w:rsid w:val="00B17C37"/>
    <w:rsid w:val="00B17C61"/>
    <w:rsid w:val="00B17C79"/>
    <w:rsid w:val="00B17D36"/>
    <w:rsid w:val="00B17D41"/>
    <w:rsid w:val="00B17E52"/>
    <w:rsid w:val="00B17E76"/>
    <w:rsid w:val="00B17EBE"/>
    <w:rsid w:val="00B17F30"/>
    <w:rsid w:val="00B17F84"/>
    <w:rsid w:val="00B17FC3"/>
    <w:rsid w:val="00B17FD5"/>
    <w:rsid w:val="00B2011B"/>
    <w:rsid w:val="00B2011D"/>
    <w:rsid w:val="00B20146"/>
    <w:rsid w:val="00B20240"/>
    <w:rsid w:val="00B20245"/>
    <w:rsid w:val="00B2028A"/>
    <w:rsid w:val="00B2034F"/>
    <w:rsid w:val="00B203EB"/>
    <w:rsid w:val="00B20547"/>
    <w:rsid w:val="00B2055B"/>
    <w:rsid w:val="00B20569"/>
    <w:rsid w:val="00B20625"/>
    <w:rsid w:val="00B2062D"/>
    <w:rsid w:val="00B2063E"/>
    <w:rsid w:val="00B20677"/>
    <w:rsid w:val="00B20728"/>
    <w:rsid w:val="00B207AB"/>
    <w:rsid w:val="00B207C0"/>
    <w:rsid w:val="00B207F1"/>
    <w:rsid w:val="00B2081F"/>
    <w:rsid w:val="00B208EE"/>
    <w:rsid w:val="00B208F9"/>
    <w:rsid w:val="00B20931"/>
    <w:rsid w:val="00B20A8B"/>
    <w:rsid w:val="00B20A99"/>
    <w:rsid w:val="00B20AA8"/>
    <w:rsid w:val="00B20C88"/>
    <w:rsid w:val="00B20D79"/>
    <w:rsid w:val="00B20EC3"/>
    <w:rsid w:val="00B20ECF"/>
    <w:rsid w:val="00B20F5F"/>
    <w:rsid w:val="00B20FFA"/>
    <w:rsid w:val="00B21015"/>
    <w:rsid w:val="00B2108A"/>
    <w:rsid w:val="00B2115F"/>
    <w:rsid w:val="00B21192"/>
    <w:rsid w:val="00B212B1"/>
    <w:rsid w:val="00B212CA"/>
    <w:rsid w:val="00B2144A"/>
    <w:rsid w:val="00B21529"/>
    <w:rsid w:val="00B21590"/>
    <w:rsid w:val="00B215ED"/>
    <w:rsid w:val="00B21690"/>
    <w:rsid w:val="00B21799"/>
    <w:rsid w:val="00B21821"/>
    <w:rsid w:val="00B21868"/>
    <w:rsid w:val="00B21904"/>
    <w:rsid w:val="00B21947"/>
    <w:rsid w:val="00B219D6"/>
    <w:rsid w:val="00B21A1E"/>
    <w:rsid w:val="00B21A6F"/>
    <w:rsid w:val="00B21A91"/>
    <w:rsid w:val="00B21AC6"/>
    <w:rsid w:val="00B21ACB"/>
    <w:rsid w:val="00B21BA6"/>
    <w:rsid w:val="00B21C45"/>
    <w:rsid w:val="00B21CF4"/>
    <w:rsid w:val="00B21D6F"/>
    <w:rsid w:val="00B21D95"/>
    <w:rsid w:val="00B21E82"/>
    <w:rsid w:val="00B21E89"/>
    <w:rsid w:val="00B21EA6"/>
    <w:rsid w:val="00B21F07"/>
    <w:rsid w:val="00B21F2F"/>
    <w:rsid w:val="00B22098"/>
    <w:rsid w:val="00B220CC"/>
    <w:rsid w:val="00B2223B"/>
    <w:rsid w:val="00B222C0"/>
    <w:rsid w:val="00B222F8"/>
    <w:rsid w:val="00B2233E"/>
    <w:rsid w:val="00B223FF"/>
    <w:rsid w:val="00B2247D"/>
    <w:rsid w:val="00B22592"/>
    <w:rsid w:val="00B22596"/>
    <w:rsid w:val="00B2260A"/>
    <w:rsid w:val="00B22621"/>
    <w:rsid w:val="00B2264D"/>
    <w:rsid w:val="00B2278F"/>
    <w:rsid w:val="00B2285F"/>
    <w:rsid w:val="00B22938"/>
    <w:rsid w:val="00B2297C"/>
    <w:rsid w:val="00B22984"/>
    <w:rsid w:val="00B22B39"/>
    <w:rsid w:val="00B22B85"/>
    <w:rsid w:val="00B22BA6"/>
    <w:rsid w:val="00B22C04"/>
    <w:rsid w:val="00B22C61"/>
    <w:rsid w:val="00B22DA4"/>
    <w:rsid w:val="00B22DC3"/>
    <w:rsid w:val="00B22E82"/>
    <w:rsid w:val="00B22E96"/>
    <w:rsid w:val="00B22EB0"/>
    <w:rsid w:val="00B22F80"/>
    <w:rsid w:val="00B22F81"/>
    <w:rsid w:val="00B22FA4"/>
    <w:rsid w:val="00B22FBD"/>
    <w:rsid w:val="00B22FE8"/>
    <w:rsid w:val="00B23006"/>
    <w:rsid w:val="00B2308E"/>
    <w:rsid w:val="00B230FC"/>
    <w:rsid w:val="00B23116"/>
    <w:rsid w:val="00B23281"/>
    <w:rsid w:val="00B233D8"/>
    <w:rsid w:val="00B23461"/>
    <w:rsid w:val="00B234B0"/>
    <w:rsid w:val="00B2356B"/>
    <w:rsid w:val="00B235DA"/>
    <w:rsid w:val="00B235F9"/>
    <w:rsid w:val="00B2369A"/>
    <w:rsid w:val="00B236BD"/>
    <w:rsid w:val="00B23763"/>
    <w:rsid w:val="00B2376F"/>
    <w:rsid w:val="00B23789"/>
    <w:rsid w:val="00B237D9"/>
    <w:rsid w:val="00B23882"/>
    <w:rsid w:val="00B238CE"/>
    <w:rsid w:val="00B23926"/>
    <w:rsid w:val="00B2395E"/>
    <w:rsid w:val="00B239E5"/>
    <w:rsid w:val="00B23A0C"/>
    <w:rsid w:val="00B23A12"/>
    <w:rsid w:val="00B23A70"/>
    <w:rsid w:val="00B23AD9"/>
    <w:rsid w:val="00B23B26"/>
    <w:rsid w:val="00B23B80"/>
    <w:rsid w:val="00B23BA1"/>
    <w:rsid w:val="00B23BA8"/>
    <w:rsid w:val="00B23E2C"/>
    <w:rsid w:val="00B23E8F"/>
    <w:rsid w:val="00B23F71"/>
    <w:rsid w:val="00B23F7D"/>
    <w:rsid w:val="00B240A3"/>
    <w:rsid w:val="00B240C3"/>
    <w:rsid w:val="00B240D0"/>
    <w:rsid w:val="00B241B6"/>
    <w:rsid w:val="00B24275"/>
    <w:rsid w:val="00B24281"/>
    <w:rsid w:val="00B242A4"/>
    <w:rsid w:val="00B242F7"/>
    <w:rsid w:val="00B24338"/>
    <w:rsid w:val="00B24359"/>
    <w:rsid w:val="00B24393"/>
    <w:rsid w:val="00B2439E"/>
    <w:rsid w:val="00B24461"/>
    <w:rsid w:val="00B2448F"/>
    <w:rsid w:val="00B24519"/>
    <w:rsid w:val="00B2451A"/>
    <w:rsid w:val="00B245CA"/>
    <w:rsid w:val="00B24620"/>
    <w:rsid w:val="00B246B7"/>
    <w:rsid w:val="00B246D7"/>
    <w:rsid w:val="00B24796"/>
    <w:rsid w:val="00B248CE"/>
    <w:rsid w:val="00B24905"/>
    <w:rsid w:val="00B2493F"/>
    <w:rsid w:val="00B24940"/>
    <w:rsid w:val="00B24A04"/>
    <w:rsid w:val="00B24A4D"/>
    <w:rsid w:val="00B24AB1"/>
    <w:rsid w:val="00B24B5E"/>
    <w:rsid w:val="00B24B97"/>
    <w:rsid w:val="00B24CF1"/>
    <w:rsid w:val="00B24CF8"/>
    <w:rsid w:val="00B24D80"/>
    <w:rsid w:val="00B24E20"/>
    <w:rsid w:val="00B24E5D"/>
    <w:rsid w:val="00B24E7A"/>
    <w:rsid w:val="00B24F53"/>
    <w:rsid w:val="00B24FEA"/>
    <w:rsid w:val="00B25086"/>
    <w:rsid w:val="00B250CF"/>
    <w:rsid w:val="00B2514F"/>
    <w:rsid w:val="00B25168"/>
    <w:rsid w:val="00B251B2"/>
    <w:rsid w:val="00B251D2"/>
    <w:rsid w:val="00B251DB"/>
    <w:rsid w:val="00B252CB"/>
    <w:rsid w:val="00B252D2"/>
    <w:rsid w:val="00B25404"/>
    <w:rsid w:val="00B2543C"/>
    <w:rsid w:val="00B25523"/>
    <w:rsid w:val="00B255EE"/>
    <w:rsid w:val="00B25619"/>
    <w:rsid w:val="00B25643"/>
    <w:rsid w:val="00B2568B"/>
    <w:rsid w:val="00B256D2"/>
    <w:rsid w:val="00B25743"/>
    <w:rsid w:val="00B257D8"/>
    <w:rsid w:val="00B25814"/>
    <w:rsid w:val="00B25835"/>
    <w:rsid w:val="00B258AD"/>
    <w:rsid w:val="00B258E0"/>
    <w:rsid w:val="00B259B5"/>
    <w:rsid w:val="00B259CC"/>
    <w:rsid w:val="00B25A48"/>
    <w:rsid w:val="00B25BF1"/>
    <w:rsid w:val="00B25D9C"/>
    <w:rsid w:val="00B25EB6"/>
    <w:rsid w:val="00B25EF1"/>
    <w:rsid w:val="00B26039"/>
    <w:rsid w:val="00B26041"/>
    <w:rsid w:val="00B26063"/>
    <w:rsid w:val="00B260CA"/>
    <w:rsid w:val="00B26136"/>
    <w:rsid w:val="00B26153"/>
    <w:rsid w:val="00B262BA"/>
    <w:rsid w:val="00B263E3"/>
    <w:rsid w:val="00B263FF"/>
    <w:rsid w:val="00B2642C"/>
    <w:rsid w:val="00B2645B"/>
    <w:rsid w:val="00B26493"/>
    <w:rsid w:val="00B264A1"/>
    <w:rsid w:val="00B264C9"/>
    <w:rsid w:val="00B264E7"/>
    <w:rsid w:val="00B2658A"/>
    <w:rsid w:val="00B26591"/>
    <w:rsid w:val="00B265FD"/>
    <w:rsid w:val="00B26656"/>
    <w:rsid w:val="00B266A7"/>
    <w:rsid w:val="00B26733"/>
    <w:rsid w:val="00B2687F"/>
    <w:rsid w:val="00B269A2"/>
    <w:rsid w:val="00B26A18"/>
    <w:rsid w:val="00B26AC8"/>
    <w:rsid w:val="00B26B66"/>
    <w:rsid w:val="00B26BE2"/>
    <w:rsid w:val="00B26CFD"/>
    <w:rsid w:val="00B26D07"/>
    <w:rsid w:val="00B26DCE"/>
    <w:rsid w:val="00B26E15"/>
    <w:rsid w:val="00B26E51"/>
    <w:rsid w:val="00B26FA5"/>
    <w:rsid w:val="00B26FD5"/>
    <w:rsid w:val="00B270DB"/>
    <w:rsid w:val="00B27124"/>
    <w:rsid w:val="00B271E7"/>
    <w:rsid w:val="00B27312"/>
    <w:rsid w:val="00B2732A"/>
    <w:rsid w:val="00B2734B"/>
    <w:rsid w:val="00B2741D"/>
    <w:rsid w:val="00B274A0"/>
    <w:rsid w:val="00B27543"/>
    <w:rsid w:val="00B27548"/>
    <w:rsid w:val="00B2755E"/>
    <w:rsid w:val="00B27571"/>
    <w:rsid w:val="00B2757D"/>
    <w:rsid w:val="00B27580"/>
    <w:rsid w:val="00B27657"/>
    <w:rsid w:val="00B27669"/>
    <w:rsid w:val="00B27680"/>
    <w:rsid w:val="00B276E7"/>
    <w:rsid w:val="00B276ED"/>
    <w:rsid w:val="00B27709"/>
    <w:rsid w:val="00B27762"/>
    <w:rsid w:val="00B27823"/>
    <w:rsid w:val="00B279C8"/>
    <w:rsid w:val="00B27B2A"/>
    <w:rsid w:val="00B27B93"/>
    <w:rsid w:val="00B27BD4"/>
    <w:rsid w:val="00B27C40"/>
    <w:rsid w:val="00B27C79"/>
    <w:rsid w:val="00B27C83"/>
    <w:rsid w:val="00B27DA3"/>
    <w:rsid w:val="00B27DB0"/>
    <w:rsid w:val="00B27FAF"/>
    <w:rsid w:val="00B30016"/>
    <w:rsid w:val="00B3004C"/>
    <w:rsid w:val="00B300CF"/>
    <w:rsid w:val="00B30155"/>
    <w:rsid w:val="00B3019C"/>
    <w:rsid w:val="00B301C2"/>
    <w:rsid w:val="00B301DD"/>
    <w:rsid w:val="00B3028E"/>
    <w:rsid w:val="00B30368"/>
    <w:rsid w:val="00B30439"/>
    <w:rsid w:val="00B30583"/>
    <w:rsid w:val="00B305C7"/>
    <w:rsid w:val="00B30798"/>
    <w:rsid w:val="00B308AA"/>
    <w:rsid w:val="00B30907"/>
    <w:rsid w:val="00B3098D"/>
    <w:rsid w:val="00B30AF7"/>
    <w:rsid w:val="00B30B57"/>
    <w:rsid w:val="00B30B7F"/>
    <w:rsid w:val="00B30BAD"/>
    <w:rsid w:val="00B30BB2"/>
    <w:rsid w:val="00B30C50"/>
    <w:rsid w:val="00B30D92"/>
    <w:rsid w:val="00B30DC0"/>
    <w:rsid w:val="00B30E2E"/>
    <w:rsid w:val="00B30E72"/>
    <w:rsid w:val="00B30F5E"/>
    <w:rsid w:val="00B30F75"/>
    <w:rsid w:val="00B30FC1"/>
    <w:rsid w:val="00B30FC3"/>
    <w:rsid w:val="00B30FD0"/>
    <w:rsid w:val="00B30FEC"/>
    <w:rsid w:val="00B310D4"/>
    <w:rsid w:val="00B31201"/>
    <w:rsid w:val="00B31207"/>
    <w:rsid w:val="00B3122A"/>
    <w:rsid w:val="00B31295"/>
    <w:rsid w:val="00B31349"/>
    <w:rsid w:val="00B313D3"/>
    <w:rsid w:val="00B31471"/>
    <w:rsid w:val="00B3148C"/>
    <w:rsid w:val="00B31492"/>
    <w:rsid w:val="00B316ED"/>
    <w:rsid w:val="00B31743"/>
    <w:rsid w:val="00B31792"/>
    <w:rsid w:val="00B317CC"/>
    <w:rsid w:val="00B31836"/>
    <w:rsid w:val="00B31849"/>
    <w:rsid w:val="00B318D7"/>
    <w:rsid w:val="00B31959"/>
    <w:rsid w:val="00B3197E"/>
    <w:rsid w:val="00B31984"/>
    <w:rsid w:val="00B319BB"/>
    <w:rsid w:val="00B319E4"/>
    <w:rsid w:val="00B31A51"/>
    <w:rsid w:val="00B31AAB"/>
    <w:rsid w:val="00B31C51"/>
    <w:rsid w:val="00B31CCC"/>
    <w:rsid w:val="00B31CFC"/>
    <w:rsid w:val="00B31E56"/>
    <w:rsid w:val="00B31E79"/>
    <w:rsid w:val="00B31EA3"/>
    <w:rsid w:val="00B31EB4"/>
    <w:rsid w:val="00B3201E"/>
    <w:rsid w:val="00B32085"/>
    <w:rsid w:val="00B32185"/>
    <w:rsid w:val="00B32224"/>
    <w:rsid w:val="00B32311"/>
    <w:rsid w:val="00B3236D"/>
    <w:rsid w:val="00B323D5"/>
    <w:rsid w:val="00B32426"/>
    <w:rsid w:val="00B32489"/>
    <w:rsid w:val="00B324F0"/>
    <w:rsid w:val="00B3259B"/>
    <w:rsid w:val="00B325C9"/>
    <w:rsid w:val="00B32639"/>
    <w:rsid w:val="00B326BE"/>
    <w:rsid w:val="00B3278A"/>
    <w:rsid w:val="00B32795"/>
    <w:rsid w:val="00B327E5"/>
    <w:rsid w:val="00B3294A"/>
    <w:rsid w:val="00B32ABD"/>
    <w:rsid w:val="00B32B0D"/>
    <w:rsid w:val="00B32B2F"/>
    <w:rsid w:val="00B32B63"/>
    <w:rsid w:val="00B32C35"/>
    <w:rsid w:val="00B32C3D"/>
    <w:rsid w:val="00B32C4C"/>
    <w:rsid w:val="00B32D19"/>
    <w:rsid w:val="00B32D51"/>
    <w:rsid w:val="00B32E08"/>
    <w:rsid w:val="00B32E1E"/>
    <w:rsid w:val="00B32F0C"/>
    <w:rsid w:val="00B32F6D"/>
    <w:rsid w:val="00B32FB9"/>
    <w:rsid w:val="00B3300A"/>
    <w:rsid w:val="00B33064"/>
    <w:rsid w:val="00B330DF"/>
    <w:rsid w:val="00B33483"/>
    <w:rsid w:val="00B33493"/>
    <w:rsid w:val="00B33505"/>
    <w:rsid w:val="00B33621"/>
    <w:rsid w:val="00B33671"/>
    <w:rsid w:val="00B33683"/>
    <w:rsid w:val="00B337B9"/>
    <w:rsid w:val="00B337C4"/>
    <w:rsid w:val="00B33821"/>
    <w:rsid w:val="00B338C2"/>
    <w:rsid w:val="00B338D1"/>
    <w:rsid w:val="00B3395C"/>
    <w:rsid w:val="00B339BB"/>
    <w:rsid w:val="00B339E8"/>
    <w:rsid w:val="00B33BA2"/>
    <w:rsid w:val="00B33BC5"/>
    <w:rsid w:val="00B33C37"/>
    <w:rsid w:val="00B33D27"/>
    <w:rsid w:val="00B33D39"/>
    <w:rsid w:val="00B33D3A"/>
    <w:rsid w:val="00B33D4C"/>
    <w:rsid w:val="00B33D74"/>
    <w:rsid w:val="00B33DA7"/>
    <w:rsid w:val="00B33DBD"/>
    <w:rsid w:val="00B33DC8"/>
    <w:rsid w:val="00B33E07"/>
    <w:rsid w:val="00B33E4C"/>
    <w:rsid w:val="00B33E7A"/>
    <w:rsid w:val="00B33FD8"/>
    <w:rsid w:val="00B340D5"/>
    <w:rsid w:val="00B340DD"/>
    <w:rsid w:val="00B340DF"/>
    <w:rsid w:val="00B3410F"/>
    <w:rsid w:val="00B34143"/>
    <w:rsid w:val="00B34154"/>
    <w:rsid w:val="00B34192"/>
    <w:rsid w:val="00B3422E"/>
    <w:rsid w:val="00B34299"/>
    <w:rsid w:val="00B342E7"/>
    <w:rsid w:val="00B34364"/>
    <w:rsid w:val="00B3448E"/>
    <w:rsid w:val="00B344BF"/>
    <w:rsid w:val="00B344ED"/>
    <w:rsid w:val="00B3451A"/>
    <w:rsid w:val="00B3455A"/>
    <w:rsid w:val="00B345A4"/>
    <w:rsid w:val="00B346EB"/>
    <w:rsid w:val="00B34827"/>
    <w:rsid w:val="00B3489B"/>
    <w:rsid w:val="00B34937"/>
    <w:rsid w:val="00B3495F"/>
    <w:rsid w:val="00B34966"/>
    <w:rsid w:val="00B349E2"/>
    <w:rsid w:val="00B34A0C"/>
    <w:rsid w:val="00B34AC6"/>
    <w:rsid w:val="00B34AE1"/>
    <w:rsid w:val="00B34BDE"/>
    <w:rsid w:val="00B34C69"/>
    <w:rsid w:val="00B34D76"/>
    <w:rsid w:val="00B34DA8"/>
    <w:rsid w:val="00B34E19"/>
    <w:rsid w:val="00B34E3D"/>
    <w:rsid w:val="00B34F35"/>
    <w:rsid w:val="00B34F3F"/>
    <w:rsid w:val="00B34F61"/>
    <w:rsid w:val="00B350A4"/>
    <w:rsid w:val="00B35449"/>
    <w:rsid w:val="00B3548C"/>
    <w:rsid w:val="00B354E5"/>
    <w:rsid w:val="00B3561C"/>
    <w:rsid w:val="00B35640"/>
    <w:rsid w:val="00B35662"/>
    <w:rsid w:val="00B35717"/>
    <w:rsid w:val="00B35811"/>
    <w:rsid w:val="00B359FC"/>
    <w:rsid w:val="00B35A04"/>
    <w:rsid w:val="00B35A09"/>
    <w:rsid w:val="00B35AEB"/>
    <w:rsid w:val="00B35B4C"/>
    <w:rsid w:val="00B35B93"/>
    <w:rsid w:val="00B35BE1"/>
    <w:rsid w:val="00B35D28"/>
    <w:rsid w:val="00B35D83"/>
    <w:rsid w:val="00B35E6C"/>
    <w:rsid w:val="00B35EC9"/>
    <w:rsid w:val="00B35F89"/>
    <w:rsid w:val="00B35F96"/>
    <w:rsid w:val="00B3606B"/>
    <w:rsid w:val="00B36087"/>
    <w:rsid w:val="00B360D9"/>
    <w:rsid w:val="00B360E6"/>
    <w:rsid w:val="00B36107"/>
    <w:rsid w:val="00B3616D"/>
    <w:rsid w:val="00B36187"/>
    <w:rsid w:val="00B36347"/>
    <w:rsid w:val="00B36545"/>
    <w:rsid w:val="00B3654E"/>
    <w:rsid w:val="00B365CD"/>
    <w:rsid w:val="00B36625"/>
    <w:rsid w:val="00B36679"/>
    <w:rsid w:val="00B36875"/>
    <w:rsid w:val="00B3690B"/>
    <w:rsid w:val="00B36981"/>
    <w:rsid w:val="00B36988"/>
    <w:rsid w:val="00B36A15"/>
    <w:rsid w:val="00B36A36"/>
    <w:rsid w:val="00B36BA3"/>
    <w:rsid w:val="00B36BB4"/>
    <w:rsid w:val="00B36C82"/>
    <w:rsid w:val="00B36C9A"/>
    <w:rsid w:val="00B36CDB"/>
    <w:rsid w:val="00B36D3C"/>
    <w:rsid w:val="00B36D65"/>
    <w:rsid w:val="00B36D97"/>
    <w:rsid w:val="00B36DD9"/>
    <w:rsid w:val="00B36E08"/>
    <w:rsid w:val="00B36EE4"/>
    <w:rsid w:val="00B36F21"/>
    <w:rsid w:val="00B36F53"/>
    <w:rsid w:val="00B36FE1"/>
    <w:rsid w:val="00B370F8"/>
    <w:rsid w:val="00B3717B"/>
    <w:rsid w:val="00B371C7"/>
    <w:rsid w:val="00B372E1"/>
    <w:rsid w:val="00B37364"/>
    <w:rsid w:val="00B373AC"/>
    <w:rsid w:val="00B374AF"/>
    <w:rsid w:val="00B374D5"/>
    <w:rsid w:val="00B374D9"/>
    <w:rsid w:val="00B374DD"/>
    <w:rsid w:val="00B376A6"/>
    <w:rsid w:val="00B376FB"/>
    <w:rsid w:val="00B3770D"/>
    <w:rsid w:val="00B3770E"/>
    <w:rsid w:val="00B3783A"/>
    <w:rsid w:val="00B37899"/>
    <w:rsid w:val="00B378A6"/>
    <w:rsid w:val="00B3791C"/>
    <w:rsid w:val="00B37929"/>
    <w:rsid w:val="00B37932"/>
    <w:rsid w:val="00B37985"/>
    <w:rsid w:val="00B37997"/>
    <w:rsid w:val="00B379BD"/>
    <w:rsid w:val="00B37A2B"/>
    <w:rsid w:val="00B37AA7"/>
    <w:rsid w:val="00B37ABE"/>
    <w:rsid w:val="00B37AD0"/>
    <w:rsid w:val="00B37B25"/>
    <w:rsid w:val="00B37B8E"/>
    <w:rsid w:val="00B37BB4"/>
    <w:rsid w:val="00B37C34"/>
    <w:rsid w:val="00B37D11"/>
    <w:rsid w:val="00B37D51"/>
    <w:rsid w:val="00B37DE2"/>
    <w:rsid w:val="00B37EA2"/>
    <w:rsid w:val="00B37F4B"/>
    <w:rsid w:val="00B400B8"/>
    <w:rsid w:val="00B4011C"/>
    <w:rsid w:val="00B4013C"/>
    <w:rsid w:val="00B4014B"/>
    <w:rsid w:val="00B401A3"/>
    <w:rsid w:val="00B401E7"/>
    <w:rsid w:val="00B402AB"/>
    <w:rsid w:val="00B40324"/>
    <w:rsid w:val="00B40387"/>
    <w:rsid w:val="00B403E2"/>
    <w:rsid w:val="00B40438"/>
    <w:rsid w:val="00B40464"/>
    <w:rsid w:val="00B404CC"/>
    <w:rsid w:val="00B404F2"/>
    <w:rsid w:val="00B405A1"/>
    <w:rsid w:val="00B405C5"/>
    <w:rsid w:val="00B40671"/>
    <w:rsid w:val="00B406A3"/>
    <w:rsid w:val="00B406F3"/>
    <w:rsid w:val="00B40944"/>
    <w:rsid w:val="00B40A9D"/>
    <w:rsid w:val="00B40AC4"/>
    <w:rsid w:val="00B40AE3"/>
    <w:rsid w:val="00B40B4F"/>
    <w:rsid w:val="00B40C2B"/>
    <w:rsid w:val="00B40C57"/>
    <w:rsid w:val="00B40C6B"/>
    <w:rsid w:val="00B40C84"/>
    <w:rsid w:val="00B40CCB"/>
    <w:rsid w:val="00B40CFE"/>
    <w:rsid w:val="00B40D34"/>
    <w:rsid w:val="00B40D47"/>
    <w:rsid w:val="00B40D6A"/>
    <w:rsid w:val="00B40D9E"/>
    <w:rsid w:val="00B40E7C"/>
    <w:rsid w:val="00B40EC0"/>
    <w:rsid w:val="00B40F55"/>
    <w:rsid w:val="00B40FF5"/>
    <w:rsid w:val="00B4100A"/>
    <w:rsid w:val="00B4112E"/>
    <w:rsid w:val="00B4113C"/>
    <w:rsid w:val="00B411E3"/>
    <w:rsid w:val="00B411EB"/>
    <w:rsid w:val="00B4120B"/>
    <w:rsid w:val="00B412E2"/>
    <w:rsid w:val="00B41459"/>
    <w:rsid w:val="00B4147A"/>
    <w:rsid w:val="00B414B6"/>
    <w:rsid w:val="00B41616"/>
    <w:rsid w:val="00B4162B"/>
    <w:rsid w:val="00B4162C"/>
    <w:rsid w:val="00B4164B"/>
    <w:rsid w:val="00B41685"/>
    <w:rsid w:val="00B417FC"/>
    <w:rsid w:val="00B41838"/>
    <w:rsid w:val="00B419A6"/>
    <w:rsid w:val="00B419B4"/>
    <w:rsid w:val="00B419E4"/>
    <w:rsid w:val="00B419FB"/>
    <w:rsid w:val="00B41A8A"/>
    <w:rsid w:val="00B41AEA"/>
    <w:rsid w:val="00B41B41"/>
    <w:rsid w:val="00B41D39"/>
    <w:rsid w:val="00B41F3B"/>
    <w:rsid w:val="00B41FCA"/>
    <w:rsid w:val="00B420D5"/>
    <w:rsid w:val="00B4213B"/>
    <w:rsid w:val="00B42379"/>
    <w:rsid w:val="00B4238B"/>
    <w:rsid w:val="00B423DB"/>
    <w:rsid w:val="00B423F3"/>
    <w:rsid w:val="00B42419"/>
    <w:rsid w:val="00B4243E"/>
    <w:rsid w:val="00B4246D"/>
    <w:rsid w:val="00B42479"/>
    <w:rsid w:val="00B42554"/>
    <w:rsid w:val="00B425B1"/>
    <w:rsid w:val="00B4260D"/>
    <w:rsid w:val="00B4261B"/>
    <w:rsid w:val="00B4265C"/>
    <w:rsid w:val="00B4267B"/>
    <w:rsid w:val="00B42682"/>
    <w:rsid w:val="00B42885"/>
    <w:rsid w:val="00B42911"/>
    <w:rsid w:val="00B429F9"/>
    <w:rsid w:val="00B42AB0"/>
    <w:rsid w:val="00B42ADE"/>
    <w:rsid w:val="00B42B31"/>
    <w:rsid w:val="00B42B71"/>
    <w:rsid w:val="00B42B9B"/>
    <w:rsid w:val="00B42CAE"/>
    <w:rsid w:val="00B42CE0"/>
    <w:rsid w:val="00B42CEE"/>
    <w:rsid w:val="00B42D21"/>
    <w:rsid w:val="00B42D70"/>
    <w:rsid w:val="00B42D8A"/>
    <w:rsid w:val="00B42E25"/>
    <w:rsid w:val="00B42E74"/>
    <w:rsid w:val="00B42E8A"/>
    <w:rsid w:val="00B42EE2"/>
    <w:rsid w:val="00B42F08"/>
    <w:rsid w:val="00B42F32"/>
    <w:rsid w:val="00B42F42"/>
    <w:rsid w:val="00B43118"/>
    <w:rsid w:val="00B43224"/>
    <w:rsid w:val="00B43313"/>
    <w:rsid w:val="00B4333D"/>
    <w:rsid w:val="00B433A3"/>
    <w:rsid w:val="00B43485"/>
    <w:rsid w:val="00B434A4"/>
    <w:rsid w:val="00B43515"/>
    <w:rsid w:val="00B4353C"/>
    <w:rsid w:val="00B4354B"/>
    <w:rsid w:val="00B43553"/>
    <w:rsid w:val="00B4361A"/>
    <w:rsid w:val="00B436BA"/>
    <w:rsid w:val="00B43706"/>
    <w:rsid w:val="00B43740"/>
    <w:rsid w:val="00B437BF"/>
    <w:rsid w:val="00B437EA"/>
    <w:rsid w:val="00B437FB"/>
    <w:rsid w:val="00B43847"/>
    <w:rsid w:val="00B438F6"/>
    <w:rsid w:val="00B43915"/>
    <w:rsid w:val="00B43A0C"/>
    <w:rsid w:val="00B43A45"/>
    <w:rsid w:val="00B43B09"/>
    <w:rsid w:val="00B43BD9"/>
    <w:rsid w:val="00B43C05"/>
    <w:rsid w:val="00B43C21"/>
    <w:rsid w:val="00B43C27"/>
    <w:rsid w:val="00B43C87"/>
    <w:rsid w:val="00B43CA0"/>
    <w:rsid w:val="00B43CCD"/>
    <w:rsid w:val="00B43D79"/>
    <w:rsid w:val="00B43DC6"/>
    <w:rsid w:val="00B43FEF"/>
    <w:rsid w:val="00B4402F"/>
    <w:rsid w:val="00B4408C"/>
    <w:rsid w:val="00B4408F"/>
    <w:rsid w:val="00B440A7"/>
    <w:rsid w:val="00B440FF"/>
    <w:rsid w:val="00B44124"/>
    <w:rsid w:val="00B44142"/>
    <w:rsid w:val="00B44187"/>
    <w:rsid w:val="00B44232"/>
    <w:rsid w:val="00B44249"/>
    <w:rsid w:val="00B4429C"/>
    <w:rsid w:val="00B4435C"/>
    <w:rsid w:val="00B44377"/>
    <w:rsid w:val="00B4447B"/>
    <w:rsid w:val="00B444C9"/>
    <w:rsid w:val="00B4451B"/>
    <w:rsid w:val="00B44540"/>
    <w:rsid w:val="00B44587"/>
    <w:rsid w:val="00B44652"/>
    <w:rsid w:val="00B44693"/>
    <w:rsid w:val="00B4473A"/>
    <w:rsid w:val="00B44763"/>
    <w:rsid w:val="00B4478A"/>
    <w:rsid w:val="00B4486D"/>
    <w:rsid w:val="00B448ED"/>
    <w:rsid w:val="00B449C5"/>
    <w:rsid w:val="00B44A42"/>
    <w:rsid w:val="00B44A94"/>
    <w:rsid w:val="00B44AD5"/>
    <w:rsid w:val="00B44BC2"/>
    <w:rsid w:val="00B44CDB"/>
    <w:rsid w:val="00B44D3C"/>
    <w:rsid w:val="00B44E07"/>
    <w:rsid w:val="00B44E3D"/>
    <w:rsid w:val="00B44E46"/>
    <w:rsid w:val="00B44E88"/>
    <w:rsid w:val="00B44EB7"/>
    <w:rsid w:val="00B44F53"/>
    <w:rsid w:val="00B450E6"/>
    <w:rsid w:val="00B450F2"/>
    <w:rsid w:val="00B45183"/>
    <w:rsid w:val="00B451BD"/>
    <w:rsid w:val="00B45255"/>
    <w:rsid w:val="00B452AD"/>
    <w:rsid w:val="00B452BB"/>
    <w:rsid w:val="00B452C4"/>
    <w:rsid w:val="00B45337"/>
    <w:rsid w:val="00B45398"/>
    <w:rsid w:val="00B453B0"/>
    <w:rsid w:val="00B453DB"/>
    <w:rsid w:val="00B454D1"/>
    <w:rsid w:val="00B4565F"/>
    <w:rsid w:val="00B45708"/>
    <w:rsid w:val="00B45786"/>
    <w:rsid w:val="00B458F3"/>
    <w:rsid w:val="00B4591B"/>
    <w:rsid w:val="00B4592A"/>
    <w:rsid w:val="00B45946"/>
    <w:rsid w:val="00B45B36"/>
    <w:rsid w:val="00B45C0C"/>
    <w:rsid w:val="00B45C12"/>
    <w:rsid w:val="00B45C62"/>
    <w:rsid w:val="00B45CEC"/>
    <w:rsid w:val="00B45DF7"/>
    <w:rsid w:val="00B45E5C"/>
    <w:rsid w:val="00B45F26"/>
    <w:rsid w:val="00B45F64"/>
    <w:rsid w:val="00B45FC3"/>
    <w:rsid w:val="00B46028"/>
    <w:rsid w:val="00B46065"/>
    <w:rsid w:val="00B4608F"/>
    <w:rsid w:val="00B460A4"/>
    <w:rsid w:val="00B460E4"/>
    <w:rsid w:val="00B46119"/>
    <w:rsid w:val="00B4613A"/>
    <w:rsid w:val="00B4615C"/>
    <w:rsid w:val="00B4616F"/>
    <w:rsid w:val="00B461DA"/>
    <w:rsid w:val="00B462EC"/>
    <w:rsid w:val="00B463A3"/>
    <w:rsid w:val="00B464CC"/>
    <w:rsid w:val="00B46537"/>
    <w:rsid w:val="00B46565"/>
    <w:rsid w:val="00B465FF"/>
    <w:rsid w:val="00B4661B"/>
    <w:rsid w:val="00B4666E"/>
    <w:rsid w:val="00B466AE"/>
    <w:rsid w:val="00B466FE"/>
    <w:rsid w:val="00B46753"/>
    <w:rsid w:val="00B46857"/>
    <w:rsid w:val="00B4686D"/>
    <w:rsid w:val="00B468A4"/>
    <w:rsid w:val="00B4692E"/>
    <w:rsid w:val="00B4696D"/>
    <w:rsid w:val="00B46B12"/>
    <w:rsid w:val="00B46B70"/>
    <w:rsid w:val="00B46C67"/>
    <w:rsid w:val="00B46CDD"/>
    <w:rsid w:val="00B46D03"/>
    <w:rsid w:val="00B46EE5"/>
    <w:rsid w:val="00B46F1D"/>
    <w:rsid w:val="00B46F53"/>
    <w:rsid w:val="00B4702F"/>
    <w:rsid w:val="00B47033"/>
    <w:rsid w:val="00B470F6"/>
    <w:rsid w:val="00B4711D"/>
    <w:rsid w:val="00B47165"/>
    <w:rsid w:val="00B47314"/>
    <w:rsid w:val="00B4731A"/>
    <w:rsid w:val="00B47385"/>
    <w:rsid w:val="00B47499"/>
    <w:rsid w:val="00B4750C"/>
    <w:rsid w:val="00B475A7"/>
    <w:rsid w:val="00B4765F"/>
    <w:rsid w:val="00B47670"/>
    <w:rsid w:val="00B47671"/>
    <w:rsid w:val="00B47674"/>
    <w:rsid w:val="00B47682"/>
    <w:rsid w:val="00B476E9"/>
    <w:rsid w:val="00B4774D"/>
    <w:rsid w:val="00B47939"/>
    <w:rsid w:val="00B47979"/>
    <w:rsid w:val="00B4798C"/>
    <w:rsid w:val="00B4799F"/>
    <w:rsid w:val="00B479C3"/>
    <w:rsid w:val="00B47A57"/>
    <w:rsid w:val="00B47A5F"/>
    <w:rsid w:val="00B47AD5"/>
    <w:rsid w:val="00B47ADF"/>
    <w:rsid w:val="00B47B24"/>
    <w:rsid w:val="00B47B3C"/>
    <w:rsid w:val="00B47BA4"/>
    <w:rsid w:val="00B47D30"/>
    <w:rsid w:val="00B47D78"/>
    <w:rsid w:val="00B47DEC"/>
    <w:rsid w:val="00B47E02"/>
    <w:rsid w:val="00B47E14"/>
    <w:rsid w:val="00B4AD9F"/>
    <w:rsid w:val="00B50087"/>
    <w:rsid w:val="00B500DE"/>
    <w:rsid w:val="00B50280"/>
    <w:rsid w:val="00B50295"/>
    <w:rsid w:val="00B502E2"/>
    <w:rsid w:val="00B50361"/>
    <w:rsid w:val="00B5040E"/>
    <w:rsid w:val="00B5046F"/>
    <w:rsid w:val="00B50484"/>
    <w:rsid w:val="00B5048F"/>
    <w:rsid w:val="00B504D4"/>
    <w:rsid w:val="00B504E4"/>
    <w:rsid w:val="00B5054A"/>
    <w:rsid w:val="00B5072F"/>
    <w:rsid w:val="00B50748"/>
    <w:rsid w:val="00B5074C"/>
    <w:rsid w:val="00B50793"/>
    <w:rsid w:val="00B50843"/>
    <w:rsid w:val="00B508A8"/>
    <w:rsid w:val="00B50915"/>
    <w:rsid w:val="00B50A61"/>
    <w:rsid w:val="00B50B4A"/>
    <w:rsid w:val="00B50C32"/>
    <w:rsid w:val="00B50C69"/>
    <w:rsid w:val="00B50C80"/>
    <w:rsid w:val="00B50CCD"/>
    <w:rsid w:val="00B50DC1"/>
    <w:rsid w:val="00B50DD3"/>
    <w:rsid w:val="00B50DE6"/>
    <w:rsid w:val="00B50E93"/>
    <w:rsid w:val="00B50EB1"/>
    <w:rsid w:val="00B51086"/>
    <w:rsid w:val="00B510E8"/>
    <w:rsid w:val="00B510FC"/>
    <w:rsid w:val="00B5112A"/>
    <w:rsid w:val="00B51199"/>
    <w:rsid w:val="00B513B9"/>
    <w:rsid w:val="00B513D4"/>
    <w:rsid w:val="00B51415"/>
    <w:rsid w:val="00B514FB"/>
    <w:rsid w:val="00B51585"/>
    <w:rsid w:val="00B51611"/>
    <w:rsid w:val="00B516FF"/>
    <w:rsid w:val="00B5170B"/>
    <w:rsid w:val="00B51718"/>
    <w:rsid w:val="00B517FC"/>
    <w:rsid w:val="00B5188F"/>
    <w:rsid w:val="00B51AE9"/>
    <w:rsid w:val="00B51C43"/>
    <w:rsid w:val="00B51C63"/>
    <w:rsid w:val="00B51D41"/>
    <w:rsid w:val="00B51DCD"/>
    <w:rsid w:val="00B51DD2"/>
    <w:rsid w:val="00B51DF9"/>
    <w:rsid w:val="00B51DFF"/>
    <w:rsid w:val="00B51E4B"/>
    <w:rsid w:val="00B51E86"/>
    <w:rsid w:val="00B5204B"/>
    <w:rsid w:val="00B521AB"/>
    <w:rsid w:val="00B521B5"/>
    <w:rsid w:val="00B52213"/>
    <w:rsid w:val="00B522CF"/>
    <w:rsid w:val="00B52393"/>
    <w:rsid w:val="00B5239B"/>
    <w:rsid w:val="00B52523"/>
    <w:rsid w:val="00B525BE"/>
    <w:rsid w:val="00B52600"/>
    <w:rsid w:val="00B52697"/>
    <w:rsid w:val="00B52725"/>
    <w:rsid w:val="00B527E8"/>
    <w:rsid w:val="00B52809"/>
    <w:rsid w:val="00B52811"/>
    <w:rsid w:val="00B5282F"/>
    <w:rsid w:val="00B528CA"/>
    <w:rsid w:val="00B52932"/>
    <w:rsid w:val="00B529E0"/>
    <w:rsid w:val="00B52A64"/>
    <w:rsid w:val="00B52A86"/>
    <w:rsid w:val="00B52B29"/>
    <w:rsid w:val="00B52B6F"/>
    <w:rsid w:val="00B52BB2"/>
    <w:rsid w:val="00B52CD5"/>
    <w:rsid w:val="00B52D00"/>
    <w:rsid w:val="00B52DCF"/>
    <w:rsid w:val="00B52DD5"/>
    <w:rsid w:val="00B52DE5"/>
    <w:rsid w:val="00B52E06"/>
    <w:rsid w:val="00B52EAF"/>
    <w:rsid w:val="00B52F11"/>
    <w:rsid w:val="00B52F70"/>
    <w:rsid w:val="00B5302B"/>
    <w:rsid w:val="00B53127"/>
    <w:rsid w:val="00B53152"/>
    <w:rsid w:val="00B531CA"/>
    <w:rsid w:val="00B5324B"/>
    <w:rsid w:val="00B5326B"/>
    <w:rsid w:val="00B5333C"/>
    <w:rsid w:val="00B53366"/>
    <w:rsid w:val="00B533EE"/>
    <w:rsid w:val="00B5342C"/>
    <w:rsid w:val="00B534D7"/>
    <w:rsid w:val="00B53502"/>
    <w:rsid w:val="00B53518"/>
    <w:rsid w:val="00B53545"/>
    <w:rsid w:val="00B5355A"/>
    <w:rsid w:val="00B53579"/>
    <w:rsid w:val="00B535F9"/>
    <w:rsid w:val="00B53616"/>
    <w:rsid w:val="00B53649"/>
    <w:rsid w:val="00B536E3"/>
    <w:rsid w:val="00B5373B"/>
    <w:rsid w:val="00B53762"/>
    <w:rsid w:val="00B539DE"/>
    <w:rsid w:val="00B53A0B"/>
    <w:rsid w:val="00B53A93"/>
    <w:rsid w:val="00B53BAF"/>
    <w:rsid w:val="00B53D7F"/>
    <w:rsid w:val="00B53D83"/>
    <w:rsid w:val="00B53E90"/>
    <w:rsid w:val="00B53EEB"/>
    <w:rsid w:val="00B53F3B"/>
    <w:rsid w:val="00B53F51"/>
    <w:rsid w:val="00B54052"/>
    <w:rsid w:val="00B5405E"/>
    <w:rsid w:val="00B54071"/>
    <w:rsid w:val="00B5409A"/>
    <w:rsid w:val="00B540B8"/>
    <w:rsid w:val="00B540EF"/>
    <w:rsid w:val="00B5413A"/>
    <w:rsid w:val="00B54225"/>
    <w:rsid w:val="00B54332"/>
    <w:rsid w:val="00B5437A"/>
    <w:rsid w:val="00B54396"/>
    <w:rsid w:val="00B54419"/>
    <w:rsid w:val="00B54447"/>
    <w:rsid w:val="00B54497"/>
    <w:rsid w:val="00B544FF"/>
    <w:rsid w:val="00B545E9"/>
    <w:rsid w:val="00B54606"/>
    <w:rsid w:val="00B5473E"/>
    <w:rsid w:val="00B54742"/>
    <w:rsid w:val="00B54743"/>
    <w:rsid w:val="00B5474B"/>
    <w:rsid w:val="00B5475D"/>
    <w:rsid w:val="00B547CF"/>
    <w:rsid w:val="00B5481E"/>
    <w:rsid w:val="00B548DE"/>
    <w:rsid w:val="00B548E8"/>
    <w:rsid w:val="00B54A4E"/>
    <w:rsid w:val="00B54A61"/>
    <w:rsid w:val="00B54A75"/>
    <w:rsid w:val="00B54B1D"/>
    <w:rsid w:val="00B54B2C"/>
    <w:rsid w:val="00B54B2F"/>
    <w:rsid w:val="00B54B60"/>
    <w:rsid w:val="00B54B69"/>
    <w:rsid w:val="00B54BA7"/>
    <w:rsid w:val="00B54C85"/>
    <w:rsid w:val="00B54C93"/>
    <w:rsid w:val="00B54C9B"/>
    <w:rsid w:val="00B54CD0"/>
    <w:rsid w:val="00B54D1E"/>
    <w:rsid w:val="00B54DA0"/>
    <w:rsid w:val="00B54DC5"/>
    <w:rsid w:val="00B54E78"/>
    <w:rsid w:val="00B54E8E"/>
    <w:rsid w:val="00B54FCD"/>
    <w:rsid w:val="00B54FE5"/>
    <w:rsid w:val="00B55018"/>
    <w:rsid w:val="00B550CD"/>
    <w:rsid w:val="00B550DA"/>
    <w:rsid w:val="00B55103"/>
    <w:rsid w:val="00B55107"/>
    <w:rsid w:val="00B55135"/>
    <w:rsid w:val="00B55244"/>
    <w:rsid w:val="00B552E2"/>
    <w:rsid w:val="00B553B4"/>
    <w:rsid w:val="00B55574"/>
    <w:rsid w:val="00B55626"/>
    <w:rsid w:val="00B5562C"/>
    <w:rsid w:val="00B5562D"/>
    <w:rsid w:val="00B5572C"/>
    <w:rsid w:val="00B557CC"/>
    <w:rsid w:val="00B5580D"/>
    <w:rsid w:val="00B55912"/>
    <w:rsid w:val="00B55979"/>
    <w:rsid w:val="00B55A71"/>
    <w:rsid w:val="00B55AD9"/>
    <w:rsid w:val="00B55B9F"/>
    <w:rsid w:val="00B55BF1"/>
    <w:rsid w:val="00B55C0F"/>
    <w:rsid w:val="00B55C72"/>
    <w:rsid w:val="00B55D63"/>
    <w:rsid w:val="00B55E34"/>
    <w:rsid w:val="00B55E6D"/>
    <w:rsid w:val="00B55EA4"/>
    <w:rsid w:val="00B55F8E"/>
    <w:rsid w:val="00B56091"/>
    <w:rsid w:val="00B560B5"/>
    <w:rsid w:val="00B56136"/>
    <w:rsid w:val="00B56174"/>
    <w:rsid w:val="00B56268"/>
    <w:rsid w:val="00B562E8"/>
    <w:rsid w:val="00B56432"/>
    <w:rsid w:val="00B5648F"/>
    <w:rsid w:val="00B5651D"/>
    <w:rsid w:val="00B56531"/>
    <w:rsid w:val="00B56537"/>
    <w:rsid w:val="00B56544"/>
    <w:rsid w:val="00B56574"/>
    <w:rsid w:val="00B565C9"/>
    <w:rsid w:val="00B56671"/>
    <w:rsid w:val="00B566F0"/>
    <w:rsid w:val="00B567BD"/>
    <w:rsid w:val="00B567EB"/>
    <w:rsid w:val="00B5681E"/>
    <w:rsid w:val="00B568AC"/>
    <w:rsid w:val="00B568CB"/>
    <w:rsid w:val="00B56918"/>
    <w:rsid w:val="00B56930"/>
    <w:rsid w:val="00B5695A"/>
    <w:rsid w:val="00B56982"/>
    <w:rsid w:val="00B56A2C"/>
    <w:rsid w:val="00B56ADD"/>
    <w:rsid w:val="00B56B41"/>
    <w:rsid w:val="00B56BA6"/>
    <w:rsid w:val="00B56C15"/>
    <w:rsid w:val="00B56D3A"/>
    <w:rsid w:val="00B56DFD"/>
    <w:rsid w:val="00B56E07"/>
    <w:rsid w:val="00B56E33"/>
    <w:rsid w:val="00B56E6E"/>
    <w:rsid w:val="00B56E8F"/>
    <w:rsid w:val="00B56F3C"/>
    <w:rsid w:val="00B56FAB"/>
    <w:rsid w:val="00B57086"/>
    <w:rsid w:val="00B57120"/>
    <w:rsid w:val="00B5712B"/>
    <w:rsid w:val="00B57269"/>
    <w:rsid w:val="00B574ED"/>
    <w:rsid w:val="00B57578"/>
    <w:rsid w:val="00B576CF"/>
    <w:rsid w:val="00B577D8"/>
    <w:rsid w:val="00B577F9"/>
    <w:rsid w:val="00B57965"/>
    <w:rsid w:val="00B57B01"/>
    <w:rsid w:val="00B57B17"/>
    <w:rsid w:val="00B57B5C"/>
    <w:rsid w:val="00B57BE3"/>
    <w:rsid w:val="00B57C54"/>
    <w:rsid w:val="00B57C72"/>
    <w:rsid w:val="00B57CBF"/>
    <w:rsid w:val="00B57D60"/>
    <w:rsid w:val="00B57E5A"/>
    <w:rsid w:val="00B57E6D"/>
    <w:rsid w:val="00B57E97"/>
    <w:rsid w:val="00B57F3C"/>
    <w:rsid w:val="00B57F77"/>
    <w:rsid w:val="00B57FDC"/>
    <w:rsid w:val="00B60083"/>
    <w:rsid w:val="00B600CF"/>
    <w:rsid w:val="00B60177"/>
    <w:rsid w:val="00B601B8"/>
    <w:rsid w:val="00B601BF"/>
    <w:rsid w:val="00B602A9"/>
    <w:rsid w:val="00B603B2"/>
    <w:rsid w:val="00B60446"/>
    <w:rsid w:val="00B604BE"/>
    <w:rsid w:val="00B604D6"/>
    <w:rsid w:val="00B60662"/>
    <w:rsid w:val="00B6081F"/>
    <w:rsid w:val="00B60822"/>
    <w:rsid w:val="00B60868"/>
    <w:rsid w:val="00B60938"/>
    <w:rsid w:val="00B6097D"/>
    <w:rsid w:val="00B609C5"/>
    <w:rsid w:val="00B609ED"/>
    <w:rsid w:val="00B60B6F"/>
    <w:rsid w:val="00B60B88"/>
    <w:rsid w:val="00B60BCA"/>
    <w:rsid w:val="00B60BEB"/>
    <w:rsid w:val="00B60C2C"/>
    <w:rsid w:val="00B60C42"/>
    <w:rsid w:val="00B60C58"/>
    <w:rsid w:val="00B60CDA"/>
    <w:rsid w:val="00B60E61"/>
    <w:rsid w:val="00B60EF0"/>
    <w:rsid w:val="00B60F3F"/>
    <w:rsid w:val="00B60F7E"/>
    <w:rsid w:val="00B61022"/>
    <w:rsid w:val="00B610C1"/>
    <w:rsid w:val="00B610E9"/>
    <w:rsid w:val="00B61297"/>
    <w:rsid w:val="00B612BB"/>
    <w:rsid w:val="00B61358"/>
    <w:rsid w:val="00B613B1"/>
    <w:rsid w:val="00B613BA"/>
    <w:rsid w:val="00B61407"/>
    <w:rsid w:val="00B61436"/>
    <w:rsid w:val="00B61541"/>
    <w:rsid w:val="00B615A1"/>
    <w:rsid w:val="00B615E6"/>
    <w:rsid w:val="00B61744"/>
    <w:rsid w:val="00B61762"/>
    <w:rsid w:val="00B61992"/>
    <w:rsid w:val="00B619B6"/>
    <w:rsid w:val="00B61A01"/>
    <w:rsid w:val="00B61A25"/>
    <w:rsid w:val="00B61A41"/>
    <w:rsid w:val="00B61ACA"/>
    <w:rsid w:val="00B61BD9"/>
    <w:rsid w:val="00B61C3C"/>
    <w:rsid w:val="00B61C67"/>
    <w:rsid w:val="00B61C84"/>
    <w:rsid w:val="00B61E49"/>
    <w:rsid w:val="00B61E62"/>
    <w:rsid w:val="00B61E9A"/>
    <w:rsid w:val="00B61EFA"/>
    <w:rsid w:val="00B61F16"/>
    <w:rsid w:val="00B61FA8"/>
    <w:rsid w:val="00B62030"/>
    <w:rsid w:val="00B6204C"/>
    <w:rsid w:val="00B62089"/>
    <w:rsid w:val="00B62090"/>
    <w:rsid w:val="00B62114"/>
    <w:rsid w:val="00B62319"/>
    <w:rsid w:val="00B6239A"/>
    <w:rsid w:val="00B6240C"/>
    <w:rsid w:val="00B6248C"/>
    <w:rsid w:val="00B624C8"/>
    <w:rsid w:val="00B624CB"/>
    <w:rsid w:val="00B625B2"/>
    <w:rsid w:val="00B625F1"/>
    <w:rsid w:val="00B626DA"/>
    <w:rsid w:val="00B6276D"/>
    <w:rsid w:val="00B627A8"/>
    <w:rsid w:val="00B62808"/>
    <w:rsid w:val="00B62959"/>
    <w:rsid w:val="00B62979"/>
    <w:rsid w:val="00B62AE1"/>
    <w:rsid w:val="00B62B0C"/>
    <w:rsid w:val="00B62B61"/>
    <w:rsid w:val="00B62B6A"/>
    <w:rsid w:val="00B62B97"/>
    <w:rsid w:val="00B62C80"/>
    <w:rsid w:val="00B62D39"/>
    <w:rsid w:val="00B62EC4"/>
    <w:rsid w:val="00B62F89"/>
    <w:rsid w:val="00B63094"/>
    <w:rsid w:val="00B631B9"/>
    <w:rsid w:val="00B6322A"/>
    <w:rsid w:val="00B632DD"/>
    <w:rsid w:val="00B6341F"/>
    <w:rsid w:val="00B63446"/>
    <w:rsid w:val="00B63471"/>
    <w:rsid w:val="00B634CA"/>
    <w:rsid w:val="00B6351E"/>
    <w:rsid w:val="00B6357A"/>
    <w:rsid w:val="00B6357F"/>
    <w:rsid w:val="00B6360F"/>
    <w:rsid w:val="00B63639"/>
    <w:rsid w:val="00B636E1"/>
    <w:rsid w:val="00B63757"/>
    <w:rsid w:val="00B63761"/>
    <w:rsid w:val="00B637B7"/>
    <w:rsid w:val="00B63820"/>
    <w:rsid w:val="00B63831"/>
    <w:rsid w:val="00B6387A"/>
    <w:rsid w:val="00B6387F"/>
    <w:rsid w:val="00B638BF"/>
    <w:rsid w:val="00B6391D"/>
    <w:rsid w:val="00B63920"/>
    <w:rsid w:val="00B63996"/>
    <w:rsid w:val="00B6399B"/>
    <w:rsid w:val="00B63B49"/>
    <w:rsid w:val="00B63C11"/>
    <w:rsid w:val="00B63C5A"/>
    <w:rsid w:val="00B63DA7"/>
    <w:rsid w:val="00B63DCA"/>
    <w:rsid w:val="00B63DD8"/>
    <w:rsid w:val="00B63DFE"/>
    <w:rsid w:val="00B63EA0"/>
    <w:rsid w:val="00B63EF9"/>
    <w:rsid w:val="00B63F10"/>
    <w:rsid w:val="00B63FA9"/>
    <w:rsid w:val="00B63FD6"/>
    <w:rsid w:val="00B6407C"/>
    <w:rsid w:val="00B640B1"/>
    <w:rsid w:val="00B640E0"/>
    <w:rsid w:val="00B640F7"/>
    <w:rsid w:val="00B642C9"/>
    <w:rsid w:val="00B64315"/>
    <w:rsid w:val="00B643B1"/>
    <w:rsid w:val="00B644B4"/>
    <w:rsid w:val="00B644D2"/>
    <w:rsid w:val="00B644DD"/>
    <w:rsid w:val="00B644FF"/>
    <w:rsid w:val="00B64539"/>
    <w:rsid w:val="00B64543"/>
    <w:rsid w:val="00B64573"/>
    <w:rsid w:val="00B6466D"/>
    <w:rsid w:val="00B646C2"/>
    <w:rsid w:val="00B6472E"/>
    <w:rsid w:val="00B6477E"/>
    <w:rsid w:val="00B64820"/>
    <w:rsid w:val="00B64845"/>
    <w:rsid w:val="00B648EB"/>
    <w:rsid w:val="00B64916"/>
    <w:rsid w:val="00B64962"/>
    <w:rsid w:val="00B64999"/>
    <w:rsid w:val="00B64A37"/>
    <w:rsid w:val="00B64A40"/>
    <w:rsid w:val="00B64AE1"/>
    <w:rsid w:val="00B64B2E"/>
    <w:rsid w:val="00B64BA4"/>
    <w:rsid w:val="00B64BDE"/>
    <w:rsid w:val="00B64CF3"/>
    <w:rsid w:val="00B64D01"/>
    <w:rsid w:val="00B64D1C"/>
    <w:rsid w:val="00B64D4E"/>
    <w:rsid w:val="00B64DD4"/>
    <w:rsid w:val="00B64E13"/>
    <w:rsid w:val="00B64E4C"/>
    <w:rsid w:val="00B64E6B"/>
    <w:rsid w:val="00B64F6B"/>
    <w:rsid w:val="00B65006"/>
    <w:rsid w:val="00B6501C"/>
    <w:rsid w:val="00B65046"/>
    <w:rsid w:val="00B6525D"/>
    <w:rsid w:val="00B6529A"/>
    <w:rsid w:val="00B653B3"/>
    <w:rsid w:val="00B653BA"/>
    <w:rsid w:val="00B6542E"/>
    <w:rsid w:val="00B6547D"/>
    <w:rsid w:val="00B65528"/>
    <w:rsid w:val="00B65587"/>
    <w:rsid w:val="00B6558B"/>
    <w:rsid w:val="00B65659"/>
    <w:rsid w:val="00B6567A"/>
    <w:rsid w:val="00B65755"/>
    <w:rsid w:val="00B657A2"/>
    <w:rsid w:val="00B65803"/>
    <w:rsid w:val="00B65811"/>
    <w:rsid w:val="00B65851"/>
    <w:rsid w:val="00B6587F"/>
    <w:rsid w:val="00B6588F"/>
    <w:rsid w:val="00B65916"/>
    <w:rsid w:val="00B65941"/>
    <w:rsid w:val="00B65A5C"/>
    <w:rsid w:val="00B65A89"/>
    <w:rsid w:val="00B65A8A"/>
    <w:rsid w:val="00B65ABA"/>
    <w:rsid w:val="00B65AE4"/>
    <w:rsid w:val="00B65B0A"/>
    <w:rsid w:val="00B65B2E"/>
    <w:rsid w:val="00B65C47"/>
    <w:rsid w:val="00B65D5A"/>
    <w:rsid w:val="00B65D63"/>
    <w:rsid w:val="00B65DD3"/>
    <w:rsid w:val="00B65E76"/>
    <w:rsid w:val="00B65F44"/>
    <w:rsid w:val="00B660A8"/>
    <w:rsid w:val="00B660CA"/>
    <w:rsid w:val="00B66127"/>
    <w:rsid w:val="00B661E1"/>
    <w:rsid w:val="00B66233"/>
    <w:rsid w:val="00B66299"/>
    <w:rsid w:val="00B6632E"/>
    <w:rsid w:val="00B6635B"/>
    <w:rsid w:val="00B6639D"/>
    <w:rsid w:val="00B663FE"/>
    <w:rsid w:val="00B6642C"/>
    <w:rsid w:val="00B66454"/>
    <w:rsid w:val="00B6649E"/>
    <w:rsid w:val="00B66695"/>
    <w:rsid w:val="00B666B1"/>
    <w:rsid w:val="00B668C5"/>
    <w:rsid w:val="00B66917"/>
    <w:rsid w:val="00B66927"/>
    <w:rsid w:val="00B66AFA"/>
    <w:rsid w:val="00B66B6F"/>
    <w:rsid w:val="00B66BEE"/>
    <w:rsid w:val="00B66C5D"/>
    <w:rsid w:val="00B66CA1"/>
    <w:rsid w:val="00B66CB8"/>
    <w:rsid w:val="00B66D46"/>
    <w:rsid w:val="00B66D9B"/>
    <w:rsid w:val="00B66DF6"/>
    <w:rsid w:val="00B66E60"/>
    <w:rsid w:val="00B66FEC"/>
    <w:rsid w:val="00B67097"/>
    <w:rsid w:val="00B670CD"/>
    <w:rsid w:val="00B670FE"/>
    <w:rsid w:val="00B67267"/>
    <w:rsid w:val="00B67336"/>
    <w:rsid w:val="00B67375"/>
    <w:rsid w:val="00B673D1"/>
    <w:rsid w:val="00B67401"/>
    <w:rsid w:val="00B67489"/>
    <w:rsid w:val="00B674D3"/>
    <w:rsid w:val="00B6751B"/>
    <w:rsid w:val="00B675E2"/>
    <w:rsid w:val="00B6767E"/>
    <w:rsid w:val="00B676C6"/>
    <w:rsid w:val="00B6781D"/>
    <w:rsid w:val="00B6790F"/>
    <w:rsid w:val="00B67B21"/>
    <w:rsid w:val="00B67B60"/>
    <w:rsid w:val="00B67BBE"/>
    <w:rsid w:val="00B67C77"/>
    <w:rsid w:val="00B67CB3"/>
    <w:rsid w:val="00B67D15"/>
    <w:rsid w:val="00B67E06"/>
    <w:rsid w:val="00B67EC6"/>
    <w:rsid w:val="00B6F6D6"/>
    <w:rsid w:val="00B70031"/>
    <w:rsid w:val="00B7004C"/>
    <w:rsid w:val="00B7017A"/>
    <w:rsid w:val="00B70184"/>
    <w:rsid w:val="00B70278"/>
    <w:rsid w:val="00B7028B"/>
    <w:rsid w:val="00B702B6"/>
    <w:rsid w:val="00B702BB"/>
    <w:rsid w:val="00B7030E"/>
    <w:rsid w:val="00B70379"/>
    <w:rsid w:val="00B703EA"/>
    <w:rsid w:val="00B703F9"/>
    <w:rsid w:val="00B7042C"/>
    <w:rsid w:val="00B7048E"/>
    <w:rsid w:val="00B706C7"/>
    <w:rsid w:val="00B706F8"/>
    <w:rsid w:val="00B70709"/>
    <w:rsid w:val="00B7071A"/>
    <w:rsid w:val="00B70725"/>
    <w:rsid w:val="00B70735"/>
    <w:rsid w:val="00B7080C"/>
    <w:rsid w:val="00B7087B"/>
    <w:rsid w:val="00B70890"/>
    <w:rsid w:val="00B708FA"/>
    <w:rsid w:val="00B7092D"/>
    <w:rsid w:val="00B709B1"/>
    <w:rsid w:val="00B709CF"/>
    <w:rsid w:val="00B709ED"/>
    <w:rsid w:val="00B70A7C"/>
    <w:rsid w:val="00B70AE9"/>
    <w:rsid w:val="00B70B11"/>
    <w:rsid w:val="00B70C13"/>
    <w:rsid w:val="00B70DBF"/>
    <w:rsid w:val="00B70DF7"/>
    <w:rsid w:val="00B70E47"/>
    <w:rsid w:val="00B70E5C"/>
    <w:rsid w:val="00B70E83"/>
    <w:rsid w:val="00B70E8D"/>
    <w:rsid w:val="00B70EF4"/>
    <w:rsid w:val="00B70F28"/>
    <w:rsid w:val="00B70FB9"/>
    <w:rsid w:val="00B71071"/>
    <w:rsid w:val="00B71142"/>
    <w:rsid w:val="00B71147"/>
    <w:rsid w:val="00B71168"/>
    <w:rsid w:val="00B71207"/>
    <w:rsid w:val="00B7123C"/>
    <w:rsid w:val="00B71256"/>
    <w:rsid w:val="00B712A4"/>
    <w:rsid w:val="00B712C4"/>
    <w:rsid w:val="00B7133D"/>
    <w:rsid w:val="00B71439"/>
    <w:rsid w:val="00B71514"/>
    <w:rsid w:val="00B71577"/>
    <w:rsid w:val="00B715DA"/>
    <w:rsid w:val="00B715F2"/>
    <w:rsid w:val="00B71611"/>
    <w:rsid w:val="00B71626"/>
    <w:rsid w:val="00B71708"/>
    <w:rsid w:val="00B7170B"/>
    <w:rsid w:val="00B7179A"/>
    <w:rsid w:val="00B717B8"/>
    <w:rsid w:val="00B717D3"/>
    <w:rsid w:val="00B717FB"/>
    <w:rsid w:val="00B71826"/>
    <w:rsid w:val="00B7183D"/>
    <w:rsid w:val="00B71876"/>
    <w:rsid w:val="00B71922"/>
    <w:rsid w:val="00B71931"/>
    <w:rsid w:val="00B71A6E"/>
    <w:rsid w:val="00B71AE9"/>
    <w:rsid w:val="00B71B3B"/>
    <w:rsid w:val="00B71B47"/>
    <w:rsid w:val="00B71B6C"/>
    <w:rsid w:val="00B71C06"/>
    <w:rsid w:val="00B71C32"/>
    <w:rsid w:val="00B71C3B"/>
    <w:rsid w:val="00B71D07"/>
    <w:rsid w:val="00B71D45"/>
    <w:rsid w:val="00B71DB5"/>
    <w:rsid w:val="00B71E4C"/>
    <w:rsid w:val="00B71E6C"/>
    <w:rsid w:val="00B71EBD"/>
    <w:rsid w:val="00B71EF3"/>
    <w:rsid w:val="00B71F14"/>
    <w:rsid w:val="00B71F5B"/>
    <w:rsid w:val="00B720B5"/>
    <w:rsid w:val="00B720E1"/>
    <w:rsid w:val="00B720FF"/>
    <w:rsid w:val="00B72126"/>
    <w:rsid w:val="00B72229"/>
    <w:rsid w:val="00B7222B"/>
    <w:rsid w:val="00B72273"/>
    <w:rsid w:val="00B72277"/>
    <w:rsid w:val="00B7233C"/>
    <w:rsid w:val="00B72342"/>
    <w:rsid w:val="00B72355"/>
    <w:rsid w:val="00B72364"/>
    <w:rsid w:val="00B723B8"/>
    <w:rsid w:val="00B7240C"/>
    <w:rsid w:val="00B72454"/>
    <w:rsid w:val="00B725B6"/>
    <w:rsid w:val="00B725E3"/>
    <w:rsid w:val="00B72600"/>
    <w:rsid w:val="00B72609"/>
    <w:rsid w:val="00B72688"/>
    <w:rsid w:val="00B726A9"/>
    <w:rsid w:val="00B726BD"/>
    <w:rsid w:val="00B72777"/>
    <w:rsid w:val="00B727CF"/>
    <w:rsid w:val="00B72902"/>
    <w:rsid w:val="00B72AD7"/>
    <w:rsid w:val="00B72AF7"/>
    <w:rsid w:val="00B72AFD"/>
    <w:rsid w:val="00B72AFF"/>
    <w:rsid w:val="00B72B35"/>
    <w:rsid w:val="00B72B8C"/>
    <w:rsid w:val="00B72C1C"/>
    <w:rsid w:val="00B72CA6"/>
    <w:rsid w:val="00B72E25"/>
    <w:rsid w:val="00B72E58"/>
    <w:rsid w:val="00B72EE5"/>
    <w:rsid w:val="00B72FAB"/>
    <w:rsid w:val="00B73005"/>
    <w:rsid w:val="00B73033"/>
    <w:rsid w:val="00B73205"/>
    <w:rsid w:val="00B73266"/>
    <w:rsid w:val="00B73288"/>
    <w:rsid w:val="00B732CA"/>
    <w:rsid w:val="00B73313"/>
    <w:rsid w:val="00B73386"/>
    <w:rsid w:val="00B73400"/>
    <w:rsid w:val="00B734FB"/>
    <w:rsid w:val="00B734FD"/>
    <w:rsid w:val="00B736BC"/>
    <w:rsid w:val="00B736DA"/>
    <w:rsid w:val="00B736EC"/>
    <w:rsid w:val="00B737FA"/>
    <w:rsid w:val="00B73804"/>
    <w:rsid w:val="00B7380A"/>
    <w:rsid w:val="00B738E2"/>
    <w:rsid w:val="00B7396D"/>
    <w:rsid w:val="00B739C0"/>
    <w:rsid w:val="00B73B04"/>
    <w:rsid w:val="00B73CD9"/>
    <w:rsid w:val="00B73CF3"/>
    <w:rsid w:val="00B73CFC"/>
    <w:rsid w:val="00B73D0E"/>
    <w:rsid w:val="00B73D84"/>
    <w:rsid w:val="00B73D86"/>
    <w:rsid w:val="00B73F7A"/>
    <w:rsid w:val="00B73F7C"/>
    <w:rsid w:val="00B73F8E"/>
    <w:rsid w:val="00B73FF4"/>
    <w:rsid w:val="00B740CD"/>
    <w:rsid w:val="00B7412C"/>
    <w:rsid w:val="00B74169"/>
    <w:rsid w:val="00B741C4"/>
    <w:rsid w:val="00B74222"/>
    <w:rsid w:val="00B74251"/>
    <w:rsid w:val="00B742B6"/>
    <w:rsid w:val="00B742E8"/>
    <w:rsid w:val="00B742EE"/>
    <w:rsid w:val="00B743DF"/>
    <w:rsid w:val="00B743FD"/>
    <w:rsid w:val="00B74454"/>
    <w:rsid w:val="00B74591"/>
    <w:rsid w:val="00B74681"/>
    <w:rsid w:val="00B746E7"/>
    <w:rsid w:val="00B746E9"/>
    <w:rsid w:val="00B746EA"/>
    <w:rsid w:val="00B74779"/>
    <w:rsid w:val="00B747E1"/>
    <w:rsid w:val="00B74871"/>
    <w:rsid w:val="00B749DA"/>
    <w:rsid w:val="00B749F5"/>
    <w:rsid w:val="00B74A93"/>
    <w:rsid w:val="00B74C0F"/>
    <w:rsid w:val="00B74C28"/>
    <w:rsid w:val="00B74C29"/>
    <w:rsid w:val="00B74C8A"/>
    <w:rsid w:val="00B74D0E"/>
    <w:rsid w:val="00B74D20"/>
    <w:rsid w:val="00B74D85"/>
    <w:rsid w:val="00B74EDC"/>
    <w:rsid w:val="00B74EFA"/>
    <w:rsid w:val="00B74F2E"/>
    <w:rsid w:val="00B7505A"/>
    <w:rsid w:val="00B7508E"/>
    <w:rsid w:val="00B75095"/>
    <w:rsid w:val="00B750D2"/>
    <w:rsid w:val="00B7513E"/>
    <w:rsid w:val="00B7516E"/>
    <w:rsid w:val="00B751ED"/>
    <w:rsid w:val="00B751FE"/>
    <w:rsid w:val="00B7523E"/>
    <w:rsid w:val="00B752FF"/>
    <w:rsid w:val="00B7534E"/>
    <w:rsid w:val="00B753FD"/>
    <w:rsid w:val="00B7543E"/>
    <w:rsid w:val="00B755CA"/>
    <w:rsid w:val="00B755E4"/>
    <w:rsid w:val="00B75623"/>
    <w:rsid w:val="00B75654"/>
    <w:rsid w:val="00B756E8"/>
    <w:rsid w:val="00B75767"/>
    <w:rsid w:val="00B75770"/>
    <w:rsid w:val="00B757BB"/>
    <w:rsid w:val="00B75851"/>
    <w:rsid w:val="00B75872"/>
    <w:rsid w:val="00B7596D"/>
    <w:rsid w:val="00B759BB"/>
    <w:rsid w:val="00B759C8"/>
    <w:rsid w:val="00B75B1A"/>
    <w:rsid w:val="00B75B24"/>
    <w:rsid w:val="00B75B96"/>
    <w:rsid w:val="00B75E95"/>
    <w:rsid w:val="00B75F9F"/>
    <w:rsid w:val="00B75FD5"/>
    <w:rsid w:val="00B76012"/>
    <w:rsid w:val="00B76013"/>
    <w:rsid w:val="00B760AF"/>
    <w:rsid w:val="00B7617F"/>
    <w:rsid w:val="00B761A8"/>
    <w:rsid w:val="00B761D1"/>
    <w:rsid w:val="00B7622C"/>
    <w:rsid w:val="00B762CD"/>
    <w:rsid w:val="00B76364"/>
    <w:rsid w:val="00B7638E"/>
    <w:rsid w:val="00B763BF"/>
    <w:rsid w:val="00B763D0"/>
    <w:rsid w:val="00B764D0"/>
    <w:rsid w:val="00B76529"/>
    <w:rsid w:val="00B76597"/>
    <w:rsid w:val="00B765DE"/>
    <w:rsid w:val="00B7661C"/>
    <w:rsid w:val="00B76669"/>
    <w:rsid w:val="00B7666D"/>
    <w:rsid w:val="00B76696"/>
    <w:rsid w:val="00B766BE"/>
    <w:rsid w:val="00B7673F"/>
    <w:rsid w:val="00B767BF"/>
    <w:rsid w:val="00B767F3"/>
    <w:rsid w:val="00B76892"/>
    <w:rsid w:val="00B76904"/>
    <w:rsid w:val="00B76912"/>
    <w:rsid w:val="00B76914"/>
    <w:rsid w:val="00B76971"/>
    <w:rsid w:val="00B76997"/>
    <w:rsid w:val="00B769B6"/>
    <w:rsid w:val="00B769FC"/>
    <w:rsid w:val="00B76B37"/>
    <w:rsid w:val="00B76C7D"/>
    <w:rsid w:val="00B76C9E"/>
    <w:rsid w:val="00B76D90"/>
    <w:rsid w:val="00B76DFB"/>
    <w:rsid w:val="00B76E65"/>
    <w:rsid w:val="00B76F51"/>
    <w:rsid w:val="00B77178"/>
    <w:rsid w:val="00B771F7"/>
    <w:rsid w:val="00B7724D"/>
    <w:rsid w:val="00B77274"/>
    <w:rsid w:val="00B77278"/>
    <w:rsid w:val="00B772E2"/>
    <w:rsid w:val="00B77334"/>
    <w:rsid w:val="00B77381"/>
    <w:rsid w:val="00B77396"/>
    <w:rsid w:val="00B77413"/>
    <w:rsid w:val="00B777A3"/>
    <w:rsid w:val="00B777E6"/>
    <w:rsid w:val="00B7780B"/>
    <w:rsid w:val="00B77818"/>
    <w:rsid w:val="00B77843"/>
    <w:rsid w:val="00B778E7"/>
    <w:rsid w:val="00B77975"/>
    <w:rsid w:val="00B779CE"/>
    <w:rsid w:val="00B77A68"/>
    <w:rsid w:val="00B77ACB"/>
    <w:rsid w:val="00B77C59"/>
    <w:rsid w:val="00B77C6D"/>
    <w:rsid w:val="00B77C6E"/>
    <w:rsid w:val="00B77D66"/>
    <w:rsid w:val="00B77DF9"/>
    <w:rsid w:val="00B77E22"/>
    <w:rsid w:val="00B77E2F"/>
    <w:rsid w:val="00B77E61"/>
    <w:rsid w:val="00B77E91"/>
    <w:rsid w:val="00B77EAB"/>
    <w:rsid w:val="00B77EBA"/>
    <w:rsid w:val="00B77F85"/>
    <w:rsid w:val="00B80011"/>
    <w:rsid w:val="00B800F8"/>
    <w:rsid w:val="00B80126"/>
    <w:rsid w:val="00B8018F"/>
    <w:rsid w:val="00B802A0"/>
    <w:rsid w:val="00B8032B"/>
    <w:rsid w:val="00B8038B"/>
    <w:rsid w:val="00B80394"/>
    <w:rsid w:val="00B803D5"/>
    <w:rsid w:val="00B8044E"/>
    <w:rsid w:val="00B8055D"/>
    <w:rsid w:val="00B8059F"/>
    <w:rsid w:val="00B805F2"/>
    <w:rsid w:val="00B80611"/>
    <w:rsid w:val="00B8070D"/>
    <w:rsid w:val="00B80723"/>
    <w:rsid w:val="00B8077B"/>
    <w:rsid w:val="00B80802"/>
    <w:rsid w:val="00B8087C"/>
    <w:rsid w:val="00B8089D"/>
    <w:rsid w:val="00B808C4"/>
    <w:rsid w:val="00B80930"/>
    <w:rsid w:val="00B8099C"/>
    <w:rsid w:val="00B80A6D"/>
    <w:rsid w:val="00B80B05"/>
    <w:rsid w:val="00B80B58"/>
    <w:rsid w:val="00B80C25"/>
    <w:rsid w:val="00B80C35"/>
    <w:rsid w:val="00B80C4D"/>
    <w:rsid w:val="00B80C8B"/>
    <w:rsid w:val="00B80CA8"/>
    <w:rsid w:val="00B80D47"/>
    <w:rsid w:val="00B80D7B"/>
    <w:rsid w:val="00B80D9C"/>
    <w:rsid w:val="00B80DD8"/>
    <w:rsid w:val="00B80ECA"/>
    <w:rsid w:val="00B80EEE"/>
    <w:rsid w:val="00B81047"/>
    <w:rsid w:val="00B81091"/>
    <w:rsid w:val="00B8116F"/>
    <w:rsid w:val="00B811FD"/>
    <w:rsid w:val="00B81237"/>
    <w:rsid w:val="00B81244"/>
    <w:rsid w:val="00B81289"/>
    <w:rsid w:val="00B812B0"/>
    <w:rsid w:val="00B812F9"/>
    <w:rsid w:val="00B8137C"/>
    <w:rsid w:val="00B81634"/>
    <w:rsid w:val="00B81645"/>
    <w:rsid w:val="00B8168A"/>
    <w:rsid w:val="00B8179E"/>
    <w:rsid w:val="00B817D7"/>
    <w:rsid w:val="00B818B9"/>
    <w:rsid w:val="00B81913"/>
    <w:rsid w:val="00B81916"/>
    <w:rsid w:val="00B81980"/>
    <w:rsid w:val="00B81B9A"/>
    <w:rsid w:val="00B81C32"/>
    <w:rsid w:val="00B81C4A"/>
    <w:rsid w:val="00B81CA2"/>
    <w:rsid w:val="00B81CBD"/>
    <w:rsid w:val="00B81E13"/>
    <w:rsid w:val="00B81F6E"/>
    <w:rsid w:val="00B82077"/>
    <w:rsid w:val="00B820A1"/>
    <w:rsid w:val="00B8210B"/>
    <w:rsid w:val="00B82113"/>
    <w:rsid w:val="00B82171"/>
    <w:rsid w:val="00B82172"/>
    <w:rsid w:val="00B82187"/>
    <w:rsid w:val="00B821D2"/>
    <w:rsid w:val="00B82227"/>
    <w:rsid w:val="00B8238E"/>
    <w:rsid w:val="00B823AB"/>
    <w:rsid w:val="00B82460"/>
    <w:rsid w:val="00B824C3"/>
    <w:rsid w:val="00B82760"/>
    <w:rsid w:val="00B8276F"/>
    <w:rsid w:val="00B827AE"/>
    <w:rsid w:val="00B8290E"/>
    <w:rsid w:val="00B8298E"/>
    <w:rsid w:val="00B829B1"/>
    <w:rsid w:val="00B829E6"/>
    <w:rsid w:val="00B82A68"/>
    <w:rsid w:val="00B82AA2"/>
    <w:rsid w:val="00B82B25"/>
    <w:rsid w:val="00B82B3F"/>
    <w:rsid w:val="00B82B61"/>
    <w:rsid w:val="00B82B79"/>
    <w:rsid w:val="00B82BA6"/>
    <w:rsid w:val="00B82C0A"/>
    <w:rsid w:val="00B82DA9"/>
    <w:rsid w:val="00B82E4F"/>
    <w:rsid w:val="00B82EF6"/>
    <w:rsid w:val="00B82FC8"/>
    <w:rsid w:val="00B830A6"/>
    <w:rsid w:val="00B830E9"/>
    <w:rsid w:val="00B830F4"/>
    <w:rsid w:val="00B8311E"/>
    <w:rsid w:val="00B83196"/>
    <w:rsid w:val="00B8319F"/>
    <w:rsid w:val="00B83223"/>
    <w:rsid w:val="00B833C3"/>
    <w:rsid w:val="00B833EE"/>
    <w:rsid w:val="00B8340C"/>
    <w:rsid w:val="00B83468"/>
    <w:rsid w:val="00B834F4"/>
    <w:rsid w:val="00B83659"/>
    <w:rsid w:val="00B8370C"/>
    <w:rsid w:val="00B837A1"/>
    <w:rsid w:val="00B837E3"/>
    <w:rsid w:val="00B83938"/>
    <w:rsid w:val="00B839B0"/>
    <w:rsid w:val="00B839B1"/>
    <w:rsid w:val="00B839ED"/>
    <w:rsid w:val="00B83A1A"/>
    <w:rsid w:val="00B83B49"/>
    <w:rsid w:val="00B83C1B"/>
    <w:rsid w:val="00B83C66"/>
    <w:rsid w:val="00B83CF8"/>
    <w:rsid w:val="00B83DC6"/>
    <w:rsid w:val="00B83E1C"/>
    <w:rsid w:val="00B83E1D"/>
    <w:rsid w:val="00B83E3C"/>
    <w:rsid w:val="00B83E3D"/>
    <w:rsid w:val="00B83E71"/>
    <w:rsid w:val="00B84001"/>
    <w:rsid w:val="00B84033"/>
    <w:rsid w:val="00B84063"/>
    <w:rsid w:val="00B84090"/>
    <w:rsid w:val="00B84099"/>
    <w:rsid w:val="00B840B0"/>
    <w:rsid w:val="00B840B1"/>
    <w:rsid w:val="00B840C7"/>
    <w:rsid w:val="00B841AD"/>
    <w:rsid w:val="00B8423D"/>
    <w:rsid w:val="00B8430C"/>
    <w:rsid w:val="00B844CB"/>
    <w:rsid w:val="00B844D2"/>
    <w:rsid w:val="00B8451A"/>
    <w:rsid w:val="00B84577"/>
    <w:rsid w:val="00B845F6"/>
    <w:rsid w:val="00B84678"/>
    <w:rsid w:val="00B846E0"/>
    <w:rsid w:val="00B846FB"/>
    <w:rsid w:val="00B8473E"/>
    <w:rsid w:val="00B84743"/>
    <w:rsid w:val="00B84766"/>
    <w:rsid w:val="00B847C9"/>
    <w:rsid w:val="00B84819"/>
    <w:rsid w:val="00B84837"/>
    <w:rsid w:val="00B84842"/>
    <w:rsid w:val="00B84850"/>
    <w:rsid w:val="00B848A5"/>
    <w:rsid w:val="00B848DA"/>
    <w:rsid w:val="00B8493A"/>
    <w:rsid w:val="00B849AB"/>
    <w:rsid w:val="00B849B9"/>
    <w:rsid w:val="00B84A43"/>
    <w:rsid w:val="00B84A93"/>
    <w:rsid w:val="00B84BC3"/>
    <w:rsid w:val="00B84C24"/>
    <w:rsid w:val="00B84CB6"/>
    <w:rsid w:val="00B84D15"/>
    <w:rsid w:val="00B84EA9"/>
    <w:rsid w:val="00B84F4B"/>
    <w:rsid w:val="00B85062"/>
    <w:rsid w:val="00B85097"/>
    <w:rsid w:val="00B8516A"/>
    <w:rsid w:val="00B85189"/>
    <w:rsid w:val="00B851C5"/>
    <w:rsid w:val="00B851E4"/>
    <w:rsid w:val="00B852B6"/>
    <w:rsid w:val="00B85303"/>
    <w:rsid w:val="00B853DB"/>
    <w:rsid w:val="00B854BC"/>
    <w:rsid w:val="00B854C6"/>
    <w:rsid w:val="00B85609"/>
    <w:rsid w:val="00B856D8"/>
    <w:rsid w:val="00B857CA"/>
    <w:rsid w:val="00B857DF"/>
    <w:rsid w:val="00B857E5"/>
    <w:rsid w:val="00B8582D"/>
    <w:rsid w:val="00B8585D"/>
    <w:rsid w:val="00B8588D"/>
    <w:rsid w:val="00B8595E"/>
    <w:rsid w:val="00B85BFE"/>
    <w:rsid w:val="00B85CB9"/>
    <w:rsid w:val="00B85D7E"/>
    <w:rsid w:val="00B85DE4"/>
    <w:rsid w:val="00B85DE5"/>
    <w:rsid w:val="00B85E65"/>
    <w:rsid w:val="00B85EB1"/>
    <w:rsid w:val="00B85F7F"/>
    <w:rsid w:val="00B860DC"/>
    <w:rsid w:val="00B86209"/>
    <w:rsid w:val="00B86262"/>
    <w:rsid w:val="00B86295"/>
    <w:rsid w:val="00B862DE"/>
    <w:rsid w:val="00B8643D"/>
    <w:rsid w:val="00B8648B"/>
    <w:rsid w:val="00B864B4"/>
    <w:rsid w:val="00B864DA"/>
    <w:rsid w:val="00B86522"/>
    <w:rsid w:val="00B86537"/>
    <w:rsid w:val="00B8657E"/>
    <w:rsid w:val="00B86584"/>
    <w:rsid w:val="00B866BB"/>
    <w:rsid w:val="00B8680E"/>
    <w:rsid w:val="00B86838"/>
    <w:rsid w:val="00B86849"/>
    <w:rsid w:val="00B868B8"/>
    <w:rsid w:val="00B868C3"/>
    <w:rsid w:val="00B869AB"/>
    <w:rsid w:val="00B869DA"/>
    <w:rsid w:val="00B86A7A"/>
    <w:rsid w:val="00B86ABB"/>
    <w:rsid w:val="00B86ACF"/>
    <w:rsid w:val="00B86B75"/>
    <w:rsid w:val="00B86CA3"/>
    <w:rsid w:val="00B86D35"/>
    <w:rsid w:val="00B86D69"/>
    <w:rsid w:val="00B86DF0"/>
    <w:rsid w:val="00B86DF8"/>
    <w:rsid w:val="00B86E6F"/>
    <w:rsid w:val="00B86F78"/>
    <w:rsid w:val="00B86F97"/>
    <w:rsid w:val="00B87125"/>
    <w:rsid w:val="00B8719A"/>
    <w:rsid w:val="00B8719D"/>
    <w:rsid w:val="00B871AF"/>
    <w:rsid w:val="00B87296"/>
    <w:rsid w:val="00B872E8"/>
    <w:rsid w:val="00B8737A"/>
    <w:rsid w:val="00B87439"/>
    <w:rsid w:val="00B87479"/>
    <w:rsid w:val="00B874C9"/>
    <w:rsid w:val="00B8751F"/>
    <w:rsid w:val="00B87522"/>
    <w:rsid w:val="00B87535"/>
    <w:rsid w:val="00B875A1"/>
    <w:rsid w:val="00B875D3"/>
    <w:rsid w:val="00B8760C"/>
    <w:rsid w:val="00B8762A"/>
    <w:rsid w:val="00B876BA"/>
    <w:rsid w:val="00B876F2"/>
    <w:rsid w:val="00B8775C"/>
    <w:rsid w:val="00B87889"/>
    <w:rsid w:val="00B87902"/>
    <w:rsid w:val="00B8794C"/>
    <w:rsid w:val="00B8798E"/>
    <w:rsid w:val="00B87A87"/>
    <w:rsid w:val="00B87A9B"/>
    <w:rsid w:val="00B87AD2"/>
    <w:rsid w:val="00B87CC0"/>
    <w:rsid w:val="00B87D61"/>
    <w:rsid w:val="00B87D71"/>
    <w:rsid w:val="00B87EAA"/>
    <w:rsid w:val="00B87EAB"/>
    <w:rsid w:val="00B87EEA"/>
    <w:rsid w:val="00B87F1B"/>
    <w:rsid w:val="00B90030"/>
    <w:rsid w:val="00B90037"/>
    <w:rsid w:val="00B90046"/>
    <w:rsid w:val="00B9009A"/>
    <w:rsid w:val="00B900DE"/>
    <w:rsid w:val="00B900F1"/>
    <w:rsid w:val="00B90130"/>
    <w:rsid w:val="00B90247"/>
    <w:rsid w:val="00B90255"/>
    <w:rsid w:val="00B90270"/>
    <w:rsid w:val="00B9027C"/>
    <w:rsid w:val="00B902A6"/>
    <w:rsid w:val="00B90325"/>
    <w:rsid w:val="00B90355"/>
    <w:rsid w:val="00B90372"/>
    <w:rsid w:val="00B904FA"/>
    <w:rsid w:val="00B9051A"/>
    <w:rsid w:val="00B90562"/>
    <w:rsid w:val="00B905D0"/>
    <w:rsid w:val="00B90669"/>
    <w:rsid w:val="00B90683"/>
    <w:rsid w:val="00B907DD"/>
    <w:rsid w:val="00B908FC"/>
    <w:rsid w:val="00B9091D"/>
    <w:rsid w:val="00B909F8"/>
    <w:rsid w:val="00B90A46"/>
    <w:rsid w:val="00B90A7B"/>
    <w:rsid w:val="00B90AAB"/>
    <w:rsid w:val="00B90AB6"/>
    <w:rsid w:val="00B90B5D"/>
    <w:rsid w:val="00B90B90"/>
    <w:rsid w:val="00B90BA6"/>
    <w:rsid w:val="00B90C06"/>
    <w:rsid w:val="00B90CEE"/>
    <w:rsid w:val="00B90D4F"/>
    <w:rsid w:val="00B90D5E"/>
    <w:rsid w:val="00B90D6E"/>
    <w:rsid w:val="00B90F14"/>
    <w:rsid w:val="00B90F1D"/>
    <w:rsid w:val="00B90FC0"/>
    <w:rsid w:val="00B9103C"/>
    <w:rsid w:val="00B91084"/>
    <w:rsid w:val="00B91174"/>
    <w:rsid w:val="00B91219"/>
    <w:rsid w:val="00B91224"/>
    <w:rsid w:val="00B912BD"/>
    <w:rsid w:val="00B91322"/>
    <w:rsid w:val="00B91365"/>
    <w:rsid w:val="00B91383"/>
    <w:rsid w:val="00B91545"/>
    <w:rsid w:val="00B91572"/>
    <w:rsid w:val="00B91637"/>
    <w:rsid w:val="00B91641"/>
    <w:rsid w:val="00B9165E"/>
    <w:rsid w:val="00B9166E"/>
    <w:rsid w:val="00B916CB"/>
    <w:rsid w:val="00B91737"/>
    <w:rsid w:val="00B91778"/>
    <w:rsid w:val="00B9178B"/>
    <w:rsid w:val="00B91876"/>
    <w:rsid w:val="00B9196A"/>
    <w:rsid w:val="00B91986"/>
    <w:rsid w:val="00B91A3F"/>
    <w:rsid w:val="00B91A51"/>
    <w:rsid w:val="00B91B1B"/>
    <w:rsid w:val="00B91B6A"/>
    <w:rsid w:val="00B91C6C"/>
    <w:rsid w:val="00B91D32"/>
    <w:rsid w:val="00B91D3E"/>
    <w:rsid w:val="00B91DF8"/>
    <w:rsid w:val="00B91E05"/>
    <w:rsid w:val="00B92005"/>
    <w:rsid w:val="00B9205C"/>
    <w:rsid w:val="00B9206A"/>
    <w:rsid w:val="00B920EE"/>
    <w:rsid w:val="00B92155"/>
    <w:rsid w:val="00B92270"/>
    <w:rsid w:val="00B92336"/>
    <w:rsid w:val="00B923E2"/>
    <w:rsid w:val="00B92417"/>
    <w:rsid w:val="00B92436"/>
    <w:rsid w:val="00B92461"/>
    <w:rsid w:val="00B92526"/>
    <w:rsid w:val="00B9257C"/>
    <w:rsid w:val="00B92797"/>
    <w:rsid w:val="00B92823"/>
    <w:rsid w:val="00B92860"/>
    <w:rsid w:val="00B928AA"/>
    <w:rsid w:val="00B9296D"/>
    <w:rsid w:val="00B929A3"/>
    <w:rsid w:val="00B929C3"/>
    <w:rsid w:val="00B92B2A"/>
    <w:rsid w:val="00B92C71"/>
    <w:rsid w:val="00B92CAE"/>
    <w:rsid w:val="00B92E3F"/>
    <w:rsid w:val="00B92E81"/>
    <w:rsid w:val="00B92FF4"/>
    <w:rsid w:val="00B93049"/>
    <w:rsid w:val="00B93060"/>
    <w:rsid w:val="00B9306B"/>
    <w:rsid w:val="00B9317A"/>
    <w:rsid w:val="00B9317F"/>
    <w:rsid w:val="00B931E6"/>
    <w:rsid w:val="00B93235"/>
    <w:rsid w:val="00B93266"/>
    <w:rsid w:val="00B932B1"/>
    <w:rsid w:val="00B932FB"/>
    <w:rsid w:val="00B933F4"/>
    <w:rsid w:val="00B93411"/>
    <w:rsid w:val="00B935CB"/>
    <w:rsid w:val="00B93600"/>
    <w:rsid w:val="00B93617"/>
    <w:rsid w:val="00B936D4"/>
    <w:rsid w:val="00B937A7"/>
    <w:rsid w:val="00B937CC"/>
    <w:rsid w:val="00B937EA"/>
    <w:rsid w:val="00B93861"/>
    <w:rsid w:val="00B938B6"/>
    <w:rsid w:val="00B938D4"/>
    <w:rsid w:val="00B938F8"/>
    <w:rsid w:val="00B938FA"/>
    <w:rsid w:val="00B93934"/>
    <w:rsid w:val="00B93948"/>
    <w:rsid w:val="00B939F2"/>
    <w:rsid w:val="00B93ABE"/>
    <w:rsid w:val="00B93B00"/>
    <w:rsid w:val="00B93BDF"/>
    <w:rsid w:val="00B93C84"/>
    <w:rsid w:val="00B93CB7"/>
    <w:rsid w:val="00B93D07"/>
    <w:rsid w:val="00B93D22"/>
    <w:rsid w:val="00B93D40"/>
    <w:rsid w:val="00B93DCF"/>
    <w:rsid w:val="00B93E0E"/>
    <w:rsid w:val="00B93E43"/>
    <w:rsid w:val="00B93ECA"/>
    <w:rsid w:val="00B93FE5"/>
    <w:rsid w:val="00B94109"/>
    <w:rsid w:val="00B94111"/>
    <w:rsid w:val="00B9419C"/>
    <w:rsid w:val="00B94215"/>
    <w:rsid w:val="00B9428B"/>
    <w:rsid w:val="00B942B1"/>
    <w:rsid w:val="00B9437A"/>
    <w:rsid w:val="00B9439A"/>
    <w:rsid w:val="00B943AF"/>
    <w:rsid w:val="00B943CD"/>
    <w:rsid w:val="00B94411"/>
    <w:rsid w:val="00B9441F"/>
    <w:rsid w:val="00B94430"/>
    <w:rsid w:val="00B9449F"/>
    <w:rsid w:val="00B944BA"/>
    <w:rsid w:val="00B944BE"/>
    <w:rsid w:val="00B9457E"/>
    <w:rsid w:val="00B945B4"/>
    <w:rsid w:val="00B94627"/>
    <w:rsid w:val="00B946DC"/>
    <w:rsid w:val="00B94759"/>
    <w:rsid w:val="00B94765"/>
    <w:rsid w:val="00B94782"/>
    <w:rsid w:val="00B9478D"/>
    <w:rsid w:val="00B947DD"/>
    <w:rsid w:val="00B94827"/>
    <w:rsid w:val="00B94837"/>
    <w:rsid w:val="00B94885"/>
    <w:rsid w:val="00B94919"/>
    <w:rsid w:val="00B9491C"/>
    <w:rsid w:val="00B94A35"/>
    <w:rsid w:val="00B94A4C"/>
    <w:rsid w:val="00B94A5E"/>
    <w:rsid w:val="00B94AE2"/>
    <w:rsid w:val="00B94AF6"/>
    <w:rsid w:val="00B94B9B"/>
    <w:rsid w:val="00B94C8F"/>
    <w:rsid w:val="00B94CE5"/>
    <w:rsid w:val="00B94D20"/>
    <w:rsid w:val="00B94E54"/>
    <w:rsid w:val="00B94E92"/>
    <w:rsid w:val="00B94ECA"/>
    <w:rsid w:val="00B94EF3"/>
    <w:rsid w:val="00B950D5"/>
    <w:rsid w:val="00B95112"/>
    <w:rsid w:val="00B9511D"/>
    <w:rsid w:val="00B9512A"/>
    <w:rsid w:val="00B951A4"/>
    <w:rsid w:val="00B9527C"/>
    <w:rsid w:val="00B9532C"/>
    <w:rsid w:val="00B95357"/>
    <w:rsid w:val="00B9545A"/>
    <w:rsid w:val="00B9549F"/>
    <w:rsid w:val="00B954E2"/>
    <w:rsid w:val="00B954E3"/>
    <w:rsid w:val="00B95506"/>
    <w:rsid w:val="00B95527"/>
    <w:rsid w:val="00B9552C"/>
    <w:rsid w:val="00B95555"/>
    <w:rsid w:val="00B95609"/>
    <w:rsid w:val="00B95621"/>
    <w:rsid w:val="00B95653"/>
    <w:rsid w:val="00B95692"/>
    <w:rsid w:val="00B956A1"/>
    <w:rsid w:val="00B956F4"/>
    <w:rsid w:val="00B95732"/>
    <w:rsid w:val="00B95831"/>
    <w:rsid w:val="00B9586C"/>
    <w:rsid w:val="00B958AE"/>
    <w:rsid w:val="00B958BC"/>
    <w:rsid w:val="00B958BD"/>
    <w:rsid w:val="00B95903"/>
    <w:rsid w:val="00B9591C"/>
    <w:rsid w:val="00B95A1D"/>
    <w:rsid w:val="00B95A3E"/>
    <w:rsid w:val="00B95AA9"/>
    <w:rsid w:val="00B95ABF"/>
    <w:rsid w:val="00B95B0A"/>
    <w:rsid w:val="00B95B16"/>
    <w:rsid w:val="00B95B1B"/>
    <w:rsid w:val="00B95B7A"/>
    <w:rsid w:val="00B95C14"/>
    <w:rsid w:val="00B95C62"/>
    <w:rsid w:val="00B95C96"/>
    <w:rsid w:val="00B95D7B"/>
    <w:rsid w:val="00B95DE9"/>
    <w:rsid w:val="00B95DF1"/>
    <w:rsid w:val="00B95E75"/>
    <w:rsid w:val="00B95EB1"/>
    <w:rsid w:val="00B95ED9"/>
    <w:rsid w:val="00B95F11"/>
    <w:rsid w:val="00B95F99"/>
    <w:rsid w:val="00B9605E"/>
    <w:rsid w:val="00B960BF"/>
    <w:rsid w:val="00B96171"/>
    <w:rsid w:val="00B96271"/>
    <w:rsid w:val="00B9629E"/>
    <w:rsid w:val="00B96500"/>
    <w:rsid w:val="00B965B4"/>
    <w:rsid w:val="00B965B6"/>
    <w:rsid w:val="00B966E4"/>
    <w:rsid w:val="00B96793"/>
    <w:rsid w:val="00B968F2"/>
    <w:rsid w:val="00B9692F"/>
    <w:rsid w:val="00B96940"/>
    <w:rsid w:val="00B96961"/>
    <w:rsid w:val="00B96A49"/>
    <w:rsid w:val="00B96A98"/>
    <w:rsid w:val="00B96AAC"/>
    <w:rsid w:val="00B96AF6"/>
    <w:rsid w:val="00B96C16"/>
    <w:rsid w:val="00B96C9C"/>
    <w:rsid w:val="00B96D22"/>
    <w:rsid w:val="00B96DE8"/>
    <w:rsid w:val="00B96E11"/>
    <w:rsid w:val="00B96E5E"/>
    <w:rsid w:val="00B96E64"/>
    <w:rsid w:val="00B96EC3"/>
    <w:rsid w:val="00B96EF4"/>
    <w:rsid w:val="00B96F4C"/>
    <w:rsid w:val="00B97195"/>
    <w:rsid w:val="00B9721D"/>
    <w:rsid w:val="00B9727E"/>
    <w:rsid w:val="00B97510"/>
    <w:rsid w:val="00B97575"/>
    <w:rsid w:val="00B975AC"/>
    <w:rsid w:val="00B975F4"/>
    <w:rsid w:val="00B9761A"/>
    <w:rsid w:val="00B9761F"/>
    <w:rsid w:val="00B97627"/>
    <w:rsid w:val="00B97630"/>
    <w:rsid w:val="00B97665"/>
    <w:rsid w:val="00B976B6"/>
    <w:rsid w:val="00B97719"/>
    <w:rsid w:val="00B97722"/>
    <w:rsid w:val="00B97764"/>
    <w:rsid w:val="00B9776E"/>
    <w:rsid w:val="00B97816"/>
    <w:rsid w:val="00B97853"/>
    <w:rsid w:val="00B978B2"/>
    <w:rsid w:val="00B978BD"/>
    <w:rsid w:val="00B9796D"/>
    <w:rsid w:val="00B979F8"/>
    <w:rsid w:val="00B97A69"/>
    <w:rsid w:val="00B97A7C"/>
    <w:rsid w:val="00B97AD3"/>
    <w:rsid w:val="00B97BC7"/>
    <w:rsid w:val="00B97C34"/>
    <w:rsid w:val="00B97CAE"/>
    <w:rsid w:val="00B97CC6"/>
    <w:rsid w:val="00B97CD6"/>
    <w:rsid w:val="00B97CEE"/>
    <w:rsid w:val="00B97D73"/>
    <w:rsid w:val="00B97EA2"/>
    <w:rsid w:val="00B97EBA"/>
    <w:rsid w:val="00B97EC8"/>
    <w:rsid w:val="00B97F70"/>
    <w:rsid w:val="00B97FE9"/>
    <w:rsid w:val="00BA0068"/>
    <w:rsid w:val="00BA0367"/>
    <w:rsid w:val="00BA0370"/>
    <w:rsid w:val="00BA045B"/>
    <w:rsid w:val="00BA0461"/>
    <w:rsid w:val="00BA0592"/>
    <w:rsid w:val="00BA05E6"/>
    <w:rsid w:val="00BA05E9"/>
    <w:rsid w:val="00BA05F2"/>
    <w:rsid w:val="00BA060B"/>
    <w:rsid w:val="00BA0703"/>
    <w:rsid w:val="00BA07A0"/>
    <w:rsid w:val="00BA07B5"/>
    <w:rsid w:val="00BA07E1"/>
    <w:rsid w:val="00BA0829"/>
    <w:rsid w:val="00BA0A3E"/>
    <w:rsid w:val="00BA0B2E"/>
    <w:rsid w:val="00BA0B3B"/>
    <w:rsid w:val="00BA0BD5"/>
    <w:rsid w:val="00BA0C5E"/>
    <w:rsid w:val="00BA0C86"/>
    <w:rsid w:val="00BA0C91"/>
    <w:rsid w:val="00BA0CDE"/>
    <w:rsid w:val="00BA0E93"/>
    <w:rsid w:val="00BA0F20"/>
    <w:rsid w:val="00BA0F4F"/>
    <w:rsid w:val="00BA0F90"/>
    <w:rsid w:val="00BA0FE0"/>
    <w:rsid w:val="00BA1060"/>
    <w:rsid w:val="00BA10CB"/>
    <w:rsid w:val="00BA11C1"/>
    <w:rsid w:val="00BA11DD"/>
    <w:rsid w:val="00BA126E"/>
    <w:rsid w:val="00BA12E1"/>
    <w:rsid w:val="00BA136C"/>
    <w:rsid w:val="00BA145E"/>
    <w:rsid w:val="00BA152B"/>
    <w:rsid w:val="00BA15AB"/>
    <w:rsid w:val="00BA15E3"/>
    <w:rsid w:val="00BA15F8"/>
    <w:rsid w:val="00BA1710"/>
    <w:rsid w:val="00BA17F1"/>
    <w:rsid w:val="00BA186B"/>
    <w:rsid w:val="00BA192E"/>
    <w:rsid w:val="00BA1999"/>
    <w:rsid w:val="00BA1A5F"/>
    <w:rsid w:val="00BA1AF4"/>
    <w:rsid w:val="00BA1B35"/>
    <w:rsid w:val="00BA1C36"/>
    <w:rsid w:val="00BA1C44"/>
    <w:rsid w:val="00BA1C4C"/>
    <w:rsid w:val="00BA1CB8"/>
    <w:rsid w:val="00BA1CBE"/>
    <w:rsid w:val="00BA1DD6"/>
    <w:rsid w:val="00BA1E66"/>
    <w:rsid w:val="00BA1E83"/>
    <w:rsid w:val="00BA1F38"/>
    <w:rsid w:val="00BA1FC5"/>
    <w:rsid w:val="00BA2066"/>
    <w:rsid w:val="00BA206E"/>
    <w:rsid w:val="00BA20AD"/>
    <w:rsid w:val="00BA20BF"/>
    <w:rsid w:val="00BA20F4"/>
    <w:rsid w:val="00BA2328"/>
    <w:rsid w:val="00BA242B"/>
    <w:rsid w:val="00BA2485"/>
    <w:rsid w:val="00BA24D7"/>
    <w:rsid w:val="00BA256D"/>
    <w:rsid w:val="00BA2680"/>
    <w:rsid w:val="00BA26D6"/>
    <w:rsid w:val="00BA272A"/>
    <w:rsid w:val="00BA2737"/>
    <w:rsid w:val="00BA2757"/>
    <w:rsid w:val="00BA27BA"/>
    <w:rsid w:val="00BA27C3"/>
    <w:rsid w:val="00BA27E8"/>
    <w:rsid w:val="00BA2812"/>
    <w:rsid w:val="00BA286B"/>
    <w:rsid w:val="00BA286E"/>
    <w:rsid w:val="00BA2880"/>
    <w:rsid w:val="00BA2882"/>
    <w:rsid w:val="00BA293B"/>
    <w:rsid w:val="00BA2A7C"/>
    <w:rsid w:val="00BA2B0E"/>
    <w:rsid w:val="00BA2B26"/>
    <w:rsid w:val="00BA2B60"/>
    <w:rsid w:val="00BA2BB0"/>
    <w:rsid w:val="00BA2DC5"/>
    <w:rsid w:val="00BA2DE3"/>
    <w:rsid w:val="00BA2DF1"/>
    <w:rsid w:val="00BA2E92"/>
    <w:rsid w:val="00BA2EF6"/>
    <w:rsid w:val="00BA3052"/>
    <w:rsid w:val="00BA30C7"/>
    <w:rsid w:val="00BA3123"/>
    <w:rsid w:val="00BA3127"/>
    <w:rsid w:val="00BA3367"/>
    <w:rsid w:val="00BA3456"/>
    <w:rsid w:val="00BA352F"/>
    <w:rsid w:val="00BA35A6"/>
    <w:rsid w:val="00BA35E7"/>
    <w:rsid w:val="00BA361B"/>
    <w:rsid w:val="00BA3674"/>
    <w:rsid w:val="00BA36E7"/>
    <w:rsid w:val="00BA3712"/>
    <w:rsid w:val="00BA377E"/>
    <w:rsid w:val="00BA38DA"/>
    <w:rsid w:val="00BA3908"/>
    <w:rsid w:val="00BA3976"/>
    <w:rsid w:val="00BA39C8"/>
    <w:rsid w:val="00BA3AA5"/>
    <w:rsid w:val="00BA3AEC"/>
    <w:rsid w:val="00BA3BD6"/>
    <w:rsid w:val="00BA3BFE"/>
    <w:rsid w:val="00BA3C0D"/>
    <w:rsid w:val="00BA3C28"/>
    <w:rsid w:val="00BA3CCE"/>
    <w:rsid w:val="00BA3E96"/>
    <w:rsid w:val="00BA3EE9"/>
    <w:rsid w:val="00BA402D"/>
    <w:rsid w:val="00BA4044"/>
    <w:rsid w:val="00BA40E2"/>
    <w:rsid w:val="00BA40FF"/>
    <w:rsid w:val="00BA4128"/>
    <w:rsid w:val="00BA414D"/>
    <w:rsid w:val="00BA4324"/>
    <w:rsid w:val="00BA43D7"/>
    <w:rsid w:val="00BA440B"/>
    <w:rsid w:val="00BA4411"/>
    <w:rsid w:val="00BA449E"/>
    <w:rsid w:val="00BA44A1"/>
    <w:rsid w:val="00BA44DA"/>
    <w:rsid w:val="00BA457C"/>
    <w:rsid w:val="00BA4674"/>
    <w:rsid w:val="00BA47B9"/>
    <w:rsid w:val="00BA47E7"/>
    <w:rsid w:val="00BA4808"/>
    <w:rsid w:val="00BA486D"/>
    <w:rsid w:val="00BA491E"/>
    <w:rsid w:val="00BA4922"/>
    <w:rsid w:val="00BA4929"/>
    <w:rsid w:val="00BA4942"/>
    <w:rsid w:val="00BA49F1"/>
    <w:rsid w:val="00BA4A15"/>
    <w:rsid w:val="00BA4B11"/>
    <w:rsid w:val="00BA4B3D"/>
    <w:rsid w:val="00BA4B65"/>
    <w:rsid w:val="00BA4B67"/>
    <w:rsid w:val="00BA4BC7"/>
    <w:rsid w:val="00BA4C9C"/>
    <w:rsid w:val="00BA4CD3"/>
    <w:rsid w:val="00BA4EE8"/>
    <w:rsid w:val="00BA50C5"/>
    <w:rsid w:val="00BA5133"/>
    <w:rsid w:val="00BA5149"/>
    <w:rsid w:val="00BA514A"/>
    <w:rsid w:val="00BA51E0"/>
    <w:rsid w:val="00BA5230"/>
    <w:rsid w:val="00BA53AE"/>
    <w:rsid w:val="00BA53FC"/>
    <w:rsid w:val="00BA544E"/>
    <w:rsid w:val="00BA54A8"/>
    <w:rsid w:val="00BA551D"/>
    <w:rsid w:val="00BA5542"/>
    <w:rsid w:val="00BA55B7"/>
    <w:rsid w:val="00BA55C8"/>
    <w:rsid w:val="00BA55E2"/>
    <w:rsid w:val="00BA56DE"/>
    <w:rsid w:val="00BA5770"/>
    <w:rsid w:val="00BA57B2"/>
    <w:rsid w:val="00BA57D0"/>
    <w:rsid w:val="00BA5823"/>
    <w:rsid w:val="00BA5860"/>
    <w:rsid w:val="00BA58C2"/>
    <w:rsid w:val="00BA5901"/>
    <w:rsid w:val="00BA59F6"/>
    <w:rsid w:val="00BA5A60"/>
    <w:rsid w:val="00BA5A93"/>
    <w:rsid w:val="00BA5A97"/>
    <w:rsid w:val="00BA5ADB"/>
    <w:rsid w:val="00BA5D76"/>
    <w:rsid w:val="00BA5DA6"/>
    <w:rsid w:val="00BA5E47"/>
    <w:rsid w:val="00BA5E7D"/>
    <w:rsid w:val="00BA5EBC"/>
    <w:rsid w:val="00BA5ED9"/>
    <w:rsid w:val="00BA5F28"/>
    <w:rsid w:val="00BA5F2A"/>
    <w:rsid w:val="00BA5F7D"/>
    <w:rsid w:val="00BA5FA4"/>
    <w:rsid w:val="00BA5FCF"/>
    <w:rsid w:val="00BA5FFB"/>
    <w:rsid w:val="00BA6003"/>
    <w:rsid w:val="00BA606D"/>
    <w:rsid w:val="00BA6112"/>
    <w:rsid w:val="00BA6183"/>
    <w:rsid w:val="00BA6189"/>
    <w:rsid w:val="00BA61BA"/>
    <w:rsid w:val="00BA637E"/>
    <w:rsid w:val="00BA6557"/>
    <w:rsid w:val="00BA65A5"/>
    <w:rsid w:val="00BA65F4"/>
    <w:rsid w:val="00BA6780"/>
    <w:rsid w:val="00BA688D"/>
    <w:rsid w:val="00BA68B3"/>
    <w:rsid w:val="00BA68B5"/>
    <w:rsid w:val="00BA6950"/>
    <w:rsid w:val="00BA696E"/>
    <w:rsid w:val="00BA6991"/>
    <w:rsid w:val="00BA6993"/>
    <w:rsid w:val="00BA6A50"/>
    <w:rsid w:val="00BA6AC2"/>
    <w:rsid w:val="00BA6B5D"/>
    <w:rsid w:val="00BA6B8A"/>
    <w:rsid w:val="00BA6BCF"/>
    <w:rsid w:val="00BA6C4F"/>
    <w:rsid w:val="00BA6CF9"/>
    <w:rsid w:val="00BA6D48"/>
    <w:rsid w:val="00BA6DA1"/>
    <w:rsid w:val="00BA6DA4"/>
    <w:rsid w:val="00BA700B"/>
    <w:rsid w:val="00BA714D"/>
    <w:rsid w:val="00BA7195"/>
    <w:rsid w:val="00BA71A0"/>
    <w:rsid w:val="00BA71E4"/>
    <w:rsid w:val="00BA7212"/>
    <w:rsid w:val="00BA73BC"/>
    <w:rsid w:val="00BA752A"/>
    <w:rsid w:val="00BA7653"/>
    <w:rsid w:val="00BA76A4"/>
    <w:rsid w:val="00BA76C5"/>
    <w:rsid w:val="00BA76E7"/>
    <w:rsid w:val="00BA775A"/>
    <w:rsid w:val="00BA7761"/>
    <w:rsid w:val="00BA77BB"/>
    <w:rsid w:val="00BA77CE"/>
    <w:rsid w:val="00BA77DD"/>
    <w:rsid w:val="00BA782B"/>
    <w:rsid w:val="00BA78E8"/>
    <w:rsid w:val="00BA7A00"/>
    <w:rsid w:val="00BA7A6A"/>
    <w:rsid w:val="00BA7B04"/>
    <w:rsid w:val="00BA7B2B"/>
    <w:rsid w:val="00BA7B42"/>
    <w:rsid w:val="00BA7B50"/>
    <w:rsid w:val="00BA7BB1"/>
    <w:rsid w:val="00BA7C26"/>
    <w:rsid w:val="00BA7C71"/>
    <w:rsid w:val="00BA7CC5"/>
    <w:rsid w:val="00BA7D3E"/>
    <w:rsid w:val="00BA7D57"/>
    <w:rsid w:val="00BA7DE5"/>
    <w:rsid w:val="00BA7DE9"/>
    <w:rsid w:val="00BA7E1C"/>
    <w:rsid w:val="00BA7E30"/>
    <w:rsid w:val="00BA7E79"/>
    <w:rsid w:val="00BA7F1D"/>
    <w:rsid w:val="00BA7F33"/>
    <w:rsid w:val="00BA7F4F"/>
    <w:rsid w:val="00BA7F50"/>
    <w:rsid w:val="00BA7FCF"/>
    <w:rsid w:val="00BB00BC"/>
    <w:rsid w:val="00BB0104"/>
    <w:rsid w:val="00BB010D"/>
    <w:rsid w:val="00BB0128"/>
    <w:rsid w:val="00BB0130"/>
    <w:rsid w:val="00BB01A7"/>
    <w:rsid w:val="00BB01B0"/>
    <w:rsid w:val="00BB0290"/>
    <w:rsid w:val="00BB02C4"/>
    <w:rsid w:val="00BB031C"/>
    <w:rsid w:val="00BB035E"/>
    <w:rsid w:val="00BB0362"/>
    <w:rsid w:val="00BB0395"/>
    <w:rsid w:val="00BB03CA"/>
    <w:rsid w:val="00BB0431"/>
    <w:rsid w:val="00BB0554"/>
    <w:rsid w:val="00BB0577"/>
    <w:rsid w:val="00BB05D9"/>
    <w:rsid w:val="00BB05DF"/>
    <w:rsid w:val="00BB0655"/>
    <w:rsid w:val="00BB0663"/>
    <w:rsid w:val="00BB068F"/>
    <w:rsid w:val="00BB06E5"/>
    <w:rsid w:val="00BB070A"/>
    <w:rsid w:val="00BB0770"/>
    <w:rsid w:val="00BB0801"/>
    <w:rsid w:val="00BB0855"/>
    <w:rsid w:val="00BB0863"/>
    <w:rsid w:val="00BB08E2"/>
    <w:rsid w:val="00BB094E"/>
    <w:rsid w:val="00BB0970"/>
    <w:rsid w:val="00BB097F"/>
    <w:rsid w:val="00BB09E4"/>
    <w:rsid w:val="00BB0A67"/>
    <w:rsid w:val="00BB0A7C"/>
    <w:rsid w:val="00BB0B2D"/>
    <w:rsid w:val="00BB0CA6"/>
    <w:rsid w:val="00BB0CBA"/>
    <w:rsid w:val="00BB0D7A"/>
    <w:rsid w:val="00BB0E01"/>
    <w:rsid w:val="00BB0E14"/>
    <w:rsid w:val="00BB0E17"/>
    <w:rsid w:val="00BB0EEB"/>
    <w:rsid w:val="00BB0EFE"/>
    <w:rsid w:val="00BB0F5B"/>
    <w:rsid w:val="00BB0FA0"/>
    <w:rsid w:val="00BB1032"/>
    <w:rsid w:val="00BB10B3"/>
    <w:rsid w:val="00BB10CA"/>
    <w:rsid w:val="00BB10F3"/>
    <w:rsid w:val="00BB1102"/>
    <w:rsid w:val="00BB1219"/>
    <w:rsid w:val="00BB1300"/>
    <w:rsid w:val="00BB134A"/>
    <w:rsid w:val="00BB13CD"/>
    <w:rsid w:val="00BB142F"/>
    <w:rsid w:val="00BB143A"/>
    <w:rsid w:val="00BB1526"/>
    <w:rsid w:val="00BB1565"/>
    <w:rsid w:val="00BB156E"/>
    <w:rsid w:val="00BB163C"/>
    <w:rsid w:val="00BB17CC"/>
    <w:rsid w:val="00BB187D"/>
    <w:rsid w:val="00BB1881"/>
    <w:rsid w:val="00BB18C5"/>
    <w:rsid w:val="00BB19ED"/>
    <w:rsid w:val="00BB1A1D"/>
    <w:rsid w:val="00BB1B04"/>
    <w:rsid w:val="00BB1B1E"/>
    <w:rsid w:val="00BB1B41"/>
    <w:rsid w:val="00BB1B55"/>
    <w:rsid w:val="00BB1C25"/>
    <w:rsid w:val="00BB1C53"/>
    <w:rsid w:val="00BB1D81"/>
    <w:rsid w:val="00BB1E7F"/>
    <w:rsid w:val="00BB1F9F"/>
    <w:rsid w:val="00BB1FB5"/>
    <w:rsid w:val="00BB2044"/>
    <w:rsid w:val="00BB20E2"/>
    <w:rsid w:val="00BB21C3"/>
    <w:rsid w:val="00BB21F8"/>
    <w:rsid w:val="00BB2343"/>
    <w:rsid w:val="00BB236D"/>
    <w:rsid w:val="00BB2378"/>
    <w:rsid w:val="00BB23BB"/>
    <w:rsid w:val="00BB2464"/>
    <w:rsid w:val="00BB249B"/>
    <w:rsid w:val="00BB24CC"/>
    <w:rsid w:val="00BB2509"/>
    <w:rsid w:val="00BB2584"/>
    <w:rsid w:val="00BB25B0"/>
    <w:rsid w:val="00BB25D7"/>
    <w:rsid w:val="00BB26FE"/>
    <w:rsid w:val="00BB2701"/>
    <w:rsid w:val="00BB2764"/>
    <w:rsid w:val="00BB2795"/>
    <w:rsid w:val="00BB2872"/>
    <w:rsid w:val="00BB2918"/>
    <w:rsid w:val="00BB299F"/>
    <w:rsid w:val="00BB2A74"/>
    <w:rsid w:val="00BB2A7E"/>
    <w:rsid w:val="00BB2A92"/>
    <w:rsid w:val="00BB2B1E"/>
    <w:rsid w:val="00BB2C9F"/>
    <w:rsid w:val="00BB2CEF"/>
    <w:rsid w:val="00BB2D0C"/>
    <w:rsid w:val="00BB2DBD"/>
    <w:rsid w:val="00BB2DD0"/>
    <w:rsid w:val="00BB2E0B"/>
    <w:rsid w:val="00BB2E5C"/>
    <w:rsid w:val="00BB2E6B"/>
    <w:rsid w:val="00BB2EB9"/>
    <w:rsid w:val="00BB2EC3"/>
    <w:rsid w:val="00BB2EF0"/>
    <w:rsid w:val="00BB2F9F"/>
    <w:rsid w:val="00BB2FDC"/>
    <w:rsid w:val="00BB3064"/>
    <w:rsid w:val="00BB3094"/>
    <w:rsid w:val="00BB30D5"/>
    <w:rsid w:val="00BB3143"/>
    <w:rsid w:val="00BB3161"/>
    <w:rsid w:val="00BB31DE"/>
    <w:rsid w:val="00BB332B"/>
    <w:rsid w:val="00BB3330"/>
    <w:rsid w:val="00BB344A"/>
    <w:rsid w:val="00BB345D"/>
    <w:rsid w:val="00BB3473"/>
    <w:rsid w:val="00BB34AD"/>
    <w:rsid w:val="00BB34C0"/>
    <w:rsid w:val="00BB3536"/>
    <w:rsid w:val="00BB35AA"/>
    <w:rsid w:val="00BB35BA"/>
    <w:rsid w:val="00BB35D4"/>
    <w:rsid w:val="00BB3610"/>
    <w:rsid w:val="00BB3681"/>
    <w:rsid w:val="00BB36B5"/>
    <w:rsid w:val="00BB36D8"/>
    <w:rsid w:val="00BB3714"/>
    <w:rsid w:val="00BB37BC"/>
    <w:rsid w:val="00BB37DA"/>
    <w:rsid w:val="00BB383B"/>
    <w:rsid w:val="00BB387E"/>
    <w:rsid w:val="00BB389D"/>
    <w:rsid w:val="00BB38AB"/>
    <w:rsid w:val="00BB39D4"/>
    <w:rsid w:val="00BB39EB"/>
    <w:rsid w:val="00BB3A6E"/>
    <w:rsid w:val="00BB3A72"/>
    <w:rsid w:val="00BB3A9C"/>
    <w:rsid w:val="00BB3B01"/>
    <w:rsid w:val="00BB3CF4"/>
    <w:rsid w:val="00BB3CF9"/>
    <w:rsid w:val="00BB3D2B"/>
    <w:rsid w:val="00BB3D38"/>
    <w:rsid w:val="00BB3EC2"/>
    <w:rsid w:val="00BB3F06"/>
    <w:rsid w:val="00BB3F4C"/>
    <w:rsid w:val="00BB3FD2"/>
    <w:rsid w:val="00BB3FE5"/>
    <w:rsid w:val="00BB4005"/>
    <w:rsid w:val="00BB4098"/>
    <w:rsid w:val="00BB40D1"/>
    <w:rsid w:val="00BB40D8"/>
    <w:rsid w:val="00BB4115"/>
    <w:rsid w:val="00BB428A"/>
    <w:rsid w:val="00BB42FD"/>
    <w:rsid w:val="00BB4350"/>
    <w:rsid w:val="00BB43A6"/>
    <w:rsid w:val="00BB43EE"/>
    <w:rsid w:val="00BB43F7"/>
    <w:rsid w:val="00BB442C"/>
    <w:rsid w:val="00BB44BF"/>
    <w:rsid w:val="00BB4592"/>
    <w:rsid w:val="00BB4629"/>
    <w:rsid w:val="00BB4694"/>
    <w:rsid w:val="00BB4797"/>
    <w:rsid w:val="00BB47D1"/>
    <w:rsid w:val="00BB47D7"/>
    <w:rsid w:val="00BB47E1"/>
    <w:rsid w:val="00BB4837"/>
    <w:rsid w:val="00BB4844"/>
    <w:rsid w:val="00BB488A"/>
    <w:rsid w:val="00BB4935"/>
    <w:rsid w:val="00BB495D"/>
    <w:rsid w:val="00BB49DF"/>
    <w:rsid w:val="00BB4A07"/>
    <w:rsid w:val="00BB4A19"/>
    <w:rsid w:val="00BB4A62"/>
    <w:rsid w:val="00BB4A90"/>
    <w:rsid w:val="00BB4C38"/>
    <w:rsid w:val="00BB4C86"/>
    <w:rsid w:val="00BB4CD3"/>
    <w:rsid w:val="00BB4D32"/>
    <w:rsid w:val="00BB4E02"/>
    <w:rsid w:val="00BB4E68"/>
    <w:rsid w:val="00BB4E74"/>
    <w:rsid w:val="00BB4F36"/>
    <w:rsid w:val="00BB5005"/>
    <w:rsid w:val="00BB510D"/>
    <w:rsid w:val="00BB5118"/>
    <w:rsid w:val="00BB5153"/>
    <w:rsid w:val="00BB51B6"/>
    <w:rsid w:val="00BB5273"/>
    <w:rsid w:val="00BB52A2"/>
    <w:rsid w:val="00BB52BB"/>
    <w:rsid w:val="00BB52DC"/>
    <w:rsid w:val="00BB537E"/>
    <w:rsid w:val="00BB53DD"/>
    <w:rsid w:val="00BB542D"/>
    <w:rsid w:val="00BB5455"/>
    <w:rsid w:val="00BB546E"/>
    <w:rsid w:val="00BB54E5"/>
    <w:rsid w:val="00BB54ED"/>
    <w:rsid w:val="00BB5744"/>
    <w:rsid w:val="00BB5846"/>
    <w:rsid w:val="00BB5850"/>
    <w:rsid w:val="00BB594F"/>
    <w:rsid w:val="00BB5A3A"/>
    <w:rsid w:val="00BB5A4F"/>
    <w:rsid w:val="00BB5AC1"/>
    <w:rsid w:val="00BB5AD4"/>
    <w:rsid w:val="00BB5AE2"/>
    <w:rsid w:val="00BB5AF0"/>
    <w:rsid w:val="00BB5BD1"/>
    <w:rsid w:val="00BB5BDD"/>
    <w:rsid w:val="00BB5D94"/>
    <w:rsid w:val="00BB5EB5"/>
    <w:rsid w:val="00BB5F0A"/>
    <w:rsid w:val="00BB5F72"/>
    <w:rsid w:val="00BB610B"/>
    <w:rsid w:val="00BB612A"/>
    <w:rsid w:val="00BB6156"/>
    <w:rsid w:val="00BB61BE"/>
    <w:rsid w:val="00BB61CC"/>
    <w:rsid w:val="00BB628E"/>
    <w:rsid w:val="00BB6303"/>
    <w:rsid w:val="00BB631F"/>
    <w:rsid w:val="00BB632F"/>
    <w:rsid w:val="00BB6362"/>
    <w:rsid w:val="00BB6394"/>
    <w:rsid w:val="00BB639E"/>
    <w:rsid w:val="00BB640C"/>
    <w:rsid w:val="00BB649E"/>
    <w:rsid w:val="00BB64E0"/>
    <w:rsid w:val="00BB64EB"/>
    <w:rsid w:val="00BB6515"/>
    <w:rsid w:val="00BB662A"/>
    <w:rsid w:val="00BB6675"/>
    <w:rsid w:val="00BB6702"/>
    <w:rsid w:val="00BB6760"/>
    <w:rsid w:val="00BB67B9"/>
    <w:rsid w:val="00BB6867"/>
    <w:rsid w:val="00BB69B1"/>
    <w:rsid w:val="00BB69DD"/>
    <w:rsid w:val="00BB6A22"/>
    <w:rsid w:val="00BB6A83"/>
    <w:rsid w:val="00BB6B0A"/>
    <w:rsid w:val="00BB6B41"/>
    <w:rsid w:val="00BB6C4A"/>
    <w:rsid w:val="00BB6D08"/>
    <w:rsid w:val="00BB6DAE"/>
    <w:rsid w:val="00BB6DB4"/>
    <w:rsid w:val="00BB6E15"/>
    <w:rsid w:val="00BB6E6C"/>
    <w:rsid w:val="00BB6E7F"/>
    <w:rsid w:val="00BB6E94"/>
    <w:rsid w:val="00BB6F1F"/>
    <w:rsid w:val="00BB6FAE"/>
    <w:rsid w:val="00BB6FC4"/>
    <w:rsid w:val="00BB7002"/>
    <w:rsid w:val="00BB703C"/>
    <w:rsid w:val="00BB70AD"/>
    <w:rsid w:val="00BB70E9"/>
    <w:rsid w:val="00BB724A"/>
    <w:rsid w:val="00BB72CE"/>
    <w:rsid w:val="00BB7356"/>
    <w:rsid w:val="00BB7367"/>
    <w:rsid w:val="00BB740F"/>
    <w:rsid w:val="00BB74C3"/>
    <w:rsid w:val="00BB74E4"/>
    <w:rsid w:val="00BB7505"/>
    <w:rsid w:val="00BB7620"/>
    <w:rsid w:val="00BB7637"/>
    <w:rsid w:val="00BB77E0"/>
    <w:rsid w:val="00BB780E"/>
    <w:rsid w:val="00BB7831"/>
    <w:rsid w:val="00BB7845"/>
    <w:rsid w:val="00BB790E"/>
    <w:rsid w:val="00BB7A27"/>
    <w:rsid w:val="00BB7AB8"/>
    <w:rsid w:val="00BB7AE9"/>
    <w:rsid w:val="00BB7B0D"/>
    <w:rsid w:val="00BB7B65"/>
    <w:rsid w:val="00BB7B66"/>
    <w:rsid w:val="00BB7BDE"/>
    <w:rsid w:val="00BB7C60"/>
    <w:rsid w:val="00BB7C62"/>
    <w:rsid w:val="00BB7CDB"/>
    <w:rsid w:val="00BB7D77"/>
    <w:rsid w:val="00BB7DA6"/>
    <w:rsid w:val="00BB7DCA"/>
    <w:rsid w:val="00BB7DFD"/>
    <w:rsid w:val="00BB7E89"/>
    <w:rsid w:val="00BB7FA6"/>
    <w:rsid w:val="00BB97F5"/>
    <w:rsid w:val="00BC0104"/>
    <w:rsid w:val="00BC015A"/>
    <w:rsid w:val="00BC018C"/>
    <w:rsid w:val="00BC01B3"/>
    <w:rsid w:val="00BC01C1"/>
    <w:rsid w:val="00BC0220"/>
    <w:rsid w:val="00BC028E"/>
    <w:rsid w:val="00BC02AA"/>
    <w:rsid w:val="00BC0445"/>
    <w:rsid w:val="00BC049D"/>
    <w:rsid w:val="00BC04CA"/>
    <w:rsid w:val="00BC05C6"/>
    <w:rsid w:val="00BC0631"/>
    <w:rsid w:val="00BC068F"/>
    <w:rsid w:val="00BC0844"/>
    <w:rsid w:val="00BC09D6"/>
    <w:rsid w:val="00BC0A28"/>
    <w:rsid w:val="00BC0A34"/>
    <w:rsid w:val="00BC0A6E"/>
    <w:rsid w:val="00BC0AA3"/>
    <w:rsid w:val="00BC0AD9"/>
    <w:rsid w:val="00BC0B38"/>
    <w:rsid w:val="00BC0C3E"/>
    <w:rsid w:val="00BC0D8E"/>
    <w:rsid w:val="00BC0DF8"/>
    <w:rsid w:val="00BC0E30"/>
    <w:rsid w:val="00BC0E48"/>
    <w:rsid w:val="00BC0EAF"/>
    <w:rsid w:val="00BC0EE4"/>
    <w:rsid w:val="00BC0EEE"/>
    <w:rsid w:val="00BC0F2E"/>
    <w:rsid w:val="00BC0FCC"/>
    <w:rsid w:val="00BC11AE"/>
    <w:rsid w:val="00BC11E7"/>
    <w:rsid w:val="00BC12E2"/>
    <w:rsid w:val="00BC1321"/>
    <w:rsid w:val="00BC135F"/>
    <w:rsid w:val="00BC137D"/>
    <w:rsid w:val="00BC1405"/>
    <w:rsid w:val="00BC149C"/>
    <w:rsid w:val="00BC14C1"/>
    <w:rsid w:val="00BC1564"/>
    <w:rsid w:val="00BC15D1"/>
    <w:rsid w:val="00BC1689"/>
    <w:rsid w:val="00BC1723"/>
    <w:rsid w:val="00BC17A2"/>
    <w:rsid w:val="00BC182F"/>
    <w:rsid w:val="00BC1865"/>
    <w:rsid w:val="00BC18D6"/>
    <w:rsid w:val="00BC195F"/>
    <w:rsid w:val="00BC198C"/>
    <w:rsid w:val="00BC1A74"/>
    <w:rsid w:val="00BC1BDA"/>
    <w:rsid w:val="00BC1BF5"/>
    <w:rsid w:val="00BC1C96"/>
    <w:rsid w:val="00BC1CB0"/>
    <w:rsid w:val="00BC1D88"/>
    <w:rsid w:val="00BC1DA4"/>
    <w:rsid w:val="00BC1ECA"/>
    <w:rsid w:val="00BC1FBE"/>
    <w:rsid w:val="00BC1FFC"/>
    <w:rsid w:val="00BC2062"/>
    <w:rsid w:val="00BC20E1"/>
    <w:rsid w:val="00BC213A"/>
    <w:rsid w:val="00BC219F"/>
    <w:rsid w:val="00BC2233"/>
    <w:rsid w:val="00BC229B"/>
    <w:rsid w:val="00BC229C"/>
    <w:rsid w:val="00BC22CF"/>
    <w:rsid w:val="00BC2340"/>
    <w:rsid w:val="00BC261D"/>
    <w:rsid w:val="00BC2686"/>
    <w:rsid w:val="00BC2746"/>
    <w:rsid w:val="00BC29FE"/>
    <w:rsid w:val="00BC2AFE"/>
    <w:rsid w:val="00BC2B59"/>
    <w:rsid w:val="00BC2B76"/>
    <w:rsid w:val="00BC2DA0"/>
    <w:rsid w:val="00BC2EE5"/>
    <w:rsid w:val="00BC2FD4"/>
    <w:rsid w:val="00BC305A"/>
    <w:rsid w:val="00BC306C"/>
    <w:rsid w:val="00BC313B"/>
    <w:rsid w:val="00BC3159"/>
    <w:rsid w:val="00BC3196"/>
    <w:rsid w:val="00BC31B3"/>
    <w:rsid w:val="00BC31FC"/>
    <w:rsid w:val="00BC330F"/>
    <w:rsid w:val="00BC33DC"/>
    <w:rsid w:val="00BC3442"/>
    <w:rsid w:val="00BC3561"/>
    <w:rsid w:val="00BC36ED"/>
    <w:rsid w:val="00BC375B"/>
    <w:rsid w:val="00BC37D9"/>
    <w:rsid w:val="00BC38A2"/>
    <w:rsid w:val="00BC3ABC"/>
    <w:rsid w:val="00BC3AC8"/>
    <w:rsid w:val="00BC3AFB"/>
    <w:rsid w:val="00BC3BA5"/>
    <w:rsid w:val="00BC3C0B"/>
    <w:rsid w:val="00BC3C2A"/>
    <w:rsid w:val="00BC3C34"/>
    <w:rsid w:val="00BC3CAE"/>
    <w:rsid w:val="00BC3CD2"/>
    <w:rsid w:val="00BC3CEA"/>
    <w:rsid w:val="00BC3D1A"/>
    <w:rsid w:val="00BC3DC4"/>
    <w:rsid w:val="00BC3DF8"/>
    <w:rsid w:val="00BC3E53"/>
    <w:rsid w:val="00BC3E81"/>
    <w:rsid w:val="00BC3EB8"/>
    <w:rsid w:val="00BC3EC3"/>
    <w:rsid w:val="00BC3FD4"/>
    <w:rsid w:val="00BC4033"/>
    <w:rsid w:val="00BC4074"/>
    <w:rsid w:val="00BC41B0"/>
    <w:rsid w:val="00BC41EB"/>
    <w:rsid w:val="00BC42C8"/>
    <w:rsid w:val="00BC42D4"/>
    <w:rsid w:val="00BC42D6"/>
    <w:rsid w:val="00BC4343"/>
    <w:rsid w:val="00BC4346"/>
    <w:rsid w:val="00BC456F"/>
    <w:rsid w:val="00BC45A1"/>
    <w:rsid w:val="00BC45D7"/>
    <w:rsid w:val="00BC46CA"/>
    <w:rsid w:val="00BC4766"/>
    <w:rsid w:val="00BC48EB"/>
    <w:rsid w:val="00BC4920"/>
    <w:rsid w:val="00BC4989"/>
    <w:rsid w:val="00BC49B0"/>
    <w:rsid w:val="00BC49B6"/>
    <w:rsid w:val="00BC49C0"/>
    <w:rsid w:val="00BC4A3E"/>
    <w:rsid w:val="00BC4A43"/>
    <w:rsid w:val="00BC4A60"/>
    <w:rsid w:val="00BC4A9F"/>
    <w:rsid w:val="00BC4B51"/>
    <w:rsid w:val="00BC4B61"/>
    <w:rsid w:val="00BC4BF1"/>
    <w:rsid w:val="00BC4DBE"/>
    <w:rsid w:val="00BC4F6D"/>
    <w:rsid w:val="00BC4F71"/>
    <w:rsid w:val="00BC5165"/>
    <w:rsid w:val="00BC5169"/>
    <w:rsid w:val="00BC5284"/>
    <w:rsid w:val="00BC52DE"/>
    <w:rsid w:val="00BC52E5"/>
    <w:rsid w:val="00BC53BE"/>
    <w:rsid w:val="00BC546E"/>
    <w:rsid w:val="00BC5499"/>
    <w:rsid w:val="00BC54C9"/>
    <w:rsid w:val="00BC552D"/>
    <w:rsid w:val="00BC5536"/>
    <w:rsid w:val="00BC55F9"/>
    <w:rsid w:val="00BC5619"/>
    <w:rsid w:val="00BC5680"/>
    <w:rsid w:val="00BC57FB"/>
    <w:rsid w:val="00BC5868"/>
    <w:rsid w:val="00BC5897"/>
    <w:rsid w:val="00BC591C"/>
    <w:rsid w:val="00BC5959"/>
    <w:rsid w:val="00BC5963"/>
    <w:rsid w:val="00BC59B6"/>
    <w:rsid w:val="00BC5A34"/>
    <w:rsid w:val="00BC5A85"/>
    <w:rsid w:val="00BC5AE1"/>
    <w:rsid w:val="00BC5B23"/>
    <w:rsid w:val="00BC5B98"/>
    <w:rsid w:val="00BC5C14"/>
    <w:rsid w:val="00BC5C79"/>
    <w:rsid w:val="00BC5D2B"/>
    <w:rsid w:val="00BC5D74"/>
    <w:rsid w:val="00BC5DA2"/>
    <w:rsid w:val="00BC5DD6"/>
    <w:rsid w:val="00BC5E2C"/>
    <w:rsid w:val="00BC5F09"/>
    <w:rsid w:val="00BC5F2C"/>
    <w:rsid w:val="00BC5F8C"/>
    <w:rsid w:val="00BC5FE9"/>
    <w:rsid w:val="00BC6046"/>
    <w:rsid w:val="00BC61BE"/>
    <w:rsid w:val="00BC6244"/>
    <w:rsid w:val="00BC62FA"/>
    <w:rsid w:val="00BC6304"/>
    <w:rsid w:val="00BC6332"/>
    <w:rsid w:val="00BC6342"/>
    <w:rsid w:val="00BC6468"/>
    <w:rsid w:val="00BC647A"/>
    <w:rsid w:val="00BC6492"/>
    <w:rsid w:val="00BC64AD"/>
    <w:rsid w:val="00BC64AF"/>
    <w:rsid w:val="00BC64C7"/>
    <w:rsid w:val="00BC65A9"/>
    <w:rsid w:val="00BC65EE"/>
    <w:rsid w:val="00BC6615"/>
    <w:rsid w:val="00BC6762"/>
    <w:rsid w:val="00BC6763"/>
    <w:rsid w:val="00BC6880"/>
    <w:rsid w:val="00BC6912"/>
    <w:rsid w:val="00BC6930"/>
    <w:rsid w:val="00BC6955"/>
    <w:rsid w:val="00BC6A4D"/>
    <w:rsid w:val="00BC6B6C"/>
    <w:rsid w:val="00BC6C6A"/>
    <w:rsid w:val="00BC6CA7"/>
    <w:rsid w:val="00BC6D3E"/>
    <w:rsid w:val="00BC6D9E"/>
    <w:rsid w:val="00BC6DD3"/>
    <w:rsid w:val="00BC6DD4"/>
    <w:rsid w:val="00BC6E33"/>
    <w:rsid w:val="00BC6E61"/>
    <w:rsid w:val="00BC6F39"/>
    <w:rsid w:val="00BC6F8F"/>
    <w:rsid w:val="00BC6FAE"/>
    <w:rsid w:val="00BC6FBE"/>
    <w:rsid w:val="00BC7050"/>
    <w:rsid w:val="00BC7085"/>
    <w:rsid w:val="00BC70C9"/>
    <w:rsid w:val="00BC70FC"/>
    <w:rsid w:val="00BC7128"/>
    <w:rsid w:val="00BC71A3"/>
    <w:rsid w:val="00BC7279"/>
    <w:rsid w:val="00BC7318"/>
    <w:rsid w:val="00BC7319"/>
    <w:rsid w:val="00BC73CE"/>
    <w:rsid w:val="00BC741B"/>
    <w:rsid w:val="00BC7494"/>
    <w:rsid w:val="00BC75B7"/>
    <w:rsid w:val="00BC7753"/>
    <w:rsid w:val="00BC7849"/>
    <w:rsid w:val="00BC789F"/>
    <w:rsid w:val="00BC7981"/>
    <w:rsid w:val="00BC79D1"/>
    <w:rsid w:val="00BC79D5"/>
    <w:rsid w:val="00BC7A9E"/>
    <w:rsid w:val="00BC7AEA"/>
    <w:rsid w:val="00BC7B09"/>
    <w:rsid w:val="00BC7C7A"/>
    <w:rsid w:val="00BC7CD0"/>
    <w:rsid w:val="00BC7D2B"/>
    <w:rsid w:val="00BC7DA5"/>
    <w:rsid w:val="00BC7DCD"/>
    <w:rsid w:val="00BC7E79"/>
    <w:rsid w:val="00BC7EBD"/>
    <w:rsid w:val="00BC7EBE"/>
    <w:rsid w:val="00BC7F8E"/>
    <w:rsid w:val="00BD00AE"/>
    <w:rsid w:val="00BD00B6"/>
    <w:rsid w:val="00BD0104"/>
    <w:rsid w:val="00BD0254"/>
    <w:rsid w:val="00BD0290"/>
    <w:rsid w:val="00BD02BB"/>
    <w:rsid w:val="00BD02BE"/>
    <w:rsid w:val="00BD0311"/>
    <w:rsid w:val="00BD0547"/>
    <w:rsid w:val="00BD06F2"/>
    <w:rsid w:val="00BD074F"/>
    <w:rsid w:val="00BD0774"/>
    <w:rsid w:val="00BD07A8"/>
    <w:rsid w:val="00BD0836"/>
    <w:rsid w:val="00BD097E"/>
    <w:rsid w:val="00BD0A88"/>
    <w:rsid w:val="00BD0A90"/>
    <w:rsid w:val="00BD0AC4"/>
    <w:rsid w:val="00BD0AD0"/>
    <w:rsid w:val="00BD0AD5"/>
    <w:rsid w:val="00BD0B06"/>
    <w:rsid w:val="00BD0B78"/>
    <w:rsid w:val="00BD0CAF"/>
    <w:rsid w:val="00BD0CD2"/>
    <w:rsid w:val="00BD0D0B"/>
    <w:rsid w:val="00BD0D0D"/>
    <w:rsid w:val="00BD0DC9"/>
    <w:rsid w:val="00BD0DD2"/>
    <w:rsid w:val="00BD0E1B"/>
    <w:rsid w:val="00BD0EE0"/>
    <w:rsid w:val="00BD0F36"/>
    <w:rsid w:val="00BD101F"/>
    <w:rsid w:val="00BD115B"/>
    <w:rsid w:val="00BD117A"/>
    <w:rsid w:val="00BD1203"/>
    <w:rsid w:val="00BD124B"/>
    <w:rsid w:val="00BD12B4"/>
    <w:rsid w:val="00BD12D8"/>
    <w:rsid w:val="00BD130F"/>
    <w:rsid w:val="00BD13AD"/>
    <w:rsid w:val="00BD13FB"/>
    <w:rsid w:val="00BD1429"/>
    <w:rsid w:val="00BD147E"/>
    <w:rsid w:val="00BD1481"/>
    <w:rsid w:val="00BD14ED"/>
    <w:rsid w:val="00BD150E"/>
    <w:rsid w:val="00BD1570"/>
    <w:rsid w:val="00BD1590"/>
    <w:rsid w:val="00BD1621"/>
    <w:rsid w:val="00BD1668"/>
    <w:rsid w:val="00BD173E"/>
    <w:rsid w:val="00BD176E"/>
    <w:rsid w:val="00BD17F5"/>
    <w:rsid w:val="00BD18D3"/>
    <w:rsid w:val="00BD1991"/>
    <w:rsid w:val="00BD19D1"/>
    <w:rsid w:val="00BD19F8"/>
    <w:rsid w:val="00BD1A4B"/>
    <w:rsid w:val="00BD1AE4"/>
    <w:rsid w:val="00BD1B1E"/>
    <w:rsid w:val="00BD1B98"/>
    <w:rsid w:val="00BD1BE3"/>
    <w:rsid w:val="00BD1C59"/>
    <w:rsid w:val="00BD1CBB"/>
    <w:rsid w:val="00BD1CC4"/>
    <w:rsid w:val="00BD1CE1"/>
    <w:rsid w:val="00BD1CEC"/>
    <w:rsid w:val="00BD2029"/>
    <w:rsid w:val="00BD207D"/>
    <w:rsid w:val="00BD216D"/>
    <w:rsid w:val="00BD2182"/>
    <w:rsid w:val="00BD219D"/>
    <w:rsid w:val="00BD22F3"/>
    <w:rsid w:val="00BD2342"/>
    <w:rsid w:val="00BD2359"/>
    <w:rsid w:val="00BD23C1"/>
    <w:rsid w:val="00BD240F"/>
    <w:rsid w:val="00BD2440"/>
    <w:rsid w:val="00BD244B"/>
    <w:rsid w:val="00BD244F"/>
    <w:rsid w:val="00BD24AA"/>
    <w:rsid w:val="00BD24F1"/>
    <w:rsid w:val="00BD2511"/>
    <w:rsid w:val="00BD253C"/>
    <w:rsid w:val="00BD25E9"/>
    <w:rsid w:val="00BD263A"/>
    <w:rsid w:val="00BD263C"/>
    <w:rsid w:val="00BD27CE"/>
    <w:rsid w:val="00BD285A"/>
    <w:rsid w:val="00BD287C"/>
    <w:rsid w:val="00BD2A06"/>
    <w:rsid w:val="00BD2B4C"/>
    <w:rsid w:val="00BD2B90"/>
    <w:rsid w:val="00BD2C07"/>
    <w:rsid w:val="00BD2CA7"/>
    <w:rsid w:val="00BD2CF6"/>
    <w:rsid w:val="00BD2E97"/>
    <w:rsid w:val="00BD2E9F"/>
    <w:rsid w:val="00BD2FB8"/>
    <w:rsid w:val="00BD2FFE"/>
    <w:rsid w:val="00BD3033"/>
    <w:rsid w:val="00BD3038"/>
    <w:rsid w:val="00BD307F"/>
    <w:rsid w:val="00BD313E"/>
    <w:rsid w:val="00BD31B6"/>
    <w:rsid w:val="00BD31D6"/>
    <w:rsid w:val="00BD3249"/>
    <w:rsid w:val="00BD3278"/>
    <w:rsid w:val="00BD32E4"/>
    <w:rsid w:val="00BD3349"/>
    <w:rsid w:val="00BD3432"/>
    <w:rsid w:val="00BD3433"/>
    <w:rsid w:val="00BD34A4"/>
    <w:rsid w:val="00BD3500"/>
    <w:rsid w:val="00BD3526"/>
    <w:rsid w:val="00BD352F"/>
    <w:rsid w:val="00BD3568"/>
    <w:rsid w:val="00BD359F"/>
    <w:rsid w:val="00BD3755"/>
    <w:rsid w:val="00BD376A"/>
    <w:rsid w:val="00BD382F"/>
    <w:rsid w:val="00BD3854"/>
    <w:rsid w:val="00BD3871"/>
    <w:rsid w:val="00BD388A"/>
    <w:rsid w:val="00BD38C3"/>
    <w:rsid w:val="00BD390A"/>
    <w:rsid w:val="00BD3912"/>
    <w:rsid w:val="00BD39B6"/>
    <w:rsid w:val="00BD3A32"/>
    <w:rsid w:val="00BD3ACD"/>
    <w:rsid w:val="00BD3BFB"/>
    <w:rsid w:val="00BD3C0B"/>
    <w:rsid w:val="00BD3DAE"/>
    <w:rsid w:val="00BD3DC4"/>
    <w:rsid w:val="00BD3E4F"/>
    <w:rsid w:val="00BD3EA1"/>
    <w:rsid w:val="00BD3F17"/>
    <w:rsid w:val="00BD3F2E"/>
    <w:rsid w:val="00BD4032"/>
    <w:rsid w:val="00BD4094"/>
    <w:rsid w:val="00BD40BB"/>
    <w:rsid w:val="00BD40F0"/>
    <w:rsid w:val="00BD4102"/>
    <w:rsid w:val="00BD4182"/>
    <w:rsid w:val="00BD4199"/>
    <w:rsid w:val="00BD4241"/>
    <w:rsid w:val="00BD4250"/>
    <w:rsid w:val="00BD431B"/>
    <w:rsid w:val="00BD4325"/>
    <w:rsid w:val="00BD436C"/>
    <w:rsid w:val="00BD437F"/>
    <w:rsid w:val="00BD4421"/>
    <w:rsid w:val="00BD4490"/>
    <w:rsid w:val="00BD44EF"/>
    <w:rsid w:val="00BD4543"/>
    <w:rsid w:val="00BD4556"/>
    <w:rsid w:val="00BD45D1"/>
    <w:rsid w:val="00BD4725"/>
    <w:rsid w:val="00BD472F"/>
    <w:rsid w:val="00BD47A8"/>
    <w:rsid w:val="00BD4888"/>
    <w:rsid w:val="00BD49A1"/>
    <w:rsid w:val="00BD4AF5"/>
    <w:rsid w:val="00BD4B15"/>
    <w:rsid w:val="00BD4BF9"/>
    <w:rsid w:val="00BD4C53"/>
    <w:rsid w:val="00BD4D0C"/>
    <w:rsid w:val="00BD4E91"/>
    <w:rsid w:val="00BD4EB0"/>
    <w:rsid w:val="00BD4FC8"/>
    <w:rsid w:val="00BD4FD8"/>
    <w:rsid w:val="00BD5200"/>
    <w:rsid w:val="00BD527E"/>
    <w:rsid w:val="00BD53A4"/>
    <w:rsid w:val="00BD5543"/>
    <w:rsid w:val="00BD55D7"/>
    <w:rsid w:val="00BD5675"/>
    <w:rsid w:val="00BD56C7"/>
    <w:rsid w:val="00BD56F4"/>
    <w:rsid w:val="00BD57A5"/>
    <w:rsid w:val="00BD58E0"/>
    <w:rsid w:val="00BD5A84"/>
    <w:rsid w:val="00BD5ADF"/>
    <w:rsid w:val="00BD5AEB"/>
    <w:rsid w:val="00BD5C94"/>
    <w:rsid w:val="00BD5C9B"/>
    <w:rsid w:val="00BD5CE5"/>
    <w:rsid w:val="00BD5D76"/>
    <w:rsid w:val="00BD5DDB"/>
    <w:rsid w:val="00BD5EB2"/>
    <w:rsid w:val="00BD5EBA"/>
    <w:rsid w:val="00BD5EF7"/>
    <w:rsid w:val="00BD5F16"/>
    <w:rsid w:val="00BD5F1E"/>
    <w:rsid w:val="00BD5FFB"/>
    <w:rsid w:val="00BD607F"/>
    <w:rsid w:val="00BD628E"/>
    <w:rsid w:val="00BD62A8"/>
    <w:rsid w:val="00BD62B3"/>
    <w:rsid w:val="00BD62EB"/>
    <w:rsid w:val="00BD637F"/>
    <w:rsid w:val="00BD638A"/>
    <w:rsid w:val="00BD645D"/>
    <w:rsid w:val="00BD65D3"/>
    <w:rsid w:val="00BD663C"/>
    <w:rsid w:val="00BD6648"/>
    <w:rsid w:val="00BD6699"/>
    <w:rsid w:val="00BD66D1"/>
    <w:rsid w:val="00BD6801"/>
    <w:rsid w:val="00BD680F"/>
    <w:rsid w:val="00BD6914"/>
    <w:rsid w:val="00BD69A4"/>
    <w:rsid w:val="00BD69C3"/>
    <w:rsid w:val="00BD6A2B"/>
    <w:rsid w:val="00BD6ADC"/>
    <w:rsid w:val="00BD6B30"/>
    <w:rsid w:val="00BD6B40"/>
    <w:rsid w:val="00BD6C6F"/>
    <w:rsid w:val="00BD6CFB"/>
    <w:rsid w:val="00BD6DBC"/>
    <w:rsid w:val="00BD6DD1"/>
    <w:rsid w:val="00BD6E05"/>
    <w:rsid w:val="00BD6E29"/>
    <w:rsid w:val="00BD6E88"/>
    <w:rsid w:val="00BD6E8C"/>
    <w:rsid w:val="00BD6F52"/>
    <w:rsid w:val="00BD6FC4"/>
    <w:rsid w:val="00BD7014"/>
    <w:rsid w:val="00BD706A"/>
    <w:rsid w:val="00BD70EC"/>
    <w:rsid w:val="00BD7103"/>
    <w:rsid w:val="00BD7221"/>
    <w:rsid w:val="00BD72AF"/>
    <w:rsid w:val="00BD72BF"/>
    <w:rsid w:val="00BD72D8"/>
    <w:rsid w:val="00BD740B"/>
    <w:rsid w:val="00BD746F"/>
    <w:rsid w:val="00BD7477"/>
    <w:rsid w:val="00BD74C6"/>
    <w:rsid w:val="00BD75C7"/>
    <w:rsid w:val="00BD7618"/>
    <w:rsid w:val="00BD768B"/>
    <w:rsid w:val="00BD77E1"/>
    <w:rsid w:val="00BD780A"/>
    <w:rsid w:val="00BD786B"/>
    <w:rsid w:val="00BD7916"/>
    <w:rsid w:val="00BD79B5"/>
    <w:rsid w:val="00BD79C7"/>
    <w:rsid w:val="00BD79E5"/>
    <w:rsid w:val="00BD7B97"/>
    <w:rsid w:val="00BD7C90"/>
    <w:rsid w:val="00BD7E45"/>
    <w:rsid w:val="00BD7EAE"/>
    <w:rsid w:val="00BD7EB4"/>
    <w:rsid w:val="00BD7F51"/>
    <w:rsid w:val="00BE0028"/>
    <w:rsid w:val="00BE0076"/>
    <w:rsid w:val="00BE00C0"/>
    <w:rsid w:val="00BE0175"/>
    <w:rsid w:val="00BE017D"/>
    <w:rsid w:val="00BE02FC"/>
    <w:rsid w:val="00BE032E"/>
    <w:rsid w:val="00BE03D4"/>
    <w:rsid w:val="00BE0479"/>
    <w:rsid w:val="00BE04C1"/>
    <w:rsid w:val="00BE0525"/>
    <w:rsid w:val="00BE05D0"/>
    <w:rsid w:val="00BE05D5"/>
    <w:rsid w:val="00BE0679"/>
    <w:rsid w:val="00BE069D"/>
    <w:rsid w:val="00BE069E"/>
    <w:rsid w:val="00BE06A7"/>
    <w:rsid w:val="00BE07CC"/>
    <w:rsid w:val="00BE0842"/>
    <w:rsid w:val="00BE0955"/>
    <w:rsid w:val="00BE09B6"/>
    <w:rsid w:val="00BE0A3C"/>
    <w:rsid w:val="00BE0A63"/>
    <w:rsid w:val="00BE0AAD"/>
    <w:rsid w:val="00BE0B11"/>
    <w:rsid w:val="00BE0B32"/>
    <w:rsid w:val="00BE0C3A"/>
    <w:rsid w:val="00BE0D1E"/>
    <w:rsid w:val="00BE0D68"/>
    <w:rsid w:val="00BE0D7C"/>
    <w:rsid w:val="00BE0DC2"/>
    <w:rsid w:val="00BE0E16"/>
    <w:rsid w:val="00BE0ED7"/>
    <w:rsid w:val="00BE0F2D"/>
    <w:rsid w:val="00BE0F5B"/>
    <w:rsid w:val="00BE101C"/>
    <w:rsid w:val="00BE105B"/>
    <w:rsid w:val="00BE10B1"/>
    <w:rsid w:val="00BE10EF"/>
    <w:rsid w:val="00BE112E"/>
    <w:rsid w:val="00BE1140"/>
    <w:rsid w:val="00BE1177"/>
    <w:rsid w:val="00BE12B6"/>
    <w:rsid w:val="00BE13BD"/>
    <w:rsid w:val="00BE1486"/>
    <w:rsid w:val="00BE14B8"/>
    <w:rsid w:val="00BE1542"/>
    <w:rsid w:val="00BE155D"/>
    <w:rsid w:val="00BE15B2"/>
    <w:rsid w:val="00BE15B4"/>
    <w:rsid w:val="00BE17C8"/>
    <w:rsid w:val="00BE1828"/>
    <w:rsid w:val="00BE1832"/>
    <w:rsid w:val="00BE184A"/>
    <w:rsid w:val="00BE18A7"/>
    <w:rsid w:val="00BE18F8"/>
    <w:rsid w:val="00BE1995"/>
    <w:rsid w:val="00BE19C8"/>
    <w:rsid w:val="00BE1A14"/>
    <w:rsid w:val="00BE1B22"/>
    <w:rsid w:val="00BE1B2E"/>
    <w:rsid w:val="00BE1B46"/>
    <w:rsid w:val="00BE1B7C"/>
    <w:rsid w:val="00BE1BD0"/>
    <w:rsid w:val="00BE1BD2"/>
    <w:rsid w:val="00BE1CED"/>
    <w:rsid w:val="00BE1D45"/>
    <w:rsid w:val="00BE1D83"/>
    <w:rsid w:val="00BE1DD1"/>
    <w:rsid w:val="00BE1DF3"/>
    <w:rsid w:val="00BE1E05"/>
    <w:rsid w:val="00BE1E13"/>
    <w:rsid w:val="00BE1E2F"/>
    <w:rsid w:val="00BE1E92"/>
    <w:rsid w:val="00BE1ECB"/>
    <w:rsid w:val="00BE1F26"/>
    <w:rsid w:val="00BE2013"/>
    <w:rsid w:val="00BE2078"/>
    <w:rsid w:val="00BE22FA"/>
    <w:rsid w:val="00BE23C9"/>
    <w:rsid w:val="00BE23CB"/>
    <w:rsid w:val="00BE245F"/>
    <w:rsid w:val="00BE2476"/>
    <w:rsid w:val="00BE2535"/>
    <w:rsid w:val="00BE2681"/>
    <w:rsid w:val="00BE26C8"/>
    <w:rsid w:val="00BE26E3"/>
    <w:rsid w:val="00BE273B"/>
    <w:rsid w:val="00BE2760"/>
    <w:rsid w:val="00BE2770"/>
    <w:rsid w:val="00BE27F2"/>
    <w:rsid w:val="00BE2876"/>
    <w:rsid w:val="00BE2AB7"/>
    <w:rsid w:val="00BE2C52"/>
    <w:rsid w:val="00BE2CB9"/>
    <w:rsid w:val="00BE2DAD"/>
    <w:rsid w:val="00BE2DEC"/>
    <w:rsid w:val="00BE2DF1"/>
    <w:rsid w:val="00BE2E48"/>
    <w:rsid w:val="00BE2F5D"/>
    <w:rsid w:val="00BE2FC7"/>
    <w:rsid w:val="00BE2FD2"/>
    <w:rsid w:val="00BE302C"/>
    <w:rsid w:val="00BE306A"/>
    <w:rsid w:val="00BE30AE"/>
    <w:rsid w:val="00BE30E7"/>
    <w:rsid w:val="00BE3125"/>
    <w:rsid w:val="00BE31B5"/>
    <w:rsid w:val="00BE31DB"/>
    <w:rsid w:val="00BE3226"/>
    <w:rsid w:val="00BE3256"/>
    <w:rsid w:val="00BE3280"/>
    <w:rsid w:val="00BE328B"/>
    <w:rsid w:val="00BE32E1"/>
    <w:rsid w:val="00BE339B"/>
    <w:rsid w:val="00BE33D1"/>
    <w:rsid w:val="00BE33D9"/>
    <w:rsid w:val="00BE33DE"/>
    <w:rsid w:val="00BE343B"/>
    <w:rsid w:val="00BE343E"/>
    <w:rsid w:val="00BE3440"/>
    <w:rsid w:val="00BE345A"/>
    <w:rsid w:val="00BE34D5"/>
    <w:rsid w:val="00BE3635"/>
    <w:rsid w:val="00BE36E9"/>
    <w:rsid w:val="00BE371E"/>
    <w:rsid w:val="00BE3759"/>
    <w:rsid w:val="00BE3799"/>
    <w:rsid w:val="00BE37C3"/>
    <w:rsid w:val="00BE3822"/>
    <w:rsid w:val="00BE391F"/>
    <w:rsid w:val="00BE39FE"/>
    <w:rsid w:val="00BE3B27"/>
    <w:rsid w:val="00BE3B92"/>
    <w:rsid w:val="00BE3B96"/>
    <w:rsid w:val="00BE3BFE"/>
    <w:rsid w:val="00BE3C4B"/>
    <w:rsid w:val="00BE3E26"/>
    <w:rsid w:val="00BE3FF4"/>
    <w:rsid w:val="00BE4043"/>
    <w:rsid w:val="00BE40CA"/>
    <w:rsid w:val="00BE412E"/>
    <w:rsid w:val="00BE413B"/>
    <w:rsid w:val="00BE4214"/>
    <w:rsid w:val="00BE4243"/>
    <w:rsid w:val="00BE42B9"/>
    <w:rsid w:val="00BE4410"/>
    <w:rsid w:val="00BE447D"/>
    <w:rsid w:val="00BE4610"/>
    <w:rsid w:val="00BE4672"/>
    <w:rsid w:val="00BE46B9"/>
    <w:rsid w:val="00BE4771"/>
    <w:rsid w:val="00BE4858"/>
    <w:rsid w:val="00BE48A2"/>
    <w:rsid w:val="00BE4920"/>
    <w:rsid w:val="00BE4960"/>
    <w:rsid w:val="00BE49CD"/>
    <w:rsid w:val="00BE49E9"/>
    <w:rsid w:val="00BE4B01"/>
    <w:rsid w:val="00BE4B67"/>
    <w:rsid w:val="00BE4BA1"/>
    <w:rsid w:val="00BE4BD9"/>
    <w:rsid w:val="00BE4BE0"/>
    <w:rsid w:val="00BE4C21"/>
    <w:rsid w:val="00BE4DE4"/>
    <w:rsid w:val="00BE4E0E"/>
    <w:rsid w:val="00BE500B"/>
    <w:rsid w:val="00BE505C"/>
    <w:rsid w:val="00BE5068"/>
    <w:rsid w:val="00BE5082"/>
    <w:rsid w:val="00BE50B4"/>
    <w:rsid w:val="00BE50E2"/>
    <w:rsid w:val="00BE519A"/>
    <w:rsid w:val="00BE51F3"/>
    <w:rsid w:val="00BE5221"/>
    <w:rsid w:val="00BE5327"/>
    <w:rsid w:val="00BE53B0"/>
    <w:rsid w:val="00BE540E"/>
    <w:rsid w:val="00BE54AF"/>
    <w:rsid w:val="00BE54C6"/>
    <w:rsid w:val="00BE54D0"/>
    <w:rsid w:val="00BE55FA"/>
    <w:rsid w:val="00BE5665"/>
    <w:rsid w:val="00BE5742"/>
    <w:rsid w:val="00BE575A"/>
    <w:rsid w:val="00BE581C"/>
    <w:rsid w:val="00BE5880"/>
    <w:rsid w:val="00BE5965"/>
    <w:rsid w:val="00BE59A1"/>
    <w:rsid w:val="00BE59E3"/>
    <w:rsid w:val="00BE5ACD"/>
    <w:rsid w:val="00BE5AD8"/>
    <w:rsid w:val="00BE5AFC"/>
    <w:rsid w:val="00BE5B1F"/>
    <w:rsid w:val="00BE5C0B"/>
    <w:rsid w:val="00BE5D43"/>
    <w:rsid w:val="00BE5D4A"/>
    <w:rsid w:val="00BE5D69"/>
    <w:rsid w:val="00BE5ED9"/>
    <w:rsid w:val="00BE618C"/>
    <w:rsid w:val="00BE623C"/>
    <w:rsid w:val="00BE6276"/>
    <w:rsid w:val="00BE62E3"/>
    <w:rsid w:val="00BE6309"/>
    <w:rsid w:val="00BE63A5"/>
    <w:rsid w:val="00BE6405"/>
    <w:rsid w:val="00BE644F"/>
    <w:rsid w:val="00BE6462"/>
    <w:rsid w:val="00BE64A8"/>
    <w:rsid w:val="00BE64B2"/>
    <w:rsid w:val="00BE64CD"/>
    <w:rsid w:val="00BE6527"/>
    <w:rsid w:val="00BE658A"/>
    <w:rsid w:val="00BE65B5"/>
    <w:rsid w:val="00BE65D5"/>
    <w:rsid w:val="00BE6617"/>
    <w:rsid w:val="00BE6654"/>
    <w:rsid w:val="00BE668A"/>
    <w:rsid w:val="00BE66FF"/>
    <w:rsid w:val="00BE6726"/>
    <w:rsid w:val="00BE6767"/>
    <w:rsid w:val="00BE67D0"/>
    <w:rsid w:val="00BE6821"/>
    <w:rsid w:val="00BE684B"/>
    <w:rsid w:val="00BE6A62"/>
    <w:rsid w:val="00BE6A68"/>
    <w:rsid w:val="00BE6AC6"/>
    <w:rsid w:val="00BE6B55"/>
    <w:rsid w:val="00BE6BB7"/>
    <w:rsid w:val="00BE6C82"/>
    <w:rsid w:val="00BE6C83"/>
    <w:rsid w:val="00BE6CB9"/>
    <w:rsid w:val="00BE6CC7"/>
    <w:rsid w:val="00BE6D60"/>
    <w:rsid w:val="00BE6D6A"/>
    <w:rsid w:val="00BE6D90"/>
    <w:rsid w:val="00BE6D91"/>
    <w:rsid w:val="00BE6E04"/>
    <w:rsid w:val="00BE6F74"/>
    <w:rsid w:val="00BE6FE3"/>
    <w:rsid w:val="00BE6FF7"/>
    <w:rsid w:val="00BE7090"/>
    <w:rsid w:val="00BE70C5"/>
    <w:rsid w:val="00BE7286"/>
    <w:rsid w:val="00BE72E0"/>
    <w:rsid w:val="00BE73F3"/>
    <w:rsid w:val="00BE74E3"/>
    <w:rsid w:val="00BE7550"/>
    <w:rsid w:val="00BE7574"/>
    <w:rsid w:val="00BE7579"/>
    <w:rsid w:val="00BE7614"/>
    <w:rsid w:val="00BE7626"/>
    <w:rsid w:val="00BE779F"/>
    <w:rsid w:val="00BE786B"/>
    <w:rsid w:val="00BE79E5"/>
    <w:rsid w:val="00BE7A41"/>
    <w:rsid w:val="00BE7A53"/>
    <w:rsid w:val="00BE7AA2"/>
    <w:rsid w:val="00BE7B1D"/>
    <w:rsid w:val="00BE7B3A"/>
    <w:rsid w:val="00BE7C03"/>
    <w:rsid w:val="00BE7D2C"/>
    <w:rsid w:val="00BE7D50"/>
    <w:rsid w:val="00BE7D6E"/>
    <w:rsid w:val="00BE7DC3"/>
    <w:rsid w:val="00BE7EED"/>
    <w:rsid w:val="00BE7F43"/>
    <w:rsid w:val="00BE7FFC"/>
    <w:rsid w:val="00BF0037"/>
    <w:rsid w:val="00BF00EB"/>
    <w:rsid w:val="00BF0289"/>
    <w:rsid w:val="00BF02C9"/>
    <w:rsid w:val="00BF033D"/>
    <w:rsid w:val="00BF03ED"/>
    <w:rsid w:val="00BF049A"/>
    <w:rsid w:val="00BF0581"/>
    <w:rsid w:val="00BF0587"/>
    <w:rsid w:val="00BF0588"/>
    <w:rsid w:val="00BF063F"/>
    <w:rsid w:val="00BF0828"/>
    <w:rsid w:val="00BF08F7"/>
    <w:rsid w:val="00BF0940"/>
    <w:rsid w:val="00BF094E"/>
    <w:rsid w:val="00BF0981"/>
    <w:rsid w:val="00BF098A"/>
    <w:rsid w:val="00BF09E3"/>
    <w:rsid w:val="00BF0A4F"/>
    <w:rsid w:val="00BF0A55"/>
    <w:rsid w:val="00BF0AEF"/>
    <w:rsid w:val="00BF0D12"/>
    <w:rsid w:val="00BF0EA1"/>
    <w:rsid w:val="00BF0FB7"/>
    <w:rsid w:val="00BF1075"/>
    <w:rsid w:val="00BF10AC"/>
    <w:rsid w:val="00BF10C5"/>
    <w:rsid w:val="00BF10D0"/>
    <w:rsid w:val="00BF10E9"/>
    <w:rsid w:val="00BF1184"/>
    <w:rsid w:val="00BF1188"/>
    <w:rsid w:val="00BF12BA"/>
    <w:rsid w:val="00BF13CC"/>
    <w:rsid w:val="00BF1448"/>
    <w:rsid w:val="00BF1449"/>
    <w:rsid w:val="00BF14CF"/>
    <w:rsid w:val="00BF14E1"/>
    <w:rsid w:val="00BF155A"/>
    <w:rsid w:val="00BF15A8"/>
    <w:rsid w:val="00BF1607"/>
    <w:rsid w:val="00BF16D7"/>
    <w:rsid w:val="00BF17FE"/>
    <w:rsid w:val="00BF18C8"/>
    <w:rsid w:val="00BF1959"/>
    <w:rsid w:val="00BF1983"/>
    <w:rsid w:val="00BF1A53"/>
    <w:rsid w:val="00BF1A8B"/>
    <w:rsid w:val="00BF1B0C"/>
    <w:rsid w:val="00BF1B26"/>
    <w:rsid w:val="00BF1C7B"/>
    <w:rsid w:val="00BF1C94"/>
    <w:rsid w:val="00BF1D46"/>
    <w:rsid w:val="00BF1E3A"/>
    <w:rsid w:val="00BF1F1E"/>
    <w:rsid w:val="00BF1F51"/>
    <w:rsid w:val="00BF1F5A"/>
    <w:rsid w:val="00BF1FC0"/>
    <w:rsid w:val="00BF1FC6"/>
    <w:rsid w:val="00BF1FFE"/>
    <w:rsid w:val="00BF2032"/>
    <w:rsid w:val="00BF2048"/>
    <w:rsid w:val="00BF204A"/>
    <w:rsid w:val="00BF21B3"/>
    <w:rsid w:val="00BF21E0"/>
    <w:rsid w:val="00BF225F"/>
    <w:rsid w:val="00BF2364"/>
    <w:rsid w:val="00BF23C0"/>
    <w:rsid w:val="00BF23F3"/>
    <w:rsid w:val="00BF246D"/>
    <w:rsid w:val="00BF2529"/>
    <w:rsid w:val="00BF25AB"/>
    <w:rsid w:val="00BF25FE"/>
    <w:rsid w:val="00BF2604"/>
    <w:rsid w:val="00BF261E"/>
    <w:rsid w:val="00BF273C"/>
    <w:rsid w:val="00BF2795"/>
    <w:rsid w:val="00BF284C"/>
    <w:rsid w:val="00BF2870"/>
    <w:rsid w:val="00BF2913"/>
    <w:rsid w:val="00BF2928"/>
    <w:rsid w:val="00BF2929"/>
    <w:rsid w:val="00BF29CB"/>
    <w:rsid w:val="00BF2B5D"/>
    <w:rsid w:val="00BF2B76"/>
    <w:rsid w:val="00BF2B9E"/>
    <w:rsid w:val="00BF2CC7"/>
    <w:rsid w:val="00BF2DDF"/>
    <w:rsid w:val="00BF2E83"/>
    <w:rsid w:val="00BF2ECE"/>
    <w:rsid w:val="00BF2F7C"/>
    <w:rsid w:val="00BF2F9B"/>
    <w:rsid w:val="00BF303A"/>
    <w:rsid w:val="00BF30A2"/>
    <w:rsid w:val="00BF30B5"/>
    <w:rsid w:val="00BF3141"/>
    <w:rsid w:val="00BF3153"/>
    <w:rsid w:val="00BF31E4"/>
    <w:rsid w:val="00BF31F8"/>
    <w:rsid w:val="00BF3219"/>
    <w:rsid w:val="00BF3248"/>
    <w:rsid w:val="00BF3269"/>
    <w:rsid w:val="00BF3321"/>
    <w:rsid w:val="00BF33E5"/>
    <w:rsid w:val="00BF341F"/>
    <w:rsid w:val="00BF3422"/>
    <w:rsid w:val="00BF34CE"/>
    <w:rsid w:val="00BF34E4"/>
    <w:rsid w:val="00BF3527"/>
    <w:rsid w:val="00BF353B"/>
    <w:rsid w:val="00BF3555"/>
    <w:rsid w:val="00BF3564"/>
    <w:rsid w:val="00BF362A"/>
    <w:rsid w:val="00BF3655"/>
    <w:rsid w:val="00BF36CE"/>
    <w:rsid w:val="00BF374D"/>
    <w:rsid w:val="00BF389B"/>
    <w:rsid w:val="00BF38B5"/>
    <w:rsid w:val="00BF38DE"/>
    <w:rsid w:val="00BF390D"/>
    <w:rsid w:val="00BF398D"/>
    <w:rsid w:val="00BF3A04"/>
    <w:rsid w:val="00BF3A8C"/>
    <w:rsid w:val="00BF3B81"/>
    <w:rsid w:val="00BF3BD9"/>
    <w:rsid w:val="00BF3C76"/>
    <w:rsid w:val="00BF3CA0"/>
    <w:rsid w:val="00BF3CDD"/>
    <w:rsid w:val="00BF3CF5"/>
    <w:rsid w:val="00BF3CFE"/>
    <w:rsid w:val="00BF3D4B"/>
    <w:rsid w:val="00BF3D53"/>
    <w:rsid w:val="00BF3D56"/>
    <w:rsid w:val="00BF3DBA"/>
    <w:rsid w:val="00BF3DEE"/>
    <w:rsid w:val="00BF3E15"/>
    <w:rsid w:val="00BF3E64"/>
    <w:rsid w:val="00BF3F9B"/>
    <w:rsid w:val="00BF3FF0"/>
    <w:rsid w:val="00BF401B"/>
    <w:rsid w:val="00BF4066"/>
    <w:rsid w:val="00BF413D"/>
    <w:rsid w:val="00BF4160"/>
    <w:rsid w:val="00BF4176"/>
    <w:rsid w:val="00BF41E9"/>
    <w:rsid w:val="00BF42DB"/>
    <w:rsid w:val="00BF4337"/>
    <w:rsid w:val="00BF433E"/>
    <w:rsid w:val="00BF4349"/>
    <w:rsid w:val="00BF4360"/>
    <w:rsid w:val="00BF4414"/>
    <w:rsid w:val="00BF4444"/>
    <w:rsid w:val="00BF447F"/>
    <w:rsid w:val="00BF44F5"/>
    <w:rsid w:val="00BF4539"/>
    <w:rsid w:val="00BF460A"/>
    <w:rsid w:val="00BF460E"/>
    <w:rsid w:val="00BF4719"/>
    <w:rsid w:val="00BF474F"/>
    <w:rsid w:val="00BF4965"/>
    <w:rsid w:val="00BF4969"/>
    <w:rsid w:val="00BF4983"/>
    <w:rsid w:val="00BF4A95"/>
    <w:rsid w:val="00BF4B3D"/>
    <w:rsid w:val="00BF4BE2"/>
    <w:rsid w:val="00BF4C19"/>
    <w:rsid w:val="00BF4C35"/>
    <w:rsid w:val="00BF4DE9"/>
    <w:rsid w:val="00BF4DFC"/>
    <w:rsid w:val="00BF4E97"/>
    <w:rsid w:val="00BF4F01"/>
    <w:rsid w:val="00BF4F6D"/>
    <w:rsid w:val="00BF5005"/>
    <w:rsid w:val="00BF5064"/>
    <w:rsid w:val="00BF50CE"/>
    <w:rsid w:val="00BF5114"/>
    <w:rsid w:val="00BF511C"/>
    <w:rsid w:val="00BF5142"/>
    <w:rsid w:val="00BF5163"/>
    <w:rsid w:val="00BF5212"/>
    <w:rsid w:val="00BF524E"/>
    <w:rsid w:val="00BF5315"/>
    <w:rsid w:val="00BF547A"/>
    <w:rsid w:val="00BF54A5"/>
    <w:rsid w:val="00BF54D7"/>
    <w:rsid w:val="00BF552C"/>
    <w:rsid w:val="00BF559D"/>
    <w:rsid w:val="00BF55D8"/>
    <w:rsid w:val="00BF5615"/>
    <w:rsid w:val="00BF5649"/>
    <w:rsid w:val="00BF5671"/>
    <w:rsid w:val="00BF56AE"/>
    <w:rsid w:val="00BF5738"/>
    <w:rsid w:val="00BF5771"/>
    <w:rsid w:val="00BF578D"/>
    <w:rsid w:val="00BF57EB"/>
    <w:rsid w:val="00BF581E"/>
    <w:rsid w:val="00BF5890"/>
    <w:rsid w:val="00BF58F3"/>
    <w:rsid w:val="00BF5913"/>
    <w:rsid w:val="00BF5974"/>
    <w:rsid w:val="00BF5A29"/>
    <w:rsid w:val="00BF5ACF"/>
    <w:rsid w:val="00BF5BC8"/>
    <w:rsid w:val="00BF5BCF"/>
    <w:rsid w:val="00BF5BDF"/>
    <w:rsid w:val="00BF5C7E"/>
    <w:rsid w:val="00BF5D74"/>
    <w:rsid w:val="00BF5DAB"/>
    <w:rsid w:val="00BF5E3C"/>
    <w:rsid w:val="00BF5EE3"/>
    <w:rsid w:val="00BF5F57"/>
    <w:rsid w:val="00BF5F92"/>
    <w:rsid w:val="00BF5FAE"/>
    <w:rsid w:val="00BF6044"/>
    <w:rsid w:val="00BF6134"/>
    <w:rsid w:val="00BF616C"/>
    <w:rsid w:val="00BF61C0"/>
    <w:rsid w:val="00BF61C5"/>
    <w:rsid w:val="00BF61E1"/>
    <w:rsid w:val="00BF628F"/>
    <w:rsid w:val="00BF631D"/>
    <w:rsid w:val="00BF633C"/>
    <w:rsid w:val="00BF63B6"/>
    <w:rsid w:val="00BF63EC"/>
    <w:rsid w:val="00BF6479"/>
    <w:rsid w:val="00BF64D1"/>
    <w:rsid w:val="00BF653C"/>
    <w:rsid w:val="00BF6617"/>
    <w:rsid w:val="00BF66A9"/>
    <w:rsid w:val="00BF66DB"/>
    <w:rsid w:val="00BF6718"/>
    <w:rsid w:val="00BF675E"/>
    <w:rsid w:val="00BF67EC"/>
    <w:rsid w:val="00BF6907"/>
    <w:rsid w:val="00BF6933"/>
    <w:rsid w:val="00BF6979"/>
    <w:rsid w:val="00BF69F9"/>
    <w:rsid w:val="00BF6A7F"/>
    <w:rsid w:val="00BF6AD8"/>
    <w:rsid w:val="00BF6B6C"/>
    <w:rsid w:val="00BF6B91"/>
    <w:rsid w:val="00BF6CDD"/>
    <w:rsid w:val="00BF6CEB"/>
    <w:rsid w:val="00BF6D23"/>
    <w:rsid w:val="00BF6D29"/>
    <w:rsid w:val="00BF6DB9"/>
    <w:rsid w:val="00BF6EEB"/>
    <w:rsid w:val="00BF6EEE"/>
    <w:rsid w:val="00BF6F20"/>
    <w:rsid w:val="00BF6F2C"/>
    <w:rsid w:val="00BF6F4B"/>
    <w:rsid w:val="00BF6F8F"/>
    <w:rsid w:val="00BF6FE9"/>
    <w:rsid w:val="00BF70C7"/>
    <w:rsid w:val="00BF7251"/>
    <w:rsid w:val="00BF72E3"/>
    <w:rsid w:val="00BF72E8"/>
    <w:rsid w:val="00BF72EC"/>
    <w:rsid w:val="00BF7369"/>
    <w:rsid w:val="00BF7389"/>
    <w:rsid w:val="00BF73AA"/>
    <w:rsid w:val="00BF73B0"/>
    <w:rsid w:val="00BF73CC"/>
    <w:rsid w:val="00BF7447"/>
    <w:rsid w:val="00BF7635"/>
    <w:rsid w:val="00BF772B"/>
    <w:rsid w:val="00BF772C"/>
    <w:rsid w:val="00BF7769"/>
    <w:rsid w:val="00BF7903"/>
    <w:rsid w:val="00BF7921"/>
    <w:rsid w:val="00BF7972"/>
    <w:rsid w:val="00BF79B7"/>
    <w:rsid w:val="00BF7A41"/>
    <w:rsid w:val="00BF7A43"/>
    <w:rsid w:val="00BF7A70"/>
    <w:rsid w:val="00BF7AA1"/>
    <w:rsid w:val="00BF7CC5"/>
    <w:rsid w:val="00BF7CC6"/>
    <w:rsid w:val="00BF7E75"/>
    <w:rsid w:val="00BF7E9B"/>
    <w:rsid w:val="00BF7EE3"/>
    <w:rsid w:val="00BF7F25"/>
    <w:rsid w:val="00BF7F28"/>
    <w:rsid w:val="00BF7F5E"/>
    <w:rsid w:val="00C0007E"/>
    <w:rsid w:val="00C000D2"/>
    <w:rsid w:val="00C002BE"/>
    <w:rsid w:val="00C00300"/>
    <w:rsid w:val="00C00331"/>
    <w:rsid w:val="00C0035E"/>
    <w:rsid w:val="00C003A6"/>
    <w:rsid w:val="00C003B1"/>
    <w:rsid w:val="00C004A7"/>
    <w:rsid w:val="00C004C5"/>
    <w:rsid w:val="00C004DF"/>
    <w:rsid w:val="00C00673"/>
    <w:rsid w:val="00C00694"/>
    <w:rsid w:val="00C006E3"/>
    <w:rsid w:val="00C00717"/>
    <w:rsid w:val="00C00795"/>
    <w:rsid w:val="00C007A6"/>
    <w:rsid w:val="00C00883"/>
    <w:rsid w:val="00C00986"/>
    <w:rsid w:val="00C00A09"/>
    <w:rsid w:val="00C00A1F"/>
    <w:rsid w:val="00C00A84"/>
    <w:rsid w:val="00C00AC8"/>
    <w:rsid w:val="00C00BA6"/>
    <w:rsid w:val="00C00C26"/>
    <w:rsid w:val="00C00C2F"/>
    <w:rsid w:val="00C00D79"/>
    <w:rsid w:val="00C00DB4"/>
    <w:rsid w:val="00C00E16"/>
    <w:rsid w:val="00C00E64"/>
    <w:rsid w:val="00C00EFC"/>
    <w:rsid w:val="00C00F9F"/>
    <w:rsid w:val="00C00FCA"/>
    <w:rsid w:val="00C0108A"/>
    <w:rsid w:val="00C0114B"/>
    <w:rsid w:val="00C0118E"/>
    <w:rsid w:val="00C01204"/>
    <w:rsid w:val="00C01386"/>
    <w:rsid w:val="00C0147D"/>
    <w:rsid w:val="00C014D3"/>
    <w:rsid w:val="00C01572"/>
    <w:rsid w:val="00C015BF"/>
    <w:rsid w:val="00C0161A"/>
    <w:rsid w:val="00C0161D"/>
    <w:rsid w:val="00C01701"/>
    <w:rsid w:val="00C01757"/>
    <w:rsid w:val="00C0186D"/>
    <w:rsid w:val="00C01891"/>
    <w:rsid w:val="00C018D9"/>
    <w:rsid w:val="00C018F3"/>
    <w:rsid w:val="00C01909"/>
    <w:rsid w:val="00C01A43"/>
    <w:rsid w:val="00C01AFC"/>
    <w:rsid w:val="00C01C18"/>
    <w:rsid w:val="00C01C47"/>
    <w:rsid w:val="00C01E35"/>
    <w:rsid w:val="00C01F56"/>
    <w:rsid w:val="00C0207C"/>
    <w:rsid w:val="00C020DD"/>
    <w:rsid w:val="00C02176"/>
    <w:rsid w:val="00C021AE"/>
    <w:rsid w:val="00C02201"/>
    <w:rsid w:val="00C02288"/>
    <w:rsid w:val="00C02388"/>
    <w:rsid w:val="00C02415"/>
    <w:rsid w:val="00C024C3"/>
    <w:rsid w:val="00C02652"/>
    <w:rsid w:val="00C0265F"/>
    <w:rsid w:val="00C0278C"/>
    <w:rsid w:val="00C027AE"/>
    <w:rsid w:val="00C027FB"/>
    <w:rsid w:val="00C02806"/>
    <w:rsid w:val="00C028CA"/>
    <w:rsid w:val="00C02972"/>
    <w:rsid w:val="00C029D8"/>
    <w:rsid w:val="00C02A34"/>
    <w:rsid w:val="00C02A3D"/>
    <w:rsid w:val="00C02AE3"/>
    <w:rsid w:val="00C02B5A"/>
    <w:rsid w:val="00C02CBE"/>
    <w:rsid w:val="00C02CC1"/>
    <w:rsid w:val="00C02D04"/>
    <w:rsid w:val="00C02D2C"/>
    <w:rsid w:val="00C02D82"/>
    <w:rsid w:val="00C02DD7"/>
    <w:rsid w:val="00C02E0D"/>
    <w:rsid w:val="00C02E1C"/>
    <w:rsid w:val="00C02E3C"/>
    <w:rsid w:val="00C02E3F"/>
    <w:rsid w:val="00C02F0D"/>
    <w:rsid w:val="00C02F85"/>
    <w:rsid w:val="00C02F91"/>
    <w:rsid w:val="00C02FA7"/>
    <w:rsid w:val="00C02FE7"/>
    <w:rsid w:val="00C0300E"/>
    <w:rsid w:val="00C03071"/>
    <w:rsid w:val="00C03080"/>
    <w:rsid w:val="00C03197"/>
    <w:rsid w:val="00C031FB"/>
    <w:rsid w:val="00C03251"/>
    <w:rsid w:val="00C0325C"/>
    <w:rsid w:val="00C0328F"/>
    <w:rsid w:val="00C03290"/>
    <w:rsid w:val="00C032FF"/>
    <w:rsid w:val="00C03352"/>
    <w:rsid w:val="00C033FB"/>
    <w:rsid w:val="00C03424"/>
    <w:rsid w:val="00C03499"/>
    <w:rsid w:val="00C034B6"/>
    <w:rsid w:val="00C03522"/>
    <w:rsid w:val="00C0357F"/>
    <w:rsid w:val="00C0364F"/>
    <w:rsid w:val="00C03674"/>
    <w:rsid w:val="00C0368C"/>
    <w:rsid w:val="00C03723"/>
    <w:rsid w:val="00C03780"/>
    <w:rsid w:val="00C037BF"/>
    <w:rsid w:val="00C03844"/>
    <w:rsid w:val="00C0385F"/>
    <w:rsid w:val="00C038D1"/>
    <w:rsid w:val="00C039BF"/>
    <w:rsid w:val="00C039CB"/>
    <w:rsid w:val="00C03A41"/>
    <w:rsid w:val="00C03B10"/>
    <w:rsid w:val="00C03C03"/>
    <w:rsid w:val="00C03EAB"/>
    <w:rsid w:val="00C03EEE"/>
    <w:rsid w:val="00C04066"/>
    <w:rsid w:val="00C04077"/>
    <w:rsid w:val="00C0409D"/>
    <w:rsid w:val="00C040B2"/>
    <w:rsid w:val="00C04107"/>
    <w:rsid w:val="00C041B2"/>
    <w:rsid w:val="00C04210"/>
    <w:rsid w:val="00C04236"/>
    <w:rsid w:val="00C043B3"/>
    <w:rsid w:val="00C0445D"/>
    <w:rsid w:val="00C044BE"/>
    <w:rsid w:val="00C0457F"/>
    <w:rsid w:val="00C045BC"/>
    <w:rsid w:val="00C046D8"/>
    <w:rsid w:val="00C04712"/>
    <w:rsid w:val="00C0485B"/>
    <w:rsid w:val="00C0488F"/>
    <w:rsid w:val="00C049C4"/>
    <w:rsid w:val="00C049F2"/>
    <w:rsid w:val="00C04A6A"/>
    <w:rsid w:val="00C04B3B"/>
    <w:rsid w:val="00C04BCA"/>
    <w:rsid w:val="00C04C2C"/>
    <w:rsid w:val="00C04C93"/>
    <w:rsid w:val="00C04C95"/>
    <w:rsid w:val="00C04CF0"/>
    <w:rsid w:val="00C04D95"/>
    <w:rsid w:val="00C04EC4"/>
    <w:rsid w:val="00C04F8C"/>
    <w:rsid w:val="00C04FD5"/>
    <w:rsid w:val="00C05229"/>
    <w:rsid w:val="00C0529E"/>
    <w:rsid w:val="00C05353"/>
    <w:rsid w:val="00C0536A"/>
    <w:rsid w:val="00C05376"/>
    <w:rsid w:val="00C053C2"/>
    <w:rsid w:val="00C0545A"/>
    <w:rsid w:val="00C05551"/>
    <w:rsid w:val="00C055C1"/>
    <w:rsid w:val="00C055CC"/>
    <w:rsid w:val="00C056BC"/>
    <w:rsid w:val="00C056BD"/>
    <w:rsid w:val="00C05707"/>
    <w:rsid w:val="00C05787"/>
    <w:rsid w:val="00C05788"/>
    <w:rsid w:val="00C0578F"/>
    <w:rsid w:val="00C05930"/>
    <w:rsid w:val="00C05950"/>
    <w:rsid w:val="00C059F2"/>
    <w:rsid w:val="00C05A9C"/>
    <w:rsid w:val="00C05AEE"/>
    <w:rsid w:val="00C05D4B"/>
    <w:rsid w:val="00C05D62"/>
    <w:rsid w:val="00C05D83"/>
    <w:rsid w:val="00C05D90"/>
    <w:rsid w:val="00C05D93"/>
    <w:rsid w:val="00C05DA5"/>
    <w:rsid w:val="00C05DB6"/>
    <w:rsid w:val="00C05DE3"/>
    <w:rsid w:val="00C05E09"/>
    <w:rsid w:val="00C05E14"/>
    <w:rsid w:val="00C05EB7"/>
    <w:rsid w:val="00C05EE9"/>
    <w:rsid w:val="00C05FF8"/>
    <w:rsid w:val="00C0602A"/>
    <w:rsid w:val="00C06057"/>
    <w:rsid w:val="00C0606B"/>
    <w:rsid w:val="00C060BA"/>
    <w:rsid w:val="00C06117"/>
    <w:rsid w:val="00C0611B"/>
    <w:rsid w:val="00C062F4"/>
    <w:rsid w:val="00C06382"/>
    <w:rsid w:val="00C06447"/>
    <w:rsid w:val="00C0652F"/>
    <w:rsid w:val="00C0658B"/>
    <w:rsid w:val="00C065D9"/>
    <w:rsid w:val="00C0665B"/>
    <w:rsid w:val="00C066A8"/>
    <w:rsid w:val="00C066B3"/>
    <w:rsid w:val="00C06754"/>
    <w:rsid w:val="00C068C7"/>
    <w:rsid w:val="00C068D5"/>
    <w:rsid w:val="00C068E9"/>
    <w:rsid w:val="00C06AAE"/>
    <w:rsid w:val="00C06ADD"/>
    <w:rsid w:val="00C06BDB"/>
    <w:rsid w:val="00C06C2A"/>
    <w:rsid w:val="00C06E47"/>
    <w:rsid w:val="00C06FB9"/>
    <w:rsid w:val="00C07072"/>
    <w:rsid w:val="00C0707F"/>
    <w:rsid w:val="00C070B9"/>
    <w:rsid w:val="00C070EC"/>
    <w:rsid w:val="00C07119"/>
    <w:rsid w:val="00C07170"/>
    <w:rsid w:val="00C07343"/>
    <w:rsid w:val="00C073C4"/>
    <w:rsid w:val="00C074EA"/>
    <w:rsid w:val="00C07543"/>
    <w:rsid w:val="00C0761D"/>
    <w:rsid w:val="00C076E0"/>
    <w:rsid w:val="00C076F0"/>
    <w:rsid w:val="00C0770F"/>
    <w:rsid w:val="00C077EB"/>
    <w:rsid w:val="00C07881"/>
    <w:rsid w:val="00C078E2"/>
    <w:rsid w:val="00C0792F"/>
    <w:rsid w:val="00C079BE"/>
    <w:rsid w:val="00C07A82"/>
    <w:rsid w:val="00C07ADB"/>
    <w:rsid w:val="00C07AFC"/>
    <w:rsid w:val="00C07B51"/>
    <w:rsid w:val="00C07BA6"/>
    <w:rsid w:val="00C07BD4"/>
    <w:rsid w:val="00C07BE5"/>
    <w:rsid w:val="00C07C01"/>
    <w:rsid w:val="00C07C80"/>
    <w:rsid w:val="00C07CEF"/>
    <w:rsid w:val="00C07DB6"/>
    <w:rsid w:val="00C07F06"/>
    <w:rsid w:val="00C07F5C"/>
    <w:rsid w:val="00C07FEC"/>
    <w:rsid w:val="00C1008D"/>
    <w:rsid w:val="00C10146"/>
    <w:rsid w:val="00C10163"/>
    <w:rsid w:val="00C1019B"/>
    <w:rsid w:val="00C1024D"/>
    <w:rsid w:val="00C102A8"/>
    <w:rsid w:val="00C10319"/>
    <w:rsid w:val="00C103AF"/>
    <w:rsid w:val="00C103E7"/>
    <w:rsid w:val="00C1042D"/>
    <w:rsid w:val="00C104D6"/>
    <w:rsid w:val="00C104FA"/>
    <w:rsid w:val="00C10549"/>
    <w:rsid w:val="00C105DE"/>
    <w:rsid w:val="00C1072E"/>
    <w:rsid w:val="00C1077E"/>
    <w:rsid w:val="00C10792"/>
    <w:rsid w:val="00C107B0"/>
    <w:rsid w:val="00C10881"/>
    <w:rsid w:val="00C10935"/>
    <w:rsid w:val="00C1097F"/>
    <w:rsid w:val="00C10A2D"/>
    <w:rsid w:val="00C10A4C"/>
    <w:rsid w:val="00C10AC3"/>
    <w:rsid w:val="00C10B05"/>
    <w:rsid w:val="00C10CE0"/>
    <w:rsid w:val="00C10D4E"/>
    <w:rsid w:val="00C10D89"/>
    <w:rsid w:val="00C10F3E"/>
    <w:rsid w:val="00C10F7E"/>
    <w:rsid w:val="00C10F84"/>
    <w:rsid w:val="00C10FA1"/>
    <w:rsid w:val="00C1104E"/>
    <w:rsid w:val="00C1110B"/>
    <w:rsid w:val="00C1126F"/>
    <w:rsid w:val="00C11296"/>
    <w:rsid w:val="00C112AF"/>
    <w:rsid w:val="00C11319"/>
    <w:rsid w:val="00C11390"/>
    <w:rsid w:val="00C1143A"/>
    <w:rsid w:val="00C1154F"/>
    <w:rsid w:val="00C115A6"/>
    <w:rsid w:val="00C116F1"/>
    <w:rsid w:val="00C11871"/>
    <w:rsid w:val="00C11904"/>
    <w:rsid w:val="00C11978"/>
    <w:rsid w:val="00C11979"/>
    <w:rsid w:val="00C11981"/>
    <w:rsid w:val="00C11A47"/>
    <w:rsid w:val="00C11A86"/>
    <w:rsid w:val="00C11AE1"/>
    <w:rsid w:val="00C11BCA"/>
    <w:rsid w:val="00C11BE0"/>
    <w:rsid w:val="00C11C20"/>
    <w:rsid w:val="00C11C42"/>
    <w:rsid w:val="00C11C99"/>
    <w:rsid w:val="00C11CC8"/>
    <w:rsid w:val="00C11EC9"/>
    <w:rsid w:val="00C11F65"/>
    <w:rsid w:val="00C11F6C"/>
    <w:rsid w:val="00C11FC9"/>
    <w:rsid w:val="00C11FD5"/>
    <w:rsid w:val="00C12011"/>
    <w:rsid w:val="00C12064"/>
    <w:rsid w:val="00C12146"/>
    <w:rsid w:val="00C1216B"/>
    <w:rsid w:val="00C121CC"/>
    <w:rsid w:val="00C1227A"/>
    <w:rsid w:val="00C122B0"/>
    <w:rsid w:val="00C1234C"/>
    <w:rsid w:val="00C1242B"/>
    <w:rsid w:val="00C12433"/>
    <w:rsid w:val="00C1258E"/>
    <w:rsid w:val="00C125BF"/>
    <w:rsid w:val="00C12680"/>
    <w:rsid w:val="00C126FD"/>
    <w:rsid w:val="00C1276A"/>
    <w:rsid w:val="00C127DD"/>
    <w:rsid w:val="00C12882"/>
    <w:rsid w:val="00C129F1"/>
    <w:rsid w:val="00C129F3"/>
    <w:rsid w:val="00C12A85"/>
    <w:rsid w:val="00C12AC3"/>
    <w:rsid w:val="00C12B07"/>
    <w:rsid w:val="00C12BCE"/>
    <w:rsid w:val="00C12C8A"/>
    <w:rsid w:val="00C12CA0"/>
    <w:rsid w:val="00C12D2F"/>
    <w:rsid w:val="00C12DA4"/>
    <w:rsid w:val="00C12E4C"/>
    <w:rsid w:val="00C12EF1"/>
    <w:rsid w:val="00C12F0D"/>
    <w:rsid w:val="00C12F27"/>
    <w:rsid w:val="00C12F6F"/>
    <w:rsid w:val="00C1303A"/>
    <w:rsid w:val="00C13059"/>
    <w:rsid w:val="00C130D2"/>
    <w:rsid w:val="00C13118"/>
    <w:rsid w:val="00C131A9"/>
    <w:rsid w:val="00C132E7"/>
    <w:rsid w:val="00C1330E"/>
    <w:rsid w:val="00C1334F"/>
    <w:rsid w:val="00C133D2"/>
    <w:rsid w:val="00C134C7"/>
    <w:rsid w:val="00C135E1"/>
    <w:rsid w:val="00C1364E"/>
    <w:rsid w:val="00C136D1"/>
    <w:rsid w:val="00C13782"/>
    <w:rsid w:val="00C137E4"/>
    <w:rsid w:val="00C137EC"/>
    <w:rsid w:val="00C1383B"/>
    <w:rsid w:val="00C138CF"/>
    <w:rsid w:val="00C138D6"/>
    <w:rsid w:val="00C13B17"/>
    <w:rsid w:val="00C13C05"/>
    <w:rsid w:val="00C13E1A"/>
    <w:rsid w:val="00C13E87"/>
    <w:rsid w:val="00C13FED"/>
    <w:rsid w:val="00C140AF"/>
    <w:rsid w:val="00C141E8"/>
    <w:rsid w:val="00C1436A"/>
    <w:rsid w:val="00C143FE"/>
    <w:rsid w:val="00C1441E"/>
    <w:rsid w:val="00C14432"/>
    <w:rsid w:val="00C144F1"/>
    <w:rsid w:val="00C1450D"/>
    <w:rsid w:val="00C14527"/>
    <w:rsid w:val="00C145DE"/>
    <w:rsid w:val="00C14647"/>
    <w:rsid w:val="00C146CC"/>
    <w:rsid w:val="00C1478A"/>
    <w:rsid w:val="00C1486F"/>
    <w:rsid w:val="00C148A3"/>
    <w:rsid w:val="00C14969"/>
    <w:rsid w:val="00C149DD"/>
    <w:rsid w:val="00C14A77"/>
    <w:rsid w:val="00C14AA9"/>
    <w:rsid w:val="00C14B5D"/>
    <w:rsid w:val="00C14B67"/>
    <w:rsid w:val="00C14B94"/>
    <w:rsid w:val="00C14B98"/>
    <w:rsid w:val="00C14BB1"/>
    <w:rsid w:val="00C14C0A"/>
    <w:rsid w:val="00C14C1B"/>
    <w:rsid w:val="00C14C6B"/>
    <w:rsid w:val="00C14CBA"/>
    <w:rsid w:val="00C14CE1"/>
    <w:rsid w:val="00C14CFD"/>
    <w:rsid w:val="00C14CFE"/>
    <w:rsid w:val="00C14D64"/>
    <w:rsid w:val="00C14E2C"/>
    <w:rsid w:val="00C14ECD"/>
    <w:rsid w:val="00C15055"/>
    <w:rsid w:val="00C1505D"/>
    <w:rsid w:val="00C15137"/>
    <w:rsid w:val="00C152C6"/>
    <w:rsid w:val="00C154FE"/>
    <w:rsid w:val="00C15540"/>
    <w:rsid w:val="00C15599"/>
    <w:rsid w:val="00C155D8"/>
    <w:rsid w:val="00C15605"/>
    <w:rsid w:val="00C15668"/>
    <w:rsid w:val="00C156D4"/>
    <w:rsid w:val="00C156EB"/>
    <w:rsid w:val="00C15709"/>
    <w:rsid w:val="00C15A21"/>
    <w:rsid w:val="00C15AFB"/>
    <w:rsid w:val="00C15B30"/>
    <w:rsid w:val="00C15B95"/>
    <w:rsid w:val="00C15B9E"/>
    <w:rsid w:val="00C15D4B"/>
    <w:rsid w:val="00C15E39"/>
    <w:rsid w:val="00C15EA6"/>
    <w:rsid w:val="00C15F2C"/>
    <w:rsid w:val="00C15FAA"/>
    <w:rsid w:val="00C160B0"/>
    <w:rsid w:val="00C16249"/>
    <w:rsid w:val="00C16299"/>
    <w:rsid w:val="00C16345"/>
    <w:rsid w:val="00C163C1"/>
    <w:rsid w:val="00C163E2"/>
    <w:rsid w:val="00C16412"/>
    <w:rsid w:val="00C16487"/>
    <w:rsid w:val="00C165A6"/>
    <w:rsid w:val="00C165B1"/>
    <w:rsid w:val="00C165B8"/>
    <w:rsid w:val="00C165BE"/>
    <w:rsid w:val="00C16648"/>
    <w:rsid w:val="00C16793"/>
    <w:rsid w:val="00C167A3"/>
    <w:rsid w:val="00C1688F"/>
    <w:rsid w:val="00C16A13"/>
    <w:rsid w:val="00C16A7C"/>
    <w:rsid w:val="00C16BEF"/>
    <w:rsid w:val="00C16BF3"/>
    <w:rsid w:val="00C16C10"/>
    <w:rsid w:val="00C16F3E"/>
    <w:rsid w:val="00C16F66"/>
    <w:rsid w:val="00C16FAD"/>
    <w:rsid w:val="00C16FC6"/>
    <w:rsid w:val="00C1718F"/>
    <w:rsid w:val="00C1719F"/>
    <w:rsid w:val="00C171D7"/>
    <w:rsid w:val="00C171FC"/>
    <w:rsid w:val="00C1725C"/>
    <w:rsid w:val="00C17291"/>
    <w:rsid w:val="00C1737D"/>
    <w:rsid w:val="00C1739A"/>
    <w:rsid w:val="00C1740B"/>
    <w:rsid w:val="00C17447"/>
    <w:rsid w:val="00C17461"/>
    <w:rsid w:val="00C174AD"/>
    <w:rsid w:val="00C1752A"/>
    <w:rsid w:val="00C17555"/>
    <w:rsid w:val="00C17577"/>
    <w:rsid w:val="00C17676"/>
    <w:rsid w:val="00C176EB"/>
    <w:rsid w:val="00C1775B"/>
    <w:rsid w:val="00C17896"/>
    <w:rsid w:val="00C178CD"/>
    <w:rsid w:val="00C17960"/>
    <w:rsid w:val="00C179B4"/>
    <w:rsid w:val="00C17C11"/>
    <w:rsid w:val="00C17C89"/>
    <w:rsid w:val="00C17C9F"/>
    <w:rsid w:val="00C17CA8"/>
    <w:rsid w:val="00C17D6F"/>
    <w:rsid w:val="00C17DB2"/>
    <w:rsid w:val="00C17E98"/>
    <w:rsid w:val="00C17F0E"/>
    <w:rsid w:val="00C17FDE"/>
    <w:rsid w:val="00C20093"/>
    <w:rsid w:val="00C20149"/>
    <w:rsid w:val="00C20151"/>
    <w:rsid w:val="00C20155"/>
    <w:rsid w:val="00C201E8"/>
    <w:rsid w:val="00C202FC"/>
    <w:rsid w:val="00C203D6"/>
    <w:rsid w:val="00C20472"/>
    <w:rsid w:val="00C2058B"/>
    <w:rsid w:val="00C205BD"/>
    <w:rsid w:val="00C2062C"/>
    <w:rsid w:val="00C206AC"/>
    <w:rsid w:val="00C206B7"/>
    <w:rsid w:val="00C206F9"/>
    <w:rsid w:val="00C209A3"/>
    <w:rsid w:val="00C209DA"/>
    <w:rsid w:val="00C20B2F"/>
    <w:rsid w:val="00C20B7C"/>
    <w:rsid w:val="00C20B9B"/>
    <w:rsid w:val="00C20B9F"/>
    <w:rsid w:val="00C20BC4"/>
    <w:rsid w:val="00C20C36"/>
    <w:rsid w:val="00C20CF2"/>
    <w:rsid w:val="00C20D74"/>
    <w:rsid w:val="00C20DA9"/>
    <w:rsid w:val="00C20E96"/>
    <w:rsid w:val="00C20EA3"/>
    <w:rsid w:val="00C20EBF"/>
    <w:rsid w:val="00C20EFC"/>
    <w:rsid w:val="00C20F01"/>
    <w:rsid w:val="00C20F05"/>
    <w:rsid w:val="00C20F29"/>
    <w:rsid w:val="00C20F92"/>
    <w:rsid w:val="00C2100F"/>
    <w:rsid w:val="00C210A5"/>
    <w:rsid w:val="00C2116F"/>
    <w:rsid w:val="00C211F1"/>
    <w:rsid w:val="00C21239"/>
    <w:rsid w:val="00C212B0"/>
    <w:rsid w:val="00C212D7"/>
    <w:rsid w:val="00C213C1"/>
    <w:rsid w:val="00C2145C"/>
    <w:rsid w:val="00C215E1"/>
    <w:rsid w:val="00C2160C"/>
    <w:rsid w:val="00C21637"/>
    <w:rsid w:val="00C2165E"/>
    <w:rsid w:val="00C21723"/>
    <w:rsid w:val="00C21762"/>
    <w:rsid w:val="00C2181C"/>
    <w:rsid w:val="00C218CB"/>
    <w:rsid w:val="00C218E2"/>
    <w:rsid w:val="00C218E8"/>
    <w:rsid w:val="00C2190A"/>
    <w:rsid w:val="00C21911"/>
    <w:rsid w:val="00C21955"/>
    <w:rsid w:val="00C21980"/>
    <w:rsid w:val="00C219CE"/>
    <w:rsid w:val="00C21A3C"/>
    <w:rsid w:val="00C21A9C"/>
    <w:rsid w:val="00C21B0B"/>
    <w:rsid w:val="00C21B1F"/>
    <w:rsid w:val="00C21C44"/>
    <w:rsid w:val="00C21CCB"/>
    <w:rsid w:val="00C21DC3"/>
    <w:rsid w:val="00C21DED"/>
    <w:rsid w:val="00C21E3C"/>
    <w:rsid w:val="00C21E96"/>
    <w:rsid w:val="00C21EB9"/>
    <w:rsid w:val="00C21EE2"/>
    <w:rsid w:val="00C21F33"/>
    <w:rsid w:val="00C22120"/>
    <w:rsid w:val="00C22129"/>
    <w:rsid w:val="00C22274"/>
    <w:rsid w:val="00C222B0"/>
    <w:rsid w:val="00C222DF"/>
    <w:rsid w:val="00C22383"/>
    <w:rsid w:val="00C22418"/>
    <w:rsid w:val="00C22532"/>
    <w:rsid w:val="00C22562"/>
    <w:rsid w:val="00C2258C"/>
    <w:rsid w:val="00C22702"/>
    <w:rsid w:val="00C228DF"/>
    <w:rsid w:val="00C22931"/>
    <w:rsid w:val="00C2297D"/>
    <w:rsid w:val="00C229B5"/>
    <w:rsid w:val="00C22A21"/>
    <w:rsid w:val="00C22AB3"/>
    <w:rsid w:val="00C22AC0"/>
    <w:rsid w:val="00C22B08"/>
    <w:rsid w:val="00C22B20"/>
    <w:rsid w:val="00C22B5C"/>
    <w:rsid w:val="00C22B7F"/>
    <w:rsid w:val="00C22BC8"/>
    <w:rsid w:val="00C22BF6"/>
    <w:rsid w:val="00C22C8E"/>
    <w:rsid w:val="00C22D1C"/>
    <w:rsid w:val="00C22D1F"/>
    <w:rsid w:val="00C22D73"/>
    <w:rsid w:val="00C22E06"/>
    <w:rsid w:val="00C22E4E"/>
    <w:rsid w:val="00C22EE5"/>
    <w:rsid w:val="00C22F91"/>
    <w:rsid w:val="00C23016"/>
    <w:rsid w:val="00C2304A"/>
    <w:rsid w:val="00C23135"/>
    <w:rsid w:val="00C2314A"/>
    <w:rsid w:val="00C231F3"/>
    <w:rsid w:val="00C23221"/>
    <w:rsid w:val="00C23222"/>
    <w:rsid w:val="00C2327D"/>
    <w:rsid w:val="00C23299"/>
    <w:rsid w:val="00C232C6"/>
    <w:rsid w:val="00C23305"/>
    <w:rsid w:val="00C233A6"/>
    <w:rsid w:val="00C2345C"/>
    <w:rsid w:val="00C234EE"/>
    <w:rsid w:val="00C23658"/>
    <w:rsid w:val="00C23699"/>
    <w:rsid w:val="00C236DA"/>
    <w:rsid w:val="00C23705"/>
    <w:rsid w:val="00C237B9"/>
    <w:rsid w:val="00C237D4"/>
    <w:rsid w:val="00C23873"/>
    <w:rsid w:val="00C238B7"/>
    <w:rsid w:val="00C23943"/>
    <w:rsid w:val="00C23988"/>
    <w:rsid w:val="00C23A37"/>
    <w:rsid w:val="00C23A88"/>
    <w:rsid w:val="00C23ABB"/>
    <w:rsid w:val="00C23AC9"/>
    <w:rsid w:val="00C23AF3"/>
    <w:rsid w:val="00C23B26"/>
    <w:rsid w:val="00C23B71"/>
    <w:rsid w:val="00C23BD9"/>
    <w:rsid w:val="00C23C87"/>
    <w:rsid w:val="00C23C8B"/>
    <w:rsid w:val="00C23CF5"/>
    <w:rsid w:val="00C23DA5"/>
    <w:rsid w:val="00C23DBF"/>
    <w:rsid w:val="00C23DF7"/>
    <w:rsid w:val="00C23E6A"/>
    <w:rsid w:val="00C23EA8"/>
    <w:rsid w:val="00C23ED5"/>
    <w:rsid w:val="00C23F05"/>
    <w:rsid w:val="00C23F53"/>
    <w:rsid w:val="00C23F8E"/>
    <w:rsid w:val="00C24018"/>
    <w:rsid w:val="00C24055"/>
    <w:rsid w:val="00C24082"/>
    <w:rsid w:val="00C2408F"/>
    <w:rsid w:val="00C240B9"/>
    <w:rsid w:val="00C2418C"/>
    <w:rsid w:val="00C24263"/>
    <w:rsid w:val="00C24274"/>
    <w:rsid w:val="00C242CB"/>
    <w:rsid w:val="00C243EB"/>
    <w:rsid w:val="00C24517"/>
    <w:rsid w:val="00C2461C"/>
    <w:rsid w:val="00C247C3"/>
    <w:rsid w:val="00C24856"/>
    <w:rsid w:val="00C248A3"/>
    <w:rsid w:val="00C248DA"/>
    <w:rsid w:val="00C248DB"/>
    <w:rsid w:val="00C24B02"/>
    <w:rsid w:val="00C24B49"/>
    <w:rsid w:val="00C24BE1"/>
    <w:rsid w:val="00C24C6D"/>
    <w:rsid w:val="00C24D53"/>
    <w:rsid w:val="00C24D77"/>
    <w:rsid w:val="00C24DE1"/>
    <w:rsid w:val="00C24DEE"/>
    <w:rsid w:val="00C24E17"/>
    <w:rsid w:val="00C24EE8"/>
    <w:rsid w:val="00C24EF2"/>
    <w:rsid w:val="00C24F1F"/>
    <w:rsid w:val="00C24F2A"/>
    <w:rsid w:val="00C24FEC"/>
    <w:rsid w:val="00C25027"/>
    <w:rsid w:val="00C25087"/>
    <w:rsid w:val="00C250FF"/>
    <w:rsid w:val="00C2522C"/>
    <w:rsid w:val="00C252F0"/>
    <w:rsid w:val="00C252FE"/>
    <w:rsid w:val="00C254C6"/>
    <w:rsid w:val="00C254F2"/>
    <w:rsid w:val="00C25546"/>
    <w:rsid w:val="00C25563"/>
    <w:rsid w:val="00C255FA"/>
    <w:rsid w:val="00C256FC"/>
    <w:rsid w:val="00C25771"/>
    <w:rsid w:val="00C257AA"/>
    <w:rsid w:val="00C25810"/>
    <w:rsid w:val="00C258A9"/>
    <w:rsid w:val="00C258EE"/>
    <w:rsid w:val="00C259D2"/>
    <w:rsid w:val="00C25A92"/>
    <w:rsid w:val="00C25AF8"/>
    <w:rsid w:val="00C25C1E"/>
    <w:rsid w:val="00C25C8C"/>
    <w:rsid w:val="00C25CB1"/>
    <w:rsid w:val="00C25CD1"/>
    <w:rsid w:val="00C25D33"/>
    <w:rsid w:val="00C25E96"/>
    <w:rsid w:val="00C25EA3"/>
    <w:rsid w:val="00C25F44"/>
    <w:rsid w:val="00C26012"/>
    <w:rsid w:val="00C26035"/>
    <w:rsid w:val="00C26088"/>
    <w:rsid w:val="00C260CB"/>
    <w:rsid w:val="00C26118"/>
    <w:rsid w:val="00C26222"/>
    <w:rsid w:val="00C262DE"/>
    <w:rsid w:val="00C262DF"/>
    <w:rsid w:val="00C262FE"/>
    <w:rsid w:val="00C2637D"/>
    <w:rsid w:val="00C263DD"/>
    <w:rsid w:val="00C26423"/>
    <w:rsid w:val="00C264CF"/>
    <w:rsid w:val="00C2657D"/>
    <w:rsid w:val="00C265BB"/>
    <w:rsid w:val="00C2665A"/>
    <w:rsid w:val="00C266AD"/>
    <w:rsid w:val="00C2671B"/>
    <w:rsid w:val="00C267CF"/>
    <w:rsid w:val="00C26822"/>
    <w:rsid w:val="00C269DA"/>
    <w:rsid w:val="00C26A87"/>
    <w:rsid w:val="00C26A99"/>
    <w:rsid w:val="00C26B70"/>
    <w:rsid w:val="00C26C0C"/>
    <w:rsid w:val="00C26C34"/>
    <w:rsid w:val="00C26CD3"/>
    <w:rsid w:val="00C26D3E"/>
    <w:rsid w:val="00C26D7C"/>
    <w:rsid w:val="00C26D9F"/>
    <w:rsid w:val="00C26E5C"/>
    <w:rsid w:val="00C26EE7"/>
    <w:rsid w:val="00C26FE0"/>
    <w:rsid w:val="00C27005"/>
    <w:rsid w:val="00C27161"/>
    <w:rsid w:val="00C271D9"/>
    <w:rsid w:val="00C27234"/>
    <w:rsid w:val="00C27384"/>
    <w:rsid w:val="00C273BC"/>
    <w:rsid w:val="00C274D0"/>
    <w:rsid w:val="00C274E2"/>
    <w:rsid w:val="00C274FF"/>
    <w:rsid w:val="00C275CC"/>
    <w:rsid w:val="00C276CA"/>
    <w:rsid w:val="00C2777C"/>
    <w:rsid w:val="00C277B3"/>
    <w:rsid w:val="00C2782D"/>
    <w:rsid w:val="00C2783E"/>
    <w:rsid w:val="00C278DE"/>
    <w:rsid w:val="00C279E3"/>
    <w:rsid w:val="00C27B28"/>
    <w:rsid w:val="00C27B36"/>
    <w:rsid w:val="00C27B5F"/>
    <w:rsid w:val="00C27C25"/>
    <w:rsid w:val="00C27C44"/>
    <w:rsid w:val="00C27CDF"/>
    <w:rsid w:val="00C27D3A"/>
    <w:rsid w:val="00C27D47"/>
    <w:rsid w:val="00C27D55"/>
    <w:rsid w:val="00C27DA4"/>
    <w:rsid w:val="00C27E16"/>
    <w:rsid w:val="00C27E35"/>
    <w:rsid w:val="00C27F09"/>
    <w:rsid w:val="00C27F29"/>
    <w:rsid w:val="00C27F96"/>
    <w:rsid w:val="00C27FC7"/>
    <w:rsid w:val="00C27FF0"/>
    <w:rsid w:val="00C30032"/>
    <w:rsid w:val="00C300DD"/>
    <w:rsid w:val="00C300EE"/>
    <w:rsid w:val="00C300FC"/>
    <w:rsid w:val="00C30239"/>
    <w:rsid w:val="00C30384"/>
    <w:rsid w:val="00C30414"/>
    <w:rsid w:val="00C30434"/>
    <w:rsid w:val="00C30441"/>
    <w:rsid w:val="00C304E7"/>
    <w:rsid w:val="00C30506"/>
    <w:rsid w:val="00C305D1"/>
    <w:rsid w:val="00C30620"/>
    <w:rsid w:val="00C306C5"/>
    <w:rsid w:val="00C3078E"/>
    <w:rsid w:val="00C30915"/>
    <w:rsid w:val="00C30960"/>
    <w:rsid w:val="00C30A1E"/>
    <w:rsid w:val="00C30A2A"/>
    <w:rsid w:val="00C30A9A"/>
    <w:rsid w:val="00C30D95"/>
    <w:rsid w:val="00C30DF5"/>
    <w:rsid w:val="00C30F67"/>
    <w:rsid w:val="00C30F96"/>
    <w:rsid w:val="00C3108A"/>
    <w:rsid w:val="00C31151"/>
    <w:rsid w:val="00C311E6"/>
    <w:rsid w:val="00C311FB"/>
    <w:rsid w:val="00C3127E"/>
    <w:rsid w:val="00C312A1"/>
    <w:rsid w:val="00C313A9"/>
    <w:rsid w:val="00C313DC"/>
    <w:rsid w:val="00C31431"/>
    <w:rsid w:val="00C3148F"/>
    <w:rsid w:val="00C315EC"/>
    <w:rsid w:val="00C3164D"/>
    <w:rsid w:val="00C316CF"/>
    <w:rsid w:val="00C31786"/>
    <w:rsid w:val="00C317EE"/>
    <w:rsid w:val="00C31800"/>
    <w:rsid w:val="00C31860"/>
    <w:rsid w:val="00C31927"/>
    <w:rsid w:val="00C31938"/>
    <w:rsid w:val="00C31A6C"/>
    <w:rsid w:val="00C31BF6"/>
    <w:rsid w:val="00C31DC4"/>
    <w:rsid w:val="00C31E32"/>
    <w:rsid w:val="00C31E7F"/>
    <w:rsid w:val="00C31ED3"/>
    <w:rsid w:val="00C31EE6"/>
    <w:rsid w:val="00C31F11"/>
    <w:rsid w:val="00C31F8C"/>
    <w:rsid w:val="00C31F93"/>
    <w:rsid w:val="00C32038"/>
    <w:rsid w:val="00C32046"/>
    <w:rsid w:val="00C320DA"/>
    <w:rsid w:val="00C3213D"/>
    <w:rsid w:val="00C32169"/>
    <w:rsid w:val="00C321EC"/>
    <w:rsid w:val="00C32227"/>
    <w:rsid w:val="00C3225E"/>
    <w:rsid w:val="00C32292"/>
    <w:rsid w:val="00C324E7"/>
    <w:rsid w:val="00C3251B"/>
    <w:rsid w:val="00C325C7"/>
    <w:rsid w:val="00C32617"/>
    <w:rsid w:val="00C326F7"/>
    <w:rsid w:val="00C32711"/>
    <w:rsid w:val="00C3275F"/>
    <w:rsid w:val="00C32764"/>
    <w:rsid w:val="00C32795"/>
    <w:rsid w:val="00C32816"/>
    <w:rsid w:val="00C3285C"/>
    <w:rsid w:val="00C328A4"/>
    <w:rsid w:val="00C328DF"/>
    <w:rsid w:val="00C328EA"/>
    <w:rsid w:val="00C32927"/>
    <w:rsid w:val="00C329AA"/>
    <w:rsid w:val="00C32A48"/>
    <w:rsid w:val="00C32B4C"/>
    <w:rsid w:val="00C32B8D"/>
    <w:rsid w:val="00C32C73"/>
    <w:rsid w:val="00C32C86"/>
    <w:rsid w:val="00C32CC9"/>
    <w:rsid w:val="00C32E85"/>
    <w:rsid w:val="00C32EF5"/>
    <w:rsid w:val="00C32EF7"/>
    <w:rsid w:val="00C32F4D"/>
    <w:rsid w:val="00C32F8D"/>
    <w:rsid w:val="00C32FF2"/>
    <w:rsid w:val="00C3303C"/>
    <w:rsid w:val="00C3304B"/>
    <w:rsid w:val="00C3317A"/>
    <w:rsid w:val="00C331B9"/>
    <w:rsid w:val="00C331DF"/>
    <w:rsid w:val="00C3333E"/>
    <w:rsid w:val="00C33340"/>
    <w:rsid w:val="00C33362"/>
    <w:rsid w:val="00C33410"/>
    <w:rsid w:val="00C3350F"/>
    <w:rsid w:val="00C33582"/>
    <w:rsid w:val="00C33599"/>
    <w:rsid w:val="00C335C1"/>
    <w:rsid w:val="00C3370F"/>
    <w:rsid w:val="00C337A0"/>
    <w:rsid w:val="00C33889"/>
    <w:rsid w:val="00C338D4"/>
    <w:rsid w:val="00C33930"/>
    <w:rsid w:val="00C339E1"/>
    <w:rsid w:val="00C33A1A"/>
    <w:rsid w:val="00C33A7E"/>
    <w:rsid w:val="00C33BB9"/>
    <w:rsid w:val="00C33C04"/>
    <w:rsid w:val="00C33C4D"/>
    <w:rsid w:val="00C33CAB"/>
    <w:rsid w:val="00C33CB5"/>
    <w:rsid w:val="00C33D7F"/>
    <w:rsid w:val="00C33DA1"/>
    <w:rsid w:val="00C33DAE"/>
    <w:rsid w:val="00C33DEE"/>
    <w:rsid w:val="00C33E41"/>
    <w:rsid w:val="00C33E4C"/>
    <w:rsid w:val="00C33E67"/>
    <w:rsid w:val="00C33EF6"/>
    <w:rsid w:val="00C33FE2"/>
    <w:rsid w:val="00C34036"/>
    <w:rsid w:val="00C340A9"/>
    <w:rsid w:val="00C340F7"/>
    <w:rsid w:val="00C3410B"/>
    <w:rsid w:val="00C342A3"/>
    <w:rsid w:val="00C343C4"/>
    <w:rsid w:val="00C343D7"/>
    <w:rsid w:val="00C34444"/>
    <w:rsid w:val="00C3449A"/>
    <w:rsid w:val="00C344F2"/>
    <w:rsid w:val="00C346C3"/>
    <w:rsid w:val="00C3475F"/>
    <w:rsid w:val="00C34784"/>
    <w:rsid w:val="00C3480D"/>
    <w:rsid w:val="00C34859"/>
    <w:rsid w:val="00C3485E"/>
    <w:rsid w:val="00C34905"/>
    <w:rsid w:val="00C34945"/>
    <w:rsid w:val="00C349F4"/>
    <w:rsid w:val="00C34A19"/>
    <w:rsid w:val="00C34AD4"/>
    <w:rsid w:val="00C34AF4"/>
    <w:rsid w:val="00C34B4E"/>
    <w:rsid w:val="00C34B93"/>
    <w:rsid w:val="00C34BCD"/>
    <w:rsid w:val="00C34C4C"/>
    <w:rsid w:val="00C34C8B"/>
    <w:rsid w:val="00C34DEB"/>
    <w:rsid w:val="00C34E2F"/>
    <w:rsid w:val="00C34EA2"/>
    <w:rsid w:val="00C350B7"/>
    <w:rsid w:val="00C350C0"/>
    <w:rsid w:val="00C350E8"/>
    <w:rsid w:val="00C35135"/>
    <w:rsid w:val="00C351E5"/>
    <w:rsid w:val="00C35213"/>
    <w:rsid w:val="00C35224"/>
    <w:rsid w:val="00C352C6"/>
    <w:rsid w:val="00C3545D"/>
    <w:rsid w:val="00C354DB"/>
    <w:rsid w:val="00C3557B"/>
    <w:rsid w:val="00C3566C"/>
    <w:rsid w:val="00C356AC"/>
    <w:rsid w:val="00C356D7"/>
    <w:rsid w:val="00C356F2"/>
    <w:rsid w:val="00C35734"/>
    <w:rsid w:val="00C3585C"/>
    <w:rsid w:val="00C359E0"/>
    <w:rsid w:val="00C35A07"/>
    <w:rsid w:val="00C35A81"/>
    <w:rsid w:val="00C35B5C"/>
    <w:rsid w:val="00C35C19"/>
    <w:rsid w:val="00C35D46"/>
    <w:rsid w:val="00C35D6A"/>
    <w:rsid w:val="00C35DFF"/>
    <w:rsid w:val="00C35E16"/>
    <w:rsid w:val="00C35EB4"/>
    <w:rsid w:val="00C35ECD"/>
    <w:rsid w:val="00C35F11"/>
    <w:rsid w:val="00C35F4C"/>
    <w:rsid w:val="00C35FB5"/>
    <w:rsid w:val="00C35FEA"/>
    <w:rsid w:val="00C35FFB"/>
    <w:rsid w:val="00C36154"/>
    <w:rsid w:val="00C3619F"/>
    <w:rsid w:val="00C3621E"/>
    <w:rsid w:val="00C36228"/>
    <w:rsid w:val="00C36444"/>
    <w:rsid w:val="00C36466"/>
    <w:rsid w:val="00C36481"/>
    <w:rsid w:val="00C36604"/>
    <w:rsid w:val="00C3684A"/>
    <w:rsid w:val="00C368CB"/>
    <w:rsid w:val="00C368EC"/>
    <w:rsid w:val="00C368F8"/>
    <w:rsid w:val="00C36905"/>
    <w:rsid w:val="00C369F4"/>
    <w:rsid w:val="00C36A89"/>
    <w:rsid w:val="00C36B71"/>
    <w:rsid w:val="00C36C03"/>
    <w:rsid w:val="00C36C12"/>
    <w:rsid w:val="00C36C9D"/>
    <w:rsid w:val="00C36D11"/>
    <w:rsid w:val="00C36E2A"/>
    <w:rsid w:val="00C36E53"/>
    <w:rsid w:val="00C36E82"/>
    <w:rsid w:val="00C36EE1"/>
    <w:rsid w:val="00C36F45"/>
    <w:rsid w:val="00C36FEB"/>
    <w:rsid w:val="00C37140"/>
    <w:rsid w:val="00C3714D"/>
    <w:rsid w:val="00C371D2"/>
    <w:rsid w:val="00C37208"/>
    <w:rsid w:val="00C372B5"/>
    <w:rsid w:val="00C37324"/>
    <w:rsid w:val="00C37389"/>
    <w:rsid w:val="00C373EB"/>
    <w:rsid w:val="00C3742D"/>
    <w:rsid w:val="00C3745D"/>
    <w:rsid w:val="00C37489"/>
    <w:rsid w:val="00C37491"/>
    <w:rsid w:val="00C374ED"/>
    <w:rsid w:val="00C3752F"/>
    <w:rsid w:val="00C375A6"/>
    <w:rsid w:val="00C3772A"/>
    <w:rsid w:val="00C3786D"/>
    <w:rsid w:val="00C3788E"/>
    <w:rsid w:val="00C379B8"/>
    <w:rsid w:val="00C37A9B"/>
    <w:rsid w:val="00C37BCD"/>
    <w:rsid w:val="00C37C54"/>
    <w:rsid w:val="00C37C61"/>
    <w:rsid w:val="00C37C6A"/>
    <w:rsid w:val="00C37CB7"/>
    <w:rsid w:val="00C37CED"/>
    <w:rsid w:val="00C37DE3"/>
    <w:rsid w:val="00C4006C"/>
    <w:rsid w:val="00C400EC"/>
    <w:rsid w:val="00C4011D"/>
    <w:rsid w:val="00C4017D"/>
    <w:rsid w:val="00C4021A"/>
    <w:rsid w:val="00C402E0"/>
    <w:rsid w:val="00C4031D"/>
    <w:rsid w:val="00C403B6"/>
    <w:rsid w:val="00C40418"/>
    <w:rsid w:val="00C40442"/>
    <w:rsid w:val="00C40647"/>
    <w:rsid w:val="00C40705"/>
    <w:rsid w:val="00C40764"/>
    <w:rsid w:val="00C407C9"/>
    <w:rsid w:val="00C40802"/>
    <w:rsid w:val="00C4089D"/>
    <w:rsid w:val="00C40920"/>
    <w:rsid w:val="00C409A4"/>
    <w:rsid w:val="00C409BF"/>
    <w:rsid w:val="00C409CC"/>
    <w:rsid w:val="00C40A0E"/>
    <w:rsid w:val="00C40A99"/>
    <w:rsid w:val="00C40AF7"/>
    <w:rsid w:val="00C40B4B"/>
    <w:rsid w:val="00C40B68"/>
    <w:rsid w:val="00C40BC8"/>
    <w:rsid w:val="00C40BFD"/>
    <w:rsid w:val="00C40C5C"/>
    <w:rsid w:val="00C40CD5"/>
    <w:rsid w:val="00C40D0E"/>
    <w:rsid w:val="00C40DAC"/>
    <w:rsid w:val="00C40E67"/>
    <w:rsid w:val="00C4102A"/>
    <w:rsid w:val="00C4102B"/>
    <w:rsid w:val="00C4109E"/>
    <w:rsid w:val="00C41125"/>
    <w:rsid w:val="00C41174"/>
    <w:rsid w:val="00C4117A"/>
    <w:rsid w:val="00C41199"/>
    <w:rsid w:val="00C4125A"/>
    <w:rsid w:val="00C4126E"/>
    <w:rsid w:val="00C412E8"/>
    <w:rsid w:val="00C41378"/>
    <w:rsid w:val="00C413FD"/>
    <w:rsid w:val="00C4140D"/>
    <w:rsid w:val="00C4159A"/>
    <w:rsid w:val="00C4166C"/>
    <w:rsid w:val="00C416E1"/>
    <w:rsid w:val="00C416E5"/>
    <w:rsid w:val="00C4173B"/>
    <w:rsid w:val="00C4181B"/>
    <w:rsid w:val="00C41836"/>
    <w:rsid w:val="00C419CE"/>
    <w:rsid w:val="00C41A39"/>
    <w:rsid w:val="00C41A53"/>
    <w:rsid w:val="00C41AA8"/>
    <w:rsid w:val="00C41AFE"/>
    <w:rsid w:val="00C41C83"/>
    <w:rsid w:val="00C41DC0"/>
    <w:rsid w:val="00C41DD9"/>
    <w:rsid w:val="00C41DE3"/>
    <w:rsid w:val="00C41DF4"/>
    <w:rsid w:val="00C41E30"/>
    <w:rsid w:val="00C41FA2"/>
    <w:rsid w:val="00C4201E"/>
    <w:rsid w:val="00C42034"/>
    <w:rsid w:val="00C420C1"/>
    <w:rsid w:val="00C42156"/>
    <w:rsid w:val="00C42168"/>
    <w:rsid w:val="00C42204"/>
    <w:rsid w:val="00C4223D"/>
    <w:rsid w:val="00C42286"/>
    <w:rsid w:val="00C422A3"/>
    <w:rsid w:val="00C42366"/>
    <w:rsid w:val="00C4243D"/>
    <w:rsid w:val="00C42522"/>
    <w:rsid w:val="00C42630"/>
    <w:rsid w:val="00C42754"/>
    <w:rsid w:val="00C427D9"/>
    <w:rsid w:val="00C42843"/>
    <w:rsid w:val="00C4287C"/>
    <w:rsid w:val="00C42939"/>
    <w:rsid w:val="00C4297E"/>
    <w:rsid w:val="00C429B8"/>
    <w:rsid w:val="00C429CD"/>
    <w:rsid w:val="00C42A71"/>
    <w:rsid w:val="00C42AAB"/>
    <w:rsid w:val="00C42B2E"/>
    <w:rsid w:val="00C42B65"/>
    <w:rsid w:val="00C42B6E"/>
    <w:rsid w:val="00C42B82"/>
    <w:rsid w:val="00C42C6F"/>
    <w:rsid w:val="00C42CF1"/>
    <w:rsid w:val="00C42D39"/>
    <w:rsid w:val="00C42D48"/>
    <w:rsid w:val="00C42E1B"/>
    <w:rsid w:val="00C42E2B"/>
    <w:rsid w:val="00C42E4A"/>
    <w:rsid w:val="00C42F9B"/>
    <w:rsid w:val="00C42FE1"/>
    <w:rsid w:val="00C43422"/>
    <w:rsid w:val="00C434A8"/>
    <w:rsid w:val="00C434F9"/>
    <w:rsid w:val="00C43558"/>
    <w:rsid w:val="00C436B8"/>
    <w:rsid w:val="00C436DC"/>
    <w:rsid w:val="00C436FB"/>
    <w:rsid w:val="00C4370E"/>
    <w:rsid w:val="00C4373B"/>
    <w:rsid w:val="00C4377E"/>
    <w:rsid w:val="00C437C2"/>
    <w:rsid w:val="00C43808"/>
    <w:rsid w:val="00C4380D"/>
    <w:rsid w:val="00C4387E"/>
    <w:rsid w:val="00C43A3D"/>
    <w:rsid w:val="00C43A45"/>
    <w:rsid w:val="00C43B53"/>
    <w:rsid w:val="00C43CCD"/>
    <w:rsid w:val="00C43CCE"/>
    <w:rsid w:val="00C43D91"/>
    <w:rsid w:val="00C43D94"/>
    <w:rsid w:val="00C43FFF"/>
    <w:rsid w:val="00C4406A"/>
    <w:rsid w:val="00C44086"/>
    <w:rsid w:val="00C4409C"/>
    <w:rsid w:val="00C440C5"/>
    <w:rsid w:val="00C440FD"/>
    <w:rsid w:val="00C44172"/>
    <w:rsid w:val="00C44176"/>
    <w:rsid w:val="00C44202"/>
    <w:rsid w:val="00C44227"/>
    <w:rsid w:val="00C44253"/>
    <w:rsid w:val="00C44302"/>
    <w:rsid w:val="00C4430F"/>
    <w:rsid w:val="00C44313"/>
    <w:rsid w:val="00C443EC"/>
    <w:rsid w:val="00C4444D"/>
    <w:rsid w:val="00C444FD"/>
    <w:rsid w:val="00C44531"/>
    <w:rsid w:val="00C44549"/>
    <w:rsid w:val="00C4459A"/>
    <w:rsid w:val="00C448AC"/>
    <w:rsid w:val="00C44A67"/>
    <w:rsid w:val="00C44A69"/>
    <w:rsid w:val="00C44A87"/>
    <w:rsid w:val="00C44B25"/>
    <w:rsid w:val="00C44B36"/>
    <w:rsid w:val="00C44C07"/>
    <w:rsid w:val="00C44D5F"/>
    <w:rsid w:val="00C44E26"/>
    <w:rsid w:val="00C44E5F"/>
    <w:rsid w:val="00C44E65"/>
    <w:rsid w:val="00C44EC1"/>
    <w:rsid w:val="00C44F33"/>
    <w:rsid w:val="00C44F57"/>
    <w:rsid w:val="00C44F66"/>
    <w:rsid w:val="00C45010"/>
    <w:rsid w:val="00C45067"/>
    <w:rsid w:val="00C450E5"/>
    <w:rsid w:val="00C45102"/>
    <w:rsid w:val="00C45147"/>
    <w:rsid w:val="00C451B1"/>
    <w:rsid w:val="00C4528E"/>
    <w:rsid w:val="00C452B1"/>
    <w:rsid w:val="00C4533F"/>
    <w:rsid w:val="00C45386"/>
    <w:rsid w:val="00C45409"/>
    <w:rsid w:val="00C4540F"/>
    <w:rsid w:val="00C454A7"/>
    <w:rsid w:val="00C454BC"/>
    <w:rsid w:val="00C4553F"/>
    <w:rsid w:val="00C45581"/>
    <w:rsid w:val="00C455C1"/>
    <w:rsid w:val="00C455E8"/>
    <w:rsid w:val="00C45629"/>
    <w:rsid w:val="00C4563E"/>
    <w:rsid w:val="00C456C9"/>
    <w:rsid w:val="00C456F7"/>
    <w:rsid w:val="00C4570E"/>
    <w:rsid w:val="00C45712"/>
    <w:rsid w:val="00C45780"/>
    <w:rsid w:val="00C457F0"/>
    <w:rsid w:val="00C45898"/>
    <w:rsid w:val="00C45946"/>
    <w:rsid w:val="00C45A12"/>
    <w:rsid w:val="00C45A80"/>
    <w:rsid w:val="00C45AFC"/>
    <w:rsid w:val="00C45B27"/>
    <w:rsid w:val="00C45B91"/>
    <w:rsid w:val="00C45BC6"/>
    <w:rsid w:val="00C45C11"/>
    <w:rsid w:val="00C45C79"/>
    <w:rsid w:val="00C45CE6"/>
    <w:rsid w:val="00C45D22"/>
    <w:rsid w:val="00C45D2E"/>
    <w:rsid w:val="00C45EDB"/>
    <w:rsid w:val="00C45F23"/>
    <w:rsid w:val="00C45F5F"/>
    <w:rsid w:val="00C46037"/>
    <w:rsid w:val="00C4607D"/>
    <w:rsid w:val="00C46167"/>
    <w:rsid w:val="00C4619E"/>
    <w:rsid w:val="00C461B5"/>
    <w:rsid w:val="00C461F1"/>
    <w:rsid w:val="00C4622D"/>
    <w:rsid w:val="00C462AA"/>
    <w:rsid w:val="00C4633A"/>
    <w:rsid w:val="00C4637C"/>
    <w:rsid w:val="00C4639B"/>
    <w:rsid w:val="00C463AE"/>
    <w:rsid w:val="00C463B1"/>
    <w:rsid w:val="00C463FE"/>
    <w:rsid w:val="00C46413"/>
    <w:rsid w:val="00C465BD"/>
    <w:rsid w:val="00C46604"/>
    <w:rsid w:val="00C46687"/>
    <w:rsid w:val="00C46756"/>
    <w:rsid w:val="00C4677D"/>
    <w:rsid w:val="00C46787"/>
    <w:rsid w:val="00C46981"/>
    <w:rsid w:val="00C469DA"/>
    <w:rsid w:val="00C469F0"/>
    <w:rsid w:val="00C46A26"/>
    <w:rsid w:val="00C46A34"/>
    <w:rsid w:val="00C46A88"/>
    <w:rsid w:val="00C46ACE"/>
    <w:rsid w:val="00C46AD9"/>
    <w:rsid w:val="00C46C61"/>
    <w:rsid w:val="00C46D70"/>
    <w:rsid w:val="00C46D91"/>
    <w:rsid w:val="00C46DB3"/>
    <w:rsid w:val="00C46E1F"/>
    <w:rsid w:val="00C46EC3"/>
    <w:rsid w:val="00C46EC9"/>
    <w:rsid w:val="00C46F40"/>
    <w:rsid w:val="00C46F65"/>
    <w:rsid w:val="00C46FEB"/>
    <w:rsid w:val="00C470DE"/>
    <w:rsid w:val="00C471C1"/>
    <w:rsid w:val="00C471C8"/>
    <w:rsid w:val="00C471F6"/>
    <w:rsid w:val="00C4722B"/>
    <w:rsid w:val="00C47263"/>
    <w:rsid w:val="00C472C3"/>
    <w:rsid w:val="00C472E6"/>
    <w:rsid w:val="00C472E9"/>
    <w:rsid w:val="00C472EC"/>
    <w:rsid w:val="00C47322"/>
    <w:rsid w:val="00C47395"/>
    <w:rsid w:val="00C473A5"/>
    <w:rsid w:val="00C474C4"/>
    <w:rsid w:val="00C474CA"/>
    <w:rsid w:val="00C476C3"/>
    <w:rsid w:val="00C476D5"/>
    <w:rsid w:val="00C47838"/>
    <w:rsid w:val="00C47907"/>
    <w:rsid w:val="00C479EB"/>
    <w:rsid w:val="00C47A1D"/>
    <w:rsid w:val="00C47A3C"/>
    <w:rsid w:val="00C47A4C"/>
    <w:rsid w:val="00C47B19"/>
    <w:rsid w:val="00C47BF8"/>
    <w:rsid w:val="00C47C1B"/>
    <w:rsid w:val="00C47CB1"/>
    <w:rsid w:val="00C47D01"/>
    <w:rsid w:val="00C47D20"/>
    <w:rsid w:val="00C47D8F"/>
    <w:rsid w:val="00C47DDC"/>
    <w:rsid w:val="00C47F18"/>
    <w:rsid w:val="00C47F53"/>
    <w:rsid w:val="00C47F66"/>
    <w:rsid w:val="00C47F94"/>
    <w:rsid w:val="00C47FB3"/>
    <w:rsid w:val="00C47FD7"/>
    <w:rsid w:val="00C47FE8"/>
    <w:rsid w:val="00C5002A"/>
    <w:rsid w:val="00C50043"/>
    <w:rsid w:val="00C5007B"/>
    <w:rsid w:val="00C500BC"/>
    <w:rsid w:val="00C500DD"/>
    <w:rsid w:val="00C50143"/>
    <w:rsid w:val="00C501C4"/>
    <w:rsid w:val="00C501DC"/>
    <w:rsid w:val="00C5021B"/>
    <w:rsid w:val="00C503EB"/>
    <w:rsid w:val="00C50494"/>
    <w:rsid w:val="00C5058D"/>
    <w:rsid w:val="00C5062B"/>
    <w:rsid w:val="00C506DA"/>
    <w:rsid w:val="00C5070D"/>
    <w:rsid w:val="00C5073F"/>
    <w:rsid w:val="00C50787"/>
    <w:rsid w:val="00C50805"/>
    <w:rsid w:val="00C5080C"/>
    <w:rsid w:val="00C50866"/>
    <w:rsid w:val="00C5087D"/>
    <w:rsid w:val="00C508AD"/>
    <w:rsid w:val="00C5090E"/>
    <w:rsid w:val="00C50A31"/>
    <w:rsid w:val="00C50ABF"/>
    <w:rsid w:val="00C50B37"/>
    <w:rsid w:val="00C50B8D"/>
    <w:rsid w:val="00C50CC4"/>
    <w:rsid w:val="00C50CE5"/>
    <w:rsid w:val="00C50CEE"/>
    <w:rsid w:val="00C50E30"/>
    <w:rsid w:val="00C50E88"/>
    <w:rsid w:val="00C50F67"/>
    <w:rsid w:val="00C50FCC"/>
    <w:rsid w:val="00C5104B"/>
    <w:rsid w:val="00C51194"/>
    <w:rsid w:val="00C511B1"/>
    <w:rsid w:val="00C51334"/>
    <w:rsid w:val="00C5133E"/>
    <w:rsid w:val="00C513A8"/>
    <w:rsid w:val="00C51449"/>
    <w:rsid w:val="00C5151C"/>
    <w:rsid w:val="00C51554"/>
    <w:rsid w:val="00C515A9"/>
    <w:rsid w:val="00C51635"/>
    <w:rsid w:val="00C5167C"/>
    <w:rsid w:val="00C516AE"/>
    <w:rsid w:val="00C516BA"/>
    <w:rsid w:val="00C5193F"/>
    <w:rsid w:val="00C5195E"/>
    <w:rsid w:val="00C5196B"/>
    <w:rsid w:val="00C51976"/>
    <w:rsid w:val="00C51A1B"/>
    <w:rsid w:val="00C51ACA"/>
    <w:rsid w:val="00C51B1C"/>
    <w:rsid w:val="00C51B92"/>
    <w:rsid w:val="00C51BE6"/>
    <w:rsid w:val="00C51C2A"/>
    <w:rsid w:val="00C51C84"/>
    <w:rsid w:val="00C51D33"/>
    <w:rsid w:val="00C51D6A"/>
    <w:rsid w:val="00C51E3B"/>
    <w:rsid w:val="00C51EAC"/>
    <w:rsid w:val="00C51EED"/>
    <w:rsid w:val="00C51F08"/>
    <w:rsid w:val="00C51F49"/>
    <w:rsid w:val="00C51FFB"/>
    <w:rsid w:val="00C520D7"/>
    <w:rsid w:val="00C521EC"/>
    <w:rsid w:val="00C52259"/>
    <w:rsid w:val="00C5225F"/>
    <w:rsid w:val="00C52264"/>
    <w:rsid w:val="00C522F2"/>
    <w:rsid w:val="00C52314"/>
    <w:rsid w:val="00C5233D"/>
    <w:rsid w:val="00C5259F"/>
    <w:rsid w:val="00C525DB"/>
    <w:rsid w:val="00C525FD"/>
    <w:rsid w:val="00C52742"/>
    <w:rsid w:val="00C52779"/>
    <w:rsid w:val="00C5279E"/>
    <w:rsid w:val="00C5281B"/>
    <w:rsid w:val="00C52842"/>
    <w:rsid w:val="00C52958"/>
    <w:rsid w:val="00C52A0A"/>
    <w:rsid w:val="00C52A79"/>
    <w:rsid w:val="00C52C74"/>
    <w:rsid w:val="00C52CF0"/>
    <w:rsid w:val="00C52D17"/>
    <w:rsid w:val="00C52D3C"/>
    <w:rsid w:val="00C52E00"/>
    <w:rsid w:val="00C52E4F"/>
    <w:rsid w:val="00C52EE0"/>
    <w:rsid w:val="00C52F37"/>
    <w:rsid w:val="00C52F87"/>
    <w:rsid w:val="00C52FAE"/>
    <w:rsid w:val="00C53022"/>
    <w:rsid w:val="00C5304F"/>
    <w:rsid w:val="00C5306E"/>
    <w:rsid w:val="00C530B1"/>
    <w:rsid w:val="00C53103"/>
    <w:rsid w:val="00C5319B"/>
    <w:rsid w:val="00C53214"/>
    <w:rsid w:val="00C532C4"/>
    <w:rsid w:val="00C532E1"/>
    <w:rsid w:val="00C5339D"/>
    <w:rsid w:val="00C53512"/>
    <w:rsid w:val="00C53578"/>
    <w:rsid w:val="00C53674"/>
    <w:rsid w:val="00C5368F"/>
    <w:rsid w:val="00C536E9"/>
    <w:rsid w:val="00C5388C"/>
    <w:rsid w:val="00C538D1"/>
    <w:rsid w:val="00C5395F"/>
    <w:rsid w:val="00C53967"/>
    <w:rsid w:val="00C53984"/>
    <w:rsid w:val="00C5398C"/>
    <w:rsid w:val="00C539AF"/>
    <w:rsid w:val="00C53A4D"/>
    <w:rsid w:val="00C53B02"/>
    <w:rsid w:val="00C53B62"/>
    <w:rsid w:val="00C53D2E"/>
    <w:rsid w:val="00C53D5B"/>
    <w:rsid w:val="00C53DCE"/>
    <w:rsid w:val="00C53E06"/>
    <w:rsid w:val="00C53E26"/>
    <w:rsid w:val="00C53EBF"/>
    <w:rsid w:val="00C53EC5"/>
    <w:rsid w:val="00C53EDD"/>
    <w:rsid w:val="00C53F4C"/>
    <w:rsid w:val="00C540A4"/>
    <w:rsid w:val="00C540B3"/>
    <w:rsid w:val="00C540BD"/>
    <w:rsid w:val="00C541E4"/>
    <w:rsid w:val="00C54293"/>
    <w:rsid w:val="00C542E5"/>
    <w:rsid w:val="00C543FD"/>
    <w:rsid w:val="00C5440C"/>
    <w:rsid w:val="00C54415"/>
    <w:rsid w:val="00C5449F"/>
    <w:rsid w:val="00C545FC"/>
    <w:rsid w:val="00C5467F"/>
    <w:rsid w:val="00C54696"/>
    <w:rsid w:val="00C546A1"/>
    <w:rsid w:val="00C547B3"/>
    <w:rsid w:val="00C547FE"/>
    <w:rsid w:val="00C5480F"/>
    <w:rsid w:val="00C548F2"/>
    <w:rsid w:val="00C54966"/>
    <w:rsid w:val="00C5498D"/>
    <w:rsid w:val="00C54A1D"/>
    <w:rsid w:val="00C54B43"/>
    <w:rsid w:val="00C54DFE"/>
    <w:rsid w:val="00C54E03"/>
    <w:rsid w:val="00C54F26"/>
    <w:rsid w:val="00C54F37"/>
    <w:rsid w:val="00C54F5B"/>
    <w:rsid w:val="00C54F89"/>
    <w:rsid w:val="00C54FA7"/>
    <w:rsid w:val="00C54FED"/>
    <w:rsid w:val="00C5502B"/>
    <w:rsid w:val="00C55068"/>
    <w:rsid w:val="00C550FE"/>
    <w:rsid w:val="00C551EF"/>
    <w:rsid w:val="00C5521F"/>
    <w:rsid w:val="00C552C8"/>
    <w:rsid w:val="00C5542D"/>
    <w:rsid w:val="00C55625"/>
    <w:rsid w:val="00C5570C"/>
    <w:rsid w:val="00C5573D"/>
    <w:rsid w:val="00C5580A"/>
    <w:rsid w:val="00C558E6"/>
    <w:rsid w:val="00C559BD"/>
    <w:rsid w:val="00C55A40"/>
    <w:rsid w:val="00C55A8E"/>
    <w:rsid w:val="00C55B13"/>
    <w:rsid w:val="00C55B15"/>
    <w:rsid w:val="00C55B33"/>
    <w:rsid w:val="00C55C4B"/>
    <w:rsid w:val="00C55C69"/>
    <w:rsid w:val="00C55CCA"/>
    <w:rsid w:val="00C55CCD"/>
    <w:rsid w:val="00C55D61"/>
    <w:rsid w:val="00C55E63"/>
    <w:rsid w:val="00C55EFC"/>
    <w:rsid w:val="00C55F4C"/>
    <w:rsid w:val="00C55F8F"/>
    <w:rsid w:val="00C55FA4"/>
    <w:rsid w:val="00C55FEC"/>
    <w:rsid w:val="00C5606E"/>
    <w:rsid w:val="00C56095"/>
    <w:rsid w:val="00C56213"/>
    <w:rsid w:val="00C5627C"/>
    <w:rsid w:val="00C562A3"/>
    <w:rsid w:val="00C562C8"/>
    <w:rsid w:val="00C5630A"/>
    <w:rsid w:val="00C56379"/>
    <w:rsid w:val="00C5647C"/>
    <w:rsid w:val="00C5656C"/>
    <w:rsid w:val="00C565B4"/>
    <w:rsid w:val="00C566A1"/>
    <w:rsid w:val="00C56707"/>
    <w:rsid w:val="00C5679A"/>
    <w:rsid w:val="00C567B4"/>
    <w:rsid w:val="00C567DC"/>
    <w:rsid w:val="00C568CA"/>
    <w:rsid w:val="00C568E1"/>
    <w:rsid w:val="00C568F4"/>
    <w:rsid w:val="00C568FE"/>
    <w:rsid w:val="00C56A4A"/>
    <w:rsid w:val="00C56AE9"/>
    <w:rsid w:val="00C56BA1"/>
    <w:rsid w:val="00C56D42"/>
    <w:rsid w:val="00C56D72"/>
    <w:rsid w:val="00C56DB5"/>
    <w:rsid w:val="00C56DED"/>
    <w:rsid w:val="00C56E55"/>
    <w:rsid w:val="00C56EC0"/>
    <w:rsid w:val="00C56ED0"/>
    <w:rsid w:val="00C56EE3"/>
    <w:rsid w:val="00C56F06"/>
    <w:rsid w:val="00C56F73"/>
    <w:rsid w:val="00C56FA4"/>
    <w:rsid w:val="00C56FC4"/>
    <w:rsid w:val="00C5700F"/>
    <w:rsid w:val="00C57073"/>
    <w:rsid w:val="00C5713A"/>
    <w:rsid w:val="00C572C0"/>
    <w:rsid w:val="00C57332"/>
    <w:rsid w:val="00C57539"/>
    <w:rsid w:val="00C5754E"/>
    <w:rsid w:val="00C575B5"/>
    <w:rsid w:val="00C575C7"/>
    <w:rsid w:val="00C57644"/>
    <w:rsid w:val="00C5766A"/>
    <w:rsid w:val="00C576EA"/>
    <w:rsid w:val="00C576F7"/>
    <w:rsid w:val="00C5770A"/>
    <w:rsid w:val="00C577BE"/>
    <w:rsid w:val="00C578B0"/>
    <w:rsid w:val="00C5798F"/>
    <w:rsid w:val="00C57993"/>
    <w:rsid w:val="00C579CF"/>
    <w:rsid w:val="00C57A17"/>
    <w:rsid w:val="00C57AD8"/>
    <w:rsid w:val="00C57C1A"/>
    <w:rsid w:val="00C57C3A"/>
    <w:rsid w:val="00C57C9D"/>
    <w:rsid w:val="00C57CB8"/>
    <w:rsid w:val="00C57D0F"/>
    <w:rsid w:val="00C57E02"/>
    <w:rsid w:val="00C57EC1"/>
    <w:rsid w:val="00C57EFF"/>
    <w:rsid w:val="00C57F1A"/>
    <w:rsid w:val="00C60061"/>
    <w:rsid w:val="00C600EF"/>
    <w:rsid w:val="00C60114"/>
    <w:rsid w:val="00C6013E"/>
    <w:rsid w:val="00C60231"/>
    <w:rsid w:val="00C603DE"/>
    <w:rsid w:val="00C60489"/>
    <w:rsid w:val="00C60558"/>
    <w:rsid w:val="00C6057E"/>
    <w:rsid w:val="00C60597"/>
    <w:rsid w:val="00C605A0"/>
    <w:rsid w:val="00C605B5"/>
    <w:rsid w:val="00C60604"/>
    <w:rsid w:val="00C60637"/>
    <w:rsid w:val="00C60645"/>
    <w:rsid w:val="00C60652"/>
    <w:rsid w:val="00C6066E"/>
    <w:rsid w:val="00C60694"/>
    <w:rsid w:val="00C60721"/>
    <w:rsid w:val="00C60751"/>
    <w:rsid w:val="00C6097E"/>
    <w:rsid w:val="00C60A04"/>
    <w:rsid w:val="00C60A26"/>
    <w:rsid w:val="00C60A29"/>
    <w:rsid w:val="00C60B9D"/>
    <w:rsid w:val="00C60BDD"/>
    <w:rsid w:val="00C60C0E"/>
    <w:rsid w:val="00C60CB2"/>
    <w:rsid w:val="00C60CEF"/>
    <w:rsid w:val="00C60E14"/>
    <w:rsid w:val="00C60EA5"/>
    <w:rsid w:val="00C60FE5"/>
    <w:rsid w:val="00C61001"/>
    <w:rsid w:val="00C61022"/>
    <w:rsid w:val="00C6104F"/>
    <w:rsid w:val="00C61060"/>
    <w:rsid w:val="00C610A9"/>
    <w:rsid w:val="00C6113F"/>
    <w:rsid w:val="00C612DF"/>
    <w:rsid w:val="00C612F3"/>
    <w:rsid w:val="00C61314"/>
    <w:rsid w:val="00C6132E"/>
    <w:rsid w:val="00C6133A"/>
    <w:rsid w:val="00C613FE"/>
    <w:rsid w:val="00C6144F"/>
    <w:rsid w:val="00C614C4"/>
    <w:rsid w:val="00C6150A"/>
    <w:rsid w:val="00C615DA"/>
    <w:rsid w:val="00C615DE"/>
    <w:rsid w:val="00C61609"/>
    <w:rsid w:val="00C61730"/>
    <w:rsid w:val="00C619EB"/>
    <w:rsid w:val="00C61B19"/>
    <w:rsid w:val="00C61B34"/>
    <w:rsid w:val="00C61B5F"/>
    <w:rsid w:val="00C61BC2"/>
    <w:rsid w:val="00C61BD4"/>
    <w:rsid w:val="00C61C72"/>
    <w:rsid w:val="00C61CA4"/>
    <w:rsid w:val="00C61E34"/>
    <w:rsid w:val="00C61E36"/>
    <w:rsid w:val="00C61F9D"/>
    <w:rsid w:val="00C62031"/>
    <w:rsid w:val="00C62118"/>
    <w:rsid w:val="00C62315"/>
    <w:rsid w:val="00C623A3"/>
    <w:rsid w:val="00C62476"/>
    <w:rsid w:val="00C62562"/>
    <w:rsid w:val="00C62596"/>
    <w:rsid w:val="00C6263D"/>
    <w:rsid w:val="00C6283D"/>
    <w:rsid w:val="00C6288E"/>
    <w:rsid w:val="00C628C3"/>
    <w:rsid w:val="00C62904"/>
    <w:rsid w:val="00C62905"/>
    <w:rsid w:val="00C62911"/>
    <w:rsid w:val="00C6293B"/>
    <w:rsid w:val="00C62977"/>
    <w:rsid w:val="00C62A37"/>
    <w:rsid w:val="00C62ABB"/>
    <w:rsid w:val="00C62AD4"/>
    <w:rsid w:val="00C62AD5"/>
    <w:rsid w:val="00C62B44"/>
    <w:rsid w:val="00C62CDF"/>
    <w:rsid w:val="00C62E2A"/>
    <w:rsid w:val="00C62ED7"/>
    <w:rsid w:val="00C62EDB"/>
    <w:rsid w:val="00C62EF3"/>
    <w:rsid w:val="00C62EF6"/>
    <w:rsid w:val="00C62EF8"/>
    <w:rsid w:val="00C62F72"/>
    <w:rsid w:val="00C630A5"/>
    <w:rsid w:val="00C63251"/>
    <w:rsid w:val="00C63276"/>
    <w:rsid w:val="00C632BC"/>
    <w:rsid w:val="00C63305"/>
    <w:rsid w:val="00C633C3"/>
    <w:rsid w:val="00C6340A"/>
    <w:rsid w:val="00C63444"/>
    <w:rsid w:val="00C634CC"/>
    <w:rsid w:val="00C635AA"/>
    <w:rsid w:val="00C635D1"/>
    <w:rsid w:val="00C6365E"/>
    <w:rsid w:val="00C638C2"/>
    <w:rsid w:val="00C638F6"/>
    <w:rsid w:val="00C638F8"/>
    <w:rsid w:val="00C63917"/>
    <w:rsid w:val="00C639B8"/>
    <w:rsid w:val="00C639E1"/>
    <w:rsid w:val="00C63A54"/>
    <w:rsid w:val="00C63A5E"/>
    <w:rsid w:val="00C63C99"/>
    <w:rsid w:val="00C63CA2"/>
    <w:rsid w:val="00C63CD1"/>
    <w:rsid w:val="00C63D48"/>
    <w:rsid w:val="00C63D9C"/>
    <w:rsid w:val="00C63E88"/>
    <w:rsid w:val="00C63E8E"/>
    <w:rsid w:val="00C63EA9"/>
    <w:rsid w:val="00C63F45"/>
    <w:rsid w:val="00C6410A"/>
    <w:rsid w:val="00C6412C"/>
    <w:rsid w:val="00C6413C"/>
    <w:rsid w:val="00C641D9"/>
    <w:rsid w:val="00C6438A"/>
    <w:rsid w:val="00C643B2"/>
    <w:rsid w:val="00C643E5"/>
    <w:rsid w:val="00C6440B"/>
    <w:rsid w:val="00C64487"/>
    <w:rsid w:val="00C64492"/>
    <w:rsid w:val="00C64513"/>
    <w:rsid w:val="00C64562"/>
    <w:rsid w:val="00C646A0"/>
    <w:rsid w:val="00C646C2"/>
    <w:rsid w:val="00C646DC"/>
    <w:rsid w:val="00C646E2"/>
    <w:rsid w:val="00C646F1"/>
    <w:rsid w:val="00C64738"/>
    <w:rsid w:val="00C6474C"/>
    <w:rsid w:val="00C648A0"/>
    <w:rsid w:val="00C648DD"/>
    <w:rsid w:val="00C64920"/>
    <w:rsid w:val="00C64950"/>
    <w:rsid w:val="00C649A4"/>
    <w:rsid w:val="00C649BD"/>
    <w:rsid w:val="00C649DE"/>
    <w:rsid w:val="00C64AE5"/>
    <w:rsid w:val="00C64B2B"/>
    <w:rsid w:val="00C64B3C"/>
    <w:rsid w:val="00C64B76"/>
    <w:rsid w:val="00C64B8F"/>
    <w:rsid w:val="00C64BB8"/>
    <w:rsid w:val="00C64BC1"/>
    <w:rsid w:val="00C64C17"/>
    <w:rsid w:val="00C64CBF"/>
    <w:rsid w:val="00C64CC5"/>
    <w:rsid w:val="00C64D1E"/>
    <w:rsid w:val="00C64E07"/>
    <w:rsid w:val="00C64E33"/>
    <w:rsid w:val="00C64E3D"/>
    <w:rsid w:val="00C65131"/>
    <w:rsid w:val="00C6513F"/>
    <w:rsid w:val="00C65191"/>
    <w:rsid w:val="00C65237"/>
    <w:rsid w:val="00C65252"/>
    <w:rsid w:val="00C65298"/>
    <w:rsid w:val="00C652A8"/>
    <w:rsid w:val="00C652B9"/>
    <w:rsid w:val="00C65395"/>
    <w:rsid w:val="00C65431"/>
    <w:rsid w:val="00C6547A"/>
    <w:rsid w:val="00C654DF"/>
    <w:rsid w:val="00C654EA"/>
    <w:rsid w:val="00C655BC"/>
    <w:rsid w:val="00C655F2"/>
    <w:rsid w:val="00C6565D"/>
    <w:rsid w:val="00C65665"/>
    <w:rsid w:val="00C656A5"/>
    <w:rsid w:val="00C65704"/>
    <w:rsid w:val="00C6577A"/>
    <w:rsid w:val="00C65938"/>
    <w:rsid w:val="00C65AD9"/>
    <w:rsid w:val="00C65AE4"/>
    <w:rsid w:val="00C65B00"/>
    <w:rsid w:val="00C65B2C"/>
    <w:rsid w:val="00C65B4C"/>
    <w:rsid w:val="00C65B5D"/>
    <w:rsid w:val="00C65B61"/>
    <w:rsid w:val="00C65B64"/>
    <w:rsid w:val="00C65BE3"/>
    <w:rsid w:val="00C65C61"/>
    <w:rsid w:val="00C65C7A"/>
    <w:rsid w:val="00C65CEB"/>
    <w:rsid w:val="00C65EC5"/>
    <w:rsid w:val="00C65FD2"/>
    <w:rsid w:val="00C65FDE"/>
    <w:rsid w:val="00C660FD"/>
    <w:rsid w:val="00C663BF"/>
    <w:rsid w:val="00C66503"/>
    <w:rsid w:val="00C66507"/>
    <w:rsid w:val="00C6652F"/>
    <w:rsid w:val="00C6654A"/>
    <w:rsid w:val="00C666BD"/>
    <w:rsid w:val="00C66749"/>
    <w:rsid w:val="00C667DD"/>
    <w:rsid w:val="00C6680B"/>
    <w:rsid w:val="00C6681E"/>
    <w:rsid w:val="00C668F6"/>
    <w:rsid w:val="00C6690A"/>
    <w:rsid w:val="00C66A8A"/>
    <w:rsid w:val="00C66B08"/>
    <w:rsid w:val="00C66B15"/>
    <w:rsid w:val="00C66B9F"/>
    <w:rsid w:val="00C66C09"/>
    <w:rsid w:val="00C66C0A"/>
    <w:rsid w:val="00C66C40"/>
    <w:rsid w:val="00C66CD1"/>
    <w:rsid w:val="00C66D14"/>
    <w:rsid w:val="00C66D92"/>
    <w:rsid w:val="00C66E10"/>
    <w:rsid w:val="00C66EF1"/>
    <w:rsid w:val="00C66F61"/>
    <w:rsid w:val="00C66F83"/>
    <w:rsid w:val="00C67012"/>
    <w:rsid w:val="00C6706C"/>
    <w:rsid w:val="00C671BA"/>
    <w:rsid w:val="00C671EB"/>
    <w:rsid w:val="00C672CE"/>
    <w:rsid w:val="00C67329"/>
    <w:rsid w:val="00C6739F"/>
    <w:rsid w:val="00C673D6"/>
    <w:rsid w:val="00C67408"/>
    <w:rsid w:val="00C6741C"/>
    <w:rsid w:val="00C67622"/>
    <w:rsid w:val="00C6763D"/>
    <w:rsid w:val="00C676A5"/>
    <w:rsid w:val="00C676B4"/>
    <w:rsid w:val="00C67740"/>
    <w:rsid w:val="00C67854"/>
    <w:rsid w:val="00C67A55"/>
    <w:rsid w:val="00C67AAD"/>
    <w:rsid w:val="00C67B24"/>
    <w:rsid w:val="00C67BD0"/>
    <w:rsid w:val="00C67CCC"/>
    <w:rsid w:val="00C67D1E"/>
    <w:rsid w:val="00C67D49"/>
    <w:rsid w:val="00C67DBF"/>
    <w:rsid w:val="00C67E03"/>
    <w:rsid w:val="00C67E4A"/>
    <w:rsid w:val="00C67E6C"/>
    <w:rsid w:val="00C67F43"/>
    <w:rsid w:val="00C67FFC"/>
    <w:rsid w:val="00C70152"/>
    <w:rsid w:val="00C701A6"/>
    <w:rsid w:val="00C70208"/>
    <w:rsid w:val="00C7023C"/>
    <w:rsid w:val="00C70295"/>
    <w:rsid w:val="00C70304"/>
    <w:rsid w:val="00C70307"/>
    <w:rsid w:val="00C703DF"/>
    <w:rsid w:val="00C704D7"/>
    <w:rsid w:val="00C7051A"/>
    <w:rsid w:val="00C70530"/>
    <w:rsid w:val="00C7057A"/>
    <w:rsid w:val="00C70657"/>
    <w:rsid w:val="00C7065B"/>
    <w:rsid w:val="00C7066B"/>
    <w:rsid w:val="00C70690"/>
    <w:rsid w:val="00C706A0"/>
    <w:rsid w:val="00C7070E"/>
    <w:rsid w:val="00C70897"/>
    <w:rsid w:val="00C7099D"/>
    <w:rsid w:val="00C70A25"/>
    <w:rsid w:val="00C70A80"/>
    <w:rsid w:val="00C70CDD"/>
    <w:rsid w:val="00C70CE3"/>
    <w:rsid w:val="00C70D51"/>
    <w:rsid w:val="00C70D63"/>
    <w:rsid w:val="00C70DEE"/>
    <w:rsid w:val="00C70E53"/>
    <w:rsid w:val="00C70E8A"/>
    <w:rsid w:val="00C7117A"/>
    <w:rsid w:val="00C71185"/>
    <w:rsid w:val="00C711A7"/>
    <w:rsid w:val="00C711B4"/>
    <w:rsid w:val="00C711B8"/>
    <w:rsid w:val="00C711DF"/>
    <w:rsid w:val="00C71363"/>
    <w:rsid w:val="00C7143B"/>
    <w:rsid w:val="00C71465"/>
    <w:rsid w:val="00C71477"/>
    <w:rsid w:val="00C7147C"/>
    <w:rsid w:val="00C714CA"/>
    <w:rsid w:val="00C71503"/>
    <w:rsid w:val="00C715A0"/>
    <w:rsid w:val="00C717E1"/>
    <w:rsid w:val="00C7184E"/>
    <w:rsid w:val="00C7186D"/>
    <w:rsid w:val="00C718D3"/>
    <w:rsid w:val="00C71935"/>
    <w:rsid w:val="00C71938"/>
    <w:rsid w:val="00C71A4A"/>
    <w:rsid w:val="00C71A70"/>
    <w:rsid w:val="00C71CF6"/>
    <w:rsid w:val="00C71D7B"/>
    <w:rsid w:val="00C71EC2"/>
    <w:rsid w:val="00C71ECF"/>
    <w:rsid w:val="00C71FA0"/>
    <w:rsid w:val="00C71FF1"/>
    <w:rsid w:val="00C72083"/>
    <w:rsid w:val="00C72134"/>
    <w:rsid w:val="00C72192"/>
    <w:rsid w:val="00C721AB"/>
    <w:rsid w:val="00C721C1"/>
    <w:rsid w:val="00C72306"/>
    <w:rsid w:val="00C7249C"/>
    <w:rsid w:val="00C724AA"/>
    <w:rsid w:val="00C72514"/>
    <w:rsid w:val="00C725A4"/>
    <w:rsid w:val="00C7261A"/>
    <w:rsid w:val="00C72625"/>
    <w:rsid w:val="00C726AF"/>
    <w:rsid w:val="00C7277B"/>
    <w:rsid w:val="00C727C7"/>
    <w:rsid w:val="00C72827"/>
    <w:rsid w:val="00C7287A"/>
    <w:rsid w:val="00C728FB"/>
    <w:rsid w:val="00C7292D"/>
    <w:rsid w:val="00C72979"/>
    <w:rsid w:val="00C72A83"/>
    <w:rsid w:val="00C72AAC"/>
    <w:rsid w:val="00C72B76"/>
    <w:rsid w:val="00C72B7F"/>
    <w:rsid w:val="00C72C59"/>
    <w:rsid w:val="00C72C74"/>
    <w:rsid w:val="00C72D08"/>
    <w:rsid w:val="00C72E34"/>
    <w:rsid w:val="00C72E3B"/>
    <w:rsid w:val="00C72F35"/>
    <w:rsid w:val="00C72F4C"/>
    <w:rsid w:val="00C72F65"/>
    <w:rsid w:val="00C72FF7"/>
    <w:rsid w:val="00C73086"/>
    <w:rsid w:val="00C73107"/>
    <w:rsid w:val="00C731F4"/>
    <w:rsid w:val="00C7326D"/>
    <w:rsid w:val="00C7328A"/>
    <w:rsid w:val="00C73323"/>
    <w:rsid w:val="00C7334A"/>
    <w:rsid w:val="00C73375"/>
    <w:rsid w:val="00C73422"/>
    <w:rsid w:val="00C73625"/>
    <w:rsid w:val="00C7366B"/>
    <w:rsid w:val="00C73785"/>
    <w:rsid w:val="00C7382A"/>
    <w:rsid w:val="00C73855"/>
    <w:rsid w:val="00C738C3"/>
    <w:rsid w:val="00C738CB"/>
    <w:rsid w:val="00C73960"/>
    <w:rsid w:val="00C73A88"/>
    <w:rsid w:val="00C73B02"/>
    <w:rsid w:val="00C73B4F"/>
    <w:rsid w:val="00C73B9E"/>
    <w:rsid w:val="00C73BC9"/>
    <w:rsid w:val="00C73CAF"/>
    <w:rsid w:val="00C73CD0"/>
    <w:rsid w:val="00C73D07"/>
    <w:rsid w:val="00C73EBF"/>
    <w:rsid w:val="00C73FC9"/>
    <w:rsid w:val="00C74011"/>
    <w:rsid w:val="00C74064"/>
    <w:rsid w:val="00C740D6"/>
    <w:rsid w:val="00C74100"/>
    <w:rsid w:val="00C74220"/>
    <w:rsid w:val="00C7425E"/>
    <w:rsid w:val="00C7429C"/>
    <w:rsid w:val="00C742A6"/>
    <w:rsid w:val="00C743CC"/>
    <w:rsid w:val="00C743E0"/>
    <w:rsid w:val="00C743E6"/>
    <w:rsid w:val="00C74402"/>
    <w:rsid w:val="00C74528"/>
    <w:rsid w:val="00C74550"/>
    <w:rsid w:val="00C74579"/>
    <w:rsid w:val="00C745CA"/>
    <w:rsid w:val="00C745FF"/>
    <w:rsid w:val="00C74634"/>
    <w:rsid w:val="00C7475F"/>
    <w:rsid w:val="00C74766"/>
    <w:rsid w:val="00C74848"/>
    <w:rsid w:val="00C748A6"/>
    <w:rsid w:val="00C748B1"/>
    <w:rsid w:val="00C748CD"/>
    <w:rsid w:val="00C74937"/>
    <w:rsid w:val="00C74942"/>
    <w:rsid w:val="00C7497B"/>
    <w:rsid w:val="00C749AB"/>
    <w:rsid w:val="00C749B3"/>
    <w:rsid w:val="00C74A76"/>
    <w:rsid w:val="00C74A90"/>
    <w:rsid w:val="00C74B6D"/>
    <w:rsid w:val="00C74BB7"/>
    <w:rsid w:val="00C74BF8"/>
    <w:rsid w:val="00C74D34"/>
    <w:rsid w:val="00C74E41"/>
    <w:rsid w:val="00C74E4A"/>
    <w:rsid w:val="00C74EB4"/>
    <w:rsid w:val="00C74EF6"/>
    <w:rsid w:val="00C74FCB"/>
    <w:rsid w:val="00C74FDA"/>
    <w:rsid w:val="00C75045"/>
    <w:rsid w:val="00C7507C"/>
    <w:rsid w:val="00C7510C"/>
    <w:rsid w:val="00C75127"/>
    <w:rsid w:val="00C75206"/>
    <w:rsid w:val="00C753EF"/>
    <w:rsid w:val="00C75441"/>
    <w:rsid w:val="00C755C2"/>
    <w:rsid w:val="00C755C6"/>
    <w:rsid w:val="00C755E4"/>
    <w:rsid w:val="00C7570B"/>
    <w:rsid w:val="00C75736"/>
    <w:rsid w:val="00C75760"/>
    <w:rsid w:val="00C75792"/>
    <w:rsid w:val="00C75852"/>
    <w:rsid w:val="00C75883"/>
    <w:rsid w:val="00C75884"/>
    <w:rsid w:val="00C7594A"/>
    <w:rsid w:val="00C75A69"/>
    <w:rsid w:val="00C75A7F"/>
    <w:rsid w:val="00C75AB9"/>
    <w:rsid w:val="00C75AD9"/>
    <w:rsid w:val="00C75B1E"/>
    <w:rsid w:val="00C75B73"/>
    <w:rsid w:val="00C75D41"/>
    <w:rsid w:val="00C75E4E"/>
    <w:rsid w:val="00C75E53"/>
    <w:rsid w:val="00C75EA7"/>
    <w:rsid w:val="00C75EFF"/>
    <w:rsid w:val="00C75FFB"/>
    <w:rsid w:val="00C76041"/>
    <w:rsid w:val="00C760C7"/>
    <w:rsid w:val="00C760EA"/>
    <w:rsid w:val="00C762D7"/>
    <w:rsid w:val="00C76379"/>
    <w:rsid w:val="00C7645D"/>
    <w:rsid w:val="00C76479"/>
    <w:rsid w:val="00C765E0"/>
    <w:rsid w:val="00C765EF"/>
    <w:rsid w:val="00C76600"/>
    <w:rsid w:val="00C7673B"/>
    <w:rsid w:val="00C768C5"/>
    <w:rsid w:val="00C769F6"/>
    <w:rsid w:val="00C76AC2"/>
    <w:rsid w:val="00C76B8C"/>
    <w:rsid w:val="00C76C29"/>
    <w:rsid w:val="00C76C2D"/>
    <w:rsid w:val="00C76C68"/>
    <w:rsid w:val="00C76D5C"/>
    <w:rsid w:val="00C76DD2"/>
    <w:rsid w:val="00C76E37"/>
    <w:rsid w:val="00C76E7C"/>
    <w:rsid w:val="00C76ED1"/>
    <w:rsid w:val="00C76F5D"/>
    <w:rsid w:val="00C77037"/>
    <w:rsid w:val="00C7705E"/>
    <w:rsid w:val="00C770AC"/>
    <w:rsid w:val="00C770DD"/>
    <w:rsid w:val="00C770EE"/>
    <w:rsid w:val="00C771B5"/>
    <w:rsid w:val="00C77235"/>
    <w:rsid w:val="00C7724F"/>
    <w:rsid w:val="00C7740E"/>
    <w:rsid w:val="00C77431"/>
    <w:rsid w:val="00C774A5"/>
    <w:rsid w:val="00C775A0"/>
    <w:rsid w:val="00C77618"/>
    <w:rsid w:val="00C7762C"/>
    <w:rsid w:val="00C7765C"/>
    <w:rsid w:val="00C777F7"/>
    <w:rsid w:val="00C77803"/>
    <w:rsid w:val="00C77828"/>
    <w:rsid w:val="00C7782F"/>
    <w:rsid w:val="00C778C5"/>
    <w:rsid w:val="00C77A91"/>
    <w:rsid w:val="00C77AFC"/>
    <w:rsid w:val="00C77CDA"/>
    <w:rsid w:val="00C77CDE"/>
    <w:rsid w:val="00C77D21"/>
    <w:rsid w:val="00C77DF3"/>
    <w:rsid w:val="00C77EA8"/>
    <w:rsid w:val="00C77EB5"/>
    <w:rsid w:val="00C77F1A"/>
    <w:rsid w:val="00C77F6E"/>
    <w:rsid w:val="00C77FDF"/>
    <w:rsid w:val="00C800C5"/>
    <w:rsid w:val="00C80143"/>
    <w:rsid w:val="00C8018C"/>
    <w:rsid w:val="00C801E3"/>
    <w:rsid w:val="00C802EC"/>
    <w:rsid w:val="00C80438"/>
    <w:rsid w:val="00C80483"/>
    <w:rsid w:val="00C80496"/>
    <w:rsid w:val="00C8054A"/>
    <w:rsid w:val="00C805EB"/>
    <w:rsid w:val="00C8060A"/>
    <w:rsid w:val="00C80740"/>
    <w:rsid w:val="00C8077D"/>
    <w:rsid w:val="00C8078E"/>
    <w:rsid w:val="00C80790"/>
    <w:rsid w:val="00C8079D"/>
    <w:rsid w:val="00C80885"/>
    <w:rsid w:val="00C80971"/>
    <w:rsid w:val="00C80A89"/>
    <w:rsid w:val="00C80AD3"/>
    <w:rsid w:val="00C80B2B"/>
    <w:rsid w:val="00C80BA3"/>
    <w:rsid w:val="00C80BF8"/>
    <w:rsid w:val="00C80C37"/>
    <w:rsid w:val="00C80C42"/>
    <w:rsid w:val="00C80C9E"/>
    <w:rsid w:val="00C80CD5"/>
    <w:rsid w:val="00C80D47"/>
    <w:rsid w:val="00C80D76"/>
    <w:rsid w:val="00C80E01"/>
    <w:rsid w:val="00C80E7D"/>
    <w:rsid w:val="00C80F0F"/>
    <w:rsid w:val="00C80FC9"/>
    <w:rsid w:val="00C81001"/>
    <w:rsid w:val="00C81043"/>
    <w:rsid w:val="00C810AE"/>
    <w:rsid w:val="00C810D6"/>
    <w:rsid w:val="00C8113C"/>
    <w:rsid w:val="00C811B4"/>
    <w:rsid w:val="00C8121A"/>
    <w:rsid w:val="00C8127A"/>
    <w:rsid w:val="00C812F2"/>
    <w:rsid w:val="00C8135D"/>
    <w:rsid w:val="00C813C0"/>
    <w:rsid w:val="00C81529"/>
    <w:rsid w:val="00C8154A"/>
    <w:rsid w:val="00C815C1"/>
    <w:rsid w:val="00C815FA"/>
    <w:rsid w:val="00C8161C"/>
    <w:rsid w:val="00C816A9"/>
    <w:rsid w:val="00C816FD"/>
    <w:rsid w:val="00C817E7"/>
    <w:rsid w:val="00C8187E"/>
    <w:rsid w:val="00C8194E"/>
    <w:rsid w:val="00C819DD"/>
    <w:rsid w:val="00C81A1B"/>
    <w:rsid w:val="00C81A70"/>
    <w:rsid w:val="00C81B07"/>
    <w:rsid w:val="00C81B18"/>
    <w:rsid w:val="00C81B67"/>
    <w:rsid w:val="00C81BA6"/>
    <w:rsid w:val="00C81C28"/>
    <w:rsid w:val="00C81D07"/>
    <w:rsid w:val="00C81E02"/>
    <w:rsid w:val="00C81EB0"/>
    <w:rsid w:val="00C81F78"/>
    <w:rsid w:val="00C81FD7"/>
    <w:rsid w:val="00C8203A"/>
    <w:rsid w:val="00C8208A"/>
    <w:rsid w:val="00C820CB"/>
    <w:rsid w:val="00C8216F"/>
    <w:rsid w:val="00C82206"/>
    <w:rsid w:val="00C8220C"/>
    <w:rsid w:val="00C8220D"/>
    <w:rsid w:val="00C822AD"/>
    <w:rsid w:val="00C822E5"/>
    <w:rsid w:val="00C8232E"/>
    <w:rsid w:val="00C82419"/>
    <w:rsid w:val="00C82460"/>
    <w:rsid w:val="00C82492"/>
    <w:rsid w:val="00C8251C"/>
    <w:rsid w:val="00C8255F"/>
    <w:rsid w:val="00C8268D"/>
    <w:rsid w:val="00C826F2"/>
    <w:rsid w:val="00C8272B"/>
    <w:rsid w:val="00C82769"/>
    <w:rsid w:val="00C827D2"/>
    <w:rsid w:val="00C82856"/>
    <w:rsid w:val="00C82888"/>
    <w:rsid w:val="00C828C3"/>
    <w:rsid w:val="00C828CD"/>
    <w:rsid w:val="00C82932"/>
    <w:rsid w:val="00C82933"/>
    <w:rsid w:val="00C82938"/>
    <w:rsid w:val="00C82942"/>
    <w:rsid w:val="00C829E9"/>
    <w:rsid w:val="00C82AC9"/>
    <w:rsid w:val="00C82ACA"/>
    <w:rsid w:val="00C82B08"/>
    <w:rsid w:val="00C82BC5"/>
    <w:rsid w:val="00C82C96"/>
    <w:rsid w:val="00C82CD7"/>
    <w:rsid w:val="00C82D07"/>
    <w:rsid w:val="00C82E16"/>
    <w:rsid w:val="00C82EB9"/>
    <w:rsid w:val="00C82EED"/>
    <w:rsid w:val="00C8302D"/>
    <w:rsid w:val="00C8311E"/>
    <w:rsid w:val="00C83150"/>
    <w:rsid w:val="00C8316A"/>
    <w:rsid w:val="00C83180"/>
    <w:rsid w:val="00C831AF"/>
    <w:rsid w:val="00C831C9"/>
    <w:rsid w:val="00C833AA"/>
    <w:rsid w:val="00C833FB"/>
    <w:rsid w:val="00C83405"/>
    <w:rsid w:val="00C834AD"/>
    <w:rsid w:val="00C83569"/>
    <w:rsid w:val="00C83581"/>
    <w:rsid w:val="00C8377C"/>
    <w:rsid w:val="00C837F2"/>
    <w:rsid w:val="00C838A4"/>
    <w:rsid w:val="00C838AE"/>
    <w:rsid w:val="00C838B7"/>
    <w:rsid w:val="00C838F9"/>
    <w:rsid w:val="00C839A0"/>
    <w:rsid w:val="00C83A78"/>
    <w:rsid w:val="00C83A91"/>
    <w:rsid w:val="00C83B30"/>
    <w:rsid w:val="00C83B5A"/>
    <w:rsid w:val="00C83B87"/>
    <w:rsid w:val="00C83CA3"/>
    <w:rsid w:val="00C83EFD"/>
    <w:rsid w:val="00C84029"/>
    <w:rsid w:val="00C84040"/>
    <w:rsid w:val="00C8404B"/>
    <w:rsid w:val="00C84214"/>
    <w:rsid w:val="00C84243"/>
    <w:rsid w:val="00C8427F"/>
    <w:rsid w:val="00C84299"/>
    <w:rsid w:val="00C842B3"/>
    <w:rsid w:val="00C842C9"/>
    <w:rsid w:val="00C843FE"/>
    <w:rsid w:val="00C844ED"/>
    <w:rsid w:val="00C844EF"/>
    <w:rsid w:val="00C84587"/>
    <w:rsid w:val="00C8465B"/>
    <w:rsid w:val="00C846A9"/>
    <w:rsid w:val="00C8477D"/>
    <w:rsid w:val="00C84782"/>
    <w:rsid w:val="00C84885"/>
    <w:rsid w:val="00C8490A"/>
    <w:rsid w:val="00C84982"/>
    <w:rsid w:val="00C84A73"/>
    <w:rsid w:val="00C84B83"/>
    <w:rsid w:val="00C84C5F"/>
    <w:rsid w:val="00C84D01"/>
    <w:rsid w:val="00C84D44"/>
    <w:rsid w:val="00C84D59"/>
    <w:rsid w:val="00C84FE1"/>
    <w:rsid w:val="00C85007"/>
    <w:rsid w:val="00C850E3"/>
    <w:rsid w:val="00C85113"/>
    <w:rsid w:val="00C85160"/>
    <w:rsid w:val="00C851A7"/>
    <w:rsid w:val="00C851E8"/>
    <w:rsid w:val="00C85201"/>
    <w:rsid w:val="00C85232"/>
    <w:rsid w:val="00C852E4"/>
    <w:rsid w:val="00C85376"/>
    <w:rsid w:val="00C8555F"/>
    <w:rsid w:val="00C855FF"/>
    <w:rsid w:val="00C85689"/>
    <w:rsid w:val="00C85716"/>
    <w:rsid w:val="00C8571E"/>
    <w:rsid w:val="00C8572F"/>
    <w:rsid w:val="00C857D4"/>
    <w:rsid w:val="00C858A1"/>
    <w:rsid w:val="00C858FD"/>
    <w:rsid w:val="00C8593B"/>
    <w:rsid w:val="00C85982"/>
    <w:rsid w:val="00C85A0A"/>
    <w:rsid w:val="00C85A3B"/>
    <w:rsid w:val="00C85A5C"/>
    <w:rsid w:val="00C85A8D"/>
    <w:rsid w:val="00C85AB2"/>
    <w:rsid w:val="00C85AB8"/>
    <w:rsid w:val="00C85AFD"/>
    <w:rsid w:val="00C85C1C"/>
    <w:rsid w:val="00C85C90"/>
    <w:rsid w:val="00C85D86"/>
    <w:rsid w:val="00C85DD9"/>
    <w:rsid w:val="00C85EA5"/>
    <w:rsid w:val="00C85EF5"/>
    <w:rsid w:val="00C85F97"/>
    <w:rsid w:val="00C860F3"/>
    <w:rsid w:val="00C86180"/>
    <w:rsid w:val="00C86192"/>
    <w:rsid w:val="00C86251"/>
    <w:rsid w:val="00C862B2"/>
    <w:rsid w:val="00C862E6"/>
    <w:rsid w:val="00C8630E"/>
    <w:rsid w:val="00C8633A"/>
    <w:rsid w:val="00C863A7"/>
    <w:rsid w:val="00C863FF"/>
    <w:rsid w:val="00C86485"/>
    <w:rsid w:val="00C864AC"/>
    <w:rsid w:val="00C864EB"/>
    <w:rsid w:val="00C86500"/>
    <w:rsid w:val="00C8653D"/>
    <w:rsid w:val="00C86563"/>
    <w:rsid w:val="00C86566"/>
    <w:rsid w:val="00C86670"/>
    <w:rsid w:val="00C866DA"/>
    <w:rsid w:val="00C86707"/>
    <w:rsid w:val="00C86718"/>
    <w:rsid w:val="00C86739"/>
    <w:rsid w:val="00C867E7"/>
    <w:rsid w:val="00C86892"/>
    <w:rsid w:val="00C868A7"/>
    <w:rsid w:val="00C86998"/>
    <w:rsid w:val="00C869CA"/>
    <w:rsid w:val="00C86A9A"/>
    <w:rsid w:val="00C86B53"/>
    <w:rsid w:val="00C86B98"/>
    <w:rsid w:val="00C86B9F"/>
    <w:rsid w:val="00C86BF1"/>
    <w:rsid w:val="00C86C08"/>
    <w:rsid w:val="00C86C25"/>
    <w:rsid w:val="00C86D63"/>
    <w:rsid w:val="00C86DB9"/>
    <w:rsid w:val="00C86F0E"/>
    <w:rsid w:val="00C86F5D"/>
    <w:rsid w:val="00C86FF6"/>
    <w:rsid w:val="00C8703C"/>
    <w:rsid w:val="00C87064"/>
    <w:rsid w:val="00C870B3"/>
    <w:rsid w:val="00C87110"/>
    <w:rsid w:val="00C87148"/>
    <w:rsid w:val="00C87158"/>
    <w:rsid w:val="00C871D5"/>
    <w:rsid w:val="00C87204"/>
    <w:rsid w:val="00C872CC"/>
    <w:rsid w:val="00C872EA"/>
    <w:rsid w:val="00C873B4"/>
    <w:rsid w:val="00C87451"/>
    <w:rsid w:val="00C87461"/>
    <w:rsid w:val="00C874B9"/>
    <w:rsid w:val="00C8756F"/>
    <w:rsid w:val="00C875E7"/>
    <w:rsid w:val="00C8769F"/>
    <w:rsid w:val="00C876FA"/>
    <w:rsid w:val="00C877C0"/>
    <w:rsid w:val="00C877CD"/>
    <w:rsid w:val="00C8781C"/>
    <w:rsid w:val="00C87856"/>
    <w:rsid w:val="00C8785C"/>
    <w:rsid w:val="00C87898"/>
    <w:rsid w:val="00C87904"/>
    <w:rsid w:val="00C87910"/>
    <w:rsid w:val="00C8791E"/>
    <w:rsid w:val="00C879EA"/>
    <w:rsid w:val="00C87B09"/>
    <w:rsid w:val="00C87B0B"/>
    <w:rsid w:val="00C87B48"/>
    <w:rsid w:val="00C87BE0"/>
    <w:rsid w:val="00C87D1D"/>
    <w:rsid w:val="00C87DA5"/>
    <w:rsid w:val="00C87F19"/>
    <w:rsid w:val="00C9005E"/>
    <w:rsid w:val="00C9009F"/>
    <w:rsid w:val="00C90162"/>
    <w:rsid w:val="00C901B7"/>
    <w:rsid w:val="00C90231"/>
    <w:rsid w:val="00C9024E"/>
    <w:rsid w:val="00C902DA"/>
    <w:rsid w:val="00C902E9"/>
    <w:rsid w:val="00C90316"/>
    <w:rsid w:val="00C9038B"/>
    <w:rsid w:val="00C903A8"/>
    <w:rsid w:val="00C90471"/>
    <w:rsid w:val="00C904F1"/>
    <w:rsid w:val="00C90591"/>
    <w:rsid w:val="00C905BB"/>
    <w:rsid w:val="00C906CE"/>
    <w:rsid w:val="00C906D9"/>
    <w:rsid w:val="00C9071D"/>
    <w:rsid w:val="00C9074B"/>
    <w:rsid w:val="00C90773"/>
    <w:rsid w:val="00C907D2"/>
    <w:rsid w:val="00C90814"/>
    <w:rsid w:val="00C908B7"/>
    <w:rsid w:val="00C908BC"/>
    <w:rsid w:val="00C909F6"/>
    <w:rsid w:val="00C90A96"/>
    <w:rsid w:val="00C90ABC"/>
    <w:rsid w:val="00C90AD9"/>
    <w:rsid w:val="00C90B44"/>
    <w:rsid w:val="00C90C28"/>
    <w:rsid w:val="00C90C56"/>
    <w:rsid w:val="00C90C80"/>
    <w:rsid w:val="00C90D4E"/>
    <w:rsid w:val="00C90EA1"/>
    <w:rsid w:val="00C91068"/>
    <w:rsid w:val="00C911C8"/>
    <w:rsid w:val="00C911F9"/>
    <w:rsid w:val="00C91234"/>
    <w:rsid w:val="00C912FE"/>
    <w:rsid w:val="00C913B8"/>
    <w:rsid w:val="00C9141F"/>
    <w:rsid w:val="00C9147B"/>
    <w:rsid w:val="00C91499"/>
    <w:rsid w:val="00C914A8"/>
    <w:rsid w:val="00C914E2"/>
    <w:rsid w:val="00C91507"/>
    <w:rsid w:val="00C915A8"/>
    <w:rsid w:val="00C915AF"/>
    <w:rsid w:val="00C917B1"/>
    <w:rsid w:val="00C917B7"/>
    <w:rsid w:val="00C917C6"/>
    <w:rsid w:val="00C917C7"/>
    <w:rsid w:val="00C918DC"/>
    <w:rsid w:val="00C918EA"/>
    <w:rsid w:val="00C918F5"/>
    <w:rsid w:val="00C91978"/>
    <w:rsid w:val="00C91A74"/>
    <w:rsid w:val="00C91B16"/>
    <w:rsid w:val="00C91B24"/>
    <w:rsid w:val="00C91BA4"/>
    <w:rsid w:val="00C91BA6"/>
    <w:rsid w:val="00C91BD5"/>
    <w:rsid w:val="00C91C5F"/>
    <w:rsid w:val="00C91D15"/>
    <w:rsid w:val="00C91D81"/>
    <w:rsid w:val="00C91D84"/>
    <w:rsid w:val="00C91D91"/>
    <w:rsid w:val="00C91DBB"/>
    <w:rsid w:val="00C91DC6"/>
    <w:rsid w:val="00C91DD2"/>
    <w:rsid w:val="00C91E34"/>
    <w:rsid w:val="00C91E9D"/>
    <w:rsid w:val="00C91F21"/>
    <w:rsid w:val="00C92011"/>
    <w:rsid w:val="00C9208B"/>
    <w:rsid w:val="00C9219C"/>
    <w:rsid w:val="00C921AF"/>
    <w:rsid w:val="00C921DD"/>
    <w:rsid w:val="00C921F3"/>
    <w:rsid w:val="00C9227B"/>
    <w:rsid w:val="00C92321"/>
    <w:rsid w:val="00C9247D"/>
    <w:rsid w:val="00C92480"/>
    <w:rsid w:val="00C92541"/>
    <w:rsid w:val="00C92553"/>
    <w:rsid w:val="00C92584"/>
    <w:rsid w:val="00C9259A"/>
    <w:rsid w:val="00C92651"/>
    <w:rsid w:val="00C926CB"/>
    <w:rsid w:val="00C9275B"/>
    <w:rsid w:val="00C92797"/>
    <w:rsid w:val="00C92874"/>
    <w:rsid w:val="00C92A42"/>
    <w:rsid w:val="00C92A53"/>
    <w:rsid w:val="00C92A9C"/>
    <w:rsid w:val="00C92AF3"/>
    <w:rsid w:val="00C92B11"/>
    <w:rsid w:val="00C92B1C"/>
    <w:rsid w:val="00C92B69"/>
    <w:rsid w:val="00C92B95"/>
    <w:rsid w:val="00C92DD8"/>
    <w:rsid w:val="00C92E0D"/>
    <w:rsid w:val="00C92E78"/>
    <w:rsid w:val="00C92EB9"/>
    <w:rsid w:val="00C92F39"/>
    <w:rsid w:val="00C92F3C"/>
    <w:rsid w:val="00C92FF0"/>
    <w:rsid w:val="00C9302C"/>
    <w:rsid w:val="00C93304"/>
    <w:rsid w:val="00C9350A"/>
    <w:rsid w:val="00C9352C"/>
    <w:rsid w:val="00C93530"/>
    <w:rsid w:val="00C9355D"/>
    <w:rsid w:val="00C9367F"/>
    <w:rsid w:val="00C9378D"/>
    <w:rsid w:val="00C9381F"/>
    <w:rsid w:val="00C9384B"/>
    <w:rsid w:val="00C9386A"/>
    <w:rsid w:val="00C9388A"/>
    <w:rsid w:val="00C9390B"/>
    <w:rsid w:val="00C9394C"/>
    <w:rsid w:val="00C9396E"/>
    <w:rsid w:val="00C93997"/>
    <w:rsid w:val="00C939A0"/>
    <w:rsid w:val="00C939B3"/>
    <w:rsid w:val="00C939DA"/>
    <w:rsid w:val="00C93A1B"/>
    <w:rsid w:val="00C93A45"/>
    <w:rsid w:val="00C93A7E"/>
    <w:rsid w:val="00C93A85"/>
    <w:rsid w:val="00C93BA2"/>
    <w:rsid w:val="00C93BB2"/>
    <w:rsid w:val="00C93BD7"/>
    <w:rsid w:val="00C93CF7"/>
    <w:rsid w:val="00C93E24"/>
    <w:rsid w:val="00C93E33"/>
    <w:rsid w:val="00C93E75"/>
    <w:rsid w:val="00C93EE1"/>
    <w:rsid w:val="00C93F92"/>
    <w:rsid w:val="00C93FCE"/>
    <w:rsid w:val="00C940F0"/>
    <w:rsid w:val="00C94143"/>
    <w:rsid w:val="00C9414F"/>
    <w:rsid w:val="00C9419B"/>
    <w:rsid w:val="00C941D0"/>
    <w:rsid w:val="00C941D9"/>
    <w:rsid w:val="00C942C7"/>
    <w:rsid w:val="00C943ED"/>
    <w:rsid w:val="00C943FA"/>
    <w:rsid w:val="00C94437"/>
    <w:rsid w:val="00C944A3"/>
    <w:rsid w:val="00C944D4"/>
    <w:rsid w:val="00C944D7"/>
    <w:rsid w:val="00C945C4"/>
    <w:rsid w:val="00C94669"/>
    <w:rsid w:val="00C946C8"/>
    <w:rsid w:val="00C946CF"/>
    <w:rsid w:val="00C946EC"/>
    <w:rsid w:val="00C94722"/>
    <w:rsid w:val="00C9488F"/>
    <w:rsid w:val="00C948CE"/>
    <w:rsid w:val="00C9494E"/>
    <w:rsid w:val="00C9495F"/>
    <w:rsid w:val="00C94979"/>
    <w:rsid w:val="00C949CF"/>
    <w:rsid w:val="00C949FD"/>
    <w:rsid w:val="00C94AC7"/>
    <w:rsid w:val="00C94AD0"/>
    <w:rsid w:val="00C94BB8"/>
    <w:rsid w:val="00C94C35"/>
    <w:rsid w:val="00C94CCE"/>
    <w:rsid w:val="00C94DED"/>
    <w:rsid w:val="00C94E27"/>
    <w:rsid w:val="00C94E39"/>
    <w:rsid w:val="00C94E5A"/>
    <w:rsid w:val="00C94E80"/>
    <w:rsid w:val="00C94ECF"/>
    <w:rsid w:val="00C94EF1"/>
    <w:rsid w:val="00C94F96"/>
    <w:rsid w:val="00C9500F"/>
    <w:rsid w:val="00C95083"/>
    <w:rsid w:val="00C9508D"/>
    <w:rsid w:val="00C952C5"/>
    <w:rsid w:val="00C95432"/>
    <w:rsid w:val="00C955AB"/>
    <w:rsid w:val="00C956C6"/>
    <w:rsid w:val="00C956F5"/>
    <w:rsid w:val="00C9571A"/>
    <w:rsid w:val="00C9573B"/>
    <w:rsid w:val="00C9581E"/>
    <w:rsid w:val="00C9582A"/>
    <w:rsid w:val="00C9593E"/>
    <w:rsid w:val="00C95951"/>
    <w:rsid w:val="00C95A07"/>
    <w:rsid w:val="00C95A29"/>
    <w:rsid w:val="00C95AB9"/>
    <w:rsid w:val="00C95AD6"/>
    <w:rsid w:val="00C95B67"/>
    <w:rsid w:val="00C95C69"/>
    <w:rsid w:val="00C95C72"/>
    <w:rsid w:val="00C95C7D"/>
    <w:rsid w:val="00C95D49"/>
    <w:rsid w:val="00C95D51"/>
    <w:rsid w:val="00C95E25"/>
    <w:rsid w:val="00C95E2C"/>
    <w:rsid w:val="00C95EE5"/>
    <w:rsid w:val="00C95EEF"/>
    <w:rsid w:val="00C95F4F"/>
    <w:rsid w:val="00C95FB5"/>
    <w:rsid w:val="00C9605C"/>
    <w:rsid w:val="00C960AB"/>
    <w:rsid w:val="00C960F4"/>
    <w:rsid w:val="00C96114"/>
    <w:rsid w:val="00C96155"/>
    <w:rsid w:val="00C961E4"/>
    <w:rsid w:val="00C9628E"/>
    <w:rsid w:val="00C962E7"/>
    <w:rsid w:val="00C962FE"/>
    <w:rsid w:val="00C9630F"/>
    <w:rsid w:val="00C96343"/>
    <w:rsid w:val="00C9639B"/>
    <w:rsid w:val="00C9640D"/>
    <w:rsid w:val="00C96465"/>
    <w:rsid w:val="00C96531"/>
    <w:rsid w:val="00C965A3"/>
    <w:rsid w:val="00C965D2"/>
    <w:rsid w:val="00C96767"/>
    <w:rsid w:val="00C9677B"/>
    <w:rsid w:val="00C9682C"/>
    <w:rsid w:val="00C96880"/>
    <w:rsid w:val="00C9688E"/>
    <w:rsid w:val="00C968B9"/>
    <w:rsid w:val="00C9695C"/>
    <w:rsid w:val="00C969A6"/>
    <w:rsid w:val="00C969F6"/>
    <w:rsid w:val="00C96A3A"/>
    <w:rsid w:val="00C96A64"/>
    <w:rsid w:val="00C96A8B"/>
    <w:rsid w:val="00C96B5B"/>
    <w:rsid w:val="00C96BAB"/>
    <w:rsid w:val="00C96BE4"/>
    <w:rsid w:val="00C96C30"/>
    <w:rsid w:val="00C96C76"/>
    <w:rsid w:val="00C96ECA"/>
    <w:rsid w:val="00C96EF1"/>
    <w:rsid w:val="00C96EF6"/>
    <w:rsid w:val="00C96F04"/>
    <w:rsid w:val="00C96F09"/>
    <w:rsid w:val="00C96F23"/>
    <w:rsid w:val="00C96F44"/>
    <w:rsid w:val="00C9704C"/>
    <w:rsid w:val="00C971C0"/>
    <w:rsid w:val="00C971C1"/>
    <w:rsid w:val="00C971C5"/>
    <w:rsid w:val="00C9723B"/>
    <w:rsid w:val="00C97267"/>
    <w:rsid w:val="00C9746A"/>
    <w:rsid w:val="00C974C6"/>
    <w:rsid w:val="00C97535"/>
    <w:rsid w:val="00C975E5"/>
    <w:rsid w:val="00C97607"/>
    <w:rsid w:val="00C9764D"/>
    <w:rsid w:val="00C97650"/>
    <w:rsid w:val="00C97688"/>
    <w:rsid w:val="00C976CB"/>
    <w:rsid w:val="00C977DD"/>
    <w:rsid w:val="00C97825"/>
    <w:rsid w:val="00C978B9"/>
    <w:rsid w:val="00C979D1"/>
    <w:rsid w:val="00C97A4D"/>
    <w:rsid w:val="00C97A58"/>
    <w:rsid w:val="00C97AD1"/>
    <w:rsid w:val="00C97AE8"/>
    <w:rsid w:val="00C97B23"/>
    <w:rsid w:val="00C97B8C"/>
    <w:rsid w:val="00C97C76"/>
    <w:rsid w:val="00C97C9C"/>
    <w:rsid w:val="00C97E4B"/>
    <w:rsid w:val="00C97EDF"/>
    <w:rsid w:val="00C97EE1"/>
    <w:rsid w:val="00C97F39"/>
    <w:rsid w:val="00C97F65"/>
    <w:rsid w:val="00C97F69"/>
    <w:rsid w:val="00CA00CE"/>
    <w:rsid w:val="00CA00F6"/>
    <w:rsid w:val="00CA0124"/>
    <w:rsid w:val="00CA0156"/>
    <w:rsid w:val="00CA01CF"/>
    <w:rsid w:val="00CA02F6"/>
    <w:rsid w:val="00CA03CF"/>
    <w:rsid w:val="00CA03F8"/>
    <w:rsid w:val="00CA047E"/>
    <w:rsid w:val="00CA059F"/>
    <w:rsid w:val="00CA05A8"/>
    <w:rsid w:val="00CA05CD"/>
    <w:rsid w:val="00CA06B0"/>
    <w:rsid w:val="00CA07B3"/>
    <w:rsid w:val="00CA08AB"/>
    <w:rsid w:val="00CA08D7"/>
    <w:rsid w:val="00CA08DF"/>
    <w:rsid w:val="00CA0918"/>
    <w:rsid w:val="00CA0BA0"/>
    <w:rsid w:val="00CA0BF9"/>
    <w:rsid w:val="00CA0C83"/>
    <w:rsid w:val="00CA0CF7"/>
    <w:rsid w:val="00CA0DFB"/>
    <w:rsid w:val="00CA0EC9"/>
    <w:rsid w:val="00CA0ECB"/>
    <w:rsid w:val="00CA0EED"/>
    <w:rsid w:val="00CA0F39"/>
    <w:rsid w:val="00CA0F45"/>
    <w:rsid w:val="00CA0FA6"/>
    <w:rsid w:val="00CA0FFC"/>
    <w:rsid w:val="00CA103A"/>
    <w:rsid w:val="00CA105D"/>
    <w:rsid w:val="00CA1062"/>
    <w:rsid w:val="00CA1180"/>
    <w:rsid w:val="00CA119A"/>
    <w:rsid w:val="00CA11F4"/>
    <w:rsid w:val="00CA133A"/>
    <w:rsid w:val="00CA1437"/>
    <w:rsid w:val="00CA14F8"/>
    <w:rsid w:val="00CA1514"/>
    <w:rsid w:val="00CA1520"/>
    <w:rsid w:val="00CA1545"/>
    <w:rsid w:val="00CA15C7"/>
    <w:rsid w:val="00CA1674"/>
    <w:rsid w:val="00CA16B7"/>
    <w:rsid w:val="00CA18D8"/>
    <w:rsid w:val="00CA18F2"/>
    <w:rsid w:val="00CA18F4"/>
    <w:rsid w:val="00CA1A10"/>
    <w:rsid w:val="00CA1A65"/>
    <w:rsid w:val="00CA1BB6"/>
    <w:rsid w:val="00CA1BC7"/>
    <w:rsid w:val="00CA1BCD"/>
    <w:rsid w:val="00CA1BD3"/>
    <w:rsid w:val="00CA1C47"/>
    <w:rsid w:val="00CA1D37"/>
    <w:rsid w:val="00CA1D8C"/>
    <w:rsid w:val="00CA1E74"/>
    <w:rsid w:val="00CA1ED9"/>
    <w:rsid w:val="00CA1EED"/>
    <w:rsid w:val="00CA1FAC"/>
    <w:rsid w:val="00CA1FB9"/>
    <w:rsid w:val="00CA1FDF"/>
    <w:rsid w:val="00CA2059"/>
    <w:rsid w:val="00CA205F"/>
    <w:rsid w:val="00CA2060"/>
    <w:rsid w:val="00CA206C"/>
    <w:rsid w:val="00CA207B"/>
    <w:rsid w:val="00CA209F"/>
    <w:rsid w:val="00CA20B8"/>
    <w:rsid w:val="00CA2157"/>
    <w:rsid w:val="00CA21B4"/>
    <w:rsid w:val="00CA2227"/>
    <w:rsid w:val="00CA224D"/>
    <w:rsid w:val="00CA22FE"/>
    <w:rsid w:val="00CA2352"/>
    <w:rsid w:val="00CA23EE"/>
    <w:rsid w:val="00CA246C"/>
    <w:rsid w:val="00CA2492"/>
    <w:rsid w:val="00CA24E7"/>
    <w:rsid w:val="00CA253D"/>
    <w:rsid w:val="00CA2577"/>
    <w:rsid w:val="00CA257A"/>
    <w:rsid w:val="00CA2743"/>
    <w:rsid w:val="00CA27BC"/>
    <w:rsid w:val="00CA27EF"/>
    <w:rsid w:val="00CA2802"/>
    <w:rsid w:val="00CA2850"/>
    <w:rsid w:val="00CA2960"/>
    <w:rsid w:val="00CA296B"/>
    <w:rsid w:val="00CA29D4"/>
    <w:rsid w:val="00CA29DD"/>
    <w:rsid w:val="00CA2CCB"/>
    <w:rsid w:val="00CA2D0D"/>
    <w:rsid w:val="00CA2DEC"/>
    <w:rsid w:val="00CA2E46"/>
    <w:rsid w:val="00CA2F28"/>
    <w:rsid w:val="00CA3073"/>
    <w:rsid w:val="00CA3074"/>
    <w:rsid w:val="00CA31AC"/>
    <w:rsid w:val="00CA323F"/>
    <w:rsid w:val="00CA3266"/>
    <w:rsid w:val="00CA328E"/>
    <w:rsid w:val="00CA33DF"/>
    <w:rsid w:val="00CA3445"/>
    <w:rsid w:val="00CA3473"/>
    <w:rsid w:val="00CA35A0"/>
    <w:rsid w:val="00CA35F6"/>
    <w:rsid w:val="00CA36A0"/>
    <w:rsid w:val="00CA36ED"/>
    <w:rsid w:val="00CA3758"/>
    <w:rsid w:val="00CA37BC"/>
    <w:rsid w:val="00CA37FF"/>
    <w:rsid w:val="00CA3938"/>
    <w:rsid w:val="00CA399B"/>
    <w:rsid w:val="00CA39A6"/>
    <w:rsid w:val="00CA39F7"/>
    <w:rsid w:val="00CA3A1B"/>
    <w:rsid w:val="00CA3A3E"/>
    <w:rsid w:val="00CA3A8C"/>
    <w:rsid w:val="00CA3B5D"/>
    <w:rsid w:val="00CA3C21"/>
    <w:rsid w:val="00CA3C50"/>
    <w:rsid w:val="00CA3C73"/>
    <w:rsid w:val="00CA3CB5"/>
    <w:rsid w:val="00CA3E35"/>
    <w:rsid w:val="00CA3F4B"/>
    <w:rsid w:val="00CA41AB"/>
    <w:rsid w:val="00CA41D9"/>
    <w:rsid w:val="00CA424B"/>
    <w:rsid w:val="00CA425D"/>
    <w:rsid w:val="00CA428E"/>
    <w:rsid w:val="00CA429F"/>
    <w:rsid w:val="00CA431C"/>
    <w:rsid w:val="00CA4370"/>
    <w:rsid w:val="00CA43C8"/>
    <w:rsid w:val="00CA43E4"/>
    <w:rsid w:val="00CA4432"/>
    <w:rsid w:val="00CA443C"/>
    <w:rsid w:val="00CA4477"/>
    <w:rsid w:val="00CA44CC"/>
    <w:rsid w:val="00CA457A"/>
    <w:rsid w:val="00CA45BB"/>
    <w:rsid w:val="00CA462E"/>
    <w:rsid w:val="00CA467C"/>
    <w:rsid w:val="00CA46FD"/>
    <w:rsid w:val="00CA4871"/>
    <w:rsid w:val="00CA48D7"/>
    <w:rsid w:val="00CA493F"/>
    <w:rsid w:val="00CA4953"/>
    <w:rsid w:val="00CA4A11"/>
    <w:rsid w:val="00CA4A63"/>
    <w:rsid w:val="00CA4A82"/>
    <w:rsid w:val="00CA4AC5"/>
    <w:rsid w:val="00CA4B43"/>
    <w:rsid w:val="00CA4B61"/>
    <w:rsid w:val="00CA4C0B"/>
    <w:rsid w:val="00CA4CFC"/>
    <w:rsid w:val="00CA4D2B"/>
    <w:rsid w:val="00CA4D87"/>
    <w:rsid w:val="00CA4DB7"/>
    <w:rsid w:val="00CA4E1A"/>
    <w:rsid w:val="00CA4E90"/>
    <w:rsid w:val="00CA4EF6"/>
    <w:rsid w:val="00CA4F15"/>
    <w:rsid w:val="00CA4FBD"/>
    <w:rsid w:val="00CA4FD3"/>
    <w:rsid w:val="00CA5176"/>
    <w:rsid w:val="00CA52AA"/>
    <w:rsid w:val="00CA52E2"/>
    <w:rsid w:val="00CA5332"/>
    <w:rsid w:val="00CA5397"/>
    <w:rsid w:val="00CA549A"/>
    <w:rsid w:val="00CA54A7"/>
    <w:rsid w:val="00CA55AF"/>
    <w:rsid w:val="00CA55D8"/>
    <w:rsid w:val="00CA5685"/>
    <w:rsid w:val="00CA573F"/>
    <w:rsid w:val="00CA5825"/>
    <w:rsid w:val="00CA5860"/>
    <w:rsid w:val="00CA58BF"/>
    <w:rsid w:val="00CA59A5"/>
    <w:rsid w:val="00CA59AF"/>
    <w:rsid w:val="00CA59DB"/>
    <w:rsid w:val="00CA59FA"/>
    <w:rsid w:val="00CA5BBC"/>
    <w:rsid w:val="00CA5CDF"/>
    <w:rsid w:val="00CA5E54"/>
    <w:rsid w:val="00CA5E6B"/>
    <w:rsid w:val="00CA5F9A"/>
    <w:rsid w:val="00CA60C4"/>
    <w:rsid w:val="00CA614D"/>
    <w:rsid w:val="00CA620D"/>
    <w:rsid w:val="00CA6223"/>
    <w:rsid w:val="00CA6322"/>
    <w:rsid w:val="00CA6343"/>
    <w:rsid w:val="00CA635D"/>
    <w:rsid w:val="00CA636F"/>
    <w:rsid w:val="00CA63CC"/>
    <w:rsid w:val="00CA63DB"/>
    <w:rsid w:val="00CA63EA"/>
    <w:rsid w:val="00CA64A9"/>
    <w:rsid w:val="00CA6509"/>
    <w:rsid w:val="00CA6560"/>
    <w:rsid w:val="00CA657C"/>
    <w:rsid w:val="00CA6629"/>
    <w:rsid w:val="00CA665B"/>
    <w:rsid w:val="00CA6722"/>
    <w:rsid w:val="00CA678E"/>
    <w:rsid w:val="00CA67E8"/>
    <w:rsid w:val="00CA685A"/>
    <w:rsid w:val="00CA68B7"/>
    <w:rsid w:val="00CA692C"/>
    <w:rsid w:val="00CA6A09"/>
    <w:rsid w:val="00CA6B41"/>
    <w:rsid w:val="00CA6BC4"/>
    <w:rsid w:val="00CA6C04"/>
    <w:rsid w:val="00CA6CA9"/>
    <w:rsid w:val="00CA6D07"/>
    <w:rsid w:val="00CA6D4E"/>
    <w:rsid w:val="00CA6D8A"/>
    <w:rsid w:val="00CA6DA8"/>
    <w:rsid w:val="00CA6DC8"/>
    <w:rsid w:val="00CA6E7E"/>
    <w:rsid w:val="00CA6ED2"/>
    <w:rsid w:val="00CA6EE0"/>
    <w:rsid w:val="00CA7170"/>
    <w:rsid w:val="00CA7180"/>
    <w:rsid w:val="00CA7181"/>
    <w:rsid w:val="00CA72E6"/>
    <w:rsid w:val="00CA7335"/>
    <w:rsid w:val="00CA737C"/>
    <w:rsid w:val="00CA74C4"/>
    <w:rsid w:val="00CA751A"/>
    <w:rsid w:val="00CA75DA"/>
    <w:rsid w:val="00CA75F4"/>
    <w:rsid w:val="00CA768A"/>
    <w:rsid w:val="00CA76AD"/>
    <w:rsid w:val="00CA7736"/>
    <w:rsid w:val="00CA7787"/>
    <w:rsid w:val="00CA780F"/>
    <w:rsid w:val="00CA7924"/>
    <w:rsid w:val="00CA79AE"/>
    <w:rsid w:val="00CA79E9"/>
    <w:rsid w:val="00CA79F4"/>
    <w:rsid w:val="00CA79F8"/>
    <w:rsid w:val="00CA7A28"/>
    <w:rsid w:val="00CA7A88"/>
    <w:rsid w:val="00CA7AD9"/>
    <w:rsid w:val="00CA7B4B"/>
    <w:rsid w:val="00CA7B69"/>
    <w:rsid w:val="00CA7D1C"/>
    <w:rsid w:val="00CA7E53"/>
    <w:rsid w:val="00CA7F26"/>
    <w:rsid w:val="00CA7FFC"/>
    <w:rsid w:val="00CB00C5"/>
    <w:rsid w:val="00CB0103"/>
    <w:rsid w:val="00CB017D"/>
    <w:rsid w:val="00CB018C"/>
    <w:rsid w:val="00CB01BF"/>
    <w:rsid w:val="00CB01EF"/>
    <w:rsid w:val="00CB01FA"/>
    <w:rsid w:val="00CB0246"/>
    <w:rsid w:val="00CB0451"/>
    <w:rsid w:val="00CB0475"/>
    <w:rsid w:val="00CB0516"/>
    <w:rsid w:val="00CB0577"/>
    <w:rsid w:val="00CB05CB"/>
    <w:rsid w:val="00CB05ED"/>
    <w:rsid w:val="00CB0807"/>
    <w:rsid w:val="00CB0859"/>
    <w:rsid w:val="00CB090E"/>
    <w:rsid w:val="00CB0947"/>
    <w:rsid w:val="00CB0982"/>
    <w:rsid w:val="00CB0A18"/>
    <w:rsid w:val="00CB0A33"/>
    <w:rsid w:val="00CB0B38"/>
    <w:rsid w:val="00CB0B68"/>
    <w:rsid w:val="00CB0B82"/>
    <w:rsid w:val="00CB0C56"/>
    <w:rsid w:val="00CB0C8E"/>
    <w:rsid w:val="00CB0CA8"/>
    <w:rsid w:val="00CB0CFD"/>
    <w:rsid w:val="00CB0D49"/>
    <w:rsid w:val="00CB0DE9"/>
    <w:rsid w:val="00CB0E01"/>
    <w:rsid w:val="00CB0E42"/>
    <w:rsid w:val="00CB0F22"/>
    <w:rsid w:val="00CB0F82"/>
    <w:rsid w:val="00CB1120"/>
    <w:rsid w:val="00CB113B"/>
    <w:rsid w:val="00CB116A"/>
    <w:rsid w:val="00CB1278"/>
    <w:rsid w:val="00CB12DC"/>
    <w:rsid w:val="00CB12E8"/>
    <w:rsid w:val="00CB1360"/>
    <w:rsid w:val="00CB137D"/>
    <w:rsid w:val="00CB13E0"/>
    <w:rsid w:val="00CB1475"/>
    <w:rsid w:val="00CB14D9"/>
    <w:rsid w:val="00CB1525"/>
    <w:rsid w:val="00CB152B"/>
    <w:rsid w:val="00CB1576"/>
    <w:rsid w:val="00CB1596"/>
    <w:rsid w:val="00CB1680"/>
    <w:rsid w:val="00CB173F"/>
    <w:rsid w:val="00CB17AB"/>
    <w:rsid w:val="00CB17B5"/>
    <w:rsid w:val="00CB185A"/>
    <w:rsid w:val="00CB1875"/>
    <w:rsid w:val="00CB1952"/>
    <w:rsid w:val="00CB196D"/>
    <w:rsid w:val="00CB1A5D"/>
    <w:rsid w:val="00CB1A9F"/>
    <w:rsid w:val="00CB1AFF"/>
    <w:rsid w:val="00CB1B1C"/>
    <w:rsid w:val="00CB1B8F"/>
    <w:rsid w:val="00CB1B96"/>
    <w:rsid w:val="00CB1BE0"/>
    <w:rsid w:val="00CB1C16"/>
    <w:rsid w:val="00CB1C52"/>
    <w:rsid w:val="00CB1D3C"/>
    <w:rsid w:val="00CB1DFA"/>
    <w:rsid w:val="00CB1EDF"/>
    <w:rsid w:val="00CB1FCF"/>
    <w:rsid w:val="00CB2012"/>
    <w:rsid w:val="00CB2017"/>
    <w:rsid w:val="00CB2073"/>
    <w:rsid w:val="00CB20C9"/>
    <w:rsid w:val="00CB211B"/>
    <w:rsid w:val="00CB2178"/>
    <w:rsid w:val="00CB2228"/>
    <w:rsid w:val="00CB230D"/>
    <w:rsid w:val="00CB23D5"/>
    <w:rsid w:val="00CB24B2"/>
    <w:rsid w:val="00CB2518"/>
    <w:rsid w:val="00CB2592"/>
    <w:rsid w:val="00CB26B8"/>
    <w:rsid w:val="00CB26D1"/>
    <w:rsid w:val="00CB26DF"/>
    <w:rsid w:val="00CB2725"/>
    <w:rsid w:val="00CB27A5"/>
    <w:rsid w:val="00CB27C8"/>
    <w:rsid w:val="00CB2827"/>
    <w:rsid w:val="00CB2866"/>
    <w:rsid w:val="00CB2869"/>
    <w:rsid w:val="00CB286F"/>
    <w:rsid w:val="00CB28AA"/>
    <w:rsid w:val="00CB28B3"/>
    <w:rsid w:val="00CB296B"/>
    <w:rsid w:val="00CB2A58"/>
    <w:rsid w:val="00CB2A66"/>
    <w:rsid w:val="00CB2A92"/>
    <w:rsid w:val="00CB2B10"/>
    <w:rsid w:val="00CB2B63"/>
    <w:rsid w:val="00CB2BBB"/>
    <w:rsid w:val="00CB2BDD"/>
    <w:rsid w:val="00CB2C40"/>
    <w:rsid w:val="00CB2C51"/>
    <w:rsid w:val="00CB2C73"/>
    <w:rsid w:val="00CB2D1B"/>
    <w:rsid w:val="00CB2D45"/>
    <w:rsid w:val="00CB2D8F"/>
    <w:rsid w:val="00CB2DB0"/>
    <w:rsid w:val="00CB2DB8"/>
    <w:rsid w:val="00CB2DE0"/>
    <w:rsid w:val="00CB2E45"/>
    <w:rsid w:val="00CB2ECD"/>
    <w:rsid w:val="00CB2FAA"/>
    <w:rsid w:val="00CB30B0"/>
    <w:rsid w:val="00CB30F8"/>
    <w:rsid w:val="00CB31B6"/>
    <w:rsid w:val="00CB320A"/>
    <w:rsid w:val="00CB3272"/>
    <w:rsid w:val="00CB3404"/>
    <w:rsid w:val="00CB3526"/>
    <w:rsid w:val="00CB35BF"/>
    <w:rsid w:val="00CB36A8"/>
    <w:rsid w:val="00CB36DA"/>
    <w:rsid w:val="00CB36F5"/>
    <w:rsid w:val="00CB3745"/>
    <w:rsid w:val="00CB384C"/>
    <w:rsid w:val="00CB392D"/>
    <w:rsid w:val="00CB394B"/>
    <w:rsid w:val="00CB398C"/>
    <w:rsid w:val="00CB3995"/>
    <w:rsid w:val="00CB3A44"/>
    <w:rsid w:val="00CB3A55"/>
    <w:rsid w:val="00CB3AB5"/>
    <w:rsid w:val="00CB3AF2"/>
    <w:rsid w:val="00CB3B12"/>
    <w:rsid w:val="00CB3B8C"/>
    <w:rsid w:val="00CB3C1B"/>
    <w:rsid w:val="00CB3C2F"/>
    <w:rsid w:val="00CB3C62"/>
    <w:rsid w:val="00CB3C91"/>
    <w:rsid w:val="00CB3D34"/>
    <w:rsid w:val="00CB3D51"/>
    <w:rsid w:val="00CB3E0E"/>
    <w:rsid w:val="00CB3E88"/>
    <w:rsid w:val="00CB3ED5"/>
    <w:rsid w:val="00CB3F36"/>
    <w:rsid w:val="00CB3FBB"/>
    <w:rsid w:val="00CB407F"/>
    <w:rsid w:val="00CB4168"/>
    <w:rsid w:val="00CB41CE"/>
    <w:rsid w:val="00CB420D"/>
    <w:rsid w:val="00CB426C"/>
    <w:rsid w:val="00CB4305"/>
    <w:rsid w:val="00CB43E5"/>
    <w:rsid w:val="00CB4423"/>
    <w:rsid w:val="00CB44A5"/>
    <w:rsid w:val="00CB44EB"/>
    <w:rsid w:val="00CB4548"/>
    <w:rsid w:val="00CB46FD"/>
    <w:rsid w:val="00CB472E"/>
    <w:rsid w:val="00CB47D7"/>
    <w:rsid w:val="00CB4849"/>
    <w:rsid w:val="00CB488A"/>
    <w:rsid w:val="00CB496B"/>
    <w:rsid w:val="00CB4A7B"/>
    <w:rsid w:val="00CB4AE4"/>
    <w:rsid w:val="00CB4AF2"/>
    <w:rsid w:val="00CB4B74"/>
    <w:rsid w:val="00CB4BBA"/>
    <w:rsid w:val="00CB4BDE"/>
    <w:rsid w:val="00CB4C7F"/>
    <w:rsid w:val="00CB4C96"/>
    <w:rsid w:val="00CB4E67"/>
    <w:rsid w:val="00CB4E6D"/>
    <w:rsid w:val="00CB4E9F"/>
    <w:rsid w:val="00CB4F2C"/>
    <w:rsid w:val="00CB4F53"/>
    <w:rsid w:val="00CB4F77"/>
    <w:rsid w:val="00CB4F92"/>
    <w:rsid w:val="00CB4FC7"/>
    <w:rsid w:val="00CB50DA"/>
    <w:rsid w:val="00CB51DC"/>
    <w:rsid w:val="00CB5229"/>
    <w:rsid w:val="00CB5253"/>
    <w:rsid w:val="00CB5360"/>
    <w:rsid w:val="00CB538A"/>
    <w:rsid w:val="00CB53A6"/>
    <w:rsid w:val="00CB53E8"/>
    <w:rsid w:val="00CB5413"/>
    <w:rsid w:val="00CB5422"/>
    <w:rsid w:val="00CB543D"/>
    <w:rsid w:val="00CB54A5"/>
    <w:rsid w:val="00CB54F3"/>
    <w:rsid w:val="00CB5542"/>
    <w:rsid w:val="00CB5596"/>
    <w:rsid w:val="00CB55A5"/>
    <w:rsid w:val="00CB5614"/>
    <w:rsid w:val="00CB572A"/>
    <w:rsid w:val="00CB5890"/>
    <w:rsid w:val="00CB58D8"/>
    <w:rsid w:val="00CB5913"/>
    <w:rsid w:val="00CB5A75"/>
    <w:rsid w:val="00CB5A94"/>
    <w:rsid w:val="00CB5ADF"/>
    <w:rsid w:val="00CB5AF2"/>
    <w:rsid w:val="00CB5B2A"/>
    <w:rsid w:val="00CB5B8E"/>
    <w:rsid w:val="00CB5C0C"/>
    <w:rsid w:val="00CB5CA7"/>
    <w:rsid w:val="00CB5DFD"/>
    <w:rsid w:val="00CB5EB8"/>
    <w:rsid w:val="00CB5EBE"/>
    <w:rsid w:val="00CB5EFD"/>
    <w:rsid w:val="00CB5F4F"/>
    <w:rsid w:val="00CB5FAF"/>
    <w:rsid w:val="00CB5FC4"/>
    <w:rsid w:val="00CB6040"/>
    <w:rsid w:val="00CB6063"/>
    <w:rsid w:val="00CB6096"/>
    <w:rsid w:val="00CB60B1"/>
    <w:rsid w:val="00CB60CD"/>
    <w:rsid w:val="00CB60F0"/>
    <w:rsid w:val="00CB6138"/>
    <w:rsid w:val="00CB613A"/>
    <w:rsid w:val="00CB6175"/>
    <w:rsid w:val="00CB62CC"/>
    <w:rsid w:val="00CB6323"/>
    <w:rsid w:val="00CB63E9"/>
    <w:rsid w:val="00CB6414"/>
    <w:rsid w:val="00CB6426"/>
    <w:rsid w:val="00CB650F"/>
    <w:rsid w:val="00CB65F4"/>
    <w:rsid w:val="00CB65FE"/>
    <w:rsid w:val="00CB6678"/>
    <w:rsid w:val="00CB66B2"/>
    <w:rsid w:val="00CB66EF"/>
    <w:rsid w:val="00CB66F2"/>
    <w:rsid w:val="00CB6701"/>
    <w:rsid w:val="00CB670A"/>
    <w:rsid w:val="00CB6732"/>
    <w:rsid w:val="00CB67BE"/>
    <w:rsid w:val="00CB67CA"/>
    <w:rsid w:val="00CB6807"/>
    <w:rsid w:val="00CB6820"/>
    <w:rsid w:val="00CB682D"/>
    <w:rsid w:val="00CB6887"/>
    <w:rsid w:val="00CB68A9"/>
    <w:rsid w:val="00CB6A98"/>
    <w:rsid w:val="00CB6AA8"/>
    <w:rsid w:val="00CB6AFB"/>
    <w:rsid w:val="00CB6C1F"/>
    <w:rsid w:val="00CB6C5E"/>
    <w:rsid w:val="00CB6DAA"/>
    <w:rsid w:val="00CB6DC4"/>
    <w:rsid w:val="00CB6E03"/>
    <w:rsid w:val="00CB6E52"/>
    <w:rsid w:val="00CB6E53"/>
    <w:rsid w:val="00CB6E5B"/>
    <w:rsid w:val="00CB6EEF"/>
    <w:rsid w:val="00CB6F53"/>
    <w:rsid w:val="00CB6FA2"/>
    <w:rsid w:val="00CB6FAC"/>
    <w:rsid w:val="00CB7052"/>
    <w:rsid w:val="00CB70EF"/>
    <w:rsid w:val="00CB7173"/>
    <w:rsid w:val="00CB71AB"/>
    <w:rsid w:val="00CB726A"/>
    <w:rsid w:val="00CB747E"/>
    <w:rsid w:val="00CB755E"/>
    <w:rsid w:val="00CB75D0"/>
    <w:rsid w:val="00CB763D"/>
    <w:rsid w:val="00CB7659"/>
    <w:rsid w:val="00CB7752"/>
    <w:rsid w:val="00CB77C9"/>
    <w:rsid w:val="00CB77E6"/>
    <w:rsid w:val="00CB7861"/>
    <w:rsid w:val="00CB7BCD"/>
    <w:rsid w:val="00CB7C18"/>
    <w:rsid w:val="00CB7C6C"/>
    <w:rsid w:val="00CB7CCB"/>
    <w:rsid w:val="00CB7DC0"/>
    <w:rsid w:val="00CB7DDC"/>
    <w:rsid w:val="00CB7E3A"/>
    <w:rsid w:val="00CB7F4F"/>
    <w:rsid w:val="00CC0021"/>
    <w:rsid w:val="00CC00B1"/>
    <w:rsid w:val="00CC00B3"/>
    <w:rsid w:val="00CC010C"/>
    <w:rsid w:val="00CC01C8"/>
    <w:rsid w:val="00CC02DC"/>
    <w:rsid w:val="00CC03B2"/>
    <w:rsid w:val="00CC03CB"/>
    <w:rsid w:val="00CC0437"/>
    <w:rsid w:val="00CC04F4"/>
    <w:rsid w:val="00CC050F"/>
    <w:rsid w:val="00CC05E5"/>
    <w:rsid w:val="00CC0756"/>
    <w:rsid w:val="00CC07B4"/>
    <w:rsid w:val="00CC07BD"/>
    <w:rsid w:val="00CC088E"/>
    <w:rsid w:val="00CC0906"/>
    <w:rsid w:val="00CC098B"/>
    <w:rsid w:val="00CC09AF"/>
    <w:rsid w:val="00CC0B68"/>
    <w:rsid w:val="00CC0C52"/>
    <w:rsid w:val="00CC0C7D"/>
    <w:rsid w:val="00CC0D3D"/>
    <w:rsid w:val="00CC0D47"/>
    <w:rsid w:val="00CC0DEC"/>
    <w:rsid w:val="00CC0E0E"/>
    <w:rsid w:val="00CC0E61"/>
    <w:rsid w:val="00CC0E88"/>
    <w:rsid w:val="00CC0F15"/>
    <w:rsid w:val="00CC0F8B"/>
    <w:rsid w:val="00CC1101"/>
    <w:rsid w:val="00CC1133"/>
    <w:rsid w:val="00CC125B"/>
    <w:rsid w:val="00CC1261"/>
    <w:rsid w:val="00CC12CB"/>
    <w:rsid w:val="00CC1319"/>
    <w:rsid w:val="00CC139A"/>
    <w:rsid w:val="00CC13DA"/>
    <w:rsid w:val="00CC1456"/>
    <w:rsid w:val="00CC14CA"/>
    <w:rsid w:val="00CC1507"/>
    <w:rsid w:val="00CC155E"/>
    <w:rsid w:val="00CC15DC"/>
    <w:rsid w:val="00CC15DE"/>
    <w:rsid w:val="00CC1631"/>
    <w:rsid w:val="00CC175F"/>
    <w:rsid w:val="00CC1956"/>
    <w:rsid w:val="00CC1986"/>
    <w:rsid w:val="00CC19E1"/>
    <w:rsid w:val="00CC1A15"/>
    <w:rsid w:val="00CC1B08"/>
    <w:rsid w:val="00CC1B8C"/>
    <w:rsid w:val="00CC1B8D"/>
    <w:rsid w:val="00CC1BCB"/>
    <w:rsid w:val="00CC1C20"/>
    <w:rsid w:val="00CC1CBD"/>
    <w:rsid w:val="00CC1CCB"/>
    <w:rsid w:val="00CC1E7A"/>
    <w:rsid w:val="00CC1E7F"/>
    <w:rsid w:val="00CC1E80"/>
    <w:rsid w:val="00CC1EEB"/>
    <w:rsid w:val="00CC2087"/>
    <w:rsid w:val="00CC2112"/>
    <w:rsid w:val="00CC2128"/>
    <w:rsid w:val="00CC2177"/>
    <w:rsid w:val="00CC21F4"/>
    <w:rsid w:val="00CC22EA"/>
    <w:rsid w:val="00CC2419"/>
    <w:rsid w:val="00CC25E8"/>
    <w:rsid w:val="00CC265B"/>
    <w:rsid w:val="00CC27AF"/>
    <w:rsid w:val="00CC27E4"/>
    <w:rsid w:val="00CC288E"/>
    <w:rsid w:val="00CC28A1"/>
    <w:rsid w:val="00CC29A7"/>
    <w:rsid w:val="00CC2A98"/>
    <w:rsid w:val="00CC2ABB"/>
    <w:rsid w:val="00CC2B68"/>
    <w:rsid w:val="00CC2B84"/>
    <w:rsid w:val="00CC2C46"/>
    <w:rsid w:val="00CC2C99"/>
    <w:rsid w:val="00CC2CCC"/>
    <w:rsid w:val="00CC2CD8"/>
    <w:rsid w:val="00CC2CED"/>
    <w:rsid w:val="00CC2D8B"/>
    <w:rsid w:val="00CC2E48"/>
    <w:rsid w:val="00CC3069"/>
    <w:rsid w:val="00CC30C4"/>
    <w:rsid w:val="00CC3119"/>
    <w:rsid w:val="00CC32B3"/>
    <w:rsid w:val="00CC3329"/>
    <w:rsid w:val="00CC3398"/>
    <w:rsid w:val="00CC33D5"/>
    <w:rsid w:val="00CC3565"/>
    <w:rsid w:val="00CC3716"/>
    <w:rsid w:val="00CC379E"/>
    <w:rsid w:val="00CC37B5"/>
    <w:rsid w:val="00CC37DA"/>
    <w:rsid w:val="00CC3856"/>
    <w:rsid w:val="00CC38AF"/>
    <w:rsid w:val="00CC38D5"/>
    <w:rsid w:val="00CC38DF"/>
    <w:rsid w:val="00CC399B"/>
    <w:rsid w:val="00CC39AA"/>
    <w:rsid w:val="00CC3A24"/>
    <w:rsid w:val="00CC3B3D"/>
    <w:rsid w:val="00CC3B7F"/>
    <w:rsid w:val="00CC3BEF"/>
    <w:rsid w:val="00CC3BF3"/>
    <w:rsid w:val="00CC3D1E"/>
    <w:rsid w:val="00CC3D6F"/>
    <w:rsid w:val="00CC3EBD"/>
    <w:rsid w:val="00CC3FAD"/>
    <w:rsid w:val="00CC4046"/>
    <w:rsid w:val="00CC40A7"/>
    <w:rsid w:val="00CC4171"/>
    <w:rsid w:val="00CC4178"/>
    <w:rsid w:val="00CC4210"/>
    <w:rsid w:val="00CC42EC"/>
    <w:rsid w:val="00CC4394"/>
    <w:rsid w:val="00CC43A3"/>
    <w:rsid w:val="00CC4466"/>
    <w:rsid w:val="00CC447C"/>
    <w:rsid w:val="00CC4482"/>
    <w:rsid w:val="00CC4491"/>
    <w:rsid w:val="00CC45BC"/>
    <w:rsid w:val="00CC4620"/>
    <w:rsid w:val="00CC4660"/>
    <w:rsid w:val="00CC4689"/>
    <w:rsid w:val="00CC46DF"/>
    <w:rsid w:val="00CC471E"/>
    <w:rsid w:val="00CC472E"/>
    <w:rsid w:val="00CC4753"/>
    <w:rsid w:val="00CC4802"/>
    <w:rsid w:val="00CC4853"/>
    <w:rsid w:val="00CC491F"/>
    <w:rsid w:val="00CC4961"/>
    <w:rsid w:val="00CC4A0E"/>
    <w:rsid w:val="00CC4A3E"/>
    <w:rsid w:val="00CC4A68"/>
    <w:rsid w:val="00CC4ACE"/>
    <w:rsid w:val="00CC4AD5"/>
    <w:rsid w:val="00CC4AF0"/>
    <w:rsid w:val="00CC4B01"/>
    <w:rsid w:val="00CC4B61"/>
    <w:rsid w:val="00CC4B73"/>
    <w:rsid w:val="00CC4BCF"/>
    <w:rsid w:val="00CC4C7E"/>
    <w:rsid w:val="00CC4C97"/>
    <w:rsid w:val="00CC4E29"/>
    <w:rsid w:val="00CC4F64"/>
    <w:rsid w:val="00CC4FAC"/>
    <w:rsid w:val="00CC4FD9"/>
    <w:rsid w:val="00CC4FE5"/>
    <w:rsid w:val="00CC5051"/>
    <w:rsid w:val="00CC5087"/>
    <w:rsid w:val="00CC5096"/>
    <w:rsid w:val="00CC510C"/>
    <w:rsid w:val="00CC52A8"/>
    <w:rsid w:val="00CC531A"/>
    <w:rsid w:val="00CC532B"/>
    <w:rsid w:val="00CC536A"/>
    <w:rsid w:val="00CC53F1"/>
    <w:rsid w:val="00CC553C"/>
    <w:rsid w:val="00CC555E"/>
    <w:rsid w:val="00CC55F2"/>
    <w:rsid w:val="00CC560C"/>
    <w:rsid w:val="00CC5768"/>
    <w:rsid w:val="00CC57DD"/>
    <w:rsid w:val="00CC5829"/>
    <w:rsid w:val="00CC5875"/>
    <w:rsid w:val="00CC58A6"/>
    <w:rsid w:val="00CC58D0"/>
    <w:rsid w:val="00CC58DB"/>
    <w:rsid w:val="00CC591B"/>
    <w:rsid w:val="00CC59B8"/>
    <w:rsid w:val="00CC59FA"/>
    <w:rsid w:val="00CC5A07"/>
    <w:rsid w:val="00CC5A42"/>
    <w:rsid w:val="00CC5B33"/>
    <w:rsid w:val="00CC5B5B"/>
    <w:rsid w:val="00CC5BB6"/>
    <w:rsid w:val="00CC5BE6"/>
    <w:rsid w:val="00CC5C77"/>
    <w:rsid w:val="00CC5CA6"/>
    <w:rsid w:val="00CC5CD8"/>
    <w:rsid w:val="00CC5CE0"/>
    <w:rsid w:val="00CC5D5C"/>
    <w:rsid w:val="00CC5DD4"/>
    <w:rsid w:val="00CC5E22"/>
    <w:rsid w:val="00CC5E2A"/>
    <w:rsid w:val="00CC5E3F"/>
    <w:rsid w:val="00CC5E7A"/>
    <w:rsid w:val="00CC5F46"/>
    <w:rsid w:val="00CC5FA8"/>
    <w:rsid w:val="00CC5FC2"/>
    <w:rsid w:val="00CC5FD7"/>
    <w:rsid w:val="00CC60D1"/>
    <w:rsid w:val="00CC610E"/>
    <w:rsid w:val="00CC6157"/>
    <w:rsid w:val="00CC619E"/>
    <w:rsid w:val="00CC61E5"/>
    <w:rsid w:val="00CC62AA"/>
    <w:rsid w:val="00CC62B2"/>
    <w:rsid w:val="00CC634B"/>
    <w:rsid w:val="00CC6394"/>
    <w:rsid w:val="00CC63D4"/>
    <w:rsid w:val="00CC6540"/>
    <w:rsid w:val="00CC65F9"/>
    <w:rsid w:val="00CC673E"/>
    <w:rsid w:val="00CC67ED"/>
    <w:rsid w:val="00CC6A14"/>
    <w:rsid w:val="00CC6A9C"/>
    <w:rsid w:val="00CC6B29"/>
    <w:rsid w:val="00CC6B9D"/>
    <w:rsid w:val="00CC6C23"/>
    <w:rsid w:val="00CC6D15"/>
    <w:rsid w:val="00CC6D41"/>
    <w:rsid w:val="00CC6D67"/>
    <w:rsid w:val="00CC6E0E"/>
    <w:rsid w:val="00CC6E41"/>
    <w:rsid w:val="00CC6EA7"/>
    <w:rsid w:val="00CC6FF6"/>
    <w:rsid w:val="00CC702E"/>
    <w:rsid w:val="00CC7049"/>
    <w:rsid w:val="00CC70FD"/>
    <w:rsid w:val="00CC720D"/>
    <w:rsid w:val="00CC7211"/>
    <w:rsid w:val="00CC721C"/>
    <w:rsid w:val="00CC7263"/>
    <w:rsid w:val="00CC7305"/>
    <w:rsid w:val="00CC734A"/>
    <w:rsid w:val="00CC734E"/>
    <w:rsid w:val="00CC7361"/>
    <w:rsid w:val="00CC7381"/>
    <w:rsid w:val="00CC73C6"/>
    <w:rsid w:val="00CC7477"/>
    <w:rsid w:val="00CC75B8"/>
    <w:rsid w:val="00CC75CA"/>
    <w:rsid w:val="00CC7664"/>
    <w:rsid w:val="00CC76C7"/>
    <w:rsid w:val="00CC771A"/>
    <w:rsid w:val="00CC77FC"/>
    <w:rsid w:val="00CC780A"/>
    <w:rsid w:val="00CC787F"/>
    <w:rsid w:val="00CC7916"/>
    <w:rsid w:val="00CC7A5D"/>
    <w:rsid w:val="00CC7A7D"/>
    <w:rsid w:val="00CC7AA6"/>
    <w:rsid w:val="00CC7B19"/>
    <w:rsid w:val="00CC7BC0"/>
    <w:rsid w:val="00CC7BE0"/>
    <w:rsid w:val="00CC7BEC"/>
    <w:rsid w:val="00CC7CAB"/>
    <w:rsid w:val="00CC7D2B"/>
    <w:rsid w:val="00CC7DBF"/>
    <w:rsid w:val="00CC7E76"/>
    <w:rsid w:val="00CC7E85"/>
    <w:rsid w:val="00CC7F29"/>
    <w:rsid w:val="00CC7FB1"/>
    <w:rsid w:val="00CC7FF1"/>
    <w:rsid w:val="00CD00E7"/>
    <w:rsid w:val="00CD016A"/>
    <w:rsid w:val="00CD0199"/>
    <w:rsid w:val="00CD019F"/>
    <w:rsid w:val="00CD058C"/>
    <w:rsid w:val="00CD06B4"/>
    <w:rsid w:val="00CD06E0"/>
    <w:rsid w:val="00CD072D"/>
    <w:rsid w:val="00CD075F"/>
    <w:rsid w:val="00CD0760"/>
    <w:rsid w:val="00CD0796"/>
    <w:rsid w:val="00CD079A"/>
    <w:rsid w:val="00CD0835"/>
    <w:rsid w:val="00CD086C"/>
    <w:rsid w:val="00CD0908"/>
    <w:rsid w:val="00CD0A19"/>
    <w:rsid w:val="00CD0A74"/>
    <w:rsid w:val="00CD0AAB"/>
    <w:rsid w:val="00CD0AB4"/>
    <w:rsid w:val="00CD0C00"/>
    <w:rsid w:val="00CD0C39"/>
    <w:rsid w:val="00CD0C81"/>
    <w:rsid w:val="00CD0D25"/>
    <w:rsid w:val="00CD0D41"/>
    <w:rsid w:val="00CD0D56"/>
    <w:rsid w:val="00CD0DA8"/>
    <w:rsid w:val="00CD0F5D"/>
    <w:rsid w:val="00CD0FC8"/>
    <w:rsid w:val="00CD100D"/>
    <w:rsid w:val="00CD1038"/>
    <w:rsid w:val="00CD10AD"/>
    <w:rsid w:val="00CD111B"/>
    <w:rsid w:val="00CD11BF"/>
    <w:rsid w:val="00CD11E7"/>
    <w:rsid w:val="00CD12DF"/>
    <w:rsid w:val="00CD12E0"/>
    <w:rsid w:val="00CD130B"/>
    <w:rsid w:val="00CD134F"/>
    <w:rsid w:val="00CD1401"/>
    <w:rsid w:val="00CD14C5"/>
    <w:rsid w:val="00CD1692"/>
    <w:rsid w:val="00CD1763"/>
    <w:rsid w:val="00CD1775"/>
    <w:rsid w:val="00CD178B"/>
    <w:rsid w:val="00CD17FC"/>
    <w:rsid w:val="00CD193E"/>
    <w:rsid w:val="00CD196A"/>
    <w:rsid w:val="00CD1984"/>
    <w:rsid w:val="00CD19BB"/>
    <w:rsid w:val="00CD19EB"/>
    <w:rsid w:val="00CD1A61"/>
    <w:rsid w:val="00CD1B7D"/>
    <w:rsid w:val="00CD1CFD"/>
    <w:rsid w:val="00CD1D56"/>
    <w:rsid w:val="00CD1DA7"/>
    <w:rsid w:val="00CD1DB4"/>
    <w:rsid w:val="00CD1DEC"/>
    <w:rsid w:val="00CD1DFF"/>
    <w:rsid w:val="00CD1F1B"/>
    <w:rsid w:val="00CD2021"/>
    <w:rsid w:val="00CD20FE"/>
    <w:rsid w:val="00CD2113"/>
    <w:rsid w:val="00CD2128"/>
    <w:rsid w:val="00CD23DD"/>
    <w:rsid w:val="00CD2451"/>
    <w:rsid w:val="00CD257E"/>
    <w:rsid w:val="00CD26D6"/>
    <w:rsid w:val="00CD2882"/>
    <w:rsid w:val="00CD28DF"/>
    <w:rsid w:val="00CD29C9"/>
    <w:rsid w:val="00CD2A17"/>
    <w:rsid w:val="00CD2AC2"/>
    <w:rsid w:val="00CD2AC5"/>
    <w:rsid w:val="00CD2AEA"/>
    <w:rsid w:val="00CD2B12"/>
    <w:rsid w:val="00CD2B76"/>
    <w:rsid w:val="00CD2C81"/>
    <w:rsid w:val="00CD2D01"/>
    <w:rsid w:val="00CD2D31"/>
    <w:rsid w:val="00CD2E3F"/>
    <w:rsid w:val="00CD2F10"/>
    <w:rsid w:val="00CD2F2E"/>
    <w:rsid w:val="00CD303B"/>
    <w:rsid w:val="00CD3078"/>
    <w:rsid w:val="00CD3089"/>
    <w:rsid w:val="00CD30B4"/>
    <w:rsid w:val="00CD3182"/>
    <w:rsid w:val="00CD31EE"/>
    <w:rsid w:val="00CD3207"/>
    <w:rsid w:val="00CD326C"/>
    <w:rsid w:val="00CD3370"/>
    <w:rsid w:val="00CD3528"/>
    <w:rsid w:val="00CD36B2"/>
    <w:rsid w:val="00CD3758"/>
    <w:rsid w:val="00CD37D4"/>
    <w:rsid w:val="00CD3882"/>
    <w:rsid w:val="00CD390D"/>
    <w:rsid w:val="00CD3993"/>
    <w:rsid w:val="00CD39C6"/>
    <w:rsid w:val="00CD3B17"/>
    <w:rsid w:val="00CD3B49"/>
    <w:rsid w:val="00CD3B78"/>
    <w:rsid w:val="00CD3B98"/>
    <w:rsid w:val="00CD3C25"/>
    <w:rsid w:val="00CD3C5B"/>
    <w:rsid w:val="00CD3CE2"/>
    <w:rsid w:val="00CD3D87"/>
    <w:rsid w:val="00CD3FB9"/>
    <w:rsid w:val="00CD405D"/>
    <w:rsid w:val="00CD4065"/>
    <w:rsid w:val="00CD406D"/>
    <w:rsid w:val="00CD4092"/>
    <w:rsid w:val="00CD4134"/>
    <w:rsid w:val="00CD4135"/>
    <w:rsid w:val="00CD41AC"/>
    <w:rsid w:val="00CD4216"/>
    <w:rsid w:val="00CD4288"/>
    <w:rsid w:val="00CD4319"/>
    <w:rsid w:val="00CD4372"/>
    <w:rsid w:val="00CD4486"/>
    <w:rsid w:val="00CD4662"/>
    <w:rsid w:val="00CD47BE"/>
    <w:rsid w:val="00CD4837"/>
    <w:rsid w:val="00CD4913"/>
    <w:rsid w:val="00CD491F"/>
    <w:rsid w:val="00CD492D"/>
    <w:rsid w:val="00CD497C"/>
    <w:rsid w:val="00CD49DE"/>
    <w:rsid w:val="00CD4ADF"/>
    <w:rsid w:val="00CD4B53"/>
    <w:rsid w:val="00CD4B60"/>
    <w:rsid w:val="00CD4EEF"/>
    <w:rsid w:val="00CD518C"/>
    <w:rsid w:val="00CD5230"/>
    <w:rsid w:val="00CD5339"/>
    <w:rsid w:val="00CD53C1"/>
    <w:rsid w:val="00CD551C"/>
    <w:rsid w:val="00CD5536"/>
    <w:rsid w:val="00CD5542"/>
    <w:rsid w:val="00CD556F"/>
    <w:rsid w:val="00CD5585"/>
    <w:rsid w:val="00CD55B4"/>
    <w:rsid w:val="00CD5630"/>
    <w:rsid w:val="00CD56AA"/>
    <w:rsid w:val="00CD56F6"/>
    <w:rsid w:val="00CD584C"/>
    <w:rsid w:val="00CD587C"/>
    <w:rsid w:val="00CD588A"/>
    <w:rsid w:val="00CD58A5"/>
    <w:rsid w:val="00CD58DF"/>
    <w:rsid w:val="00CD5930"/>
    <w:rsid w:val="00CD5934"/>
    <w:rsid w:val="00CD59A3"/>
    <w:rsid w:val="00CD59AF"/>
    <w:rsid w:val="00CD5A5F"/>
    <w:rsid w:val="00CD5AC6"/>
    <w:rsid w:val="00CD5B36"/>
    <w:rsid w:val="00CD5B51"/>
    <w:rsid w:val="00CD5B63"/>
    <w:rsid w:val="00CD5B7B"/>
    <w:rsid w:val="00CD5C8C"/>
    <w:rsid w:val="00CD5CA3"/>
    <w:rsid w:val="00CD5D21"/>
    <w:rsid w:val="00CD5D53"/>
    <w:rsid w:val="00CD5DC0"/>
    <w:rsid w:val="00CD5DC7"/>
    <w:rsid w:val="00CD5E3A"/>
    <w:rsid w:val="00CD5E67"/>
    <w:rsid w:val="00CD5F0F"/>
    <w:rsid w:val="00CD5F7A"/>
    <w:rsid w:val="00CD5FA4"/>
    <w:rsid w:val="00CD5FED"/>
    <w:rsid w:val="00CD601A"/>
    <w:rsid w:val="00CD61C9"/>
    <w:rsid w:val="00CD638E"/>
    <w:rsid w:val="00CD63A5"/>
    <w:rsid w:val="00CD6439"/>
    <w:rsid w:val="00CD6513"/>
    <w:rsid w:val="00CD656A"/>
    <w:rsid w:val="00CD66BF"/>
    <w:rsid w:val="00CD66CE"/>
    <w:rsid w:val="00CD671E"/>
    <w:rsid w:val="00CD6747"/>
    <w:rsid w:val="00CD68C2"/>
    <w:rsid w:val="00CD68DB"/>
    <w:rsid w:val="00CD68ED"/>
    <w:rsid w:val="00CD6985"/>
    <w:rsid w:val="00CD69C9"/>
    <w:rsid w:val="00CD6AA2"/>
    <w:rsid w:val="00CD6B85"/>
    <w:rsid w:val="00CD6B9B"/>
    <w:rsid w:val="00CD6BC0"/>
    <w:rsid w:val="00CD6BEA"/>
    <w:rsid w:val="00CD6C52"/>
    <w:rsid w:val="00CD6C8F"/>
    <w:rsid w:val="00CD6E2C"/>
    <w:rsid w:val="00CD6E32"/>
    <w:rsid w:val="00CD6F51"/>
    <w:rsid w:val="00CD70B2"/>
    <w:rsid w:val="00CD70DC"/>
    <w:rsid w:val="00CD7153"/>
    <w:rsid w:val="00CD71BF"/>
    <w:rsid w:val="00CD71C0"/>
    <w:rsid w:val="00CD7210"/>
    <w:rsid w:val="00CD7249"/>
    <w:rsid w:val="00CD7251"/>
    <w:rsid w:val="00CD733F"/>
    <w:rsid w:val="00CD74E7"/>
    <w:rsid w:val="00CD752B"/>
    <w:rsid w:val="00CD7650"/>
    <w:rsid w:val="00CD7674"/>
    <w:rsid w:val="00CD769A"/>
    <w:rsid w:val="00CD783C"/>
    <w:rsid w:val="00CD7898"/>
    <w:rsid w:val="00CD7925"/>
    <w:rsid w:val="00CD7954"/>
    <w:rsid w:val="00CD7A82"/>
    <w:rsid w:val="00CD7A89"/>
    <w:rsid w:val="00CD7A96"/>
    <w:rsid w:val="00CD7B00"/>
    <w:rsid w:val="00CD7B10"/>
    <w:rsid w:val="00CD7B68"/>
    <w:rsid w:val="00CD7C65"/>
    <w:rsid w:val="00CD7C8B"/>
    <w:rsid w:val="00CD7C97"/>
    <w:rsid w:val="00CD7D11"/>
    <w:rsid w:val="00CD7D1F"/>
    <w:rsid w:val="00CD7D6A"/>
    <w:rsid w:val="00CD7D96"/>
    <w:rsid w:val="00CD7DAB"/>
    <w:rsid w:val="00CD7EE8"/>
    <w:rsid w:val="00CD7F36"/>
    <w:rsid w:val="00CD7F7E"/>
    <w:rsid w:val="00CE0025"/>
    <w:rsid w:val="00CE0062"/>
    <w:rsid w:val="00CE0106"/>
    <w:rsid w:val="00CE0123"/>
    <w:rsid w:val="00CE019C"/>
    <w:rsid w:val="00CE022E"/>
    <w:rsid w:val="00CE0259"/>
    <w:rsid w:val="00CE02D3"/>
    <w:rsid w:val="00CE031C"/>
    <w:rsid w:val="00CE0383"/>
    <w:rsid w:val="00CE0397"/>
    <w:rsid w:val="00CE040E"/>
    <w:rsid w:val="00CE0463"/>
    <w:rsid w:val="00CE0464"/>
    <w:rsid w:val="00CE04E3"/>
    <w:rsid w:val="00CE0574"/>
    <w:rsid w:val="00CE058D"/>
    <w:rsid w:val="00CE05C7"/>
    <w:rsid w:val="00CE0626"/>
    <w:rsid w:val="00CE065F"/>
    <w:rsid w:val="00CE0679"/>
    <w:rsid w:val="00CE07BD"/>
    <w:rsid w:val="00CE0819"/>
    <w:rsid w:val="00CE089D"/>
    <w:rsid w:val="00CE08D4"/>
    <w:rsid w:val="00CE0936"/>
    <w:rsid w:val="00CE0942"/>
    <w:rsid w:val="00CE0944"/>
    <w:rsid w:val="00CE09BA"/>
    <w:rsid w:val="00CE09DC"/>
    <w:rsid w:val="00CE0A8D"/>
    <w:rsid w:val="00CE0AA0"/>
    <w:rsid w:val="00CE0ACB"/>
    <w:rsid w:val="00CE0AED"/>
    <w:rsid w:val="00CE0B93"/>
    <w:rsid w:val="00CE0BA2"/>
    <w:rsid w:val="00CE0BEB"/>
    <w:rsid w:val="00CE0D3F"/>
    <w:rsid w:val="00CE0E44"/>
    <w:rsid w:val="00CE0E71"/>
    <w:rsid w:val="00CE0E8B"/>
    <w:rsid w:val="00CE0EF1"/>
    <w:rsid w:val="00CE0FB5"/>
    <w:rsid w:val="00CE0FDC"/>
    <w:rsid w:val="00CE1012"/>
    <w:rsid w:val="00CE10A0"/>
    <w:rsid w:val="00CE117C"/>
    <w:rsid w:val="00CE130A"/>
    <w:rsid w:val="00CE131A"/>
    <w:rsid w:val="00CE1378"/>
    <w:rsid w:val="00CE13A8"/>
    <w:rsid w:val="00CE13D8"/>
    <w:rsid w:val="00CE1402"/>
    <w:rsid w:val="00CE1410"/>
    <w:rsid w:val="00CE1412"/>
    <w:rsid w:val="00CE141F"/>
    <w:rsid w:val="00CE1423"/>
    <w:rsid w:val="00CE1443"/>
    <w:rsid w:val="00CE1473"/>
    <w:rsid w:val="00CE1534"/>
    <w:rsid w:val="00CE1594"/>
    <w:rsid w:val="00CE16C5"/>
    <w:rsid w:val="00CE1729"/>
    <w:rsid w:val="00CE17C7"/>
    <w:rsid w:val="00CE17EF"/>
    <w:rsid w:val="00CE1940"/>
    <w:rsid w:val="00CE19B8"/>
    <w:rsid w:val="00CE19B9"/>
    <w:rsid w:val="00CE1A4F"/>
    <w:rsid w:val="00CE1B1A"/>
    <w:rsid w:val="00CE1B47"/>
    <w:rsid w:val="00CE1B8C"/>
    <w:rsid w:val="00CE1C02"/>
    <w:rsid w:val="00CE1CCA"/>
    <w:rsid w:val="00CE1CD5"/>
    <w:rsid w:val="00CE1D00"/>
    <w:rsid w:val="00CE1D04"/>
    <w:rsid w:val="00CE1D07"/>
    <w:rsid w:val="00CE1D8B"/>
    <w:rsid w:val="00CE1EB9"/>
    <w:rsid w:val="00CE1FAE"/>
    <w:rsid w:val="00CE202A"/>
    <w:rsid w:val="00CE2146"/>
    <w:rsid w:val="00CE21EB"/>
    <w:rsid w:val="00CE21F1"/>
    <w:rsid w:val="00CE2249"/>
    <w:rsid w:val="00CE2276"/>
    <w:rsid w:val="00CE2278"/>
    <w:rsid w:val="00CE2295"/>
    <w:rsid w:val="00CE237C"/>
    <w:rsid w:val="00CE2513"/>
    <w:rsid w:val="00CE25DC"/>
    <w:rsid w:val="00CE26F7"/>
    <w:rsid w:val="00CE287F"/>
    <w:rsid w:val="00CE2986"/>
    <w:rsid w:val="00CE2A51"/>
    <w:rsid w:val="00CE2A98"/>
    <w:rsid w:val="00CE2B72"/>
    <w:rsid w:val="00CE2C6B"/>
    <w:rsid w:val="00CE2CE7"/>
    <w:rsid w:val="00CE2D5E"/>
    <w:rsid w:val="00CE2E33"/>
    <w:rsid w:val="00CE2EFD"/>
    <w:rsid w:val="00CE2FAA"/>
    <w:rsid w:val="00CE3134"/>
    <w:rsid w:val="00CE3264"/>
    <w:rsid w:val="00CE3349"/>
    <w:rsid w:val="00CE35BC"/>
    <w:rsid w:val="00CE36C8"/>
    <w:rsid w:val="00CE370F"/>
    <w:rsid w:val="00CE37DE"/>
    <w:rsid w:val="00CE384F"/>
    <w:rsid w:val="00CE39FA"/>
    <w:rsid w:val="00CE3B69"/>
    <w:rsid w:val="00CE3BE8"/>
    <w:rsid w:val="00CE3C03"/>
    <w:rsid w:val="00CE3C9A"/>
    <w:rsid w:val="00CE3CFB"/>
    <w:rsid w:val="00CE3D18"/>
    <w:rsid w:val="00CE3D2D"/>
    <w:rsid w:val="00CE3D74"/>
    <w:rsid w:val="00CE3DC0"/>
    <w:rsid w:val="00CE3F7E"/>
    <w:rsid w:val="00CE3F99"/>
    <w:rsid w:val="00CE402F"/>
    <w:rsid w:val="00CE403A"/>
    <w:rsid w:val="00CE403F"/>
    <w:rsid w:val="00CE40DE"/>
    <w:rsid w:val="00CE410C"/>
    <w:rsid w:val="00CE423D"/>
    <w:rsid w:val="00CE424C"/>
    <w:rsid w:val="00CE4342"/>
    <w:rsid w:val="00CE4375"/>
    <w:rsid w:val="00CE43AF"/>
    <w:rsid w:val="00CE43BA"/>
    <w:rsid w:val="00CE449E"/>
    <w:rsid w:val="00CE4596"/>
    <w:rsid w:val="00CE45C0"/>
    <w:rsid w:val="00CE472A"/>
    <w:rsid w:val="00CE4769"/>
    <w:rsid w:val="00CE4781"/>
    <w:rsid w:val="00CE47AB"/>
    <w:rsid w:val="00CE4896"/>
    <w:rsid w:val="00CE4898"/>
    <w:rsid w:val="00CE48BC"/>
    <w:rsid w:val="00CE4916"/>
    <w:rsid w:val="00CE4955"/>
    <w:rsid w:val="00CE49D6"/>
    <w:rsid w:val="00CE49DD"/>
    <w:rsid w:val="00CE4A9B"/>
    <w:rsid w:val="00CE4ABC"/>
    <w:rsid w:val="00CE4AF4"/>
    <w:rsid w:val="00CE4BB3"/>
    <w:rsid w:val="00CE4C3C"/>
    <w:rsid w:val="00CE4C4C"/>
    <w:rsid w:val="00CE4C75"/>
    <w:rsid w:val="00CE4CF3"/>
    <w:rsid w:val="00CE4D1E"/>
    <w:rsid w:val="00CE4D3C"/>
    <w:rsid w:val="00CE4DC8"/>
    <w:rsid w:val="00CE4F4A"/>
    <w:rsid w:val="00CE4F77"/>
    <w:rsid w:val="00CE4FB9"/>
    <w:rsid w:val="00CE4FCC"/>
    <w:rsid w:val="00CE4FDC"/>
    <w:rsid w:val="00CE5012"/>
    <w:rsid w:val="00CE52C1"/>
    <w:rsid w:val="00CE545C"/>
    <w:rsid w:val="00CE5502"/>
    <w:rsid w:val="00CE5567"/>
    <w:rsid w:val="00CE5569"/>
    <w:rsid w:val="00CE5642"/>
    <w:rsid w:val="00CE5712"/>
    <w:rsid w:val="00CE573B"/>
    <w:rsid w:val="00CE5755"/>
    <w:rsid w:val="00CE57C8"/>
    <w:rsid w:val="00CE581B"/>
    <w:rsid w:val="00CE587B"/>
    <w:rsid w:val="00CE58D8"/>
    <w:rsid w:val="00CE58EC"/>
    <w:rsid w:val="00CE58FE"/>
    <w:rsid w:val="00CE5905"/>
    <w:rsid w:val="00CE592F"/>
    <w:rsid w:val="00CE5B27"/>
    <w:rsid w:val="00CE5B91"/>
    <w:rsid w:val="00CE5C1D"/>
    <w:rsid w:val="00CE5C48"/>
    <w:rsid w:val="00CE5C4F"/>
    <w:rsid w:val="00CE5CD3"/>
    <w:rsid w:val="00CE5D5E"/>
    <w:rsid w:val="00CE5E99"/>
    <w:rsid w:val="00CE5EA1"/>
    <w:rsid w:val="00CE5FC2"/>
    <w:rsid w:val="00CE60EB"/>
    <w:rsid w:val="00CE6144"/>
    <w:rsid w:val="00CE615B"/>
    <w:rsid w:val="00CE6162"/>
    <w:rsid w:val="00CE61F6"/>
    <w:rsid w:val="00CE6222"/>
    <w:rsid w:val="00CE62E4"/>
    <w:rsid w:val="00CE6326"/>
    <w:rsid w:val="00CE6356"/>
    <w:rsid w:val="00CE6380"/>
    <w:rsid w:val="00CE63F8"/>
    <w:rsid w:val="00CE6405"/>
    <w:rsid w:val="00CE640F"/>
    <w:rsid w:val="00CE6459"/>
    <w:rsid w:val="00CE6642"/>
    <w:rsid w:val="00CE667E"/>
    <w:rsid w:val="00CE66D3"/>
    <w:rsid w:val="00CE66D6"/>
    <w:rsid w:val="00CE688F"/>
    <w:rsid w:val="00CE68DF"/>
    <w:rsid w:val="00CE68E2"/>
    <w:rsid w:val="00CE6A0B"/>
    <w:rsid w:val="00CE6A72"/>
    <w:rsid w:val="00CE6A93"/>
    <w:rsid w:val="00CE6B54"/>
    <w:rsid w:val="00CE6B7A"/>
    <w:rsid w:val="00CE6C1D"/>
    <w:rsid w:val="00CE6C9B"/>
    <w:rsid w:val="00CE6CD7"/>
    <w:rsid w:val="00CE6D9A"/>
    <w:rsid w:val="00CE6D9B"/>
    <w:rsid w:val="00CE6D9E"/>
    <w:rsid w:val="00CE6E07"/>
    <w:rsid w:val="00CE6FA2"/>
    <w:rsid w:val="00CE7005"/>
    <w:rsid w:val="00CE703A"/>
    <w:rsid w:val="00CE7056"/>
    <w:rsid w:val="00CE7057"/>
    <w:rsid w:val="00CE70A1"/>
    <w:rsid w:val="00CE70E3"/>
    <w:rsid w:val="00CE7134"/>
    <w:rsid w:val="00CE7135"/>
    <w:rsid w:val="00CE7156"/>
    <w:rsid w:val="00CE71E4"/>
    <w:rsid w:val="00CE720C"/>
    <w:rsid w:val="00CE722E"/>
    <w:rsid w:val="00CE72EC"/>
    <w:rsid w:val="00CE7368"/>
    <w:rsid w:val="00CE73B6"/>
    <w:rsid w:val="00CE73C1"/>
    <w:rsid w:val="00CE73F8"/>
    <w:rsid w:val="00CE7485"/>
    <w:rsid w:val="00CE74D3"/>
    <w:rsid w:val="00CE750C"/>
    <w:rsid w:val="00CE7568"/>
    <w:rsid w:val="00CE756A"/>
    <w:rsid w:val="00CE75F5"/>
    <w:rsid w:val="00CE7695"/>
    <w:rsid w:val="00CE76A2"/>
    <w:rsid w:val="00CE7745"/>
    <w:rsid w:val="00CE787C"/>
    <w:rsid w:val="00CE7A42"/>
    <w:rsid w:val="00CE7A65"/>
    <w:rsid w:val="00CE7A75"/>
    <w:rsid w:val="00CE7AB5"/>
    <w:rsid w:val="00CE7B00"/>
    <w:rsid w:val="00CE7B05"/>
    <w:rsid w:val="00CE7B40"/>
    <w:rsid w:val="00CE7B56"/>
    <w:rsid w:val="00CE7B61"/>
    <w:rsid w:val="00CE7B73"/>
    <w:rsid w:val="00CE7CA5"/>
    <w:rsid w:val="00CE7CC0"/>
    <w:rsid w:val="00CE7D64"/>
    <w:rsid w:val="00CE7D82"/>
    <w:rsid w:val="00CE7E08"/>
    <w:rsid w:val="00CE7ECC"/>
    <w:rsid w:val="00CE7F03"/>
    <w:rsid w:val="00CE7F51"/>
    <w:rsid w:val="00CE7FBD"/>
    <w:rsid w:val="00CE7FF8"/>
    <w:rsid w:val="00CF00CC"/>
    <w:rsid w:val="00CF01EB"/>
    <w:rsid w:val="00CF022B"/>
    <w:rsid w:val="00CF0251"/>
    <w:rsid w:val="00CF0274"/>
    <w:rsid w:val="00CF02E7"/>
    <w:rsid w:val="00CF02F1"/>
    <w:rsid w:val="00CF033F"/>
    <w:rsid w:val="00CF03D5"/>
    <w:rsid w:val="00CF0411"/>
    <w:rsid w:val="00CF05D6"/>
    <w:rsid w:val="00CF05EC"/>
    <w:rsid w:val="00CF0630"/>
    <w:rsid w:val="00CF0764"/>
    <w:rsid w:val="00CF07C8"/>
    <w:rsid w:val="00CF083C"/>
    <w:rsid w:val="00CF0926"/>
    <w:rsid w:val="00CF096A"/>
    <w:rsid w:val="00CF0A96"/>
    <w:rsid w:val="00CF0B41"/>
    <w:rsid w:val="00CF0B60"/>
    <w:rsid w:val="00CF0BB6"/>
    <w:rsid w:val="00CF0C18"/>
    <w:rsid w:val="00CF0C2B"/>
    <w:rsid w:val="00CF0C8D"/>
    <w:rsid w:val="00CF0CA2"/>
    <w:rsid w:val="00CF0D00"/>
    <w:rsid w:val="00CF0D89"/>
    <w:rsid w:val="00CF0E1C"/>
    <w:rsid w:val="00CF0ED8"/>
    <w:rsid w:val="00CF0F4F"/>
    <w:rsid w:val="00CF1056"/>
    <w:rsid w:val="00CF1070"/>
    <w:rsid w:val="00CF10C4"/>
    <w:rsid w:val="00CF1129"/>
    <w:rsid w:val="00CF1272"/>
    <w:rsid w:val="00CF1346"/>
    <w:rsid w:val="00CF144C"/>
    <w:rsid w:val="00CF14C0"/>
    <w:rsid w:val="00CF1539"/>
    <w:rsid w:val="00CF166B"/>
    <w:rsid w:val="00CF169B"/>
    <w:rsid w:val="00CF16A2"/>
    <w:rsid w:val="00CF16D3"/>
    <w:rsid w:val="00CF1711"/>
    <w:rsid w:val="00CF17FD"/>
    <w:rsid w:val="00CF1831"/>
    <w:rsid w:val="00CF18E3"/>
    <w:rsid w:val="00CF1AC8"/>
    <w:rsid w:val="00CF1B12"/>
    <w:rsid w:val="00CF1B40"/>
    <w:rsid w:val="00CF1B4D"/>
    <w:rsid w:val="00CF1C93"/>
    <w:rsid w:val="00CF1CD1"/>
    <w:rsid w:val="00CF1CF4"/>
    <w:rsid w:val="00CF1D81"/>
    <w:rsid w:val="00CF1E86"/>
    <w:rsid w:val="00CF1F64"/>
    <w:rsid w:val="00CF1F92"/>
    <w:rsid w:val="00CF1FA7"/>
    <w:rsid w:val="00CF1FB6"/>
    <w:rsid w:val="00CF2039"/>
    <w:rsid w:val="00CF20DE"/>
    <w:rsid w:val="00CF2179"/>
    <w:rsid w:val="00CF21CE"/>
    <w:rsid w:val="00CF21EA"/>
    <w:rsid w:val="00CF227A"/>
    <w:rsid w:val="00CF22A3"/>
    <w:rsid w:val="00CF231A"/>
    <w:rsid w:val="00CF245E"/>
    <w:rsid w:val="00CF24DD"/>
    <w:rsid w:val="00CF2563"/>
    <w:rsid w:val="00CF25D3"/>
    <w:rsid w:val="00CF269A"/>
    <w:rsid w:val="00CF26CA"/>
    <w:rsid w:val="00CF2750"/>
    <w:rsid w:val="00CF2758"/>
    <w:rsid w:val="00CF27A3"/>
    <w:rsid w:val="00CF27B2"/>
    <w:rsid w:val="00CF289C"/>
    <w:rsid w:val="00CF28CF"/>
    <w:rsid w:val="00CF2909"/>
    <w:rsid w:val="00CF2A57"/>
    <w:rsid w:val="00CF2AC0"/>
    <w:rsid w:val="00CF2B6B"/>
    <w:rsid w:val="00CF2B82"/>
    <w:rsid w:val="00CF2BDF"/>
    <w:rsid w:val="00CF2C01"/>
    <w:rsid w:val="00CF2CA2"/>
    <w:rsid w:val="00CF2CAE"/>
    <w:rsid w:val="00CF2CC9"/>
    <w:rsid w:val="00CF2CF6"/>
    <w:rsid w:val="00CF2D07"/>
    <w:rsid w:val="00CF2D3F"/>
    <w:rsid w:val="00CF2D6E"/>
    <w:rsid w:val="00CF2DC9"/>
    <w:rsid w:val="00CF2DD0"/>
    <w:rsid w:val="00CF2DE0"/>
    <w:rsid w:val="00CF2DFC"/>
    <w:rsid w:val="00CF2F51"/>
    <w:rsid w:val="00CF2F8D"/>
    <w:rsid w:val="00CF2FB3"/>
    <w:rsid w:val="00CF3011"/>
    <w:rsid w:val="00CF3078"/>
    <w:rsid w:val="00CF31E8"/>
    <w:rsid w:val="00CF31F3"/>
    <w:rsid w:val="00CF3240"/>
    <w:rsid w:val="00CF32C7"/>
    <w:rsid w:val="00CF3325"/>
    <w:rsid w:val="00CF335E"/>
    <w:rsid w:val="00CF33C5"/>
    <w:rsid w:val="00CF33CE"/>
    <w:rsid w:val="00CF3558"/>
    <w:rsid w:val="00CF3611"/>
    <w:rsid w:val="00CF3633"/>
    <w:rsid w:val="00CF3651"/>
    <w:rsid w:val="00CF3724"/>
    <w:rsid w:val="00CF373B"/>
    <w:rsid w:val="00CF3748"/>
    <w:rsid w:val="00CF38C2"/>
    <w:rsid w:val="00CF397A"/>
    <w:rsid w:val="00CF3A5E"/>
    <w:rsid w:val="00CF3B34"/>
    <w:rsid w:val="00CF3C1B"/>
    <w:rsid w:val="00CF3C2F"/>
    <w:rsid w:val="00CF3C8E"/>
    <w:rsid w:val="00CF3DF3"/>
    <w:rsid w:val="00CF3E1C"/>
    <w:rsid w:val="00CF3E7A"/>
    <w:rsid w:val="00CF3EE3"/>
    <w:rsid w:val="00CF3EF5"/>
    <w:rsid w:val="00CF3FD0"/>
    <w:rsid w:val="00CF4046"/>
    <w:rsid w:val="00CF4187"/>
    <w:rsid w:val="00CF4232"/>
    <w:rsid w:val="00CF4413"/>
    <w:rsid w:val="00CF4458"/>
    <w:rsid w:val="00CF448E"/>
    <w:rsid w:val="00CF44A0"/>
    <w:rsid w:val="00CF44B4"/>
    <w:rsid w:val="00CF4507"/>
    <w:rsid w:val="00CF4519"/>
    <w:rsid w:val="00CF458A"/>
    <w:rsid w:val="00CF4747"/>
    <w:rsid w:val="00CF47A7"/>
    <w:rsid w:val="00CF4825"/>
    <w:rsid w:val="00CF489E"/>
    <w:rsid w:val="00CF499F"/>
    <w:rsid w:val="00CF49D6"/>
    <w:rsid w:val="00CF49E0"/>
    <w:rsid w:val="00CF4B4D"/>
    <w:rsid w:val="00CF4D32"/>
    <w:rsid w:val="00CF4DC7"/>
    <w:rsid w:val="00CF4E60"/>
    <w:rsid w:val="00CF4F42"/>
    <w:rsid w:val="00CF4F9E"/>
    <w:rsid w:val="00CF4FB7"/>
    <w:rsid w:val="00CF5009"/>
    <w:rsid w:val="00CF5010"/>
    <w:rsid w:val="00CF50B8"/>
    <w:rsid w:val="00CF5218"/>
    <w:rsid w:val="00CF526C"/>
    <w:rsid w:val="00CF537D"/>
    <w:rsid w:val="00CF54AF"/>
    <w:rsid w:val="00CF5640"/>
    <w:rsid w:val="00CF5644"/>
    <w:rsid w:val="00CF56EC"/>
    <w:rsid w:val="00CF5849"/>
    <w:rsid w:val="00CF5885"/>
    <w:rsid w:val="00CF589C"/>
    <w:rsid w:val="00CF594F"/>
    <w:rsid w:val="00CF5986"/>
    <w:rsid w:val="00CF5A54"/>
    <w:rsid w:val="00CF5AA8"/>
    <w:rsid w:val="00CF5ACB"/>
    <w:rsid w:val="00CF5AE3"/>
    <w:rsid w:val="00CF5B75"/>
    <w:rsid w:val="00CF5C17"/>
    <w:rsid w:val="00CF5C4C"/>
    <w:rsid w:val="00CF5C50"/>
    <w:rsid w:val="00CF5C51"/>
    <w:rsid w:val="00CF5C5E"/>
    <w:rsid w:val="00CF5CC9"/>
    <w:rsid w:val="00CF5D14"/>
    <w:rsid w:val="00CF5D6D"/>
    <w:rsid w:val="00CF5D82"/>
    <w:rsid w:val="00CF5E8B"/>
    <w:rsid w:val="00CF5E92"/>
    <w:rsid w:val="00CF5E98"/>
    <w:rsid w:val="00CF5EBD"/>
    <w:rsid w:val="00CF5F04"/>
    <w:rsid w:val="00CF607D"/>
    <w:rsid w:val="00CF60E0"/>
    <w:rsid w:val="00CF6119"/>
    <w:rsid w:val="00CF6143"/>
    <w:rsid w:val="00CF61A5"/>
    <w:rsid w:val="00CF61A6"/>
    <w:rsid w:val="00CF61B8"/>
    <w:rsid w:val="00CF62C4"/>
    <w:rsid w:val="00CF631C"/>
    <w:rsid w:val="00CF634A"/>
    <w:rsid w:val="00CF6366"/>
    <w:rsid w:val="00CF63A0"/>
    <w:rsid w:val="00CF63A8"/>
    <w:rsid w:val="00CF6499"/>
    <w:rsid w:val="00CF64A3"/>
    <w:rsid w:val="00CF664F"/>
    <w:rsid w:val="00CF67E8"/>
    <w:rsid w:val="00CF6848"/>
    <w:rsid w:val="00CF68D2"/>
    <w:rsid w:val="00CF68F7"/>
    <w:rsid w:val="00CF695E"/>
    <w:rsid w:val="00CF69F8"/>
    <w:rsid w:val="00CF6ABB"/>
    <w:rsid w:val="00CF6BB0"/>
    <w:rsid w:val="00CF6BE0"/>
    <w:rsid w:val="00CF6BE8"/>
    <w:rsid w:val="00CF6C08"/>
    <w:rsid w:val="00CF6C51"/>
    <w:rsid w:val="00CF6CC1"/>
    <w:rsid w:val="00CF6D17"/>
    <w:rsid w:val="00CF6E02"/>
    <w:rsid w:val="00CF6E6C"/>
    <w:rsid w:val="00CF6E8D"/>
    <w:rsid w:val="00CF6F7D"/>
    <w:rsid w:val="00CF6FD7"/>
    <w:rsid w:val="00CF703D"/>
    <w:rsid w:val="00CF7074"/>
    <w:rsid w:val="00CF7085"/>
    <w:rsid w:val="00CF71C9"/>
    <w:rsid w:val="00CF7287"/>
    <w:rsid w:val="00CF7308"/>
    <w:rsid w:val="00CF7346"/>
    <w:rsid w:val="00CF73D5"/>
    <w:rsid w:val="00CF748D"/>
    <w:rsid w:val="00CF74ED"/>
    <w:rsid w:val="00CF7599"/>
    <w:rsid w:val="00CF764C"/>
    <w:rsid w:val="00CF782E"/>
    <w:rsid w:val="00CF7A5B"/>
    <w:rsid w:val="00CF7AE4"/>
    <w:rsid w:val="00CF7C0E"/>
    <w:rsid w:val="00CF7C32"/>
    <w:rsid w:val="00CF7CB6"/>
    <w:rsid w:val="00CF7D65"/>
    <w:rsid w:val="00CF7DDE"/>
    <w:rsid w:val="00CF7EB3"/>
    <w:rsid w:val="00CF7FEE"/>
    <w:rsid w:val="00D0000C"/>
    <w:rsid w:val="00D0001B"/>
    <w:rsid w:val="00D000E2"/>
    <w:rsid w:val="00D0019B"/>
    <w:rsid w:val="00D001A8"/>
    <w:rsid w:val="00D0020E"/>
    <w:rsid w:val="00D00230"/>
    <w:rsid w:val="00D00233"/>
    <w:rsid w:val="00D00290"/>
    <w:rsid w:val="00D00364"/>
    <w:rsid w:val="00D00453"/>
    <w:rsid w:val="00D0057A"/>
    <w:rsid w:val="00D0068B"/>
    <w:rsid w:val="00D0069E"/>
    <w:rsid w:val="00D00716"/>
    <w:rsid w:val="00D00756"/>
    <w:rsid w:val="00D00768"/>
    <w:rsid w:val="00D008AB"/>
    <w:rsid w:val="00D00A58"/>
    <w:rsid w:val="00D00A83"/>
    <w:rsid w:val="00D00B0E"/>
    <w:rsid w:val="00D00B7A"/>
    <w:rsid w:val="00D00BD3"/>
    <w:rsid w:val="00D00C73"/>
    <w:rsid w:val="00D00C79"/>
    <w:rsid w:val="00D00CA0"/>
    <w:rsid w:val="00D00CAF"/>
    <w:rsid w:val="00D00CC4"/>
    <w:rsid w:val="00D00FD0"/>
    <w:rsid w:val="00D00FF8"/>
    <w:rsid w:val="00D01080"/>
    <w:rsid w:val="00D01152"/>
    <w:rsid w:val="00D011AE"/>
    <w:rsid w:val="00D0120C"/>
    <w:rsid w:val="00D01282"/>
    <w:rsid w:val="00D01300"/>
    <w:rsid w:val="00D01386"/>
    <w:rsid w:val="00D013C1"/>
    <w:rsid w:val="00D01489"/>
    <w:rsid w:val="00D01622"/>
    <w:rsid w:val="00D01661"/>
    <w:rsid w:val="00D0169C"/>
    <w:rsid w:val="00D016D4"/>
    <w:rsid w:val="00D0171C"/>
    <w:rsid w:val="00D01731"/>
    <w:rsid w:val="00D01757"/>
    <w:rsid w:val="00D017F4"/>
    <w:rsid w:val="00D01812"/>
    <w:rsid w:val="00D01817"/>
    <w:rsid w:val="00D01825"/>
    <w:rsid w:val="00D0185B"/>
    <w:rsid w:val="00D01868"/>
    <w:rsid w:val="00D018B5"/>
    <w:rsid w:val="00D018FB"/>
    <w:rsid w:val="00D019D9"/>
    <w:rsid w:val="00D01A11"/>
    <w:rsid w:val="00D01A50"/>
    <w:rsid w:val="00D01AE6"/>
    <w:rsid w:val="00D01AF6"/>
    <w:rsid w:val="00D01B3A"/>
    <w:rsid w:val="00D01B66"/>
    <w:rsid w:val="00D01BCE"/>
    <w:rsid w:val="00D01C0D"/>
    <w:rsid w:val="00D01C27"/>
    <w:rsid w:val="00D01CDE"/>
    <w:rsid w:val="00D01D18"/>
    <w:rsid w:val="00D01D8F"/>
    <w:rsid w:val="00D01F53"/>
    <w:rsid w:val="00D01FE1"/>
    <w:rsid w:val="00D02117"/>
    <w:rsid w:val="00D02152"/>
    <w:rsid w:val="00D02186"/>
    <w:rsid w:val="00D021A4"/>
    <w:rsid w:val="00D02278"/>
    <w:rsid w:val="00D022A3"/>
    <w:rsid w:val="00D022E6"/>
    <w:rsid w:val="00D022ED"/>
    <w:rsid w:val="00D022FF"/>
    <w:rsid w:val="00D02600"/>
    <w:rsid w:val="00D02634"/>
    <w:rsid w:val="00D026F9"/>
    <w:rsid w:val="00D028CB"/>
    <w:rsid w:val="00D02A94"/>
    <w:rsid w:val="00D02AEB"/>
    <w:rsid w:val="00D02BE9"/>
    <w:rsid w:val="00D02C26"/>
    <w:rsid w:val="00D02D49"/>
    <w:rsid w:val="00D02E33"/>
    <w:rsid w:val="00D02E49"/>
    <w:rsid w:val="00D02EA2"/>
    <w:rsid w:val="00D0301E"/>
    <w:rsid w:val="00D0303E"/>
    <w:rsid w:val="00D030A2"/>
    <w:rsid w:val="00D030A4"/>
    <w:rsid w:val="00D031F6"/>
    <w:rsid w:val="00D0326E"/>
    <w:rsid w:val="00D032F5"/>
    <w:rsid w:val="00D032FF"/>
    <w:rsid w:val="00D034D8"/>
    <w:rsid w:val="00D03540"/>
    <w:rsid w:val="00D0358A"/>
    <w:rsid w:val="00D035DC"/>
    <w:rsid w:val="00D03604"/>
    <w:rsid w:val="00D0361F"/>
    <w:rsid w:val="00D0365B"/>
    <w:rsid w:val="00D03700"/>
    <w:rsid w:val="00D0370F"/>
    <w:rsid w:val="00D0372D"/>
    <w:rsid w:val="00D0378D"/>
    <w:rsid w:val="00D03841"/>
    <w:rsid w:val="00D03890"/>
    <w:rsid w:val="00D03893"/>
    <w:rsid w:val="00D038CF"/>
    <w:rsid w:val="00D0394A"/>
    <w:rsid w:val="00D0396F"/>
    <w:rsid w:val="00D03A8D"/>
    <w:rsid w:val="00D03AA9"/>
    <w:rsid w:val="00D03B0C"/>
    <w:rsid w:val="00D03B6D"/>
    <w:rsid w:val="00D03C39"/>
    <w:rsid w:val="00D03D25"/>
    <w:rsid w:val="00D03FC9"/>
    <w:rsid w:val="00D0403D"/>
    <w:rsid w:val="00D0409A"/>
    <w:rsid w:val="00D040C9"/>
    <w:rsid w:val="00D0415A"/>
    <w:rsid w:val="00D0416F"/>
    <w:rsid w:val="00D041B9"/>
    <w:rsid w:val="00D041EE"/>
    <w:rsid w:val="00D041F4"/>
    <w:rsid w:val="00D04234"/>
    <w:rsid w:val="00D042D6"/>
    <w:rsid w:val="00D04322"/>
    <w:rsid w:val="00D04375"/>
    <w:rsid w:val="00D04562"/>
    <w:rsid w:val="00D0458A"/>
    <w:rsid w:val="00D04606"/>
    <w:rsid w:val="00D04787"/>
    <w:rsid w:val="00D047B9"/>
    <w:rsid w:val="00D047D6"/>
    <w:rsid w:val="00D048A8"/>
    <w:rsid w:val="00D04901"/>
    <w:rsid w:val="00D04935"/>
    <w:rsid w:val="00D0498A"/>
    <w:rsid w:val="00D049F9"/>
    <w:rsid w:val="00D04A8B"/>
    <w:rsid w:val="00D04AA5"/>
    <w:rsid w:val="00D04B0F"/>
    <w:rsid w:val="00D04B18"/>
    <w:rsid w:val="00D04BF0"/>
    <w:rsid w:val="00D04CAE"/>
    <w:rsid w:val="00D04D29"/>
    <w:rsid w:val="00D04D2C"/>
    <w:rsid w:val="00D04D93"/>
    <w:rsid w:val="00D04DB3"/>
    <w:rsid w:val="00D04DC6"/>
    <w:rsid w:val="00D04E9B"/>
    <w:rsid w:val="00D04EE9"/>
    <w:rsid w:val="00D04F60"/>
    <w:rsid w:val="00D04F62"/>
    <w:rsid w:val="00D04F85"/>
    <w:rsid w:val="00D05031"/>
    <w:rsid w:val="00D051DE"/>
    <w:rsid w:val="00D05241"/>
    <w:rsid w:val="00D0525E"/>
    <w:rsid w:val="00D05296"/>
    <w:rsid w:val="00D052CE"/>
    <w:rsid w:val="00D0531F"/>
    <w:rsid w:val="00D053A4"/>
    <w:rsid w:val="00D053B7"/>
    <w:rsid w:val="00D053C5"/>
    <w:rsid w:val="00D054BE"/>
    <w:rsid w:val="00D054CB"/>
    <w:rsid w:val="00D054E0"/>
    <w:rsid w:val="00D05588"/>
    <w:rsid w:val="00D055DB"/>
    <w:rsid w:val="00D0564B"/>
    <w:rsid w:val="00D05667"/>
    <w:rsid w:val="00D0569A"/>
    <w:rsid w:val="00D056CB"/>
    <w:rsid w:val="00D05743"/>
    <w:rsid w:val="00D05756"/>
    <w:rsid w:val="00D05865"/>
    <w:rsid w:val="00D0596E"/>
    <w:rsid w:val="00D05AEC"/>
    <w:rsid w:val="00D05B4E"/>
    <w:rsid w:val="00D05B6E"/>
    <w:rsid w:val="00D05BCA"/>
    <w:rsid w:val="00D05BF8"/>
    <w:rsid w:val="00D05C66"/>
    <w:rsid w:val="00D05C99"/>
    <w:rsid w:val="00D05CD6"/>
    <w:rsid w:val="00D05D32"/>
    <w:rsid w:val="00D05D3F"/>
    <w:rsid w:val="00D05D7E"/>
    <w:rsid w:val="00D05E14"/>
    <w:rsid w:val="00D05E57"/>
    <w:rsid w:val="00D05E95"/>
    <w:rsid w:val="00D05F84"/>
    <w:rsid w:val="00D060B2"/>
    <w:rsid w:val="00D060E6"/>
    <w:rsid w:val="00D060F8"/>
    <w:rsid w:val="00D0617C"/>
    <w:rsid w:val="00D061CB"/>
    <w:rsid w:val="00D06236"/>
    <w:rsid w:val="00D06241"/>
    <w:rsid w:val="00D0624C"/>
    <w:rsid w:val="00D06256"/>
    <w:rsid w:val="00D062AF"/>
    <w:rsid w:val="00D0637A"/>
    <w:rsid w:val="00D063B2"/>
    <w:rsid w:val="00D0647E"/>
    <w:rsid w:val="00D064B2"/>
    <w:rsid w:val="00D06531"/>
    <w:rsid w:val="00D06555"/>
    <w:rsid w:val="00D06560"/>
    <w:rsid w:val="00D06589"/>
    <w:rsid w:val="00D0660E"/>
    <w:rsid w:val="00D0665D"/>
    <w:rsid w:val="00D0668D"/>
    <w:rsid w:val="00D066D9"/>
    <w:rsid w:val="00D0673C"/>
    <w:rsid w:val="00D06858"/>
    <w:rsid w:val="00D068CF"/>
    <w:rsid w:val="00D069C5"/>
    <w:rsid w:val="00D069EF"/>
    <w:rsid w:val="00D06A10"/>
    <w:rsid w:val="00D06B1E"/>
    <w:rsid w:val="00D06B3D"/>
    <w:rsid w:val="00D06B42"/>
    <w:rsid w:val="00D06C1A"/>
    <w:rsid w:val="00D06CB0"/>
    <w:rsid w:val="00D06D64"/>
    <w:rsid w:val="00D06DC2"/>
    <w:rsid w:val="00D06E1F"/>
    <w:rsid w:val="00D06E31"/>
    <w:rsid w:val="00D06EAA"/>
    <w:rsid w:val="00D06EAC"/>
    <w:rsid w:val="00D06F55"/>
    <w:rsid w:val="00D06FA9"/>
    <w:rsid w:val="00D07050"/>
    <w:rsid w:val="00D070A0"/>
    <w:rsid w:val="00D070F7"/>
    <w:rsid w:val="00D071A8"/>
    <w:rsid w:val="00D07204"/>
    <w:rsid w:val="00D0721F"/>
    <w:rsid w:val="00D07223"/>
    <w:rsid w:val="00D07261"/>
    <w:rsid w:val="00D07267"/>
    <w:rsid w:val="00D072ED"/>
    <w:rsid w:val="00D07301"/>
    <w:rsid w:val="00D073C7"/>
    <w:rsid w:val="00D07476"/>
    <w:rsid w:val="00D07685"/>
    <w:rsid w:val="00D076D8"/>
    <w:rsid w:val="00D076F1"/>
    <w:rsid w:val="00D07726"/>
    <w:rsid w:val="00D077AC"/>
    <w:rsid w:val="00D07873"/>
    <w:rsid w:val="00D0788D"/>
    <w:rsid w:val="00D078B2"/>
    <w:rsid w:val="00D078D2"/>
    <w:rsid w:val="00D078F9"/>
    <w:rsid w:val="00D0791C"/>
    <w:rsid w:val="00D0793F"/>
    <w:rsid w:val="00D0795E"/>
    <w:rsid w:val="00D079E4"/>
    <w:rsid w:val="00D07ACB"/>
    <w:rsid w:val="00D07AE1"/>
    <w:rsid w:val="00D07B1B"/>
    <w:rsid w:val="00D07B6B"/>
    <w:rsid w:val="00D07BEA"/>
    <w:rsid w:val="00D07EE1"/>
    <w:rsid w:val="00D07F0B"/>
    <w:rsid w:val="00D10081"/>
    <w:rsid w:val="00D100A6"/>
    <w:rsid w:val="00D100B5"/>
    <w:rsid w:val="00D100CC"/>
    <w:rsid w:val="00D100CF"/>
    <w:rsid w:val="00D100F4"/>
    <w:rsid w:val="00D101B5"/>
    <w:rsid w:val="00D101F8"/>
    <w:rsid w:val="00D10269"/>
    <w:rsid w:val="00D102D8"/>
    <w:rsid w:val="00D102DC"/>
    <w:rsid w:val="00D10301"/>
    <w:rsid w:val="00D10432"/>
    <w:rsid w:val="00D1046C"/>
    <w:rsid w:val="00D104BA"/>
    <w:rsid w:val="00D104DA"/>
    <w:rsid w:val="00D10571"/>
    <w:rsid w:val="00D10584"/>
    <w:rsid w:val="00D105B3"/>
    <w:rsid w:val="00D1067D"/>
    <w:rsid w:val="00D10701"/>
    <w:rsid w:val="00D10740"/>
    <w:rsid w:val="00D10745"/>
    <w:rsid w:val="00D1079A"/>
    <w:rsid w:val="00D107A5"/>
    <w:rsid w:val="00D107BE"/>
    <w:rsid w:val="00D10838"/>
    <w:rsid w:val="00D108A4"/>
    <w:rsid w:val="00D108C1"/>
    <w:rsid w:val="00D108DD"/>
    <w:rsid w:val="00D109A1"/>
    <w:rsid w:val="00D109D5"/>
    <w:rsid w:val="00D10A0A"/>
    <w:rsid w:val="00D10A2D"/>
    <w:rsid w:val="00D10B38"/>
    <w:rsid w:val="00D10BAC"/>
    <w:rsid w:val="00D10C9F"/>
    <w:rsid w:val="00D10CF6"/>
    <w:rsid w:val="00D10D1E"/>
    <w:rsid w:val="00D10D53"/>
    <w:rsid w:val="00D10DAC"/>
    <w:rsid w:val="00D10E36"/>
    <w:rsid w:val="00D10E7F"/>
    <w:rsid w:val="00D10ECF"/>
    <w:rsid w:val="00D10F73"/>
    <w:rsid w:val="00D11052"/>
    <w:rsid w:val="00D110D5"/>
    <w:rsid w:val="00D111DB"/>
    <w:rsid w:val="00D11232"/>
    <w:rsid w:val="00D112CE"/>
    <w:rsid w:val="00D11320"/>
    <w:rsid w:val="00D1135D"/>
    <w:rsid w:val="00D1140D"/>
    <w:rsid w:val="00D1144E"/>
    <w:rsid w:val="00D114AE"/>
    <w:rsid w:val="00D11592"/>
    <w:rsid w:val="00D115B7"/>
    <w:rsid w:val="00D11610"/>
    <w:rsid w:val="00D1166D"/>
    <w:rsid w:val="00D11679"/>
    <w:rsid w:val="00D116AD"/>
    <w:rsid w:val="00D1174E"/>
    <w:rsid w:val="00D1176B"/>
    <w:rsid w:val="00D11776"/>
    <w:rsid w:val="00D117C6"/>
    <w:rsid w:val="00D1181E"/>
    <w:rsid w:val="00D11855"/>
    <w:rsid w:val="00D1185A"/>
    <w:rsid w:val="00D11924"/>
    <w:rsid w:val="00D11991"/>
    <w:rsid w:val="00D11A92"/>
    <w:rsid w:val="00D11B66"/>
    <w:rsid w:val="00D11BBA"/>
    <w:rsid w:val="00D11D98"/>
    <w:rsid w:val="00D11EF6"/>
    <w:rsid w:val="00D11FB1"/>
    <w:rsid w:val="00D11FEB"/>
    <w:rsid w:val="00D1213A"/>
    <w:rsid w:val="00D12182"/>
    <w:rsid w:val="00D12185"/>
    <w:rsid w:val="00D12230"/>
    <w:rsid w:val="00D12251"/>
    <w:rsid w:val="00D1228A"/>
    <w:rsid w:val="00D122A1"/>
    <w:rsid w:val="00D12338"/>
    <w:rsid w:val="00D12380"/>
    <w:rsid w:val="00D1256B"/>
    <w:rsid w:val="00D125D7"/>
    <w:rsid w:val="00D1262F"/>
    <w:rsid w:val="00D126D3"/>
    <w:rsid w:val="00D12865"/>
    <w:rsid w:val="00D12894"/>
    <w:rsid w:val="00D128C3"/>
    <w:rsid w:val="00D128C8"/>
    <w:rsid w:val="00D12906"/>
    <w:rsid w:val="00D12975"/>
    <w:rsid w:val="00D129C8"/>
    <w:rsid w:val="00D129EB"/>
    <w:rsid w:val="00D12A07"/>
    <w:rsid w:val="00D12A89"/>
    <w:rsid w:val="00D12B19"/>
    <w:rsid w:val="00D12B7C"/>
    <w:rsid w:val="00D12BD6"/>
    <w:rsid w:val="00D12C2F"/>
    <w:rsid w:val="00D12C31"/>
    <w:rsid w:val="00D12CBC"/>
    <w:rsid w:val="00D12CEE"/>
    <w:rsid w:val="00D12DC3"/>
    <w:rsid w:val="00D12DEA"/>
    <w:rsid w:val="00D12E07"/>
    <w:rsid w:val="00D12F14"/>
    <w:rsid w:val="00D12F6D"/>
    <w:rsid w:val="00D13035"/>
    <w:rsid w:val="00D130C7"/>
    <w:rsid w:val="00D13161"/>
    <w:rsid w:val="00D1318F"/>
    <w:rsid w:val="00D131B7"/>
    <w:rsid w:val="00D131CB"/>
    <w:rsid w:val="00D1331D"/>
    <w:rsid w:val="00D1333A"/>
    <w:rsid w:val="00D133A0"/>
    <w:rsid w:val="00D133E7"/>
    <w:rsid w:val="00D13407"/>
    <w:rsid w:val="00D134E1"/>
    <w:rsid w:val="00D13590"/>
    <w:rsid w:val="00D13608"/>
    <w:rsid w:val="00D1364E"/>
    <w:rsid w:val="00D137A4"/>
    <w:rsid w:val="00D137B0"/>
    <w:rsid w:val="00D137EB"/>
    <w:rsid w:val="00D13900"/>
    <w:rsid w:val="00D13938"/>
    <w:rsid w:val="00D13995"/>
    <w:rsid w:val="00D139C1"/>
    <w:rsid w:val="00D13A36"/>
    <w:rsid w:val="00D13AF3"/>
    <w:rsid w:val="00D13B34"/>
    <w:rsid w:val="00D13B74"/>
    <w:rsid w:val="00D13D95"/>
    <w:rsid w:val="00D13DDD"/>
    <w:rsid w:val="00D13DE4"/>
    <w:rsid w:val="00D13E53"/>
    <w:rsid w:val="00D1404C"/>
    <w:rsid w:val="00D14130"/>
    <w:rsid w:val="00D141A4"/>
    <w:rsid w:val="00D141DF"/>
    <w:rsid w:val="00D14249"/>
    <w:rsid w:val="00D14262"/>
    <w:rsid w:val="00D142FD"/>
    <w:rsid w:val="00D14311"/>
    <w:rsid w:val="00D1435B"/>
    <w:rsid w:val="00D143FA"/>
    <w:rsid w:val="00D14438"/>
    <w:rsid w:val="00D14613"/>
    <w:rsid w:val="00D1467F"/>
    <w:rsid w:val="00D14697"/>
    <w:rsid w:val="00D146A1"/>
    <w:rsid w:val="00D148DF"/>
    <w:rsid w:val="00D148FC"/>
    <w:rsid w:val="00D14901"/>
    <w:rsid w:val="00D14914"/>
    <w:rsid w:val="00D1499D"/>
    <w:rsid w:val="00D149F7"/>
    <w:rsid w:val="00D149F9"/>
    <w:rsid w:val="00D149FC"/>
    <w:rsid w:val="00D14A3B"/>
    <w:rsid w:val="00D14B24"/>
    <w:rsid w:val="00D14B37"/>
    <w:rsid w:val="00D14B9C"/>
    <w:rsid w:val="00D14C1D"/>
    <w:rsid w:val="00D14C75"/>
    <w:rsid w:val="00D14DCF"/>
    <w:rsid w:val="00D14DFC"/>
    <w:rsid w:val="00D14E78"/>
    <w:rsid w:val="00D14F82"/>
    <w:rsid w:val="00D14FD0"/>
    <w:rsid w:val="00D1503B"/>
    <w:rsid w:val="00D150D7"/>
    <w:rsid w:val="00D1515A"/>
    <w:rsid w:val="00D1516D"/>
    <w:rsid w:val="00D15402"/>
    <w:rsid w:val="00D154E3"/>
    <w:rsid w:val="00D154FC"/>
    <w:rsid w:val="00D156ED"/>
    <w:rsid w:val="00D15793"/>
    <w:rsid w:val="00D1583A"/>
    <w:rsid w:val="00D15881"/>
    <w:rsid w:val="00D15899"/>
    <w:rsid w:val="00D1591E"/>
    <w:rsid w:val="00D15956"/>
    <w:rsid w:val="00D1599E"/>
    <w:rsid w:val="00D159C6"/>
    <w:rsid w:val="00D15A7B"/>
    <w:rsid w:val="00D15B03"/>
    <w:rsid w:val="00D15B06"/>
    <w:rsid w:val="00D15B14"/>
    <w:rsid w:val="00D15B64"/>
    <w:rsid w:val="00D15BB2"/>
    <w:rsid w:val="00D15C0F"/>
    <w:rsid w:val="00D15C85"/>
    <w:rsid w:val="00D15CD3"/>
    <w:rsid w:val="00D15D23"/>
    <w:rsid w:val="00D15D3B"/>
    <w:rsid w:val="00D15D41"/>
    <w:rsid w:val="00D15DE8"/>
    <w:rsid w:val="00D15E10"/>
    <w:rsid w:val="00D15E74"/>
    <w:rsid w:val="00D15F00"/>
    <w:rsid w:val="00D15F0F"/>
    <w:rsid w:val="00D15F45"/>
    <w:rsid w:val="00D15F48"/>
    <w:rsid w:val="00D15F7B"/>
    <w:rsid w:val="00D16012"/>
    <w:rsid w:val="00D160BA"/>
    <w:rsid w:val="00D16100"/>
    <w:rsid w:val="00D16198"/>
    <w:rsid w:val="00D16224"/>
    <w:rsid w:val="00D162A6"/>
    <w:rsid w:val="00D164C0"/>
    <w:rsid w:val="00D1653C"/>
    <w:rsid w:val="00D1656B"/>
    <w:rsid w:val="00D16586"/>
    <w:rsid w:val="00D165D4"/>
    <w:rsid w:val="00D16605"/>
    <w:rsid w:val="00D16623"/>
    <w:rsid w:val="00D16690"/>
    <w:rsid w:val="00D166E9"/>
    <w:rsid w:val="00D167D7"/>
    <w:rsid w:val="00D16802"/>
    <w:rsid w:val="00D16825"/>
    <w:rsid w:val="00D1684C"/>
    <w:rsid w:val="00D1685D"/>
    <w:rsid w:val="00D16886"/>
    <w:rsid w:val="00D1690B"/>
    <w:rsid w:val="00D16954"/>
    <w:rsid w:val="00D16B71"/>
    <w:rsid w:val="00D16C47"/>
    <w:rsid w:val="00D16CDF"/>
    <w:rsid w:val="00D16CFE"/>
    <w:rsid w:val="00D16D1F"/>
    <w:rsid w:val="00D16D3B"/>
    <w:rsid w:val="00D16DA7"/>
    <w:rsid w:val="00D16E97"/>
    <w:rsid w:val="00D16F3D"/>
    <w:rsid w:val="00D16F7D"/>
    <w:rsid w:val="00D16FDD"/>
    <w:rsid w:val="00D17099"/>
    <w:rsid w:val="00D1718C"/>
    <w:rsid w:val="00D17274"/>
    <w:rsid w:val="00D17321"/>
    <w:rsid w:val="00D17356"/>
    <w:rsid w:val="00D1743C"/>
    <w:rsid w:val="00D17485"/>
    <w:rsid w:val="00D175D9"/>
    <w:rsid w:val="00D175DA"/>
    <w:rsid w:val="00D175FF"/>
    <w:rsid w:val="00D1762D"/>
    <w:rsid w:val="00D176C9"/>
    <w:rsid w:val="00D177D0"/>
    <w:rsid w:val="00D179DD"/>
    <w:rsid w:val="00D179E4"/>
    <w:rsid w:val="00D17B0C"/>
    <w:rsid w:val="00D17B2E"/>
    <w:rsid w:val="00D17B3B"/>
    <w:rsid w:val="00D17B7D"/>
    <w:rsid w:val="00D17BC0"/>
    <w:rsid w:val="00D17C58"/>
    <w:rsid w:val="00D17C60"/>
    <w:rsid w:val="00D17C66"/>
    <w:rsid w:val="00D17D3C"/>
    <w:rsid w:val="00D17D3D"/>
    <w:rsid w:val="00D17D9E"/>
    <w:rsid w:val="00D17E2E"/>
    <w:rsid w:val="00D17E33"/>
    <w:rsid w:val="00D17E6B"/>
    <w:rsid w:val="00D17EC6"/>
    <w:rsid w:val="00D17EEA"/>
    <w:rsid w:val="00D17F02"/>
    <w:rsid w:val="00D17F07"/>
    <w:rsid w:val="00D17F10"/>
    <w:rsid w:val="00D17F38"/>
    <w:rsid w:val="00D17F52"/>
    <w:rsid w:val="00D17FA0"/>
    <w:rsid w:val="00D20005"/>
    <w:rsid w:val="00D2006D"/>
    <w:rsid w:val="00D20090"/>
    <w:rsid w:val="00D20159"/>
    <w:rsid w:val="00D201B4"/>
    <w:rsid w:val="00D201B6"/>
    <w:rsid w:val="00D20233"/>
    <w:rsid w:val="00D2026F"/>
    <w:rsid w:val="00D2028A"/>
    <w:rsid w:val="00D203ED"/>
    <w:rsid w:val="00D203FD"/>
    <w:rsid w:val="00D20407"/>
    <w:rsid w:val="00D2053C"/>
    <w:rsid w:val="00D20595"/>
    <w:rsid w:val="00D20698"/>
    <w:rsid w:val="00D206E1"/>
    <w:rsid w:val="00D20722"/>
    <w:rsid w:val="00D2077D"/>
    <w:rsid w:val="00D207E7"/>
    <w:rsid w:val="00D208BE"/>
    <w:rsid w:val="00D208F3"/>
    <w:rsid w:val="00D20933"/>
    <w:rsid w:val="00D20A81"/>
    <w:rsid w:val="00D20A8C"/>
    <w:rsid w:val="00D20B70"/>
    <w:rsid w:val="00D20B76"/>
    <w:rsid w:val="00D20BD6"/>
    <w:rsid w:val="00D20BDB"/>
    <w:rsid w:val="00D20C33"/>
    <w:rsid w:val="00D20C6B"/>
    <w:rsid w:val="00D20DE2"/>
    <w:rsid w:val="00D20E34"/>
    <w:rsid w:val="00D20E42"/>
    <w:rsid w:val="00D20E8A"/>
    <w:rsid w:val="00D20ED8"/>
    <w:rsid w:val="00D20F6F"/>
    <w:rsid w:val="00D21042"/>
    <w:rsid w:val="00D210FC"/>
    <w:rsid w:val="00D21138"/>
    <w:rsid w:val="00D2114C"/>
    <w:rsid w:val="00D2122B"/>
    <w:rsid w:val="00D21381"/>
    <w:rsid w:val="00D2138F"/>
    <w:rsid w:val="00D213C6"/>
    <w:rsid w:val="00D213E2"/>
    <w:rsid w:val="00D21416"/>
    <w:rsid w:val="00D2145F"/>
    <w:rsid w:val="00D214E0"/>
    <w:rsid w:val="00D21504"/>
    <w:rsid w:val="00D215D1"/>
    <w:rsid w:val="00D21643"/>
    <w:rsid w:val="00D216C5"/>
    <w:rsid w:val="00D216EE"/>
    <w:rsid w:val="00D21840"/>
    <w:rsid w:val="00D21861"/>
    <w:rsid w:val="00D21942"/>
    <w:rsid w:val="00D21955"/>
    <w:rsid w:val="00D2198D"/>
    <w:rsid w:val="00D21AC6"/>
    <w:rsid w:val="00D21AF4"/>
    <w:rsid w:val="00D21AF8"/>
    <w:rsid w:val="00D21B4B"/>
    <w:rsid w:val="00D21B5D"/>
    <w:rsid w:val="00D21BA0"/>
    <w:rsid w:val="00D21BA9"/>
    <w:rsid w:val="00D21C2E"/>
    <w:rsid w:val="00D21D77"/>
    <w:rsid w:val="00D21EDE"/>
    <w:rsid w:val="00D21EE7"/>
    <w:rsid w:val="00D21F24"/>
    <w:rsid w:val="00D22127"/>
    <w:rsid w:val="00D2217C"/>
    <w:rsid w:val="00D221B7"/>
    <w:rsid w:val="00D2231E"/>
    <w:rsid w:val="00D2238D"/>
    <w:rsid w:val="00D2264D"/>
    <w:rsid w:val="00D22678"/>
    <w:rsid w:val="00D22690"/>
    <w:rsid w:val="00D226BA"/>
    <w:rsid w:val="00D22789"/>
    <w:rsid w:val="00D227AD"/>
    <w:rsid w:val="00D227C3"/>
    <w:rsid w:val="00D22803"/>
    <w:rsid w:val="00D2289B"/>
    <w:rsid w:val="00D228C3"/>
    <w:rsid w:val="00D22ABF"/>
    <w:rsid w:val="00D22B0D"/>
    <w:rsid w:val="00D22B16"/>
    <w:rsid w:val="00D22B2A"/>
    <w:rsid w:val="00D22BCB"/>
    <w:rsid w:val="00D22C24"/>
    <w:rsid w:val="00D22C28"/>
    <w:rsid w:val="00D22C36"/>
    <w:rsid w:val="00D22D58"/>
    <w:rsid w:val="00D22E03"/>
    <w:rsid w:val="00D22F6F"/>
    <w:rsid w:val="00D22FB2"/>
    <w:rsid w:val="00D2300A"/>
    <w:rsid w:val="00D231B0"/>
    <w:rsid w:val="00D231D5"/>
    <w:rsid w:val="00D23330"/>
    <w:rsid w:val="00D233E9"/>
    <w:rsid w:val="00D2349D"/>
    <w:rsid w:val="00D234FA"/>
    <w:rsid w:val="00D23573"/>
    <w:rsid w:val="00D23577"/>
    <w:rsid w:val="00D23654"/>
    <w:rsid w:val="00D2367F"/>
    <w:rsid w:val="00D236C5"/>
    <w:rsid w:val="00D23789"/>
    <w:rsid w:val="00D23860"/>
    <w:rsid w:val="00D23921"/>
    <w:rsid w:val="00D23AD1"/>
    <w:rsid w:val="00D23C07"/>
    <w:rsid w:val="00D23C8C"/>
    <w:rsid w:val="00D23CB4"/>
    <w:rsid w:val="00D23CE7"/>
    <w:rsid w:val="00D23D87"/>
    <w:rsid w:val="00D23E09"/>
    <w:rsid w:val="00D23E15"/>
    <w:rsid w:val="00D23F99"/>
    <w:rsid w:val="00D23FF8"/>
    <w:rsid w:val="00D2403F"/>
    <w:rsid w:val="00D240D4"/>
    <w:rsid w:val="00D241C8"/>
    <w:rsid w:val="00D241D1"/>
    <w:rsid w:val="00D24208"/>
    <w:rsid w:val="00D2423A"/>
    <w:rsid w:val="00D24273"/>
    <w:rsid w:val="00D242FC"/>
    <w:rsid w:val="00D24401"/>
    <w:rsid w:val="00D244D7"/>
    <w:rsid w:val="00D24538"/>
    <w:rsid w:val="00D2455A"/>
    <w:rsid w:val="00D24616"/>
    <w:rsid w:val="00D24639"/>
    <w:rsid w:val="00D24655"/>
    <w:rsid w:val="00D2465A"/>
    <w:rsid w:val="00D24683"/>
    <w:rsid w:val="00D24705"/>
    <w:rsid w:val="00D24724"/>
    <w:rsid w:val="00D24822"/>
    <w:rsid w:val="00D249A7"/>
    <w:rsid w:val="00D24A27"/>
    <w:rsid w:val="00D24A76"/>
    <w:rsid w:val="00D24BAD"/>
    <w:rsid w:val="00D24BF2"/>
    <w:rsid w:val="00D24BF8"/>
    <w:rsid w:val="00D24D1F"/>
    <w:rsid w:val="00D24D39"/>
    <w:rsid w:val="00D24E1B"/>
    <w:rsid w:val="00D24F89"/>
    <w:rsid w:val="00D24FB4"/>
    <w:rsid w:val="00D24FBF"/>
    <w:rsid w:val="00D25036"/>
    <w:rsid w:val="00D25082"/>
    <w:rsid w:val="00D2514A"/>
    <w:rsid w:val="00D251C2"/>
    <w:rsid w:val="00D2524A"/>
    <w:rsid w:val="00D252FF"/>
    <w:rsid w:val="00D2538D"/>
    <w:rsid w:val="00D253A3"/>
    <w:rsid w:val="00D253BF"/>
    <w:rsid w:val="00D2542C"/>
    <w:rsid w:val="00D2546E"/>
    <w:rsid w:val="00D25491"/>
    <w:rsid w:val="00D25499"/>
    <w:rsid w:val="00D254D6"/>
    <w:rsid w:val="00D254D8"/>
    <w:rsid w:val="00D25561"/>
    <w:rsid w:val="00D2560D"/>
    <w:rsid w:val="00D25657"/>
    <w:rsid w:val="00D256C1"/>
    <w:rsid w:val="00D2570B"/>
    <w:rsid w:val="00D257A9"/>
    <w:rsid w:val="00D25867"/>
    <w:rsid w:val="00D258D2"/>
    <w:rsid w:val="00D25916"/>
    <w:rsid w:val="00D25996"/>
    <w:rsid w:val="00D25B51"/>
    <w:rsid w:val="00D25B5C"/>
    <w:rsid w:val="00D25B74"/>
    <w:rsid w:val="00D25C06"/>
    <w:rsid w:val="00D25C25"/>
    <w:rsid w:val="00D25C3A"/>
    <w:rsid w:val="00D25C6B"/>
    <w:rsid w:val="00D25C73"/>
    <w:rsid w:val="00D25C81"/>
    <w:rsid w:val="00D25CC1"/>
    <w:rsid w:val="00D25DA9"/>
    <w:rsid w:val="00D25DE4"/>
    <w:rsid w:val="00D25F35"/>
    <w:rsid w:val="00D25FD7"/>
    <w:rsid w:val="00D26023"/>
    <w:rsid w:val="00D2602B"/>
    <w:rsid w:val="00D2604A"/>
    <w:rsid w:val="00D26118"/>
    <w:rsid w:val="00D2613F"/>
    <w:rsid w:val="00D261B1"/>
    <w:rsid w:val="00D26358"/>
    <w:rsid w:val="00D263C3"/>
    <w:rsid w:val="00D263E7"/>
    <w:rsid w:val="00D266B5"/>
    <w:rsid w:val="00D266E2"/>
    <w:rsid w:val="00D2677E"/>
    <w:rsid w:val="00D268B7"/>
    <w:rsid w:val="00D26917"/>
    <w:rsid w:val="00D26969"/>
    <w:rsid w:val="00D269BF"/>
    <w:rsid w:val="00D26A43"/>
    <w:rsid w:val="00D26CF7"/>
    <w:rsid w:val="00D26D31"/>
    <w:rsid w:val="00D26D37"/>
    <w:rsid w:val="00D26D4C"/>
    <w:rsid w:val="00D26DC0"/>
    <w:rsid w:val="00D26EEB"/>
    <w:rsid w:val="00D26F62"/>
    <w:rsid w:val="00D26F81"/>
    <w:rsid w:val="00D26FFE"/>
    <w:rsid w:val="00D2704B"/>
    <w:rsid w:val="00D270F3"/>
    <w:rsid w:val="00D2712E"/>
    <w:rsid w:val="00D27139"/>
    <w:rsid w:val="00D27183"/>
    <w:rsid w:val="00D271E3"/>
    <w:rsid w:val="00D272D1"/>
    <w:rsid w:val="00D27341"/>
    <w:rsid w:val="00D273D9"/>
    <w:rsid w:val="00D2745B"/>
    <w:rsid w:val="00D276AC"/>
    <w:rsid w:val="00D27722"/>
    <w:rsid w:val="00D27731"/>
    <w:rsid w:val="00D277C1"/>
    <w:rsid w:val="00D27863"/>
    <w:rsid w:val="00D2790B"/>
    <w:rsid w:val="00D27A2A"/>
    <w:rsid w:val="00D27A4F"/>
    <w:rsid w:val="00D27B9F"/>
    <w:rsid w:val="00D27BC0"/>
    <w:rsid w:val="00D27BFC"/>
    <w:rsid w:val="00D27C2D"/>
    <w:rsid w:val="00D27C5D"/>
    <w:rsid w:val="00D27C61"/>
    <w:rsid w:val="00D27CFA"/>
    <w:rsid w:val="00D27D2C"/>
    <w:rsid w:val="00D27D3A"/>
    <w:rsid w:val="00D27D41"/>
    <w:rsid w:val="00D27DB6"/>
    <w:rsid w:val="00D27DBE"/>
    <w:rsid w:val="00D27FEF"/>
    <w:rsid w:val="00D30065"/>
    <w:rsid w:val="00D300C1"/>
    <w:rsid w:val="00D300DE"/>
    <w:rsid w:val="00D3019B"/>
    <w:rsid w:val="00D30333"/>
    <w:rsid w:val="00D303D6"/>
    <w:rsid w:val="00D3041C"/>
    <w:rsid w:val="00D304CA"/>
    <w:rsid w:val="00D304FD"/>
    <w:rsid w:val="00D30545"/>
    <w:rsid w:val="00D30617"/>
    <w:rsid w:val="00D30626"/>
    <w:rsid w:val="00D30643"/>
    <w:rsid w:val="00D306B8"/>
    <w:rsid w:val="00D306ED"/>
    <w:rsid w:val="00D30770"/>
    <w:rsid w:val="00D307E4"/>
    <w:rsid w:val="00D30857"/>
    <w:rsid w:val="00D3085A"/>
    <w:rsid w:val="00D308A9"/>
    <w:rsid w:val="00D308C9"/>
    <w:rsid w:val="00D308FE"/>
    <w:rsid w:val="00D30B06"/>
    <w:rsid w:val="00D30B7D"/>
    <w:rsid w:val="00D30CE0"/>
    <w:rsid w:val="00D30CE7"/>
    <w:rsid w:val="00D30CF1"/>
    <w:rsid w:val="00D30D2A"/>
    <w:rsid w:val="00D30D31"/>
    <w:rsid w:val="00D30D43"/>
    <w:rsid w:val="00D30D57"/>
    <w:rsid w:val="00D30DAF"/>
    <w:rsid w:val="00D30DD2"/>
    <w:rsid w:val="00D30E87"/>
    <w:rsid w:val="00D30E8E"/>
    <w:rsid w:val="00D30FCA"/>
    <w:rsid w:val="00D31024"/>
    <w:rsid w:val="00D311AB"/>
    <w:rsid w:val="00D311C8"/>
    <w:rsid w:val="00D31201"/>
    <w:rsid w:val="00D3122A"/>
    <w:rsid w:val="00D3127C"/>
    <w:rsid w:val="00D312AE"/>
    <w:rsid w:val="00D3133C"/>
    <w:rsid w:val="00D3135C"/>
    <w:rsid w:val="00D313DD"/>
    <w:rsid w:val="00D3143F"/>
    <w:rsid w:val="00D314FB"/>
    <w:rsid w:val="00D3160A"/>
    <w:rsid w:val="00D31613"/>
    <w:rsid w:val="00D316DC"/>
    <w:rsid w:val="00D316EA"/>
    <w:rsid w:val="00D316EC"/>
    <w:rsid w:val="00D31727"/>
    <w:rsid w:val="00D317FD"/>
    <w:rsid w:val="00D31998"/>
    <w:rsid w:val="00D31A1D"/>
    <w:rsid w:val="00D31B01"/>
    <w:rsid w:val="00D31B34"/>
    <w:rsid w:val="00D31B67"/>
    <w:rsid w:val="00D31BE7"/>
    <w:rsid w:val="00D31BF5"/>
    <w:rsid w:val="00D31C24"/>
    <w:rsid w:val="00D31D3E"/>
    <w:rsid w:val="00D31D42"/>
    <w:rsid w:val="00D31E91"/>
    <w:rsid w:val="00D31F9D"/>
    <w:rsid w:val="00D31FC1"/>
    <w:rsid w:val="00D320A4"/>
    <w:rsid w:val="00D32117"/>
    <w:rsid w:val="00D321DF"/>
    <w:rsid w:val="00D32290"/>
    <w:rsid w:val="00D3246F"/>
    <w:rsid w:val="00D324CF"/>
    <w:rsid w:val="00D32510"/>
    <w:rsid w:val="00D3258F"/>
    <w:rsid w:val="00D32596"/>
    <w:rsid w:val="00D325A8"/>
    <w:rsid w:val="00D325E0"/>
    <w:rsid w:val="00D326E9"/>
    <w:rsid w:val="00D32792"/>
    <w:rsid w:val="00D32806"/>
    <w:rsid w:val="00D32830"/>
    <w:rsid w:val="00D3285D"/>
    <w:rsid w:val="00D32935"/>
    <w:rsid w:val="00D32963"/>
    <w:rsid w:val="00D3299D"/>
    <w:rsid w:val="00D329E4"/>
    <w:rsid w:val="00D329F2"/>
    <w:rsid w:val="00D32A7C"/>
    <w:rsid w:val="00D32B30"/>
    <w:rsid w:val="00D32BC5"/>
    <w:rsid w:val="00D32C05"/>
    <w:rsid w:val="00D32C74"/>
    <w:rsid w:val="00D32D1C"/>
    <w:rsid w:val="00D32DCF"/>
    <w:rsid w:val="00D32E61"/>
    <w:rsid w:val="00D32EF4"/>
    <w:rsid w:val="00D32F14"/>
    <w:rsid w:val="00D32FA4"/>
    <w:rsid w:val="00D330E9"/>
    <w:rsid w:val="00D3310E"/>
    <w:rsid w:val="00D3312C"/>
    <w:rsid w:val="00D331C3"/>
    <w:rsid w:val="00D332AA"/>
    <w:rsid w:val="00D33425"/>
    <w:rsid w:val="00D33452"/>
    <w:rsid w:val="00D33566"/>
    <w:rsid w:val="00D335DE"/>
    <w:rsid w:val="00D3365D"/>
    <w:rsid w:val="00D3367D"/>
    <w:rsid w:val="00D337D4"/>
    <w:rsid w:val="00D3388D"/>
    <w:rsid w:val="00D33981"/>
    <w:rsid w:val="00D339D9"/>
    <w:rsid w:val="00D33A5E"/>
    <w:rsid w:val="00D33A71"/>
    <w:rsid w:val="00D33B19"/>
    <w:rsid w:val="00D33B23"/>
    <w:rsid w:val="00D33B73"/>
    <w:rsid w:val="00D33C59"/>
    <w:rsid w:val="00D33C7F"/>
    <w:rsid w:val="00D33C96"/>
    <w:rsid w:val="00D33D17"/>
    <w:rsid w:val="00D33D93"/>
    <w:rsid w:val="00D33DC7"/>
    <w:rsid w:val="00D33E65"/>
    <w:rsid w:val="00D33E67"/>
    <w:rsid w:val="00D33ED9"/>
    <w:rsid w:val="00D33F23"/>
    <w:rsid w:val="00D33F28"/>
    <w:rsid w:val="00D33F69"/>
    <w:rsid w:val="00D33FC5"/>
    <w:rsid w:val="00D34033"/>
    <w:rsid w:val="00D3413D"/>
    <w:rsid w:val="00D34349"/>
    <w:rsid w:val="00D34416"/>
    <w:rsid w:val="00D344AB"/>
    <w:rsid w:val="00D344C4"/>
    <w:rsid w:val="00D34511"/>
    <w:rsid w:val="00D3451C"/>
    <w:rsid w:val="00D34577"/>
    <w:rsid w:val="00D345FE"/>
    <w:rsid w:val="00D346B6"/>
    <w:rsid w:val="00D34739"/>
    <w:rsid w:val="00D34742"/>
    <w:rsid w:val="00D3476C"/>
    <w:rsid w:val="00D34842"/>
    <w:rsid w:val="00D34880"/>
    <w:rsid w:val="00D348B2"/>
    <w:rsid w:val="00D3490F"/>
    <w:rsid w:val="00D34998"/>
    <w:rsid w:val="00D3499A"/>
    <w:rsid w:val="00D349FD"/>
    <w:rsid w:val="00D34A32"/>
    <w:rsid w:val="00D34A4A"/>
    <w:rsid w:val="00D34BEF"/>
    <w:rsid w:val="00D34C12"/>
    <w:rsid w:val="00D34C87"/>
    <w:rsid w:val="00D34CA8"/>
    <w:rsid w:val="00D34D70"/>
    <w:rsid w:val="00D34DD1"/>
    <w:rsid w:val="00D34ED6"/>
    <w:rsid w:val="00D350B5"/>
    <w:rsid w:val="00D350C0"/>
    <w:rsid w:val="00D351D1"/>
    <w:rsid w:val="00D351F2"/>
    <w:rsid w:val="00D35246"/>
    <w:rsid w:val="00D3524E"/>
    <w:rsid w:val="00D3528C"/>
    <w:rsid w:val="00D352F5"/>
    <w:rsid w:val="00D35373"/>
    <w:rsid w:val="00D3538F"/>
    <w:rsid w:val="00D354E2"/>
    <w:rsid w:val="00D354F6"/>
    <w:rsid w:val="00D355DB"/>
    <w:rsid w:val="00D35724"/>
    <w:rsid w:val="00D35754"/>
    <w:rsid w:val="00D35777"/>
    <w:rsid w:val="00D35882"/>
    <w:rsid w:val="00D358CF"/>
    <w:rsid w:val="00D358D9"/>
    <w:rsid w:val="00D358E3"/>
    <w:rsid w:val="00D35953"/>
    <w:rsid w:val="00D35AD3"/>
    <w:rsid w:val="00D35AFE"/>
    <w:rsid w:val="00D35B0E"/>
    <w:rsid w:val="00D35C27"/>
    <w:rsid w:val="00D35C41"/>
    <w:rsid w:val="00D35C68"/>
    <w:rsid w:val="00D35C92"/>
    <w:rsid w:val="00D35D18"/>
    <w:rsid w:val="00D35D9B"/>
    <w:rsid w:val="00D35DA9"/>
    <w:rsid w:val="00D35DEE"/>
    <w:rsid w:val="00D35F17"/>
    <w:rsid w:val="00D35F66"/>
    <w:rsid w:val="00D35FF1"/>
    <w:rsid w:val="00D36099"/>
    <w:rsid w:val="00D360FA"/>
    <w:rsid w:val="00D361BF"/>
    <w:rsid w:val="00D361EE"/>
    <w:rsid w:val="00D3639C"/>
    <w:rsid w:val="00D363DE"/>
    <w:rsid w:val="00D3641B"/>
    <w:rsid w:val="00D364E6"/>
    <w:rsid w:val="00D36516"/>
    <w:rsid w:val="00D36562"/>
    <w:rsid w:val="00D36592"/>
    <w:rsid w:val="00D365E2"/>
    <w:rsid w:val="00D3663C"/>
    <w:rsid w:val="00D36745"/>
    <w:rsid w:val="00D367B6"/>
    <w:rsid w:val="00D367D2"/>
    <w:rsid w:val="00D36860"/>
    <w:rsid w:val="00D368E0"/>
    <w:rsid w:val="00D36956"/>
    <w:rsid w:val="00D369FD"/>
    <w:rsid w:val="00D36A19"/>
    <w:rsid w:val="00D36A2D"/>
    <w:rsid w:val="00D36A30"/>
    <w:rsid w:val="00D36A55"/>
    <w:rsid w:val="00D36A6C"/>
    <w:rsid w:val="00D36AB8"/>
    <w:rsid w:val="00D36B12"/>
    <w:rsid w:val="00D36B85"/>
    <w:rsid w:val="00D36BA8"/>
    <w:rsid w:val="00D36BBE"/>
    <w:rsid w:val="00D36C35"/>
    <w:rsid w:val="00D36D5E"/>
    <w:rsid w:val="00D36E55"/>
    <w:rsid w:val="00D36F03"/>
    <w:rsid w:val="00D36F64"/>
    <w:rsid w:val="00D36FA7"/>
    <w:rsid w:val="00D36FD8"/>
    <w:rsid w:val="00D37055"/>
    <w:rsid w:val="00D3713F"/>
    <w:rsid w:val="00D37167"/>
    <w:rsid w:val="00D371AF"/>
    <w:rsid w:val="00D371CF"/>
    <w:rsid w:val="00D37219"/>
    <w:rsid w:val="00D37298"/>
    <w:rsid w:val="00D373BE"/>
    <w:rsid w:val="00D373E0"/>
    <w:rsid w:val="00D373EC"/>
    <w:rsid w:val="00D3741F"/>
    <w:rsid w:val="00D374AE"/>
    <w:rsid w:val="00D374DA"/>
    <w:rsid w:val="00D37542"/>
    <w:rsid w:val="00D37645"/>
    <w:rsid w:val="00D3764E"/>
    <w:rsid w:val="00D3768C"/>
    <w:rsid w:val="00D3774F"/>
    <w:rsid w:val="00D377DD"/>
    <w:rsid w:val="00D379C3"/>
    <w:rsid w:val="00D379D4"/>
    <w:rsid w:val="00D379D7"/>
    <w:rsid w:val="00D379E6"/>
    <w:rsid w:val="00D37A4C"/>
    <w:rsid w:val="00D37A86"/>
    <w:rsid w:val="00D37B18"/>
    <w:rsid w:val="00D37BFE"/>
    <w:rsid w:val="00D37C95"/>
    <w:rsid w:val="00D37CB8"/>
    <w:rsid w:val="00D37D1E"/>
    <w:rsid w:val="00D37D2A"/>
    <w:rsid w:val="00D37D68"/>
    <w:rsid w:val="00D37DF4"/>
    <w:rsid w:val="00D37E83"/>
    <w:rsid w:val="00D37EA4"/>
    <w:rsid w:val="00D37EF1"/>
    <w:rsid w:val="00D37F55"/>
    <w:rsid w:val="00D37FAA"/>
    <w:rsid w:val="00D40038"/>
    <w:rsid w:val="00D40044"/>
    <w:rsid w:val="00D4007C"/>
    <w:rsid w:val="00D400F1"/>
    <w:rsid w:val="00D4012F"/>
    <w:rsid w:val="00D40148"/>
    <w:rsid w:val="00D40232"/>
    <w:rsid w:val="00D4023A"/>
    <w:rsid w:val="00D40598"/>
    <w:rsid w:val="00D405C8"/>
    <w:rsid w:val="00D40600"/>
    <w:rsid w:val="00D406E5"/>
    <w:rsid w:val="00D40889"/>
    <w:rsid w:val="00D408CB"/>
    <w:rsid w:val="00D4090D"/>
    <w:rsid w:val="00D40927"/>
    <w:rsid w:val="00D40930"/>
    <w:rsid w:val="00D40991"/>
    <w:rsid w:val="00D409AF"/>
    <w:rsid w:val="00D40B39"/>
    <w:rsid w:val="00D40B80"/>
    <w:rsid w:val="00D40BD0"/>
    <w:rsid w:val="00D40C16"/>
    <w:rsid w:val="00D40DE7"/>
    <w:rsid w:val="00D40FC3"/>
    <w:rsid w:val="00D41011"/>
    <w:rsid w:val="00D4102A"/>
    <w:rsid w:val="00D410F2"/>
    <w:rsid w:val="00D41107"/>
    <w:rsid w:val="00D4116A"/>
    <w:rsid w:val="00D411A0"/>
    <w:rsid w:val="00D411B1"/>
    <w:rsid w:val="00D41207"/>
    <w:rsid w:val="00D4128A"/>
    <w:rsid w:val="00D4129F"/>
    <w:rsid w:val="00D412C0"/>
    <w:rsid w:val="00D4134B"/>
    <w:rsid w:val="00D413A4"/>
    <w:rsid w:val="00D4151D"/>
    <w:rsid w:val="00D41526"/>
    <w:rsid w:val="00D41540"/>
    <w:rsid w:val="00D41571"/>
    <w:rsid w:val="00D4160C"/>
    <w:rsid w:val="00D41738"/>
    <w:rsid w:val="00D418CB"/>
    <w:rsid w:val="00D418E5"/>
    <w:rsid w:val="00D419AE"/>
    <w:rsid w:val="00D419DA"/>
    <w:rsid w:val="00D41A61"/>
    <w:rsid w:val="00D41ABF"/>
    <w:rsid w:val="00D41BD3"/>
    <w:rsid w:val="00D41BEF"/>
    <w:rsid w:val="00D41CBB"/>
    <w:rsid w:val="00D41D0D"/>
    <w:rsid w:val="00D41D66"/>
    <w:rsid w:val="00D41D8A"/>
    <w:rsid w:val="00D41E2D"/>
    <w:rsid w:val="00D41E60"/>
    <w:rsid w:val="00D41EDF"/>
    <w:rsid w:val="00D41EEA"/>
    <w:rsid w:val="00D41F45"/>
    <w:rsid w:val="00D41FC5"/>
    <w:rsid w:val="00D42082"/>
    <w:rsid w:val="00D42123"/>
    <w:rsid w:val="00D4213D"/>
    <w:rsid w:val="00D42160"/>
    <w:rsid w:val="00D421CC"/>
    <w:rsid w:val="00D4222D"/>
    <w:rsid w:val="00D4225D"/>
    <w:rsid w:val="00D4228E"/>
    <w:rsid w:val="00D42399"/>
    <w:rsid w:val="00D423B0"/>
    <w:rsid w:val="00D42427"/>
    <w:rsid w:val="00D424A4"/>
    <w:rsid w:val="00D424E2"/>
    <w:rsid w:val="00D424FF"/>
    <w:rsid w:val="00D42551"/>
    <w:rsid w:val="00D42555"/>
    <w:rsid w:val="00D425D7"/>
    <w:rsid w:val="00D426F6"/>
    <w:rsid w:val="00D42754"/>
    <w:rsid w:val="00D427A7"/>
    <w:rsid w:val="00D427EB"/>
    <w:rsid w:val="00D427FB"/>
    <w:rsid w:val="00D42975"/>
    <w:rsid w:val="00D42A37"/>
    <w:rsid w:val="00D42A6F"/>
    <w:rsid w:val="00D42B14"/>
    <w:rsid w:val="00D42BC5"/>
    <w:rsid w:val="00D42CD8"/>
    <w:rsid w:val="00D42D65"/>
    <w:rsid w:val="00D42DA4"/>
    <w:rsid w:val="00D42DDD"/>
    <w:rsid w:val="00D42E3E"/>
    <w:rsid w:val="00D42E6D"/>
    <w:rsid w:val="00D42E9B"/>
    <w:rsid w:val="00D42F1F"/>
    <w:rsid w:val="00D42FFC"/>
    <w:rsid w:val="00D43095"/>
    <w:rsid w:val="00D430DE"/>
    <w:rsid w:val="00D43112"/>
    <w:rsid w:val="00D432CE"/>
    <w:rsid w:val="00D4338B"/>
    <w:rsid w:val="00D433F4"/>
    <w:rsid w:val="00D43400"/>
    <w:rsid w:val="00D4347D"/>
    <w:rsid w:val="00D4348C"/>
    <w:rsid w:val="00D434D0"/>
    <w:rsid w:val="00D434D3"/>
    <w:rsid w:val="00D435AF"/>
    <w:rsid w:val="00D435E6"/>
    <w:rsid w:val="00D43600"/>
    <w:rsid w:val="00D43634"/>
    <w:rsid w:val="00D4366F"/>
    <w:rsid w:val="00D4368C"/>
    <w:rsid w:val="00D436DF"/>
    <w:rsid w:val="00D438D5"/>
    <w:rsid w:val="00D439C5"/>
    <w:rsid w:val="00D439EB"/>
    <w:rsid w:val="00D43ACD"/>
    <w:rsid w:val="00D43AEB"/>
    <w:rsid w:val="00D43B18"/>
    <w:rsid w:val="00D43B6E"/>
    <w:rsid w:val="00D43B8F"/>
    <w:rsid w:val="00D43BDC"/>
    <w:rsid w:val="00D43C12"/>
    <w:rsid w:val="00D43C2B"/>
    <w:rsid w:val="00D43D78"/>
    <w:rsid w:val="00D43DA8"/>
    <w:rsid w:val="00D43E9D"/>
    <w:rsid w:val="00D43EAB"/>
    <w:rsid w:val="00D43EF1"/>
    <w:rsid w:val="00D43F90"/>
    <w:rsid w:val="00D43FC4"/>
    <w:rsid w:val="00D43FC9"/>
    <w:rsid w:val="00D44013"/>
    <w:rsid w:val="00D44022"/>
    <w:rsid w:val="00D441D0"/>
    <w:rsid w:val="00D441DE"/>
    <w:rsid w:val="00D442AD"/>
    <w:rsid w:val="00D442EE"/>
    <w:rsid w:val="00D4439B"/>
    <w:rsid w:val="00D443FC"/>
    <w:rsid w:val="00D44426"/>
    <w:rsid w:val="00D44495"/>
    <w:rsid w:val="00D4450D"/>
    <w:rsid w:val="00D4462D"/>
    <w:rsid w:val="00D44645"/>
    <w:rsid w:val="00D4464D"/>
    <w:rsid w:val="00D44659"/>
    <w:rsid w:val="00D446A0"/>
    <w:rsid w:val="00D446C1"/>
    <w:rsid w:val="00D4473F"/>
    <w:rsid w:val="00D447D1"/>
    <w:rsid w:val="00D44843"/>
    <w:rsid w:val="00D44923"/>
    <w:rsid w:val="00D4494D"/>
    <w:rsid w:val="00D449D8"/>
    <w:rsid w:val="00D44A3A"/>
    <w:rsid w:val="00D44C8A"/>
    <w:rsid w:val="00D44EE0"/>
    <w:rsid w:val="00D44F97"/>
    <w:rsid w:val="00D44FBD"/>
    <w:rsid w:val="00D44FD1"/>
    <w:rsid w:val="00D4500F"/>
    <w:rsid w:val="00D4501F"/>
    <w:rsid w:val="00D4506C"/>
    <w:rsid w:val="00D4507B"/>
    <w:rsid w:val="00D4509A"/>
    <w:rsid w:val="00D450E2"/>
    <w:rsid w:val="00D4512A"/>
    <w:rsid w:val="00D4520D"/>
    <w:rsid w:val="00D45232"/>
    <w:rsid w:val="00D452AB"/>
    <w:rsid w:val="00D454D8"/>
    <w:rsid w:val="00D45525"/>
    <w:rsid w:val="00D45530"/>
    <w:rsid w:val="00D4558D"/>
    <w:rsid w:val="00D45677"/>
    <w:rsid w:val="00D456B2"/>
    <w:rsid w:val="00D456B4"/>
    <w:rsid w:val="00D457B9"/>
    <w:rsid w:val="00D457C8"/>
    <w:rsid w:val="00D45958"/>
    <w:rsid w:val="00D459E7"/>
    <w:rsid w:val="00D45A23"/>
    <w:rsid w:val="00D45A96"/>
    <w:rsid w:val="00D45AA5"/>
    <w:rsid w:val="00D45AD4"/>
    <w:rsid w:val="00D45AEB"/>
    <w:rsid w:val="00D45AF5"/>
    <w:rsid w:val="00D45B6B"/>
    <w:rsid w:val="00D45B8F"/>
    <w:rsid w:val="00D45C7B"/>
    <w:rsid w:val="00D45C81"/>
    <w:rsid w:val="00D45D1C"/>
    <w:rsid w:val="00D45D72"/>
    <w:rsid w:val="00D45D8F"/>
    <w:rsid w:val="00D45E6A"/>
    <w:rsid w:val="00D45ECA"/>
    <w:rsid w:val="00D45F62"/>
    <w:rsid w:val="00D45F64"/>
    <w:rsid w:val="00D45FC1"/>
    <w:rsid w:val="00D45FCA"/>
    <w:rsid w:val="00D45FDD"/>
    <w:rsid w:val="00D46007"/>
    <w:rsid w:val="00D460E7"/>
    <w:rsid w:val="00D4619B"/>
    <w:rsid w:val="00D461BA"/>
    <w:rsid w:val="00D46203"/>
    <w:rsid w:val="00D4620D"/>
    <w:rsid w:val="00D46256"/>
    <w:rsid w:val="00D4625E"/>
    <w:rsid w:val="00D4627B"/>
    <w:rsid w:val="00D462E7"/>
    <w:rsid w:val="00D463D6"/>
    <w:rsid w:val="00D4648A"/>
    <w:rsid w:val="00D464AB"/>
    <w:rsid w:val="00D46662"/>
    <w:rsid w:val="00D46670"/>
    <w:rsid w:val="00D4677F"/>
    <w:rsid w:val="00D46844"/>
    <w:rsid w:val="00D4688C"/>
    <w:rsid w:val="00D46898"/>
    <w:rsid w:val="00D468BD"/>
    <w:rsid w:val="00D468F9"/>
    <w:rsid w:val="00D46928"/>
    <w:rsid w:val="00D4692B"/>
    <w:rsid w:val="00D46A80"/>
    <w:rsid w:val="00D46A99"/>
    <w:rsid w:val="00D46C88"/>
    <w:rsid w:val="00D46DA8"/>
    <w:rsid w:val="00D46DB9"/>
    <w:rsid w:val="00D46EDD"/>
    <w:rsid w:val="00D46EF6"/>
    <w:rsid w:val="00D46F13"/>
    <w:rsid w:val="00D46F23"/>
    <w:rsid w:val="00D46F25"/>
    <w:rsid w:val="00D46F3E"/>
    <w:rsid w:val="00D46FE1"/>
    <w:rsid w:val="00D47029"/>
    <w:rsid w:val="00D4707C"/>
    <w:rsid w:val="00D470CC"/>
    <w:rsid w:val="00D47104"/>
    <w:rsid w:val="00D4713E"/>
    <w:rsid w:val="00D4720F"/>
    <w:rsid w:val="00D47319"/>
    <w:rsid w:val="00D47354"/>
    <w:rsid w:val="00D4735E"/>
    <w:rsid w:val="00D4736C"/>
    <w:rsid w:val="00D4744F"/>
    <w:rsid w:val="00D4745C"/>
    <w:rsid w:val="00D4746B"/>
    <w:rsid w:val="00D474A1"/>
    <w:rsid w:val="00D474AB"/>
    <w:rsid w:val="00D474E6"/>
    <w:rsid w:val="00D4754B"/>
    <w:rsid w:val="00D4755F"/>
    <w:rsid w:val="00D47611"/>
    <w:rsid w:val="00D47652"/>
    <w:rsid w:val="00D4770F"/>
    <w:rsid w:val="00D47758"/>
    <w:rsid w:val="00D4777D"/>
    <w:rsid w:val="00D47810"/>
    <w:rsid w:val="00D47877"/>
    <w:rsid w:val="00D4790A"/>
    <w:rsid w:val="00D47989"/>
    <w:rsid w:val="00D47A40"/>
    <w:rsid w:val="00D47A61"/>
    <w:rsid w:val="00D47C73"/>
    <w:rsid w:val="00D47C96"/>
    <w:rsid w:val="00D47CFE"/>
    <w:rsid w:val="00D47D19"/>
    <w:rsid w:val="00D47E86"/>
    <w:rsid w:val="00D47EED"/>
    <w:rsid w:val="00D47EF1"/>
    <w:rsid w:val="00D50110"/>
    <w:rsid w:val="00D50139"/>
    <w:rsid w:val="00D50220"/>
    <w:rsid w:val="00D502B0"/>
    <w:rsid w:val="00D502C7"/>
    <w:rsid w:val="00D502CD"/>
    <w:rsid w:val="00D503C4"/>
    <w:rsid w:val="00D50407"/>
    <w:rsid w:val="00D50420"/>
    <w:rsid w:val="00D50586"/>
    <w:rsid w:val="00D50594"/>
    <w:rsid w:val="00D505B4"/>
    <w:rsid w:val="00D505D3"/>
    <w:rsid w:val="00D505D4"/>
    <w:rsid w:val="00D505F7"/>
    <w:rsid w:val="00D505FC"/>
    <w:rsid w:val="00D506AF"/>
    <w:rsid w:val="00D5072C"/>
    <w:rsid w:val="00D50742"/>
    <w:rsid w:val="00D5079C"/>
    <w:rsid w:val="00D50844"/>
    <w:rsid w:val="00D508D1"/>
    <w:rsid w:val="00D508F0"/>
    <w:rsid w:val="00D509FB"/>
    <w:rsid w:val="00D50A94"/>
    <w:rsid w:val="00D50A9A"/>
    <w:rsid w:val="00D50B25"/>
    <w:rsid w:val="00D50B8D"/>
    <w:rsid w:val="00D50C41"/>
    <w:rsid w:val="00D50C78"/>
    <w:rsid w:val="00D50CC1"/>
    <w:rsid w:val="00D50CD8"/>
    <w:rsid w:val="00D50D32"/>
    <w:rsid w:val="00D50E98"/>
    <w:rsid w:val="00D50EC1"/>
    <w:rsid w:val="00D50F57"/>
    <w:rsid w:val="00D50FA8"/>
    <w:rsid w:val="00D510FC"/>
    <w:rsid w:val="00D510FD"/>
    <w:rsid w:val="00D5112C"/>
    <w:rsid w:val="00D51172"/>
    <w:rsid w:val="00D51176"/>
    <w:rsid w:val="00D511A9"/>
    <w:rsid w:val="00D511DF"/>
    <w:rsid w:val="00D51371"/>
    <w:rsid w:val="00D5137E"/>
    <w:rsid w:val="00D5142B"/>
    <w:rsid w:val="00D51445"/>
    <w:rsid w:val="00D514AA"/>
    <w:rsid w:val="00D514C7"/>
    <w:rsid w:val="00D515C7"/>
    <w:rsid w:val="00D515C8"/>
    <w:rsid w:val="00D51734"/>
    <w:rsid w:val="00D51843"/>
    <w:rsid w:val="00D51853"/>
    <w:rsid w:val="00D518DE"/>
    <w:rsid w:val="00D518E0"/>
    <w:rsid w:val="00D51908"/>
    <w:rsid w:val="00D51964"/>
    <w:rsid w:val="00D519C8"/>
    <w:rsid w:val="00D51A25"/>
    <w:rsid w:val="00D51ADF"/>
    <w:rsid w:val="00D51C3D"/>
    <w:rsid w:val="00D51C5B"/>
    <w:rsid w:val="00D51CE5"/>
    <w:rsid w:val="00D51D03"/>
    <w:rsid w:val="00D51E49"/>
    <w:rsid w:val="00D51F65"/>
    <w:rsid w:val="00D51FFE"/>
    <w:rsid w:val="00D5204E"/>
    <w:rsid w:val="00D52084"/>
    <w:rsid w:val="00D5208F"/>
    <w:rsid w:val="00D520CF"/>
    <w:rsid w:val="00D52128"/>
    <w:rsid w:val="00D5217A"/>
    <w:rsid w:val="00D521A7"/>
    <w:rsid w:val="00D52246"/>
    <w:rsid w:val="00D5231A"/>
    <w:rsid w:val="00D5236D"/>
    <w:rsid w:val="00D5236F"/>
    <w:rsid w:val="00D5238C"/>
    <w:rsid w:val="00D5239F"/>
    <w:rsid w:val="00D523E2"/>
    <w:rsid w:val="00D52414"/>
    <w:rsid w:val="00D5248B"/>
    <w:rsid w:val="00D524F9"/>
    <w:rsid w:val="00D52565"/>
    <w:rsid w:val="00D525CC"/>
    <w:rsid w:val="00D52629"/>
    <w:rsid w:val="00D5268B"/>
    <w:rsid w:val="00D528A9"/>
    <w:rsid w:val="00D528AF"/>
    <w:rsid w:val="00D52937"/>
    <w:rsid w:val="00D529B8"/>
    <w:rsid w:val="00D52A14"/>
    <w:rsid w:val="00D52AD8"/>
    <w:rsid w:val="00D52ADF"/>
    <w:rsid w:val="00D52C37"/>
    <w:rsid w:val="00D52C3E"/>
    <w:rsid w:val="00D52CCB"/>
    <w:rsid w:val="00D52D52"/>
    <w:rsid w:val="00D52D5B"/>
    <w:rsid w:val="00D52F34"/>
    <w:rsid w:val="00D52F69"/>
    <w:rsid w:val="00D52F94"/>
    <w:rsid w:val="00D52F9B"/>
    <w:rsid w:val="00D53046"/>
    <w:rsid w:val="00D530E3"/>
    <w:rsid w:val="00D5329E"/>
    <w:rsid w:val="00D532A1"/>
    <w:rsid w:val="00D533E8"/>
    <w:rsid w:val="00D533EA"/>
    <w:rsid w:val="00D533FD"/>
    <w:rsid w:val="00D53561"/>
    <w:rsid w:val="00D5357E"/>
    <w:rsid w:val="00D53647"/>
    <w:rsid w:val="00D53670"/>
    <w:rsid w:val="00D536F5"/>
    <w:rsid w:val="00D53799"/>
    <w:rsid w:val="00D537A0"/>
    <w:rsid w:val="00D537A9"/>
    <w:rsid w:val="00D53814"/>
    <w:rsid w:val="00D53848"/>
    <w:rsid w:val="00D53855"/>
    <w:rsid w:val="00D5385A"/>
    <w:rsid w:val="00D53876"/>
    <w:rsid w:val="00D538E7"/>
    <w:rsid w:val="00D538F5"/>
    <w:rsid w:val="00D5396E"/>
    <w:rsid w:val="00D539F4"/>
    <w:rsid w:val="00D53A4F"/>
    <w:rsid w:val="00D53BB0"/>
    <w:rsid w:val="00D53BD7"/>
    <w:rsid w:val="00D53C8C"/>
    <w:rsid w:val="00D53D24"/>
    <w:rsid w:val="00D53E91"/>
    <w:rsid w:val="00D53EDB"/>
    <w:rsid w:val="00D53F23"/>
    <w:rsid w:val="00D53F36"/>
    <w:rsid w:val="00D54121"/>
    <w:rsid w:val="00D54133"/>
    <w:rsid w:val="00D541D6"/>
    <w:rsid w:val="00D5420E"/>
    <w:rsid w:val="00D5443A"/>
    <w:rsid w:val="00D544D9"/>
    <w:rsid w:val="00D5450F"/>
    <w:rsid w:val="00D54530"/>
    <w:rsid w:val="00D54575"/>
    <w:rsid w:val="00D54625"/>
    <w:rsid w:val="00D5464E"/>
    <w:rsid w:val="00D54662"/>
    <w:rsid w:val="00D546C3"/>
    <w:rsid w:val="00D546FE"/>
    <w:rsid w:val="00D54703"/>
    <w:rsid w:val="00D547A3"/>
    <w:rsid w:val="00D54878"/>
    <w:rsid w:val="00D548AE"/>
    <w:rsid w:val="00D54915"/>
    <w:rsid w:val="00D5491A"/>
    <w:rsid w:val="00D54932"/>
    <w:rsid w:val="00D54977"/>
    <w:rsid w:val="00D54A21"/>
    <w:rsid w:val="00D54AA1"/>
    <w:rsid w:val="00D54AAA"/>
    <w:rsid w:val="00D54AEC"/>
    <w:rsid w:val="00D54C17"/>
    <w:rsid w:val="00D54C79"/>
    <w:rsid w:val="00D54C8C"/>
    <w:rsid w:val="00D54D46"/>
    <w:rsid w:val="00D54E8E"/>
    <w:rsid w:val="00D54EEE"/>
    <w:rsid w:val="00D54F4E"/>
    <w:rsid w:val="00D54FBF"/>
    <w:rsid w:val="00D54FDB"/>
    <w:rsid w:val="00D55041"/>
    <w:rsid w:val="00D55044"/>
    <w:rsid w:val="00D551CB"/>
    <w:rsid w:val="00D552B3"/>
    <w:rsid w:val="00D552E7"/>
    <w:rsid w:val="00D553D6"/>
    <w:rsid w:val="00D55495"/>
    <w:rsid w:val="00D5558D"/>
    <w:rsid w:val="00D555CB"/>
    <w:rsid w:val="00D55669"/>
    <w:rsid w:val="00D5579D"/>
    <w:rsid w:val="00D55811"/>
    <w:rsid w:val="00D5583E"/>
    <w:rsid w:val="00D559A4"/>
    <w:rsid w:val="00D55A29"/>
    <w:rsid w:val="00D55A30"/>
    <w:rsid w:val="00D55A88"/>
    <w:rsid w:val="00D55AA4"/>
    <w:rsid w:val="00D55C62"/>
    <w:rsid w:val="00D55D2D"/>
    <w:rsid w:val="00D55D62"/>
    <w:rsid w:val="00D55D9F"/>
    <w:rsid w:val="00D55DF7"/>
    <w:rsid w:val="00D55E19"/>
    <w:rsid w:val="00D55E33"/>
    <w:rsid w:val="00D56018"/>
    <w:rsid w:val="00D56061"/>
    <w:rsid w:val="00D5607F"/>
    <w:rsid w:val="00D5613F"/>
    <w:rsid w:val="00D5614F"/>
    <w:rsid w:val="00D56173"/>
    <w:rsid w:val="00D56180"/>
    <w:rsid w:val="00D5618A"/>
    <w:rsid w:val="00D561AC"/>
    <w:rsid w:val="00D5621F"/>
    <w:rsid w:val="00D56291"/>
    <w:rsid w:val="00D56309"/>
    <w:rsid w:val="00D564CE"/>
    <w:rsid w:val="00D56585"/>
    <w:rsid w:val="00D56678"/>
    <w:rsid w:val="00D567B0"/>
    <w:rsid w:val="00D56892"/>
    <w:rsid w:val="00D568F0"/>
    <w:rsid w:val="00D5699D"/>
    <w:rsid w:val="00D569B8"/>
    <w:rsid w:val="00D56A71"/>
    <w:rsid w:val="00D56ABC"/>
    <w:rsid w:val="00D56B35"/>
    <w:rsid w:val="00D56B42"/>
    <w:rsid w:val="00D56C72"/>
    <w:rsid w:val="00D56CD2"/>
    <w:rsid w:val="00D56CD8"/>
    <w:rsid w:val="00D56CDA"/>
    <w:rsid w:val="00D56CF1"/>
    <w:rsid w:val="00D56D1A"/>
    <w:rsid w:val="00D56D25"/>
    <w:rsid w:val="00D56D29"/>
    <w:rsid w:val="00D56D32"/>
    <w:rsid w:val="00D56D45"/>
    <w:rsid w:val="00D56F0C"/>
    <w:rsid w:val="00D5700D"/>
    <w:rsid w:val="00D57022"/>
    <w:rsid w:val="00D57075"/>
    <w:rsid w:val="00D570B5"/>
    <w:rsid w:val="00D57119"/>
    <w:rsid w:val="00D57121"/>
    <w:rsid w:val="00D5714E"/>
    <w:rsid w:val="00D5716B"/>
    <w:rsid w:val="00D5717F"/>
    <w:rsid w:val="00D5718F"/>
    <w:rsid w:val="00D5722E"/>
    <w:rsid w:val="00D572AE"/>
    <w:rsid w:val="00D572EA"/>
    <w:rsid w:val="00D573B3"/>
    <w:rsid w:val="00D5740F"/>
    <w:rsid w:val="00D57436"/>
    <w:rsid w:val="00D5743B"/>
    <w:rsid w:val="00D57454"/>
    <w:rsid w:val="00D57483"/>
    <w:rsid w:val="00D57695"/>
    <w:rsid w:val="00D576C9"/>
    <w:rsid w:val="00D577A7"/>
    <w:rsid w:val="00D577E1"/>
    <w:rsid w:val="00D5784B"/>
    <w:rsid w:val="00D57851"/>
    <w:rsid w:val="00D57A01"/>
    <w:rsid w:val="00D57A54"/>
    <w:rsid w:val="00D57AFB"/>
    <w:rsid w:val="00D57B0E"/>
    <w:rsid w:val="00D57B1B"/>
    <w:rsid w:val="00D57B34"/>
    <w:rsid w:val="00D57B70"/>
    <w:rsid w:val="00D57BCF"/>
    <w:rsid w:val="00D57C2A"/>
    <w:rsid w:val="00D57CC0"/>
    <w:rsid w:val="00D57CC5"/>
    <w:rsid w:val="00D57DBA"/>
    <w:rsid w:val="00D57DDB"/>
    <w:rsid w:val="00D57E5C"/>
    <w:rsid w:val="00D57FA9"/>
    <w:rsid w:val="00D59B6C"/>
    <w:rsid w:val="00D6006E"/>
    <w:rsid w:val="00D6008D"/>
    <w:rsid w:val="00D60114"/>
    <w:rsid w:val="00D60152"/>
    <w:rsid w:val="00D60365"/>
    <w:rsid w:val="00D60388"/>
    <w:rsid w:val="00D603A0"/>
    <w:rsid w:val="00D604AD"/>
    <w:rsid w:val="00D604E2"/>
    <w:rsid w:val="00D60556"/>
    <w:rsid w:val="00D60565"/>
    <w:rsid w:val="00D60632"/>
    <w:rsid w:val="00D60730"/>
    <w:rsid w:val="00D60808"/>
    <w:rsid w:val="00D6080A"/>
    <w:rsid w:val="00D60881"/>
    <w:rsid w:val="00D6088A"/>
    <w:rsid w:val="00D609B5"/>
    <w:rsid w:val="00D60A97"/>
    <w:rsid w:val="00D60AEF"/>
    <w:rsid w:val="00D60B32"/>
    <w:rsid w:val="00D60B41"/>
    <w:rsid w:val="00D60B8F"/>
    <w:rsid w:val="00D60BAE"/>
    <w:rsid w:val="00D60BD4"/>
    <w:rsid w:val="00D60C01"/>
    <w:rsid w:val="00D60C32"/>
    <w:rsid w:val="00D60C77"/>
    <w:rsid w:val="00D60CBE"/>
    <w:rsid w:val="00D60CD5"/>
    <w:rsid w:val="00D60D4D"/>
    <w:rsid w:val="00D60F3A"/>
    <w:rsid w:val="00D60F9F"/>
    <w:rsid w:val="00D60FD9"/>
    <w:rsid w:val="00D6106A"/>
    <w:rsid w:val="00D61095"/>
    <w:rsid w:val="00D611DC"/>
    <w:rsid w:val="00D612B2"/>
    <w:rsid w:val="00D614EA"/>
    <w:rsid w:val="00D614FE"/>
    <w:rsid w:val="00D615DF"/>
    <w:rsid w:val="00D615FA"/>
    <w:rsid w:val="00D6165C"/>
    <w:rsid w:val="00D616DD"/>
    <w:rsid w:val="00D617B1"/>
    <w:rsid w:val="00D617B5"/>
    <w:rsid w:val="00D618C9"/>
    <w:rsid w:val="00D618E2"/>
    <w:rsid w:val="00D618F4"/>
    <w:rsid w:val="00D619F2"/>
    <w:rsid w:val="00D61A45"/>
    <w:rsid w:val="00D61B53"/>
    <w:rsid w:val="00D61B83"/>
    <w:rsid w:val="00D61CC6"/>
    <w:rsid w:val="00D61CEF"/>
    <w:rsid w:val="00D61DBF"/>
    <w:rsid w:val="00D61DDB"/>
    <w:rsid w:val="00D61DE2"/>
    <w:rsid w:val="00D61E86"/>
    <w:rsid w:val="00D61F1E"/>
    <w:rsid w:val="00D61F41"/>
    <w:rsid w:val="00D61F43"/>
    <w:rsid w:val="00D62036"/>
    <w:rsid w:val="00D62104"/>
    <w:rsid w:val="00D62199"/>
    <w:rsid w:val="00D621D6"/>
    <w:rsid w:val="00D6221C"/>
    <w:rsid w:val="00D6221D"/>
    <w:rsid w:val="00D622DA"/>
    <w:rsid w:val="00D622EB"/>
    <w:rsid w:val="00D6232D"/>
    <w:rsid w:val="00D62376"/>
    <w:rsid w:val="00D623BB"/>
    <w:rsid w:val="00D6241F"/>
    <w:rsid w:val="00D6246E"/>
    <w:rsid w:val="00D62524"/>
    <w:rsid w:val="00D62548"/>
    <w:rsid w:val="00D625C8"/>
    <w:rsid w:val="00D625C9"/>
    <w:rsid w:val="00D626AF"/>
    <w:rsid w:val="00D626FE"/>
    <w:rsid w:val="00D62776"/>
    <w:rsid w:val="00D627C6"/>
    <w:rsid w:val="00D627D5"/>
    <w:rsid w:val="00D62831"/>
    <w:rsid w:val="00D628DC"/>
    <w:rsid w:val="00D62992"/>
    <w:rsid w:val="00D629C6"/>
    <w:rsid w:val="00D62A00"/>
    <w:rsid w:val="00D62A42"/>
    <w:rsid w:val="00D62A65"/>
    <w:rsid w:val="00D62A7E"/>
    <w:rsid w:val="00D62B63"/>
    <w:rsid w:val="00D62D36"/>
    <w:rsid w:val="00D62D58"/>
    <w:rsid w:val="00D62DD6"/>
    <w:rsid w:val="00D62F88"/>
    <w:rsid w:val="00D63257"/>
    <w:rsid w:val="00D63309"/>
    <w:rsid w:val="00D63359"/>
    <w:rsid w:val="00D633E9"/>
    <w:rsid w:val="00D6345A"/>
    <w:rsid w:val="00D6346A"/>
    <w:rsid w:val="00D634AC"/>
    <w:rsid w:val="00D63605"/>
    <w:rsid w:val="00D6364E"/>
    <w:rsid w:val="00D63662"/>
    <w:rsid w:val="00D63842"/>
    <w:rsid w:val="00D638AC"/>
    <w:rsid w:val="00D638F9"/>
    <w:rsid w:val="00D63954"/>
    <w:rsid w:val="00D639E7"/>
    <w:rsid w:val="00D63A4E"/>
    <w:rsid w:val="00D63A8E"/>
    <w:rsid w:val="00D63B5A"/>
    <w:rsid w:val="00D63B69"/>
    <w:rsid w:val="00D63B76"/>
    <w:rsid w:val="00D63BC3"/>
    <w:rsid w:val="00D63C24"/>
    <w:rsid w:val="00D63C44"/>
    <w:rsid w:val="00D63C46"/>
    <w:rsid w:val="00D63C4E"/>
    <w:rsid w:val="00D63C8D"/>
    <w:rsid w:val="00D63CC6"/>
    <w:rsid w:val="00D63D2E"/>
    <w:rsid w:val="00D63D56"/>
    <w:rsid w:val="00D63D69"/>
    <w:rsid w:val="00D63E7D"/>
    <w:rsid w:val="00D63EDA"/>
    <w:rsid w:val="00D63EFB"/>
    <w:rsid w:val="00D640C5"/>
    <w:rsid w:val="00D640E1"/>
    <w:rsid w:val="00D6410D"/>
    <w:rsid w:val="00D6414C"/>
    <w:rsid w:val="00D64176"/>
    <w:rsid w:val="00D64185"/>
    <w:rsid w:val="00D6424C"/>
    <w:rsid w:val="00D642E7"/>
    <w:rsid w:val="00D643DB"/>
    <w:rsid w:val="00D644B4"/>
    <w:rsid w:val="00D644E8"/>
    <w:rsid w:val="00D644F2"/>
    <w:rsid w:val="00D64825"/>
    <w:rsid w:val="00D6485C"/>
    <w:rsid w:val="00D64866"/>
    <w:rsid w:val="00D64892"/>
    <w:rsid w:val="00D648D1"/>
    <w:rsid w:val="00D6499F"/>
    <w:rsid w:val="00D649DB"/>
    <w:rsid w:val="00D64A34"/>
    <w:rsid w:val="00D64B51"/>
    <w:rsid w:val="00D64B5F"/>
    <w:rsid w:val="00D64BAE"/>
    <w:rsid w:val="00D64BCF"/>
    <w:rsid w:val="00D64C1B"/>
    <w:rsid w:val="00D64C89"/>
    <w:rsid w:val="00D64CA8"/>
    <w:rsid w:val="00D64D8D"/>
    <w:rsid w:val="00D64EBE"/>
    <w:rsid w:val="00D64ECF"/>
    <w:rsid w:val="00D64EF1"/>
    <w:rsid w:val="00D64F46"/>
    <w:rsid w:val="00D64F49"/>
    <w:rsid w:val="00D64F9D"/>
    <w:rsid w:val="00D64FFB"/>
    <w:rsid w:val="00D65109"/>
    <w:rsid w:val="00D65179"/>
    <w:rsid w:val="00D651A4"/>
    <w:rsid w:val="00D652C5"/>
    <w:rsid w:val="00D65334"/>
    <w:rsid w:val="00D65349"/>
    <w:rsid w:val="00D65456"/>
    <w:rsid w:val="00D65513"/>
    <w:rsid w:val="00D6551C"/>
    <w:rsid w:val="00D6552B"/>
    <w:rsid w:val="00D6552F"/>
    <w:rsid w:val="00D655DC"/>
    <w:rsid w:val="00D65721"/>
    <w:rsid w:val="00D65739"/>
    <w:rsid w:val="00D65758"/>
    <w:rsid w:val="00D6582D"/>
    <w:rsid w:val="00D6585F"/>
    <w:rsid w:val="00D658AF"/>
    <w:rsid w:val="00D65A5B"/>
    <w:rsid w:val="00D65A62"/>
    <w:rsid w:val="00D65BCB"/>
    <w:rsid w:val="00D65C06"/>
    <w:rsid w:val="00D65C73"/>
    <w:rsid w:val="00D65D2A"/>
    <w:rsid w:val="00D65DEB"/>
    <w:rsid w:val="00D65E08"/>
    <w:rsid w:val="00D65E24"/>
    <w:rsid w:val="00D6600C"/>
    <w:rsid w:val="00D66132"/>
    <w:rsid w:val="00D661B0"/>
    <w:rsid w:val="00D66222"/>
    <w:rsid w:val="00D66241"/>
    <w:rsid w:val="00D662C1"/>
    <w:rsid w:val="00D662DA"/>
    <w:rsid w:val="00D66488"/>
    <w:rsid w:val="00D665B2"/>
    <w:rsid w:val="00D66670"/>
    <w:rsid w:val="00D6667B"/>
    <w:rsid w:val="00D666F7"/>
    <w:rsid w:val="00D66749"/>
    <w:rsid w:val="00D66785"/>
    <w:rsid w:val="00D667F5"/>
    <w:rsid w:val="00D66857"/>
    <w:rsid w:val="00D66874"/>
    <w:rsid w:val="00D669B3"/>
    <w:rsid w:val="00D66ADD"/>
    <w:rsid w:val="00D66AF7"/>
    <w:rsid w:val="00D66BE0"/>
    <w:rsid w:val="00D66CA2"/>
    <w:rsid w:val="00D66CBB"/>
    <w:rsid w:val="00D66CE4"/>
    <w:rsid w:val="00D66D2F"/>
    <w:rsid w:val="00D67038"/>
    <w:rsid w:val="00D67057"/>
    <w:rsid w:val="00D67121"/>
    <w:rsid w:val="00D671CE"/>
    <w:rsid w:val="00D6726A"/>
    <w:rsid w:val="00D67324"/>
    <w:rsid w:val="00D67480"/>
    <w:rsid w:val="00D674D6"/>
    <w:rsid w:val="00D674DE"/>
    <w:rsid w:val="00D67518"/>
    <w:rsid w:val="00D6766C"/>
    <w:rsid w:val="00D67760"/>
    <w:rsid w:val="00D677A6"/>
    <w:rsid w:val="00D677C4"/>
    <w:rsid w:val="00D677F7"/>
    <w:rsid w:val="00D6780F"/>
    <w:rsid w:val="00D678B7"/>
    <w:rsid w:val="00D6792B"/>
    <w:rsid w:val="00D67954"/>
    <w:rsid w:val="00D67957"/>
    <w:rsid w:val="00D679BF"/>
    <w:rsid w:val="00D67AE9"/>
    <w:rsid w:val="00D67AF4"/>
    <w:rsid w:val="00D67CF4"/>
    <w:rsid w:val="00D67DCD"/>
    <w:rsid w:val="00D67DF3"/>
    <w:rsid w:val="00D67FC1"/>
    <w:rsid w:val="00D7000F"/>
    <w:rsid w:val="00D70019"/>
    <w:rsid w:val="00D70068"/>
    <w:rsid w:val="00D70087"/>
    <w:rsid w:val="00D700CC"/>
    <w:rsid w:val="00D701E6"/>
    <w:rsid w:val="00D70289"/>
    <w:rsid w:val="00D702BD"/>
    <w:rsid w:val="00D702C9"/>
    <w:rsid w:val="00D70419"/>
    <w:rsid w:val="00D704FB"/>
    <w:rsid w:val="00D70637"/>
    <w:rsid w:val="00D7064A"/>
    <w:rsid w:val="00D70707"/>
    <w:rsid w:val="00D70755"/>
    <w:rsid w:val="00D70759"/>
    <w:rsid w:val="00D707B4"/>
    <w:rsid w:val="00D7088B"/>
    <w:rsid w:val="00D708B0"/>
    <w:rsid w:val="00D7094D"/>
    <w:rsid w:val="00D709F2"/>
    <w:rsid w:val="00D70A19"/>
    <w:rsid w:val="00D70A41"/>
    <w:rsid w:val="00D70A79"/>
    <w:rsid w:val="00D70CD1"/>
    <w:rsid w:val="00D70D43"/>
    <w:rsid w:val="00D70D6C"/>
    <w:rsid w:val="00D70DA5"/>
    <w:rsid w:val="00D70DCA"/>
    <w:rsid w:val="00D70E4C"/>
    <w:rsid w:val="00D70EFF"/>
    <w:rsid w:val="00D71009"/>
    <w:rsid w:val="00D710E5"/>
    <w:rsid w:val="00D71166"/>
    <w:rsid w:val="00D711B8"/>
    <w:rsid w:val="00D71209"/>
    <w:rsid w:val="00D71295"/>
    <w:rsid w:val="00D7129D"/>
    <w:rsid w:val="00D712AE"/>
    <w:rsid w:val="00D713E6"/>
    <w:rsid w:val="00D7150B"/>
    <w:rsid w:val="00D71535"/>
    <w:rsid w:val="00D715B6"/>
    <w:rsid w:val="00D71630"/>
    <w:rsid w:val="00D71639"/>
    <w:rsid w:val="00D71678"/>
    <w:rsid w:val="00D718FE"/>
    <w:rsid w:val="00D719DA"/>
    <w:rsid w:val="00D71A11"/>
    <w:rsid w:val="00D71A37"/>
    <w:rsid w:val="00D71AD5"/>
    <w:rsid w:val="00D71AFC"/>
    <w:rsid w:val="00D71B3E"/>
    <w:rsid w:val="00D71B46"/>
    <w:rsid w:val="00D71BC7"/>
    <w:rsid w:val="00D71C0C"/>
    <w:rsid w:val="00D71CAE"/>
    <w:rsid w:val="00D71D49"/>
    <w:rsid w:val="00D71DDF"/>
    <w:rsid w:val="00D71E73"/>
    <w:rsid w:val="00D71F83"/>
    <w:rsid w:val="00D72064"/>
    <w:rsid w:val="00D720D3"/>
    <w:rsid w:val="00D72109"/>
    <w:rsid w:val="00D72111"/>
    <w:rsid w:val="00D72148"/>
    <w:rsid w:val="00D72181"/>
    <w:rsid w:val="00D72211"/>
    <w:rsid w:val="00D72354"/>
    <w:rsid w:val="00D7236B"/>
    <w:rsid w:val="00D724AF"/>
    <w:rsid w:val="00D724BC"/>
    <w:rsid w:val="00D72523"/>
    <w:rsid w:val="00D725F4"/>
    <w:rsid w:val="00D7267F"/>
    <w:rsid w:val="00D72705"/>
    <w:rsid w:val="00D727AE"/>
    <w:rsid w:val="00D728EC"/>
    <w:rsid w:val="00D729F8"/>
    <w:rsid w:val="00D729FB"/>
    <w:rsid w:val="00D72A18"/>
    <w:rsid w:val="00D72AB3"/>
    <w:rsid w:val="00D72AC1"/>
    <w:rsid w:val="00D72B62"/>
    <w:rsid w:val="00D72C24"/>
    <w:rsid w:val="00D72D7C"/>
    <w:rsid w:val="00D72DB5"/>
    <w:rsid w:val="00D72EB0"/>
    <w:rsid w:val="00D72EDD"/>
    <w:rsid w:val="00D72EEC"/>
    <w:rsid w:val="00D72FA3"/>
    <w:rsid w:val="00D7308A"/>
    <w:rsid w:val="00D7309B"/>
    <w:rsid w:val="00D730B9"/>
    <w:rsid w:val="00D730EB"/>
    <w:rsid w:val="00D73156"/>
    <w:rsid w:val="00D7315F"/>
    <w:rsid w:val="00D73274"/>
    <w:rsid w:val="00D732E6"/>
    <w:rsid w:val="00D73304"/>
    <w:rsid w:val="00D73334"/>
    <w:rsid w:val="00D73381"/>
    <w:rsid w:val="00D733FD"/>
    <w:rsid w:val="00D7342D"/>
    <w:rsid w:val="00D73471"/>
    <w:rsid w:val="00D7348F"/>
    <w:rsid w:val="00D7355F"/>
    <w:rsid w:val="00D7364A"/>
    <w:rsid w:val="00D7369A"/>
    <w:rsid w:val="00D736D4"/>
    <w:rsid w:val="00D73748"/>
    <w:rsid w:val="00D73791"/>
    <w:rsid w:val="00D7389E"/>
    <w:rsid w:val="00D7393C"/>
    <w:rsid w:val="00D73A2D"/>
    <w:rsid w:val="00D73A89"/>
    <w:rsid w:val="00D73AAE"/>
    <w:rsid w:val="00D73B1B"/>
    <w:rsid w:val="00D73B29"/>
    <w:rsid w:val="00D73B54"/>
    <w:rsid w:val="00D73C50"/>
    <w:rsid w:val="00D73DD6"/>
    <w:rsid w:val="00D73E2B"/>
    <w:rsid w:val="00D73E63"/>
    <w:rsid w:val="00D73F87"/>
    <w:rsid w:val="00D740BB"/>
    <w:rsid w:val="00D74144"/>
    <w:rsid w:val="00D74175"/>
    <w:rsid w:val="00D74248"/>
    <w:rsid w:val="00D743EA"/>
    <w:rsid w:val="00D74414"/>
    <w:rsid w:val="00D74435"/>
    <w:rsid w:val="00D74470"/>
    <w:rsid w:val="00D7452A"/>
    <w:rsid w:val="00D7452D"/>
    <w:rsid w:val="00D7453B"/>
    <w:rsid w:val="00D745D6"/>
    <w:rsid w:val="00D745EC"/>
    <w:rsid w:val="00D74609"/>
    <w:rsid w:val="00D74643"/>
    <w:rsid w:val="00D746F7"/>
    <w:rsid w:val="00D7479D"/>
    <w:rsid w:val="00D747BF"/>
    <w:rsid w:val="00D74814"/>
    <w:rsid w:val="00D748EF"/>
    <w:rsid w:val="00D7499B"/>
    <w:rsid w:val="00D749E1"/>
    <w:rsid w:val="00D74A35"/>
    <w:rsid w:val="00D74C04"/>
    <w:rsid w:val="00D74CDC"/>
    <w:rsid w:val="00D74D04"/>
    <w:rsid w:val="00D74D39"/>
    <w:rsid w:val="00D74E01"/>
    <w:rsid w:val="00D74E04"/>
    <w:rsid w:val="00D74E17"/>
    <w:rsid w:val="00D74ED2"/>
    <w:rsid w:val="00D74FEC"/>
    <w:rsid w:val="00D74FF5"/>
    <w:rsid w:val="00D75016"/>
    <w:rsid w:val="00D7503D"/>
    <w:rsid w:val="00D75044"/>
    <w:rsid w:val="00D7504D"/>
    <w:rsid w:val="00D750D3"/>
    <w:rsid w:val="00D7511C"/>
    <w:rsid w:val="00D751C2"/>
    <w:rsid w:val="00D7524F"/>
    <w:rsid w:val="00D7535C"/>
    <w:rsid w:val="00D75376"/>
    <w:rsid w:val="00D753A4"/>
    <w:rsid w:val="00D75479"/>
    <w:rsid w:val="00D755D4"/>
    <w:rsid w:val="00D7568E"/>
    <w:rsid w:val="00D7569D"/>
    <w:rsid w:val="00D75712"/>
    <w:rsid w:val="00D75828"/>
    <w:rsid w:val="00D75855"/>
    <w:rsid w:val="00D75885"/>
    <w:rsid w:val="00D7589D"/>
    <w:rsid w:val="00D758BF"/>
    <w:rsid w:val="00D75910"/>
    <w:rsid w:val="00D759B3"/>
    <w:rsid w:val="00D759CB"/>
    <w:rsid w:val="00D75AA8"/>
    <w:rsid w:val="00D75ADF"/>
    <w:rsid w:val="00D75C7C"/>
    <w:rsid w:val="00D75CCC"/>
    <w:rsid w:val="00D75D99"/>
    <w:rsid w:val="00D75E0C"/>
    <w:rsid w:val="00D75E8D"/>
    <w:rsid w:val="00D75EA9"/>
    <w:rsid w:val="00D75F0F"/>
    <w:rsid w:val="00D75FBF"/>
    <w:rsid w:val="00D75FFE"/>
    <w:rsid w:val="00D76008"/>
    <w:rsid w:val="00D76175"/>
    <w:rsid w:val="00D7619A"/>
    <w:rsid w:val="00D76217"/>
    <w:rsid w:val="00D76221"/>
    <w:rsid w:val="00D76260"/>
    <w:rsid w:val="00D762AF"/>
    <w:rsid w:val="00D762DC"/>
    <w:rsid w:val="00D7634E"/>
    <w:rsid w:val="00D76435"/>
    <w:rsid w:val="00D7651F"/>
    <w:rsid w:val="00D7653B"/>
    <w:rsid w:val="00D76619"/>
    <w:rsid w:val="00D76699"/>
    <w:rsid w:val="00D76708"/>
    <w:rsid w:val="00D76732"/>
    <w:rsid w:val="00D7680D"/>
    <w:rsid w:val="00D768DC"/>
    <w:rsid w:val="00D76917"/>
    <w:rsid w:val="00D769BE"/>
    <w:rsid w:val="00D769CA"/>
    <w:rsid w:val="00D76A40"/>
    <w:rsid w:val="00D76A7A"/>
    <w:rsid w:val="00D76ABD"/>
    <w:rsid w:val="00D76ADA"/>
    <w:rsid w:val="00D76AF7"/>
    <w:rsid w:val="00D76B5A"/>
    <w:rsid w:val="00D76B70"/>
    <w:rsid w:val="00D76B71"/>
    <w:rsid w:val="00D76CB4"/>
    <w:rsid w:val="00D76CB6"/>
    <w:rsid w:val="00D76D0A"/>
    <w:rsid w:val="00D76DE0"/>
    <w:rsid w:val="00D76F1B"/>
    <w:rsid w:val="00D76FBD"/>
    <w:rsid w:val="00D77013"/>
    <w:rsid w:val="00D770AF"/>
    <w:rsid w:val="00D77336"/>
    <w:rsid w:val="00D775F4"/>
    <w:rsid w:val="00D7764A"/>
    <w:rsid w:val="00D77662"/>
    <w:rsid w:val="00D77671"/>
    <w:rsid w:val="00D77694"/>
    <w:rsid w:val="00D77743"/>
    <w:rsid w:val="00D77788"/>
    <w:rsid w:val="00D777F3"/>
    <w:rsid w:val="00D779AD"/>
    <w:rsid w:val="00D779BD"/>
    <w:rsid w:val="00D779EA"/>
    <w:rsid w:val="00D77A68"/>
    <w:rsid w:val="00D77ACF"/>
    <w:rsid w:val="00D77AEC"/>
    <w:rsid w:val="00D77B16"/>
    <w:rsid w:val="00D77B52"/>
    <w:rsid w:val="00D77B98"/>
    <w:rsid w:val="00D77C28"/>
    <w:rsid w:val="00D77CDC"/>
    <w:rsid w:val="00D77CEB"/>
    <w:rsid w:val="00D77D04"/>
    <w:rsid w:val="00D77D17"/>
    <w:rsid w:val="00D77DC2"/>
    <w:rsid w:val="00D77DEA"/>
    <w:rsid w:val="00D77E8B"/>
    <w:rsid w:val="00D77F0F"/>
    <w:rsid w:val="00D77F55"/>
    <w:rsid w:val="00D77F90"/>
    <w:rsid w:val="00D77FC9"/>
    <w:rsid w:val="00D77FE1"/>
    <w:rsid w:val="00D80017"/>
    <w:rsid w:val="00D80036"/>
    <w:rsid w:val="00D80183"/>
    <w:rsid w:val="00D8019D"/>
    <w:rsid w:val="00D801FA"/>
    <w:rsid w:val="00D80294"/>
    <w:rsid w:val="00D803BC"/>
    <w:rsid w:val="00D80446"/>
    <w:rsid w:val="00D80458"/>
    <w:rsid w:val="00D80584"/>
    <w:rsid w:val="00D80641"/>
    <w:rsid w:val="00D806EA"/>
    <w:rsid w:val="00D806EF"/>
    <w:rsid w:val="00D80708"/>
    <w:rsid w:val="00D80793"/>
    <w:rsid w:val="00D80AD4"/>
    <w:rsid w:val="00D80B8A"/>
    <w:rsid w:val="00D80BA3"/>
    <w:rsid w:val="00D80C19"/>
    <w:rsid w:val="00D80C8B"/>
    <w:rsid w:val="00D80C8D"/>
    <w:rsid w:val="00D80C98"/>
    <w:rsid w:val="00D80CB8"/>
    <w:rsid w:val="00D80CCA"/>
    <w:rsid w:val="00D80D4B"/>
    <w:rsid w:val="00D80DFD"/>
    <w:rsid w:val="00D80E3D"/>
    <w:rsid w:val="00D80EB5"/>
    <w:rsid w:val="00D80F24"/>
    <w:rsid w:val="00D80FE4"/>
    <w:rsid w:val="00D80FEC"/>
    <w:rsid w:val="00D80FF6"/>
    <w:rsid w:val="00D81067"/>
    <w:rsid w:val="00D810D4"/>
    <w:rsid w:val="00D810E7"/>
    <w:rsid w:val="00D811B9"/>
    <w:rsid w:val="00D81268"/>
    <w:rsid w:val="00D81287"/>
    <w:rsid w:val="00D8128A"/>
    <w:rsid w:val="00D812F3"/>
    <w:rsid w:val="00D812FB"/>
    <w:rsid w:val="00D8136C"/>
    <w:rsid w:val="00D816F5"/>
    <w:rsid w:val="00D81725"/>
    <w:rsid w:val="00D817A3"/>
    <w:rsid w:val="00D8186F"/>
    <w:rsid w:val="00D8187D"/>
    <w:rsid w:val="00D818E6"/>
    <w:rsid w:val="00D8198E"/>
    <w:rsid w:val="00D81AC8"/>
    <w:rsid w:val="00D81AF1"/>
    <w:rsid w:val="00D81C20"/>
    <w:rsid w:val="00D81C22"/>
    <w:rsid w:val="00D81D15"/>
    <w:rsid w:val="00D81DC8"/>
    <w:rsid w:val="00D81E10"/>
    <w:rsid w:val="00D81F02"/>
    <w:rsid w:val="00D81F0E"/>
    <w:rsid w:val="00D81F1A"/>
    <w:rsid w:val="00D81F71"/>
    <w:rsid w:val="00D81FA7"/>
    <w:rsid w:val="00D8207B"/>
    <w:rsid w:val="00D8217D"/>
    <w:rsid w:val="00D821C9"/>
    <w:rsid w:val="00D821EE"/>
    <w:rsid w:val="00D82261"/>
    <w:rsid w:val="00D822F6"/>
    <w:rsid w:val="00D82533"/>
    <w:rsid w:val="00D82561"/>
    <w:rsid w:val="00D825CA"/>
    <w:rsid w:val="00D82624"/>
    <w:rsid w:val="00D82665"/>
    <w:rsid w:val="00D82669"/>
    <w:rsid w:val="00D8268A"/>
    <w:rsid w:val="00D8281B"/>
    <w:rsid w:val="00D8284C"/>
    <w:rsid w:val="00D828C1"/>
    <w:rsid w:val="00D829FE"/>
    <w:rsid w:val="00D82A37"/>
    <w:rsid w:val="00D82BF9"/>
    <w:rsid w:val="00D82C04"/>
    <w:rsid w:val="00D82C3C"/>
    <w:rsid w:val="00D82D20"/>
    <w:rsid w:val="00D82D5A"/>
    <w:rsid w:val="00D82DBE"/>
    <w:rsid w:val="00D82EF8"/>
    <w:rsid w:val="00D83017"/>
    <w:rsid w:val="00D83021"/>
    <w:rsid w:val="00D8308C"/>
    <w:rsid w:val="00D8313F"/>
    <w:rsid w:val="00D8315D"/>
    <w:rsid w:val="00D83298"/>
    <w:rsid w:val="00D833B0"/>
    <w:rsid w:val="00D833C5"/>
    <w:rsid w:val="00D83499"/>
    <w:rsid w:val="00D834AD"/>
    <w:rsid w:val="00D834DB"/>
    <w:rsid w:val="00D834E4"/>
    <w:rsid w:val="00D83594"/>
    <w:rsid w:val="00D83695"/>
    <w:rsid w:val="00D836A1"/>
    <w:rsid w:val="00D836D9"/>
    <w:rsid w:val="00D83769"/>
    <w:rsid w:val="00D837D0"/>
    <w:rsid w:val="00D838C4"/>
    <w:rsid w:val="00D838F8"/>
    <w:rsid w:val="00D8399B"/>
    <w:rsid w:val="00D83AB2"/>
    <w:rsid w:val="00D83BCB"/>
    <w:rsid w:val="00D83C24"/>
    <w:rsid w:val="00D83CED"/>
    <w:rsid w:val="00D83D15"/>
    <w:rsid w:val="00D83DBB"/>
    <w:rsid w:val="00D83DE9"/>
    <w:rsid w:val="00D83EE2"/>
    <w:rsid w:val="00D83EF9"/>
    <w:rsid w:val="00D83F3C"/>
    <w:rsid w:val="00D83F52"/>
    <w:rsid w:val="00D83F5B"/>
    <w:rsid w:val="00D83FA3"/>
    <w:rsid w:val="00D83FD8"/>
    <w:rsid w:val="00D8404B"/>
    <w:rsid w:val="00D84065"/>
    <w:rsid w:val="00D84084"/>
    <w:rsid w:val="00D84132"/>
    <w:rsid w:val="00D84179"/>
    <w:rsid w:val="00D842AE"/>
    <w:rsid w:val="00D8431C"/>
    <w:rsid w:val="00D843A4"/>
    <w:rsid w:val="00D8443D"/>
    <w:rsid w:val="00D8446D"/>
    <w:rsid w:val="00D84481"/>
    <w:rsid w:val="00D844CA"/>
    <w:rsid w:val="00D8450D"/>
    <w:rsid w:val="00D845F0"/>
    <w:rsid w:val="00D84688"/>
    <w:rsid w:val="00D84731"/>
    <w:rsid w:val="00D847AD"/>
    <w:rsid w:val="00D847ED"/>
    <w:rsid w:val="00D84824"/>
    <w:rsid w:val="00D84834"/>
    <w:rsid w:val="00D8489F"/>
    <w:rsid w:val="00D84968"/>
    <w:rsid w:val="00D84A67"/>
    <w:rsid w:val="00D84AC5"/>
    <w:rsid w:val="00D84B1C"/>
    <w:rsid w:val="00D84B5C"/>
    <w:rsid w:val="00D84B7C"/>
    <w:rsid w:val="00D84CA6"/>
    <w:rsid w:val="00D84CFE"/>
    <w:rsid w:val="00D84D6B"/>
    <w:rsid w:val="00D84DFA"/>
    <w:rsid w:val="00D84E3A"/>
    <w:rsid w:val="00D84EB6"/>
    <w:rsid w:val="00D84EE2"/>
    <w:rsid w:val="00D84F70"/>
    <w:rsid w:val="00D84F98"/>
    <w:rsid w:val="00D84F9F"/>
    <w:rsid w:val="00D85004"/>
    <w:rsid w:val="00D85009"/>
    <w:rsid w:val="00D8502C"/>
    <w:rsid w:val="00D85075"/>
    <w:rsid w:val="00D85136"/>
    <w:rsid w:val="00D85168"/>
    <w:rsid w:val="00D851E9"/>
    <w:rsid w:val="00D8534E"/>
    <w:rsid w:val="00D85430"/>
    <w:rsid w:val="00D85483"/>
    <w:rsid w:val="00D8548B"/>
    <w:rsid w:val="00D85581"/>
    <w:rsid w:val="00D855F4"/>
    <w:rsid w:val="00D85672"/>
    <w:rsid w:val="00D856F0"/>
    <w:rsid w:val="00D85741"/>
    <w:rsid w:val="00D85743"/>
    <w:rsid w:val="00D85826"/>
    <w:rsid w:val="00D858B3"/>
    <w:rsid w:val="00D85909"/>
    <w:rsid w:val="00D8597B"/>
    <w:rsid w:val="00D85A8F"/>
    <w:rsid w:val="00D85AD3"/>
    <w:rsid w:val="00D85BE3"/>
    <w:rsid w:val="00D85BF9"/>
    <w:rsid w:val="00D85C9A"/>
    <w:rsid w:val="00D85C9C"/>
    <w:rsid w:val="00D85D59"/>
    <w:rsid w:val="00D85D61"/>
    <w:rsid w:val="00D85D77"/>
    <w:rsid w:val="00D85EA0"/>
    <w:rsid w:val="00D85EF4"/>
    <w:rsid w:val="00D85EFB"/>
    <w:rsid w:val="00D85F43"/>
    <w:rsid w:val="00D85FF3"/>
    <w:rsid w:val="00D8600D"/>
    <w:rsid w:val="00D8601D"/>
    <w:rsid w:val="00D861AB"/>
    <w:rsid w:val="00D86206"/>
    <w:rsid w:val="00D8625A"/>
    <w:rsid w:val="00D86362"/>
    <w:rsid w:val="00D86477"/>
    <w:rsid w:val="00D8647C"/>
    <w:rsid w:val="00D864B5"/>
    <w:rsid w:val="00D86503"/>
    <w:rsid w:val="00D8654E"/>
    <w:rsid w:val="00D86584"/>
    <w:rsid w:val="00D8672F"/>
    <w:rsid w:val="00D868AF"/>
    <w:rsid w:val="00D868E4"/>
    <w:rsid w:val="00D86957"/>
    <w:rsid w:val="00D86984"/>
    <w:rsid w:val="00D869E2"/>
    <w:rsid w:val="00D86A4D"/>
    <w:rsid w:val="00D86A79"/>
    <w:rsid w:val="00D86B22"/>
    <w:rsid w:val="00D86B7D"/>
    <w:rsid w:val="00D86BA7"/>
    <w:rsid w:val="00D86BBD"/>
    <w:rsid w:val="00D86C0F"/>
    <w:rsid w:val="00D86C22"/>
    <w:rsid w:val="00D86C25"/>
    <w:rsid w:val="00D86CB6"/>
    <w:rsid w:val="00D86D06"/>
    <w:rsid w:val="00D86F3A"/>
    <w:rsid w:val="00D86FA2"/>
    <w:rsid w:val="00D87015"/>
    <w:rsid w:val="00D8707A"/>
    <w:rsid w:val="00D870D4"/>
    <w:rsid w:val="00D87111"/>
    <w:rsid w:val="00D87167"/>
    <w:rsid w:val="00D8724F"/>
    <w:rsid w:val="00D8730C"/>
    <w:rsid w:val="00D8738D"/>
    <w:rsid w:val="00D873BE"/>
    <w:rsid w:val="00D87451"/>
    <w:rsid w:val="00D87454"/>
    <w:rsid w:val="00D874B3"/>
    <w:rsid w:val="00D874E6"/>
    <w:rsid w:val="00D875AF"/>
    <w:rsid w:val="00D876DD"/>
    <w:rsid w:val="00D876F4"/>
    <w:rsid w:val="00D877EA"/>
    <w:rsid w:val="00D8781D"/>
    <w:rsid w:val="00D87828"/>
    <w:rsid w:val="00D87882"/>
    <w:rsid w:val="00D87939"/>
    <w:rsid w:val="00D87958"/>
    <w:rsid w:val="00D879EE"/>
    <w:rsid w:val="00D87B1B"/>
    <w:rsid w:val="00D87B4D"/>
    <w:rsid w:val="00D87BF4"/>
    <w:rsid w:val="00D87CB8"/>
    <w:rsid w:val="00D87DA9"/>
    <w:rsid w:val="00D87E4D"/>
    <w:rsid w:val="00D87EA8"/>
    <w:rsid w:val="00D87EEA"/>
    <w:rsid w:val="00D87FE4"/>
    <w:rsid w:val="00D90057"/>
    <w:rsid w:val="00D900D7"/>
    <w:rsid w:val="00D900EB"/>
    <w:rsid w:val="00D9025E"/>
    <w:rsid w:val="00D90321"/>
    <w:rsid w:val="00D904E0"/>
    <w:rsid w:val="00D904E8"/>
    <w:rsid w:val="00D9055E"/>
    <w:rsid w:val="00D9057A"/>
    <w:rsid w:val="00D905D7"/>
    <w:rsid w:val="00D905FA"/>
    <w:rsid w:val="00D9076F"/>
    <w:rsid w:val="00D907BA"/>
    <w:rsid w:val="00D907D6"/>
    <w:rsid w:val="00D908A0"/>
    <w:rsid w:val="00D908BB"/>
    <w:rsid w:val="00D909EE"/>
    <w:rsid w:val="00D90A01"/>
    <w:rsid w:val="00D90A75"/>
    <w:rsid w:val="00D90A83"/>
    <w:rsid w:val="00D90A92"/>
    <w:rsid w:val="00D90AC4"/>
    <w:rsid w:val="00D90B10"/>
    <w:rsid w:val="00D90B5E"/>
    <w:rsid w:val="00D90B93"/>
    <w:rsid w:val="00D90BAC"/>
    <w:rsid w:val="00D90BFE"/>
    <w:rsid w:val="00D90C3B"/>
    <w:rsid w:val="00D90E28"/>
    <w:rsid w:val="00D90E36"/>
    <w:rsid w:val="00D90E6C"/>
    <w:rsid w:val="00D90E8A"/>
    <w:rsid w:val="00D910C3"/>
    <w:rsid w:val="00D91120"/>
    <w:rsid w:val="00D911CB"/>
    <w:rsid w:val="00D91218"/>
    <w:rsid w:val="00D912AC"/>
    <w:rsid w:val="00D91336"/>
    <w:rsid w:val="00D91347"/>
    <w:rsid w:val="00D91354"/>
    <w:rsid w:val="00D913A9"/>
    <w:rsid w:val="00D91435"/>
    <w:rsid w:val="00D91465"/>
    <w:rsid w:val="00D91480"/>
    <w:rsid w:val="00D914DB"/>
    <w:rsid w:val="00D915C6"/>
    <w:rsid w:val="00D915DA"/>
    <w:rsid w:val="00D915FA"/>
    <w:rsid w:val="00D91650"/>
    <w:rsid w:val="00D916F1"/>
    <w:rsid w:val="00D9182E"/>
    <w:rsid w:val="00D918C9"/>
    <w:rsid w:val="00D91A32"/>
    <w:rsid w:val="00D91A73"/>
    <w:rsid w:val="00D91A8B"/>
    <w:rsid w:val="00D91B80"/>
    <w:rsid w:val="00D91B90"/>
    <w:rsid w:val="00D91BDA"/>
    <w:rsid w:val="00D91C91"/>
    <w:rsid w:val="00D91CC0"/>
    <w:rsid w:val="00D91CCA"/>
    <w:rsid w:val="00D91CD7"/>
    <w:rsid w:val="00D91D0C"/>
    <w:rsid w:val="00D91F9A"/>
    <w:rsid w:val="00D921ED"/>
    <w:rsid w:val="00D9221A"/>
    <w:rsid w:val="00D9225E"/>
    <w:rsid w:val="00D922A1"/>
    <w:rsid w:val="00D922AE"/>
    <w:rsid w:val="00D9230A"/>
    <w:rsid w:val="00D92336"/>
    <w:rsid w:val="00D92339"/>
    <w:rsid w:val="00D92347"/>
    <w:rsid w:val="00D9237A"/>
    <w:rsid w:val="00D923E7"/>
    <w:rsid w:val="00D923ED"/>
    <w:rsid w:val="00D92516"/>
    <w:rsid w:val="00D92581"/>
    <w:rsid w:val="00D925A7"/>
    <w:rsid w:val="00D92618"/>
    <w:rsid w:val="00D9275B"/>
    <w:rsid w:val="00D927A8"/>
    <w:rsid w:val="00D927D2"/>
    <w:rsid w:val="00D92807"/>
    <w:rsid w:val="00D92A11"/>
    <w:rsid w:val="00D92A97"/>
    <w:rsid w:val="00D92AE1"/>
    <w:rsid w:val="00D92B0C"/>
    <w:rsid w:val="00D92B24"/>
    <w:rsid w:val="00D92B44"/>
    <w:rsid w:val="00D92C3F"/>
    <w:rsid w:val="00D92DA0"/>
    <w:rsid w:val="00D92DE9"/>
    <w:rsid w:val="00D92E0A"/>
    <w:rsid w:val="00D92E9E"/>
    <w:rsid w:val="00D92EC1"/>
    <w:rsid w:val="00D92EE7"/>
    <w:rsid w:val="00D92EEA"/>
    <w:rsid w:val="00D93013"/>
    <w:rsid w:val="00D930AF"/>
    <w:rsid w:val="00D93112"/>
    <w:rsid w:val="00D93124"/>
    <w:rsid w:val="00D93131"/>
    <w:rsid w:val="00D9313A"/>
    <w:rsid w:val="00D931AA"/>
    <w:rsid w:val="00D93279"/>
    <w:rsid w:val="00D932DE"/>
    <w:rsid w:val="00D93327"/>
    <w:rsid w:val="00D933A5"/>
    <w:rsid w:val="00D933CD"/>
    <w:rsid w:val="00D93488"/>
    <w:rsid w:val="00D934F5"/>
    <w:rsid w:val="00D93510"/>
    <w:rsid w:val="00D9355C"/>
    <w:rsid w:val="00D9358B"/>
    <w:rsid w:val="00D935F0"/>
    <w:rsid w:val="00D9363C"/>
    <w:rsid w:val="00D936F2"/>
    <w:rsid w:val="00D93725"/>
    <w:rsid w:val="00D93789"/>
    <w:rsid w:val="00D93836"/>
    <w:rsid w:val="00D93858"/>
    <w:rsid w:val="00D93871"/>
    <w:rsid w:val="00D93947"/>
    <w:rsid w:val="00D9398D"/>
    <w:rsid w:val="00D939DB"/>
    <w:rsid w:val="00D93A79"/>
    <w:rsid w:val="00D93BDC"/>
    <w:rsid w:val="00D93CBD"/>
    <w:rsid w:val="00D93D88"/>
    <w:rsid w:val="00D93DFF"/>
    <w:rsid w:val="00D93E43"/>
    <w:rsid w:val="00D93E77"/>
    <w:rsid w:val="00D93E88"/>
    <w:rsid w:val="00D93FB3"/>
    <w:rsid w:val="00D93FD3"/>
    <w:rsid w:val="00D94032"/>
    <w:rsid w:val="00D9406E"/>
    <w:rsid w:val="00D94085"/>
    <w:rsid w:val="00D94095"/>
    <w:rsid w:val="00D94097"/>
    <w:rsid w:val="00D94108"/>
    <w:rsid w:val="00D94159"/>
    <w:rsid w:val="00D94178"/>
    <w:rsid w:val="00D941DC"/>
    <w:rsid w:val="00D94279"/>
    <w:rsid w:val="00D94325"/>
    <w:rsid w:val="00D94408"/>
    <w:rsid w:val="00D9443F"/>
    <w:rsid w:val="00D94461"/>
    <w:rsid w:val="00D9454D"/>
    <w:rsid w:val="00D9456B"/>
    <w:rsid w:val="00D94576"/>
    <w:rsid w:val="00D94582"/>
    <w:rsid w:val="00D945C6"/>
    <w:rsid w:val="00D945CB"/>
    <w:rsid w:val="00D9461D"/>
    <w:rsid w:val="00D94620"/>
    <w:rsid w:val="00D94783"/>
    <w:rsid w:val="00D947B1"/>
    <w:rsid w:val="00D947F6"/>
    <w:rsid w:val="00D9485C"/>
    <w:rsid w:val="00D948C5"/>
    <w:rsid w:val="00D949F5"/>
    <w:rsid w:val="00D94A6C"/>
    <w:rsid w:val="00D94A70"/>
    <w:rsid w:val="00D94ADC"/>
    <w:rsid w:val="00D94C54"/>
    <w:rsid w:val="00D94D41"/>
    <w:rsid w:val="00D94DF1"/>
    <w:rsid w:val="00D94E5D"/>
    <w:rsid w:val="00D94E8F"/>
    <w:rsid w:val="00D94EB0"/>
    <w:rsid w:val="00D94FFA"/>
    <w:rsid w:val="00D95098"/>
    <w:rsid w:val="00D9515D"/>
    <w:rsid w:val="00D9515E"/>
    <w:rsid w:val="00D9518A"/>
    <w:rsid w:val="00D951EC"/>
    <w:rsid w:val="00D95205"/>
    <w:rsid w:val="00D952E1"/>
    <w:rsid w:val="00D952F5"/>
    <w:rsid w:val="00D95348"/>
    <w:rsid w:val="00D95379"/>
    <w:rsid w:val="00D95381"/>
    <w:rsid w:val="00D9541A"/>
    <w:rsid w:val="00D955D4"/>
    <w:rsid w:val="00D95651"/>
    <w:rsid w:val="00D957FD"/>
    <w:rsid w:val="00D9581F"/>
    <w:rsid w:val="00D95884"/>
    <w:rsid w:val="00D95890"/>
    <w:rsid w:val="00D95AB0"/>
    <w:rsid w:val="00D95AD9"/>
    <w:rsid w:val="00D95AF9"/>
    <w:rsid w:val="00D95B2E"/>
    <w:rsid w:val="00D95B38"/>
    <w:rsid w:val="00D95B9B"/>
    <w:rsid w:val="00D95DE7"/>
    <w:rsid w:val="00D95DF9"/>
    <w:rsid w:val="00D95E2E"/>
    <w:rsid w:val="00D95E85"/>
    <w:rsid w:val="00D95F02"/>
    <w:rsid w:val="00D95F19"/>
    <w:rsid w:val="00D95F26"/>
    <w:rsid w:val="00D95FCA"/>
    <w:rsid w:val="00D9600E"/>
    <w:rsid w:val="00D9601D"/>
    <w:rsid w:val="00D96027"/>
    <w:rsid w:val="00D9605A"/>
    <w:rsid w:val="00D960B3"/>
    <w:rsid w:val="00D960DA"/>
    <w:rsid w:val="00D961AF"/>
    <w:rsid w:val="00D96235"/>
    <w:rsid w:val="00D9623F"/>
    <w:rsid w:val="00D962EB"/>
    <w:rsid w:val="00D9631A"/>
    <w:rsid w:val="00D96357"/>
    <w:rsid w:val="00D963AA"/>
    <w:rsid w:val="00D964A7"/>
    <w:rsid w:val="00D964BF"/>
    <w:rsid w:val="00D96595"/>
    <w:rsid w:val="00D96678"/>
    <w:rsid w:val="00D9669C"/>
    <w:rsid w:val="00D96717"/>
    <w:rsid w:val="00D9684A"/>
    <w:rsid w:val="00D9696C"/>
    <w:rsid w:val="00D96971"/>
    <w:rsid w:val="00D969EB"/>
    <w:rsid w:val="00D96A61"/>
    <w:rsid w:val="00D96ADB"/>
    <w:rsid w:val="00D96B1C"/>
    <w:rsid w:val="00D96C47"/>
    <w:rsid w:val="00D96CB2"/>
    <w:rsid w:val="00D96CB3"/>
    <w:rsid w:val="00D96CC0"/>
    <w:rsid w:val="00D96CE5"/>
    <w:rsid w:val="00D96D8B"/>
    <w:rsid w:val="00D96E74"/>
    <w:rsid w:val="00D96ECB"/>
    <w:rsid w:val="00D96F95"/>
    <w:rsid w:val="00D97057"/>
    <w:rsid w:val="00D970A4"/>
    <w:rsid w:val="00D970BF"/>
    <w:rsid w:val="00D970CE"/>
    <w:rsid w:val="00D9716B"/>
    <w:rsid w:val="00D971E2"/>
    <w:rsid w:val="00D97294"/>
    <w:rsid w:val="00D972E1"/>
    <w:rsid w:val="00D9731D"/>
    <w:rsid w:val="00D97364"/>
    <w:rsid w:val="00D97377"/>
    <w:rsid w:val="00D973AA"/>
    <w:rsid w:val="00D973D1"/>
    <w:rsid w:val="00D97426"/>
    <w:rsid w:val="00D9746B"/>
    <w:rsid w:val="00D97493"/>
    <w:rsid w:val="00D974D4"/>
    <w:rsid w:val="00D974EE"/>
    <w:rsid w:val="00D975EA"/>
    <w:rsid w:val="00D976E9"/>
    <w:rsid w:val="00D97703"/>
    <w:rsid w:val="00D9772D"/>
    <w:rsid w:val="00D9775F"/>
    <w:rsid w:val="00D977F3"/>
    <w:rsid w:val="00D97862"/>
    <w:rsid w:val="00D97922"/>
    <w:rsid w:val="00D97934"/>
    <w:rsid w:val="00D9795C"/>
    <w:rsid w:val="00D979F3"/>
    <w:rsid w:val="00D97A64"/>
    <w:rsid w:val="00D97B32"/>
    <w:rsid w:val="00D97B69"/>
    <w:rsid w:val="00D97B6C"/>
    <w:rsid w:val="00D97BED"/>
    <w:rsid w:val="00D97E6A"/>
    <w:rsid w:val="00D97EB9"/>
    <w:rsid w:val="00D97ECE"/>
    <w:rsid w:val="00D97F04"/>
    <w:rsid w:val="00D97F18"/>
    <w:rsid w:val="00D97F5F"/>
    <w:rsid w:val="00D97FFA"/>
    <w:rsid w:val="00DA00C4"/>
    <w:rsid w:val="00DA014A"/>
    <w:rsid w:val="00DA01ED"/>
    <w:rsid w:val="00DA0207"/>
    <w:rsid w:val="00DA021D"/>
    <w:rsid w:val="00DA026F"/>
    <w:rsid w:val="00DA03B6"/>
    <w:rsid w:val="00DA045E"/>
    <w:rsid w:val="00DA0595"/>
    <w:rsid w:val="00DA05DE"/>
    <w:rsid w:val="00DA0692"/>
    <w:rsid w:val="00DA071C"/>
    <w:rsid w:val="00DA072D"/>
    <w:rsid w:val="00DA08F6"/>
    <w:rsid w:val="00DA090F"/>
    <w:rsid w:val="00DA091D"/>
    <w:rsid w:val="00DA09A8"/>
    <w:rsid w:val="00DA09C4"/>
    <w:rsid w:val="00DA09C9"/>
    <w:rsid w:val="00DA0A24"/>
    <w:rsid w:val="00DA0A61"/>
    <w:rsid w:val="00DA0A78"/>
    <w:rsid w:val="00DA0A7C"/>
    <w:rsid w:val="00DA0B76"/>
    <w:rsid w:val="00DA0B7B"/>
    <w:rsid w:val="00DA0B9C"/>
    <w:rsid w:val="00DA0D59"/>
    <w:rsid w:val="00DA0D8C"/>
    <w:rsid w:val="00DA0DAB"/>
    <w:rsid w:val="00DA0DAF"/>
    <w:rsid w:val="00DA0E80"/>
    <w:rsid w:val="00DA0E9F"/>
    <w:rsid w:val="00DA0F8E"/>
    <w:rsid w:val="00DA0FD1"/>
    <w:rsid w:val="00DA1081"/>
    <w:rsid w:val="00DA1126"/>
    <w:rsid w:val="00DA1128"/>
    <w:rsid w:val="00DA118D"/>
    <w:rsid w:val="00DA121D"/>
    <w:rsid w:val="00DA13F9"/>
    <w:rsid w:val="00DA141E"/>
    <w:rsid w:val="00DA14B6"/>
    <w:rsid w:val="00DA14CC"/>
    <w:rsid w:val="00DA1509"/>
    <w:rsid w:val="00DA1533"/>
    <w:rsid w:val="00DA161B"/>
    <w:rsid w:val="00DA166C"/>
    <w:rsid w:val="00DA1686"/>
    <w:rsid w:val="00DA16C4"/>
    <w:rsid w:val="00DA1714"/>
    <w:rsid w:val="00DA17BD"/>
    <w:rsid w:val="00DA1822"/>
    <w:rsid w:val="00DA184D"/>
    <w:rsid w:val="00DA188C"/>
    <w:rsid w:val="00DA1970"/>
    <w:rsid w:val="00DA1994"/>
    <w:rsid w:val="00DA19AD"/>
    <w:rsid w:val="00DA19B3"/>
    <w:rsid w:val="00DA1AD9"/>
    <w:rsid w:val="00DA1B64"/>
    <w:rsid w:val="00DA1B65"/>
    <w:rsid w:val="00DA1C2F"/>
    <w:rsid w:val="00DA1C30"/>
    <w:rsid w:val="00DA1CD8"/>
    <w:rsid w:val="00DA1D36"/>
    <w:rsid w:val="00DA1D48"/>
    <w:rsid w:val="00DA1D65"/>
    <w:rsid w:val="00DA1E43"/>
    <w:rsid w:val="00DA1ECB"/>
    <w:rsid w:val="00DA1EEC"/>
    <w:rsid w:val="00DA1F87"/>
    <w:rsid w:val="00DA1F92"/>
    <w:rsid w:val="00DA1FE5"/>
    <w:rsid w:val="00DA2050"/>
    <w:rsid w:val="00DA2134"/>
    <w:rsid w:val="00DA222C"/>
    <w:rsid w:val="00DA2281"/>
    <w:rsid w:val="00DA22D6"/>
    <w:rsid w:val="00DA231D"/>
    <w:rsid w:val="00DA2332"/>
    <w:rsid w:val="00DA2386"/>
    <w:rsid w:val="00DA248C"/>
    <w:rsid w:val="00DA24C4"/>
    <w:rsid w:val="00DA252E"/>
    <w:rsid w:val="00DA254A"/>
    <w:rsid w:val="00DA2557"/>
    <w:rsid w:val="00DA26DA"/>
    <w:rsid w:val="00DA28A3"/>
    <w:rsid w:val="00DA28C4"/>
    <w:rsid w:val="00DA2901"/>
    <w:rsid w:val="00DA298A"/>
    <w:rsid w:val="00DA29BF"/>
    <w:rsid w:val="00DA29C6"/>
    <w:rsid w:val="00DA2A3C"/>
    <w:rsid w:val="00DA2A7C"/>
    <w:rsid w:val="00DA2A93"/>
    <w:rsid w:val="00DA2B06"/>
    <w:rsid w:val="00DA2B9F"/>
    <w:rsid w:val="00DA2C32"/>
    <w:rsid w:val="00DA2D15"/>
    <w:rsid w:val="00DA2D95"/>
    <w:rsid w:val="00DA2DE3"/>
    <w:rsid w:val="00DA2DE5"/>
    <w:rsid w:val="00DA2E2B"/>
    <w:rsid w:val="00DA2E8E"/>
    <w:rsid w:val="00DA2E98"/>
    <w:rsid w:val="00DA2EF1"/>
    <w:rsid w:val="00DA2F27"/>
    <w:rsid w:val="00DA3145"/>
    <w:rsid w:val="00DA31D9"/>
    <w:rsid w:val="00DA32F2"/>
    <w:rsid w:val="00DA337B"/>
    <w:rsid w:val="00DA33D9"/>
    <w:rsid w:val="00DA34BA"/>
    <w:rsid w:val="00DA34C6"/>
    <w:rsid w:val="00DA3526"/>
    <w:rsid w:val="00DA3592"/>
    <w:rsid w:val="00DA3594"/>
    <w:rsid w:val="00DA3608"/>
    <w:rsid w:val="00DA362C"/>
    <w:rsid w:val="00DA369F"/>
    <w:rsid w:val="00DA378F"/>
    <w:rsid w:val="00DA37DB"/>
    <w:rsid w:val="00DA386A"/>
    <w:rsid w:val="00DA386B"/>
    <w:rsid w:val="00DA388C"/>
    <w:rsid w:val="00DA3943"/>
    <w:rsid w:val="00DA397A"/>
    <w:rsid w:val="00DA39E5"/>
    <w:rsid w:val="00DA3A1D"/>
    <w:rsid w:val="00DA3BA6"/>
    <w:rsid w:val="00DA3C88"/>
    <w:rsid w:val="00DA3CD0"/>
    <w:rsid w:val="00DA3DB6"/>
    <w:rsid w:val="00DA3E01"/>
    <w:rsid w:val="00DA3E30"/>
    <w:rsid w:val="00DA3EC3"/>
    <w:rsid w:val="00DA3F7F"/>
    <w:rsid w:val="00DA3F80"/>
    <w:rsid w:val="00DA3FAE"/>
    <w:rsid w:val="00DA400F"/>
    <w:rsid w:val="00DA401B"/>
    <w:rsid w:val="00DA40C3"/>
    <w:rsid w:val="00DA40EC"/>
    <w:rsid w:val="00DA40F5"/>
    <w:rsid w:val="00DA4149"/>
    <w:rsid w:val="00DA41E6"/>
    <w:rsid w:val="00DA4234"/>
    <w:rsid w:val="00DA424B"/>
    <w:rsid w:val="00DA4257"/>
    <w:rsid w:val="00DA435D"/>
    <w:rsid w:val="00DA44BA"/>
    <w:rsid w:val="00DA455B"/>
    <w:rsid w:val="00DA45B3"/>
    <w:rsid w:val="00DA46E1"/>
    <w:rsid w:val="00DA471B"/>
    <w:rsid w:val="00DA49F0"/>
    <w:rsid w:val="00DA4A16"/>
    <w:rsid w:val="00DA4AA3"/>
    <w:rsid w:val="00DA4AA6"/>
    <w:rsid w:val="00DA4AB7"/>
    <w:rsid w:val="00DA4BC4"/>
    <w:rsid w:val="00DA4D5D"/>
    <w:rsid w:val="00DA4DF3"/>
    <w:rsid w:val="00DA4EAE"/>
    <w:rsid w:val="00DA4F42"/>
    <w:rsid w:val="00DA5028"/>
    <w:rsid w:val="00DA5031"/>
    <w:rsid w:val="00DA5035"/>
    <w:rsid w:val="00DA5078"/>
    <w:rsid w:val="00DA5080"/>
    <w:rsid w:val="00DA50FF"/>
    <w:rsid w:val="00DA51A3"/>
    <w:rsid w:val="00DA5232"/>
    <w:rsid w:val="00DA5278"/>
    <w:rsid w:val="00DA53A4"/>
    <w:rsid w:val="00DA5465"/>
    <w:rsid w:val="00DA5489"/>
    <w:rsid w:val="00DA54B7"/>
    <w:rsid w:val="00DA55BB"/>
    <w:rsid w:val="00DA55FA"/>
    <w:rsid w:val="00DA564C"/>
    <w:rsid w:val="00DA565E"/>
    <w:rsid w:val="00DA5703"/>
    <w:rsid w:val="00DA57B4"/>
    <w:rsid w:val="00DA5825"/>
    <w:rsid w:val="00DA5844"/>
    <w:rsid w:val="00DA5847"/>
    <w:rsid w:val="00DA59B4"/>
    <w:rsid w:val="00DA59D2"/>
    <w:rsid w:val="00DA5AAC"/>
    <w:rsid w:val="00DA5BDC"/>
    <w:rsid w:val="00DA5C16"/>
    <w:rsid w:val="00DA5C44"/>
    <w:rsid w:val="00DA5D9B"/>
    <w:rsid w:val="00DA5E35"/>
    <w:rsid w:val="00DA5E9D"/>
    <w:rsid w:val="00DA5EA4"/>
    <w:rsid w:val="00DA5F02"/>
    <w:rsid w:val="00DA5F37"/>
    <w:rsid w:val="00DA5FA5"/>
    <w:rsid w:val="00DA6016"/>
    <w:rsid w:val="00DA602F"/>
    <w:rsid w:val="00DA60BF"/>
    <w:rsid w:val="00DA6106"/>
    <w:rsid w:val="00DA610B"/>
    <w:rsid w:val="00DA6246"/>
    <w:rsid w:val="00DA6249"/>
    <w:rsid w:val="00DA62E0"/>
    <w:rsid w:val="00DA6314"/>
    <w:rsid w:val="00DA631C"/>
    <w:rsid w:val="00DA6326"/>
    <w:rsid w:val="00DA6338"/>
    <w:rsid w:val="00DA633E"/>
    <w:rsid w:val="00DA63D6"/>
    <w:rsid w:val="00DA6450"/>
    <w:rsid w:val="00DA6451"/>
    <w:rsid w:val="00DA64E4"/>
    <w:rsid w:val="00DA6554"/>
    <w:rsid w:val="00DA65F8"/>
    <w:rsid w:val="00DA65FD"/>
    <w:rsid w:val="00DA669A"/>
    <w:rsid w:val="00DA6706"/>
    <w:rsid w:val="00DA6724"/>
    <w:rsid w:val="00DA676A"/>
    <w:rsid w:val="00DA67FE"/>
    <w:rsid w:val="00DA6831"/>
    <w:rsid w:val="00DA68AF"/>
    <w:rsid w:val="00DA68CD"/>
    <w:rsid w:val="00DA6A9E"/>
    <w:rsid w:val="00DA6C86"/>
    <w:rsid w:val="00DA6C90"/>
    <w:rsid w:val="00DA6CDE"/>
    <w:rsid w:val="00DA6D45"/>
    <w:rsid w:val="00DA6E96"/>
    <w:rsid w:val="00DA6F03"/>
    <w:rsid w:val="00DA6F90"/>
    <w:rsid w:val="00DA6FB4"/>
    <w:rsid w:val="00DA70D1"/>
    <w:rsid w:val="00DA70F4"/>
    <w:rsid w:val="00DA711E"/>
    <w:rsid w:val="00DA7168"/>
    <w:rsid w:val="00DA726A"/>
    <w:rsid w:val="00DA72BE"/>
    <w:rsid w:val="00DA72C3"/>
    <w:rsid w:val="00DA72F2"/>
    <w:rsid w:val="00DA730C"/>
    <w:rsid w:val="00DA732F"/>
    <w:rsid w:val="00DA74DF"/>
    <w:rsid w:val="00DA7507"/>
    <w:rsid w:val="00DA7543"/>
    <w:rsid w:val="00DA7690"/>
    <w:rsid w:val="00DA7706"/>
    <w:rsid w:val="00DA770B"/>
    <w:rsid w:val="00DA773B"/>
    <w:rsid w:val="00DA7807"/>
    <w:rsid w:val="00DA7836"/>
    <w:rsid w:val="00DA793C"/>
    <w:rsid w:val="00DA798F"/>
    <w:rsid w:val="00DA7A58"/>
    <w:rsid w:val="00DA7B2E"/>
    <w:rsid w:val="00DA7BF5"/>
    <w:rsid w:val="00DA7C61"/>
    <w:rsid w:val="00DA7D7C"/>
    <w:rsid w:val="00DA7D8B"/>
    <w:rsid w:val="00DA7E49"/>
    <w:rsid w:val="00DA7E67"/>
    <w:rsid w:val="00DA7F84"/>
    <w:rsid w:val="00DB0136"/>
    <w:rsid w:val="00DB0177"/>
    <w:rsid w:val="00DB01E0"/>
    <w:rsid w:val="00DB0263"/>
    <w:rsid w:val="00DB028E"/>
    <w:rsid w:val="00DB02BA"/>
    <w:rsid w:val="00DB02CB"/>
    <w:rsid w:val="00DB03E5"/>
    <w:rsid w:val="00DB0420"/>
    <w:rsid w:val="00DB0437"/>
    <w:rsid w:val="00DB0450"/>
    <w:rsid w:val="00DB045B"/>
    <w:rsid w:val="00DB045C"/>
    <w:rsid w:val="00DB04B5"/>
    <w:rsid w:val="00DB052D"/>
    <w:rsid w:val="00DB057F"/>
    <w:rsid w:val="00DB05DE"/>
    <w:rsid w:val="00DB0751"/>
    <w:rsid w:val="00DB075A"/>
    <w:rsid w:val="00DB0787"/>
    <w:rsid w:val="00DB07A4"/>
    <w:rsid w:val="00DB08B7"/>
    <w:rsid w:val="00DB08C5"/>
    <w:rsid w:val="00DB0A08"/>
    <w:rsid w:val="00DB0A94"/>
    <w:rsid w:val="00DB0A95"/>
    <w:rsid w:val="00DB0AB7"/>
    <w:rsid w:val="00DB0B16"/>
    <w:rsid w:val="00DB0BD4"/>
    <w:rsid w:val="00DB0FF5"/>
    <w:rsid w:val="00DB100D"/>
    <w:rsid w:val="00DB1017"/>
    <w:rsid w:val="00DB1097"/>
    <w:rsid w:val="00DB11DE"/>
    <w:rsid w:val="00DB121C"/>
    <w:rsid w:val="00DB121E"/>
    <w:rsid w:val="00DB125B"/>
    <w:rsid w:val="00DB1561"/>
    <w:rsid w:val="00DB1594"/>
    <w:rsid w:val="00DB1630"/>
    <w:rsid w:val="00DB18F3"/>
    <w:rsid w:val="00DB1A22"/>
    <w:rsid w:val="00DB1AD1"/>
    <w:rsid w:val="00DB1ADF"/>
    <w:rsid w:val="00DB1BD5"/>
    <w:rsid w:val="00DB1BED"/>
    <w:rsid w:val="00DB1C13"/>
    <w:rsid w:val="00DB1C49"/>
    <w:rsid w:val="00DB1C52"/>
    <w:rsid w:val="00DB1D2C"/>
    <w:rsid w:val="00DB1D60"/>
    <w:rsid w:val="00DB1DC7"/>
    <w:rsid w:val="00DB1DCF"/>
    <w:rsid w:val="00DB1E41"/>
    <w:rsid w:val="00DB1E68"/>
    <w:rsid w:val="00DB1EA8"/>
    <w:rsid w:val="00DB1EB6"/>
    <w:rsid w:val="00DB1ED0"/>
    <w:rsid w:val="00DB2066"/>
    <w:rsid w:val="00DB207E"/>
    <w:rsid w:val="00DB211C"/>
    <w:rsid w:val="00DB2149"/>
    <w:rsid w:val="00DB2217"/>
    <w:rsid w:val="00DB2320"/>
    <w:rsid w:val="00DB2351"/>
    <w:rsid w:val="00DB236E"/>
    <w:rsid w:val="00DB2392"/>
    <w:rsid w:val="00DB23B9"/>
    <w:rsid w:val="00DB23EC"/>
    <w:rsid w:val="00DB2489"/>
    <w:rsid w:val="00DB2493"/>
    <w:rsid w:val="00DB24EE"/>
    <w:rsid w:val="00DB2568"/>
    <w:rsid w:val="00DB2580"/>
    <w:rsid w:val="00DB2584"/>
    <w:rsid w:val="00DB25EC"/>
    <w:rsid w:val="00DB260F"/>
    <w:rsid w:val="00DB26B9"/>
    <w:rsid w:val="00DB275C"/>
    <w:rsid w:val="00DB2767"/>
    <w:rsid w:val="00DB2809"/>
    <w:rsid w:val="00DB2810"/>
    <w:rsid w:val="00DB28D8"/>
    <w:rsid w:val="00DB299A"/>
    <w:rsid w:val="00DB2A52"/>
    <w:rsid w:val="00DB2AA6"/>
    <w:rsid w:val="00DB2B69"/>
    <w:rsid w:val="00DB2C7B"/>
    <w:rsid w:val="00DB2DD2"/>
    <w:rsid w:val="00DB2E2E"/>
    <w:rsid w:val="00DB2E4D"/>
    <w:rsid w:val="00DB2EB6"/>
    <w:rsid w:val="00DB2F01"/>
    <w:rsid w:val="00DB2F07"/>
    <w:rsid w:val="00DB2FE8"/>
    <w:rsid w:val="00DB3084"/>
    <w:rsid w:val="00DB3130"/>
    <w:rsid w:val="00DB3441"/>
    <w:rsid w:val="00DB347C"/>
    <w:rsid w:val="00DB3525"/>
    <w:rsid w:val="00DB3530"/>
    <w:rsid w:val="00DB35FE"/>
    <w:rsid w:val="00DB3647"/>
    <w:rsid w:val="00DB36C0"/>
    <w:rsid w:val="00DB3748"/>
    <w:rsid w:val="00DB375A"/>
    <w:rsid w:val="00DB3792"/>
    <w:rsid w:val="00DB38A6"/>
    <w:rsid w:val="00DB38EB"/>
    <w:rsid w:val="00DB39DA"/>
    <w:rsid w:val="00DB3A70"/>
    <w:rsid w:val="00DB3B85"/>
    <w:rsid w:val="00DB3DE4"/>
    <w:rsid w:val="00DB3E21"/>
    <w:rsid w:val="00DB3E7D"/>
    <w:rsid w:val="00DB3E8E"/>
    <w:rsid w:val="00DB3F40"/>
    <w:rsid w:val="00DB3F54"/>
    <w:rsid w:val="00DB3FAE"/>
    <w:rsid w:val="00DB3FBF"/>
    <w:rsid w:val="00DB40BE"/>
    <w:rsid w:val="00DB40E4"/>
    <w:rsid w:val="00DB411C"/>
    <w:rsid w:val="00DB42AA"/>
    <w:rsid w:val="00DB431B"/>
    <w:rsid w:val="00DB4382"/>
    <w:rsid w:val="00DB44DE"/>
    <w:rsid w:val="00DB44E2"/>
    <w:rsid w:val="00DB44F3"/>
    <w:rsid w:val="00DB4513"/>
    <w:rsid w:val="00DB4558"/>
    <w:rsid w:val="00DB45F0"/>
    <w:rsid w:val="00DB460E"/>
    <w:rsid w:val="00DB466B"/>
    <w:rsid w:val="00DB471A"/>
    <w:rsid w:val="00DB47FB"/>
    <w:rsid w:val="00DB4847"/>
    <w:rsid w:val="00DB489C"/>
    <w:rsid w:val="00DB48D6"/>
    <w:rsid w:val="00DB48DC"/>
    <w:rsid w:val="00DB491C"/>
    <w:rsid w:val="00DB4954"/>
    <w:rsid w:val="00DB4992"/>
    <w:rsid w:val="00DB49DB"/>
    <w:rsid w:val="00DB49E9"/>
    <w:rsid w:val="00DB4A09"/>
    <w:rsid w:val="00DB4A44"/>
    <w:rsid w:val="00DB4A54"/>
    <w:rsid w:val="00DB4A7A"/>
    <w:rsid w:val="00DB4BBB"/>
    <w:rsid w:val="00DB4C7B"/>
    <w:rsid w:val="00DB4CE6"/>
    <w:rsid w:val="00DB4CF1"/>
    <w:rsid w:val="00DB4D0F"/>
    <w:rsid w:val="00DB4D76"/>
    <w:rsid w:val="00DB4D91"/>
    <w:rsid w:val="00DB4DB2"/>
    <w:rsid w:val="00DB4DD1"/>
    <w:rsid w:val="00DB4F15"/>
    <w:rsid w:val="00DB4F26"/>
    <w:rsid w:val="00DB4F4A"/>
    <w:rsid w:val="00DB50C0"/>
    <w:rsid w:val="00DB50D5"/>
    <w:rsid w:val="00DB50D6"/>
    <w:rsid w:val="00DB5118"/>
    <w:rsid w:val="00DB5147"/>
    <w:rsid w:val="00DB5194"/>
    <w:rsid w:val="00DB51E6"/>
    <w:rsid w:val="00DB521C"/>
    <w:rsid w:val="00DB5275"/>
    <w:rsid w:val="00DB52AF"/>
    <w:rsid w:val="00DB52C7"/>
    <w:rsid w:val="00DB539B"/>
    <w:rsid w:val="00DB53B8"/>
    <w:rsid w:val="00DB5440"/>
    <w:rsid w:val="00DB572A"/>
    <w:rsid w:val="00DB5767"/>
    <w:rsid w:val="00DB578D"/>
    <w:rsid w:val="00DB583E"/>
    <w:rsid w:val="00DB58FE"/>
    <w:rsid w:val="00DB5951"/>
    <w:rsid w:val="00DB5A06"/>
    <w:rsid w:val="00DB5A38"/>
    <w:rsid w:val="00DB5A3A"/>
    <w:rsid w:val="00DB5A4C"/>
    <w:rsid w:val="00DB5B82"/>
    <w:rsid w:val="00DB5C68"/>
    <w:rsid w:val="00DB5D02"/>
    <w:rsid w:val="00DB5D5B"/>
    <w:rsid w:val="00DB5DEA"/>
    <w:rsid w:val="00DB5E1F"/>
    <w:rsid w:val="00DB5F9C"/>
    <w:rsid w:val="00DB60C5"/>
    <w:rsid w:val="00DB60ED"/>
    <w:rsid w:val="00DB6115"/>
    <w:rsid w:val="00DB628A"/>
    <w:rsid w:val="00DB630F"/>
    <w:rsid w:val="00DB6326"/>
    <w:rsid w:val="00DB6348"/>
    <w:rsid w:val="00DB6349"/>
    <w:rsid w:val="00DB6350"/>
    <w:rsid w:val="00DB652A"/>
    <w:rsid w:val="00DB65EE"/>
    <w:rsid w:val="00DB667E"/>
    <w:rsid w:val="00DB6826"/>
    <w:rsid w:val="00DB683F"/>
    <w:rsid w:val="00DB68DA"/>
    <w:rsid w:val="00DB699A"/>
    <w:rsid w:val="00DB69B8"/>
    <w:rsid w:val="00DB69C5"/>
    <w:rsid w:val="00DB6A30"/>
    <w:rsid w:val="00DB6A4D"/>
    <w:rsid w:val="00DB6A6D"/>
    <w:rsid w:val="00DB6A8E"/>
    <w:rsid w:val="00DB6AF3"/>
    <w:rsid w:val="00DB6B18"/>
    <w:rsid w:val="00DB6B51"/>
    <w:rsid w:val="00DB6B64"/>
    <w:rsid w:val="00DB6BC5"/>
    <w:rsid w:val="00DB6BD3"/>
    <w:rsid w:val="00DB6BE0"/>
    <w:rsid w:val="00DB6C47"/>
    <w:rsid w:val="00DB6D1E"/>
    <w:rsid w:val="00DB6D29"/>
    <w:rsid w:val="00DB6D4F"/>
    <w:rsid w:val="00DB6E12"/>
    <w:rsid w:val="00DB6F6A"/>
    <w:rsid w:val="00DB6FA2"/>
    <w:rsid w:val="00DB6FB0"/>
    <w:rsid w:val="00DB6FE1"/>
    <w:rsid w:val="00DB7029"/>
    <w:rsid w:val="00DB703B"/>
    <w:rsid w:val="00DB7078"/>
    <w:rsid w:val="00DB709F"/>
    <w:rsid w:val="00DB70EB"/>
    <w:rsid w:val="00DB7234"/>
    <w:rsid w:val="00DB724A"/>
    <w:rsid w:val="00DB72B6"/>
    <w:rsid w:val="00DB7367"/>
    <w:rsid w:val="00DB7404"/>
    <w:rsid w:val="00DB749F"/>
    <w:rsid w:val="00DB7506"/>
    <w:rsid w:val="00DB7528"/>
    <w:rsid w:val="00DB75A6"/>
    <w:rsid w:val="00DB75C8"/>
    <w:rsid w:val="00DB7665"/>
    <w:rsid w:val="00DB76D3"/>
    <w:rsid w:val="00DB770C"/>
    <w:rsid w:val="00DB7782"/>
    <w:rsid w:val="00DB77B9"/>
    <w:rsid w:val="00DB784E"/>
    <w:rsid w:val="00DB78D7"/>
    <w:rsid w:val="00DB78F1"/>
    <w:rsid w:val="00DB7988"/>
    <w:rsid w:val="00DB7A34"/>
    <w:rsid w:val="00DB7B15"/>
    <w:rsid w:val="00DB7B8F"/>
    <w:rsid w:val="00DB7B9B"/>
    <w:rsid w:val="00DB7C62"/>
    <w:rsid w:val="00DB7C9A"/>
    <w:rsid w:val="00DB7DC2"/>
    <w:rsid w:val="00DB7DC3"/>
    <w:rsid w:val="00DB7DCB"/>
    <w:rsid w:val="00DB7E2B"/>
    <w:rsid w:val="00DB7EFE"/>
    <w:rsid w:val="00DC00C9"/>
    <w:rsid w:val="00DC0202"/>
    <w:rsid w:val="00DC0281"/>
    <w:rsid w:val="00DC0311"/>
    <w:rsid w:val="00DC0574"/>
    <w:rsid w:val="00DC05A2"/>
    <w:rsid w:val="00DC0607"/>
    <w:rsid w:val="00DC06B2"/>
    <w:rsid w:val="00DC06C7"/>
    <w:rsid w:val="00DC0728"/>
    <w:rsid w:val="00DC07E3"/>
    <w:rsid w:val="00DC0895"/>
    <w:rsid w:val="00DC08EB"/>
    <w:rsid w:val="00DC0965"/>
    <w:rsid w:val="00DC0C50"/>
    <w:rsid w:val="00DC0C83"/>
    <w:rsid w:val="00DC0D16"/>
    <w:rsid w:val="00DC0D22"/>
    <w:rsid w:val="00DC0DDB"/>
    <w:rsid w:val="00DC0E12"/>
    <w:rsid w:val="00DC0E7B"/>
    <w:rsid w:val="00DC0EAB"/>
    <w:rsid w:val="00DC0F45"/>
    <w:rsid w:val="00DC0F49"/>
    <w:rsid w:val="00DC0F5C"/>
    <w:rsid w:val="00DC0FA6"/>
    <w:rsid w:val="00DC0FCE"/>
    <w:rsid w:val="00DC108A"/>
    <w:rsid w:val="00DC1114"/>
    <w:rsid w:val="00DC111A"/>
    <w:rsid w:val="00DC1187"/>
    <w:rsid w:val="00DC119A"/>
    <w:rsid w:val="00DC11B9"/>
    <w:rsid w:val="00DC11CC"/>
    <w:rsid w:val="00DC1238"/>
    <w:rsid w:val="00DC1300"/>
    <w:rsid w:val="00DC1332"/>
    <w:rsid w:val="00DC1413"/>
    <w:rsid w:val="00DC1445"/>
    <w:rsid w:val="00DC148B"/>
    <w:rsid w:val="00DC1521"/>
    <w:rsid w:val="00DC153E"/>
    <w:rsid w:val="00DC1541"/>
    <w:rsid w:val="00DC16D4"/>
    <w:rsid w:val="00DC176E"/>
    <w:rsid w:val="00DC180A"/>
    <w:rsid w:val="00DC1963"/>
    <w:rsid w:val="00DC19B0"/>
    <w:rsid w:val="00DC19D8"/>
    <w:rsid w:val="00DC19DC"/>
    <w:rsid w:val="00DC19DD"/>
    <w:rsid w:val="00DC1A18"/>
    <w:rsid w:val="00DC1A77"/>
    <w:rsid w:val="00DC1ACE"/>
    <w:rsid w:val="00DC1B14"/>
    <w:rsid w:val="00DC1BC8"/>
    <w:rsid w:val="00DC1D32"/>
    <w:rsid w:val="00DC1DDA"/>
    <w:rsid w:val="00DC1F23"/>
    <w:rsid w:val="00DC1F9F"/>
    <w:rsid w:val="00DC2054"/>
    <w:rsid w:val="00DC20A1"/>
    <w:rsid w:val="00DC20B4"/>
    <w:rsid w:val="00DC21C7"/>
    <w:rsid w:val="00DC21D4"/>
    <w:rsid w:val="00DC22AF"/>
    <w:rsid w:val="00DC22E6"/>
    <w:rsid w:val="00DC22F5"/>
    <w:rsid w:val="00DC2313"/>
    <w:rsid w:val="00DC2328"/>
    <w:rsid w:val="00DC2353"/>
    <w:rsid w:val="00DC23B8"/>
    <w:rsid w:val="00DC23C9"/>
    <w:rsid w:val="00DC2428"/>
    <w:rsid w:val="00DC2443"/>
    <w:rsid w:val="00DC249C"/>
    <w:rsid w:val="00DC24EB"/>
    <w:rsid w:val="00DC24EF"/>
    <w:rsid w:val="00DC24FC"/>
    <w:rsid w:val="00DC2613"/>
    <w:rsid w:val="00DC2645"/>
    <w:rsid w:val="00DC2691"/>
    <w:rsid w:val="00DC2790"/>
    <w:rsid w:val="00DC2853"/>
    <w:rsid w:val="00DC29E1"/>
    <w:rsid w:val="00DC2B14"/>
    <w:rsid w:val="00DC2BC2"/>
    <w:rsid w:val="00DC2D03"/>
    <w:rsid w:val="00DC2D2F"/>
    <w:rsid w:val="00DC2DA6"/>
    <w:rsid w:val="00DC2E80"/>
    <w:rsid w:val="00DC2ED5"/>
    <w:rsid w:val="00DC2F0B"/>
    <w:rsid w:val="00DC2F17"/>
    <w:rsid w:val="00DC2F39"/>
    <w:rsid w:val="00DC2F48"/>
    <w:rsid w:val="00DC2F74"/>
    <w:rsid w:val="00DC30ED"/>
    <w:rsid w:val="00DC3118"/>
    <w:rsid w:val="00DC316A"/>
    <w:rsid w:val="00DC324A"/>
    <w:rsid w:val="00DC32B2"/>
    <w:rsid w:val="00DC3404"/>
    <w:rsid w:val="00DC3455"/>
    <w:rsid w:val="00DC3583"/>
    <w:rsid w:val="00DC35BA"/>
    <w:rsid w:val="00DC35FF"/>
    <w:rsid w:val="00DC3732"/>
    <w:rsid w:val="00DC375A"/>
    <w:rsid w:val="00DC3789"/>
    <w:rsid w:val="00DC37CB"/>
    <w:rsid w:val="00DC37F0"/>
    <w:rsid w:val="00DC3864"/>
    <w:rsid w:val="00DC39DD"/>
    <w:rsid w:val="00DC3A23"/>
    <w:rsid w:val="00DC3AA1"/>
    <w:rsid w:val="00DC3B34"/>
    <w:rsid w:val="00DC3CB2"/>
    <w:rsid w:val="00DC3CC4"/>
    <w:rsid w:val="00DC3DE2"/>
    <w:rsid w:val="00DC3E69"/>
    <w:rsid w:val="00DC3E7A"/>
    <w:rsid w:val="00DC3EAF"/>
    <w:rsid w:val="00DC3F11"/>
    <w:rsid w:val="00DC3F6D"/>
    <w:rsid w:val="00DC3FE4"/>
    <w:rsid w:val="00DC410C"/>
    <w:rsid w:val="00DC41C4"/>
    <w:rsid w:val="00DC41D8"/>
    <w:rsid w:val="00DC4201"/>
    <w:rsid w:val="00DC4215"/>
    <w:rsid w:val="00DC4280"/>
    <w:rsid w:val="00DC42F1"/>
    <w:rsid w:val="00DC43E5"/>
    <w:rsid w:val="00DC43EA"/>
    <w:rsid w:val="00DC44B7"/>
    <w:rsid w:val="00DC4512"/>
    <w:rsid w:val="00DC4555"/>
    <w:rsid w:val="00DC4572"/>
    <w:rsid w:val="00DC458D"/>
    <w:rsid w:val="00DC45B9"/>
    <w:rsid w:val="00DC4621"/>
    <w:rsid w:val="00DC4680"/>
    <w:rsid w:val="00DC4760"/>
    <w:rsid w:val="00DC4874"/>
    <w:rsid w:val="00DC4973"/>
    <w:rsid w:val="00DC4A03"/>
    <w:rsid w:val="00DC4A2B"/>
    <w:rsid w:val="00DC4AAD"/>
    <w:rsid w:val="00DC4AEF"/>
    <w:rsid w:val="00DC4B6A"/>
    <w:rsid w:val="00DC4C7F"/>
    <w:rsid w:val="00DC4C84"/>
    <w:rsid w:val="00DC4C8E"/>
    <w:rsid w:val="00DC4CB8"/>
    <w:rsid w:val="00DC4D10"/>
    <w:rsid w:val="00DC4D15"/>
    <w:rsid w:val="00DC4D4B"/>
    <w:rsid w:val="00DC4E13"/>
    <w:rsid w:val="00DC4E7B"/>
    <w:rsid w:val="00DC4E93"/>
    <w:rsid w:val="00DC4F12"/>
    <w:rsid w:val="00DC4FA1"/>
    <w:rsid w:val="00DC5055"/>
    <w:rsid w:val="00DC507A"/>
    <w:rsid w:val="00DC50A9"/>
    <w:rsid w:val="00DC50EA"/>
    <w:rsid w:val="00DC5145"/>
    <w:rsid w:val="00DC51BF"/>
    <w:rsid w:val="00DC52BC"/>
    <w:rsid w:val="00DC530F"/>
    <w:rsid w:val="00DC540F"/>
    <w:rsid w:val="00DC55DA"/>
    <w:rsid w:val="00DC57BB"/>
    <w:rsid w:val="00DC5883"/>
    <w:rsid w:val="00DC5A76"/>
    <w:rsid w:val="00DC5B9C"/>
    <w:rsid w:val="00DC5C63"/>
    <w:rsid w:val="00DC5CB3"/>
    <w:rsid w:val="00DC5D65"/>
    <w:rsid w:val="00DC5D76"/>
    <w:rsid w:val="00DC5F90"/>
    <w:rsid w:val="00DC6103"/>
    <w:rsid w:val="00DC6146"/>
    <w:rsid w:val="00DC631A"/>
    <w:rsid w:val="00DC6342"/>
    <w:rsid w:val="00DC644A"/>
    <w:rsid w:val="00DC644B"/>
    <w:rsid w:val="00DC6466"/>
    <w:rsid w:val="00DC647C"/>
    <w:rsid w:val="00DC6485"/>
    <w:rsid w:val="00DC648A"/>
    <w:rsid w:val="00DC64DE"/>
    <w:rsid w:val="00DC65BA"/>
    <w:rsid w:val="00DC65C6"/>
    <w:rsid w:val="00DC65FE"/>
    <w:rsid w:val="00DC6633"/>
    <w:rsid w:val="00DC6646"/>
    <w:rsid w:val="00DC6648"/>
    <w:rsid w:val="00DC66AC"/>
    <w:rsid w:val="00DC66C2"/>
    <w:rsid w:val="00DC6780"/>
    <w:rsid w:val="00DC689F"/>
    <w:rsid w:val="00DC68E0"/>
    <w:rsid w:val="00DC694D"/>
    <w:rsid w:val="00DC69B1"/>
    <w:rsid w:val="00DC69BE"/>
    <w:rsid w:val="00DC69C3"/>
    <w:rsid w:val="00DC69C6"/>
    <w:rsid w:val="00DC69D6"/>
    <w:rsid w:val="00DC6A3A"/>
    <w:rsid w:val="00DC6A86"/>
    <w:rsid w:val="00DC6A90"/>
    <w:rsid w:val="00DC6A9B"/>
    <w:rsid w:val="00DC6BA6"/>
    <w:rsid w:val="00DC6C75"/>
    <w:rsid w:val="00DC6CE7"/>
    <w:rsid w:val="00DC6CF6"/>
    <w:rsid w:val="00DC6D3E"/>
    <w:rsid w:val="00DC6DE2"/>
    <w:rsid w:val="00DC6EE3"/>
    <w:rsid w:val="00DC7066"/>
    <w:rsid w:val="00DC70E6"/>
    <w:rsid w:val="00DC717F"/>
    <w:rsid w:val="00DC71E9"/>
    <w:rsid w:val="00DC7252"/>
    <w:rsid w:val="00DC7254"/>
    <w:rsid w:val="00DC7265"/>
    <w:rsid w:val="00DC7287"/>
    <w:rsid w:val="00DC72A6"/>
    <w:rsid w:val="00DC72AB"/>
    <w:rsid w:val="00DC7302"/>
    <w:rsid w:val="00DC73BE"/>
    <w:rsid w:val="00DC7430"/>
    <w:rsid w:val="00DC74D0"/>
    <w:rsid w:val="00DC74DC"/>
    <w:rsid w:val="00DC75C5"/>
    <w:rsid w:val="00DC763B"/>
    <w:rsid w:val="00DC76B8"/>
    <w:rsid w:val="00DC7755"/>
    <w:rsid w:val="00DC77A4"/>
    <w:rsid w:val="00DC77B5"/>
    <w:rsid w:val="00DC7911"/>
    <w:rsid w:val="00DC7964"/>
    <w:rsid w:val="00DC7A37"/>
    <w:rsid w:val="00DC7A45"/>
    <w:rsid w:val="00DC7A95"/>
    <w:rsid w:val="00DC7A9B"/>
    <w:rsid w:val="00DC7ADD"/>
    <w:rsid w:val="00DC7AE9"/>
    <w:rsid w:val="00DC7B06"/>
    <w:rsid w:val="00DC7B52"/>
    <w:rsid w:val="00DC7C0B"/>
    <w:rsid w:val="00DC7DB5"/>
    <w:rsid w:val="00DC7DBC"/>
    <w:rsid w:val="00DC7DC3"/>
    <w:rsid w:val="00DC7DFD"/>
    <w:rsid w:val="00DC7E60"/>
    <w:rsid w:val="00DC7EB0"/>
    <w:rsid w:val="00DC7F22"/>
    <w:rsid w:val="00DC7FB1"/>
    <w:rsid w:val="00DC7FD7"/>
    <w:rsid w:val="00DC7FEB"/>
    <w:rsid w:val="00DD00CD"/>
    <w:rsid w:val="00DD0324"/>
    <w:rsid w:val="00DD035E"/>
    <w:rsid w:val="00DD040B"/>
    <w:rsid w:val="00DD046B"/>
    <w:rsid w:val="00DD0545"/>
    <w:rsid w:val="00DD054A"/>
    <w:rsid w:val="00DD0563"/>
    <w:rsid w:val="00DD0581"/>
    <w:rsid w:val="00DD059F"/>
    <w:rsid w:val="00DD05C8"/>
    <w:rsid w:val="00DD05CD"/>
    <w:rsid w:val="00DD063F"/>
    <w:rsid w:val="00DD0686"/>
    <w:rsid w:val="00DD0849"/>
    <w:rsid w:val="00DD0851"/>
    <w:rsid w:val="00DD0870"/>
    <w:rsid w:val="00DD08D5"/>
    <w:rsid w:val="00DD0933"/>
    <w:rsid w:val="00DD0978"/>
    <w:rsid w:val="00DD09D8"/>
    <w:rsid w:val="00DD0AD5"/>
    <w:rsid w:val="00DD0BEC"/>
    <w:rsid w:val="00DD0DB0"/>
    <w:rsid w:val="00DD0DCB"/>
    <w:rsid w:val="00DD0E7D"/>
    <w:rsid w:val="00DD1057"/>
    <w:rsid w:val="00DD108D"/>
    <w:rsid w:val="00DD115D"/>
    <w:rsid w:val="00DD1183"/>
    <w:rsid w:val="00DD121C"/>
    <w:rsid w:val="00DD123B"/>
    <w:rsid w:val="00DD1296"/>
    <w:rsid w:val="00DD1321"/>
    <w:rsid w:val="00DD144A"/>
    <w:rsid w:val="00DD1520"/>
    <w:rsid w:val="00DD1565"/>
    <w:rsid w:val="00DD174D"/>
    <w:rsid w:val="00DD174F"/>
    <w:rsid w:val="00DD181C"/>
    <w:rsid w:val="00DD1888"/>
    <w:rsid w:val="00DD18D3"/>
    <w:rsid w:val="00DD18F1"/>
    <w:rsid w:val="00DD1986"/>
    <w:rsid w:val="00DD1A52"/>
    <w:rsid w:val="00DD1A5E"/>
    <w:rsid w:val="00DD1C9D"/>
    <w:rsid w:val="00DD1D75"/>
    <w:rsid w:val="00DD1DEF"/>
    <w:rsid w:val="00DD1DF7"/>
    <w:rsid w:val="00DD1E3A"/>
    <w:rsid w:val="00DD1EDB"/>
    <w:rsid w:val="00DD2181"/>
    <w:rsid w:val="00DD21B4"/>
    <w:rsid w:val="00DD22E3"/>
    <w:rsid w:val="00DD23A0"/>
    <w:rsid w:val="00DD24DA"/>
    <w:rsid w:val="00DD251F"/>
    <w:rsid w:val="00DD2593"/>
    <w:rsid w:val="00DD2595"/>
    <w:rsid w:val="00DD25A0"/>
    <w:rsid w:val="00DD262A"/>
    <w:rsid w:val="00DD2733"/>
    <w:rsid w:val="00DD279C"/>
    <w:rsid w:val="00DD27DF"/>
    <w:rsid w:val="00DD2821"/>
    <w:rsid w:val="00DD2905"/>
    <w:rsid w:val="00DD2937"/>
    <w:rsid w:val="00DD29B3"/>
    <w:rsid w:val="00DD2A26"/>
    <w:rsid w:val="00DD2A7A"/>
    <w:rsid w:val="00DD2ADE"/>
    <w:rsid w:val="00DD2AF5"/>
    <w:rsid w:val="00DD2B18"/>
    <w:rsid w:val="00DD2B70"/>
    <w:rsid w:val="00DD2C7B"/>
    <w:rsid w:val="00DD2D28"/>
    <w:rsid w:val="00DD2D95"/>
    <w:rsid w:val="00DD2E93"/>
    <w:rsid w:val="00DD2F18"/>
    <w:rsid w:val="00DD2F7E"/>
    <w:rsid w:val="00DD2F88"/>
    <w:rsid w:val="00DD316D"/>
    <w:rsid w:val="00DD31C2"/>
    <w:rsid w:val="00DD31CA"/>
    <w:rsid w:val="00DD3292"/>
    <w:rsid w:val="00DD332A"/>
    <w:rsid w:val="00DD3343"/>
    <w:rsid w:val="00DD3357"/>
    <w:rsid w:val="00DD336B"/>
    <w:rsid w:val="00DD336E"/>
    <w:rsid w:val="00DD3496"/>
    <w:rsid w:val="00DD354A"/>
    <w:rsid w:val="00DD3691"/>
    <w:rsid w:val="00DD36E3"/>
    <w:rsid w:val="00DD374A"/>
    <w:rsid w:val="00DD37BA"/>
    <w:rsid w:val="00DD3954"/>
    <w:rsid w:val="00DD3966"/>
    <w:rsid w:val="00DD39AF"/>
    <w:rsid w:val="00DD3BCD"/>
    <w:rsid w:val="00DD3CA0"/>
    <w:rsid w:val="00DD3CEF"/>
    <w:rsid w:val="00DD3D29"/>
    <w:rsid w:val="00DD3FBE"/>
    <w:rsid w:val="00DD3FD4"/>
    <w:rsid w:val="00DD4064"/>
    <w:rsid w:val="00DD4092"/>
    <w:rsid w:val="00DD409C"/>
    <w:rsid w:val="00DD4176"/>
    <w:rsid w:val="00DD41A8"/>
    <w:rsid w:val="00DD422D"/>
    <w:rsid w:val="00DD4374"/>
    <w:rsid w:val="00DD439C"/>
    <w:rsid w:val="00DD441D"/>
    <w:rsid w:val="00DD4463"/>
    <w:rsid w:val="00DD449D"/>
    <w:rsid w:val="00DD44A1"/>
    <w:rsid w:val="00DD44BF"/>
    <w:rsid w:val="00DD4568"/>
    <w:rsid w:val="00DD4574"/>
    <w:rsid w:val="00DD4580"/>
    <w:rsid w:val="00DD459E"/>
    <w:rsid w:val="00DD460B"/>
    <w:rsid w:val="00DD4613"/>
    <w:rsid w:val="00DD462C"/>
    <w:rsid w:val="00DD473D"/>
    <w:rsid w:val="00DD4767"/>
    <w:rsid w:val="00DD4780"/>
    <w:rsid w:val="00DD479F"/>
    <w:rsid w:val="00DD481C"/>
    <w:rsid w:val="00DD4873"/>
    <w:rsid w:val="00DD48E2"/>
    <w:rsid w:val="00DD48F2"/>
    <w:rsid w:val="00DD495A"/>
    <w:rsid w:val="00DD4997"/>
    <w:rsid w:val="00DD4AEA"/>
    <w:rsid w:val="00DD4B2F"/>
    <w:rsid w:val="00DD4B55"/>
    <w:rsid w:val="00DD4BEA"/>
    <w:rsid w:val="00DD4C52"/>
    <w:rsid w:val="00DD4CE0"/>
    <w:rsid w:val="00DD4D53"/>
    <w:rsid w:val="00DD4D94"/>
    <w:rsid w:val="00DD4DE7"/>
    <w:rsid w:val="00DD4DF1"/>
    <w:rsid w:val="00DD4E65"/>
    <w:rsid w:val="00DD4F51"/>
    <w:rsid w:val="00DD5024"/>
    <w:rsid w:val="00DD50BB"/>
    <w:rsid w:val="00DD5169"/>
    <w:rsid w:val="00DD51D4"/>
    <w:rsid w:val="00DD523B"/>
    <w:rsid w:val="00DD5282"/>
    <w:rsid w:val="00DD52B8"/>
    <w:rsid w:val="00DD52F9"/>
    <w:rsid w:val="00DD53F3"/>
    <w:rsid w:val="00DD545A"/>
    <w:rsid w:val="00DD54BC"/>
    <w:rsid w:val="00DD554E"/>
    <w:rsid w:val="00DD55EA"/>
    <w:rsid w:val="00DD561F"/>
    <w:rsid w:val="00DD5668"/>
    <w:rsid w:val="00DD5678"/>
    <w:rsid w:val="00DD5711"/>
    <w:rsid w:val="00DD5743"/>
    <w:rsid w:val="00DD5817"/>
    <w:rsid w:val="00DD5846"/>
    <w:rsid w:val="00DD5932"/>
    <w:rsid w:val="00DD5AE1"/>
    <w:rsid w:val="00DD5B7D"/>
    <w:rsid w:val="00DD5B82"/>
    <w:rsid w:val="00DD5C3F"/>
    <w:rsid w:val="00DD5CB9"/>
    <w:rsid w:val="00DD5CCE"/>
    <w:rsid w:val="00DD5CDD"/>
    <w:rsid w:val="00DD5D33"/>
    <w:rsid w:val="00DD5D7A"/>
    <w:rsid w:val="00DD5DD7"/>
    <w:rsid w:val="00DD5E4F"/>
    <w:rsid w:val="00DD5E84"/>
    <w:rsid w:val="00DD5EB5"/>
    <w:rsid w:val="00DD602F"/>
    <w:rsid w:val="00DD60BC"/>
    <w:rsid w:val="00DD60D5"/>
    <w:rsid w:val="00DD60FA"/>
    <w:rsid w:val="00DD61F4"/>
    <w:rsid w:val="00DD6319"/>
    <w:rsid w:val="00DD6419"/>
    <w:rsid w:val="00DD64DF"/>
    <w:rsid w:val="00DD656E"/>
    <w:rsid w:val="00DD65CC"/>
    <w:rsid w:val="00DD66B2"/>
    <w:rsid w:val="00DD672F"/>
    <w:rsid w:val="00DD6776"/>
    <w:rsid w:val="00DD67B0"/>
    <w:rsid w:val="00DD67E0"/>
    <w:rsid w:val="00DD680B"/>
    <w:rsid w:val="00DD68AD"/>
    <w:rsid w:val="00DD68F0"/>
    <w:rsid w:val="00DD6B24"/>
    <w:rsid w:val="00DD6C12"/>
    <w:rsid w:val="00DD6D39"/>
    <w:rsid w:val="00DD6F60"/>
    <w:rsid w:val="00DD7052"/>
    <w:rsid w:val="00DD70CE"/>
    <w:rsid w:val="00DD713F"/>
    <w:rsid w:val="00DD7182"/>
    <w:rsid w:val="00DD71AD"/>
    <w:rsid w:val="00DD71B1"/>
    <w:rsid w:val="00DD71E6"/>
    <w:rsid w:val="00DD730C"/>
    <w:rsid w:val="00DD7330"/>
    <w:rsid w:val="00DD7383"/>
    <w:rsid w:val="00DD74C4"/>
    <w:rsid w:val="00DD7550"/>
    <w:rsid w:val="00DD7572"/>
    <w:rsid w:val="00DD7579"/>
    <w:rsid w:val="00DD75AD"/>
    <w:rsid w:val="00DD75AE"/>
    <w:rsid w:val="00DD764E"/>
    <w:rsid w:val="00DD76C6"/>
    <w:rsid w:val="00DD7731"/>
    <w:rsid w:val="00DD78B2"/>
    <w:rsid w:val="00DD78C2"/>
    <w:rsid w:val="00DD78DE"/>
    <w:rsid w:val="00DD796F"/>
    <w:rsid w:val="00DD7970"/>
    <w:rsid w:val="00DD79AA"/>
    <w:rsid w:val="00DD7A22"/>
    <w:rsid w:val="00DD7A89"/>
    <w:rsid w:val="00DD7B8A"/>
    <w:rsid w:val="00DD7C47"/>
    <w:rsid w:val="00DD7C86"/>
    <w:rsid w:val="00DD7C98"/>
    <w:rsid w:val="00DD7D21"/>
    <w:rsid w:val="00DD7D2F"/>
    <w:rsid w:val="00DD7DC0"/>
    <w:rsid w:val="00DD7EFE"/>
    <w:rsid w:val="00DD7F23"/>
    <w:rsid w:val="00DD7F96"/>
    <w:rsid w:val="00DD7FE4"/>
    <w:rsid w:val="00DE003D"/>
    <w:rsid w:val="00DE0080"/>
    <w:rsid w:val="00DE009D"/>
    <w:rsid w:val="00DE0158"/>
    <w:rsid w:val="00DE01C7"/>
    <w:rsid w:val="00DE01F2"/>
    <w:rsid w:val="00DE0363"/>
    <w:rsid w:val="00DE0438"/>
    <w:rsid w:val="00DE050A"/>
    <w:rsid w:val="00DE0550"/>
    <w:rsid w:val="00DE05F8"/>
    <w:rsid w:val="00DE0676"/>
    <w:rsid w:val="00DE069B"/>
    <w:rsid w:val="00DE06D7"/>
    <w:rsid w:val="00DE06DD"/>
    <w:rsid w:val="00DE0731"/>
    <w:rsid w:val="00DE0774"/>
    <w:rsid w:val="00DE0794"/>
    <w:rsid w:val="00DE0833"/>
    <w:rsid w:val="00DE087F"/>
    <w:rsid w:val="00DE088A"/>
    <w:rsid w:val="00DE08B5"/>
    <w:rsid w:val="00DE08F7"/>
    <w:rsid w:val="00DE0974"/>
    <w:rsid w:val="00DE09A1"/>
    <w:rsid w:val="00DE09BE"/>
    <w:rsid w:val="00DE0A5B"/>
    <w:rsid w:val="00DE0B46"/>
    <w:rsid w:val="00DE0B50"/>
    <w:rsid w:val="00DE0BA5"/>
    <w:rsid w:val="00DE0C38"/>
    <w:rsid w:val="00DE0C62"/>
    <w:rsid w:val="00DE0CCD"/>
    <w:rsid w:val="00DE0D65"/>
    <w:rsid w:val="00DE0DC0"/>
    <w:rsid w:val="00DE0E6E"/>
    <w:rsid w:val="00DE0F1E"/>
    <w:rsid w:val="00DE0FC5"/>
    <w:rsid w:val="00DE0FE4"/>
    <w:rsid w:val="00DE0FF9"/>
    <w:rsid w:val="00DE0FFF"/>
    <w:rsid w:val="00DE102C"/>
    <w:rsid w:val="00DE10CC"/>
    <w:rsid w:val="00DE1188"/>
    <w:rsid w:val="00DE1240"/>
    <w:rsid w:val="00DE1271"/>
    <w:rsid w:val="00DE12ED"/>
    <w:rsid w:val="00DE13E3"/>
    <w:rsid w:val="00DE148E"/>
    <w:rsid w:val="00DE14BD"/>
    <w:rsid w:val="00DE14C9"/>
    <w:rsid w:val="00DE15B5"/>
    <w:rsid w:val="00DE15BB"/>
    <w:rsid w:val="00DE163F"/>
    <w:rsid w:val="00DE167A"/>
    <w:rsid w:val="00DE167C"/>
    <w:rsid w:val="00DE16C4"/>
    <w:rsid w:val="00DE16DB"/>
    <w:rsid w:val="00DE176A"/>
    <w:rsid w:val="00DE176D"/>
    <w:rsid w:val="00DE1787"/>
    <w:rsid w:val="00DE178A"/>
    <w:rsid w:val="00DE1792"/>
    <w:rsid w:val="00DE17AF"/>
    <w:rsid w:val="00DE1824"/>
    <w:rsid w:val="00DE1833"/>
    <w:rsid w:val="00DE1881"/>
    <w:rsid w:val="00DE1979"/>
    <w:rsid w:val="00DE19F5"/>
    <w:rsid w:val="00DE1B52"/>
    <w:rsid w:val="00DE1B5F"/>
    <w:rsid w:val="00DE1BE6"/>
    <w:rsid w:val="00DE1C07"/>
    <w:rsid w:val="00DE1C3B"/>
    <w:rsid w:val="00DE1D36"/>
    <w:rsid w:val="00DE1E90"/>
    <w:rsid w:val="00DE1F01"/>
    <w:rsid w:val="00DE1FCC"/>
    <w:rsid w:val="00DE206A"/>
    <w:rsid w:val="00DE212C"/>
    <w:rsid w:val="00DE21AE"/>
    <w:rsid w:val="00DE224B"/>
    <w:rsid w:val="00DE2256"/>
    <w:rsid w:val="00DE2277"/>
    <w:rsid w:val="00DE22FE"/>
    <w:rsid w:val="00DE2466"/>
    <w:rsid w:val="00DE24E6"/>
    <w:rsid w:val="00DE25A2"/>
    <w:rsid w:val="00DE25A3"/>
    <w:rsid w:val="00DE25FE"/>
    <w:rsid w:val="00DE2655"/>
    <w:rsid w:val="00DE27CE"/>
    <w:rsid w:val="00DE27EE"/>
    <w:rsid w:val="00DE2815"/>
    <w:rsid w:val="00DE2896"/>
    <w:rsid w:val="00DE295C"/>
    <w:rsid w:val="00DE2981"/>
    <w:rsid w:val="00DE29AE"/>
    <w:rsid w:val="00DE29BD"/>
    <w:rsid w:val="00DE29C6"/>
    <w:rsid w:val="00DE2AA3"/>
    <w:rsid w:val="00DE2ACB"/>
    <w:rsid w:val="00DE2AD3"/>
    <w:rsid w:val="00DE2B80"/>
    <w:rsid w:val="00DE2B82"/>
    <w:rsid w:val="00DE2C08"/>
    <w:rsid w:val="00DE2C0A"/>
    <w:rsid w:val="00DE2C55"/>
    <w:rsid w:val="00DE2C97"/>
    <w:rsid w:val="00DE2D40"/>
    <w:rsid w:val="00DE2D62"/>
    <w:rsid w:val="00DE2DD7"/>
    <w:rsid w:val="00DE2ED7"/>
    <w:rsid w:val="00DE2F51"/>
    <w:rsid w:val="00DE2FFE"/>
    <w:rsid w:val="00DE3019"/>
    <w:rsid w:val="00DE3186"/>
    <w:rsid w:val="00DE31C5"/>
    <w:rsid w:val="00DE31E1"/>
    <w:rsid w:val="00DE3283"/>
    <w:rsid w:val="00DE32E9"/>
    <w:rsid w:val="00DE33E6"/>
    <w:rsid w:val="00DE3432"/>
    <w:rsid w:val="00DE35F6"/>
    <w:rsid w:val="00DE364F"/>
    <w:rsid w:val="00DE36F0"/>
    <w:rsid w:val="00DE3737"/>
    <w:rsid w:val="00DE38B8"/>
    <w:rsid w:val="00DE3979"/>
    <w:rsid w:val="00DE3998"/>
    <w:rsid w:val="00DE3A19"/>
    <w:rsid w:val="00DE3B02"/>
    <w:rsid w:val="00DE3B21"/>
    <w:rsid w:val="00DE3BC4"/>
    <w:rsid w:val="00DE3BDF"/>
    <w:rsid w:val="00DE3BED"/>
    <w:rsid w:val="00DE3C04"/>
    <w:rsid w:val="00DE3C86"/>
    <w:rsid w:val="00DE3CDD"/>
    <w:rsid w:val="00DE3D05"/>
    <w:rsid w:val="00DE3D43"/>
    <w:rsid w:val="00DE3D67"/>
    <w:rsid w:val="00DE3D71"/>
    <w:rsid w:val="00DE3DEA"/>
    <w:rsid w:val="00DE3EA1"/>
    <w:rsid w:val="00DE3F02"/>
    <w:rsid w:val="00DE3FA4"/>
    <w:rsid w:val="00DE3FB8"/>
    <w:rsid w:val="00DE40AB"/>
    <w:rsid w:val="00DE41F5"/>
    <w:rsid w:val="00DE4320"/>
    <w:rsid w:val="00DE437A"/>
    <w:rsid w:val="00DE4391"/>
    <w:rsid w:val="00DE4393"/>
    <w:rsid w:val="00DE447D"/>
    <w:rsid w:val="00DE448F"/>
    <w:rsid w:val="00DE44A4"/>
    <w:rsid w:val="00DE44A8"/>
    <w:rsid w:val="00DE44C6"/>
    <w:rsid w:val="00DE4590"/>
    <w:rsid w:val="00DE4601"/>
    <w:rsid w:val="00DE468C"/>
    <w:rsid w:val="00DE4724"/>
    <w:rsid w:val="00DE47D5"/>
    <w:rsid w:val="00DE480D"/>
    <w:rsid w:val="00DE482E"/>
    <w:rsid w:val="00DE48C3"/>
    <w:rsid w:val="00DE48CF"/>
    <w:rsid w:val="00DE4925"/>
    <w:rsid w:val="00DE496B"/>
    <w:rsid w:val="00DE49FA"/>
    <w:rsid w:val="00DE4A24"/>
    <w:rsid w:val="00DE4A2F"/>
    <w:rsid w:val="00DE4A5D"/>
    <w:rsid w:val="00DE4A8A"/>
    <w:rsid w:val="00DE4B72"/>
    <w:rsid w:val="00DE4BBB"/>
    <w:rsid w:val="00DE4BD4"/>
    <w:rsid w:val="00DE4C00"/>
    <w:rsid w:val="00DE4C11"/>
    <w:rsid w:val="00DE4C66"/>
    <w:rsid w:val="00DE4C6E"/>
    <w:rsid w:val="00DE4C97"/>
    <w:rsid w:val="00DE4D4A"/>
    <w:rsid w:val="00DE4D8C"/>
    <w:rsid w:val="00DE4E0A"/>
    <w:rsid w:val="00DE4EC5"/>
    <w:rsid w:val="00DE4FF0"/>
    <w:rsid w:val="00DE5046"/>
    <w:rsid w:val="00DE5064"/>
    <w:rsid w:val="00DE50C6"/>
    <w:rsid w:val="00DE517E"/>
    <w:rsid w:val="00DE5267"/>
    <w:rsid w:val="00DE52E7"/>
    <w:rsid w:val="00DE52F5"/>
    <w:rsid w:val="00DE53CC"/>
    <w:rsid w:val="00DE5403"/>
    <w:rsid w:val="00DE54C2"/>
    <w:rsid w:val="00DE5524"/>
    <w:rsid w:val="00DE5553"/>
    <w:rsid w:val="00DE5577"/>
    <w:rsid w:val="00DE55DB"/>
    <w:rsid w:val="00DE567C"/>
    <w:rsid w:val="00DE56F0"/>
    <w:rsid w:val="00DE5720"/>
    <w:rsid w:val="00DE57D3"/>
    <w:rsid w:val="00DE5873"/>
    <w:rsid w:val="00DE587A"/>
    <w:rsid w:val="00DE58A2"/>
    <w:rsid w:val="00DE591F"/>
    <w:rsid w:val="00DE5BB0"/>
    <w:rsid w:val="00DE5BCD"/>
    <w:rsid w:val="00DE5BD5"/>
    <w:rsid w:val="00DE5C69"/>
    <w:rsid w:val="00DE5C8A"/>
    <w:rsid w:val="00DE5CDC"/>
    <w:rsid w:val="00DE5D56"/>
    <w:rsid w:val="00DE5DA9"/>
    <w:rsid w:val="00DE5E87"/>
    <w:rsid w:val="00DE5F0A"/>
    <w:rsid w:val="00DE5F3A"/>
    <w:rsid w:val="00DE5F53"/>
    <w:rsid w:val="00DE5F78"/>
    <w:rsid w:val="00DE6037"/>
    <w:rsid w:val="00DE6039"/>
    <w:rsid w:val="00DE6115"/>
    <w:rsid w:val="00DE6159"/>
    <w:rsid w:val="00DE61F8"/>
    <w:rsid w:val="00DE6270"/>
    <w:rsid w:val="00DE62A3"/>
    <w:rsid w:val="00DE62DF"/>
    <w:rsid w:val="00DE6367"/>
    <w:rsid w:val="00DE63B2"/>
    <w:rsid w:val="00DE641A"/>
    <w:rsid w:val="00DE64AB"/>
    <w:rsid w:val="00DE65B3"/>
    <w:rsid w:val="00DE660C"/>
    <w:rsid w:val="00DE6630"/>
    <w:rsid w:val="00DE66A3"/>
    <w:rsid w:val="00DE6770"/>
    <w:rsid w:val="00DE68D0"/>
    <w:rsid w:val="00DE6984"/>
    <w:rsid w:val="00DE698B"/>
    <w:rsid w:val="00DE6B24"/>
    <w:rsid w:val="00DE6BDC"/>
    <w:rsid w:val="00DE6C7E"/>
    <w:rsid w:val="00DE6D2D"/>
    <w:rsid w:val="00DE6D2F"/>
    <w:rsid w:val="00DE6D47"/>
    <w:rsid w:val="00DE6D55"/>
    <w:rsid w:val="00DE6E37"/>
    <w:rsid w:val="00DE6EC6"/>
    <w:rsid w:val="00DE6FF9"/>
    <w:rsid w:val="00DE702A"/>
    <w:rsid w:val="00DE708E"/>
    <w:rsid w:val="00DE7197"/>
    <w:rsid w:val="00DE719B"/>
    <w:rsid w:val="00DE71A4"/>
    <w:rsid w:val="00DE71AF"/>
    <w:rsid w:val="00DE7287"/>
    <w:rsid w:val="00DE731D"/>
    <w:rsid w:val="00DE7325"/>
    <w:rsid w:val="00DE7370"/>
    <w:rsid w:val="00DE73D0"/>
    <w:rsid w:val="00DE7423"/>
    <w:rsid w:val="00DE7450"/>
    <w:rsid w:val="00DE747A"/>
    <w:rsid w:val="00DE74EB"/>
    <w:rsid w:val="00DE74F8"/>
    <w:rsid w:val="00DE7602"/>
    <w:rsid w:val="00DE7605"/>
    <w:rsid w:val="00DE7642"/>
    <w:rsid w:val="00DE7652"/>
    <w:rsid w:val="00DE77C6"/>
    <w:rsid w:val="00DE77CF"/>
    <w:rsid w:val="00DE77D5"/>
    <w:rsid w:val="00DE77D8"/>
    <w:rsid w:val="00DE77E9"/>
    <w:rsid w:val="00DE7821"/>
    <w:rsid w:val="00DE7845"/>
    <w:rsid w:val="00DE785F"/>
    <w:rsid w:val="00DE78C0"/>
    <w:rsid w:val="00DE7C43"/>
    <w:rsid w:val="00DE7C47"/>
    <w:rsid w:val="00DE7C5E"/>
    <w:rsid w:val="00DE7D7D"/>
    <w:rsid w:val="00DE7ECB"/>
    <w:rsid w:val="00DF0007"/>
    <w:rsid w:val="00DF0050"/>
    <w:rsid w:val="00DF0054"/>
    <w:rsid w:val="00DF0080"/>
    <w:rsid w:val="00DF008C"/>
    <w:rsid w:val="00DF019E"/>
    <w:rsid w:val="00DF01BF"/>
    <w:rsid w:val="00DF0313"/>
    <w:rsid w:val="00DF0325"/>
    <w:rsid w:val="00DF03B8"/>
    <w:rsid w:val="00DF049A"/>
    <w:rsid w:val="00DF04F9"/>
    <w:rsid w:val="00DF0503"/>
    <w:rsid w:val="00DF051D"/>
    <w:rsid w:val="00DF0636"/>
    <w:rsid w:val="00DF07AD"/>
    <w:rsid w:val="00DF07B7"/>
    <w:rsid w:val="00DF07C4"/>
    <w:rsid w:val="00DF0821"/>
    <w:rsid w:val="00DF0843"/>
    <w:rsid w:val="00DF08A8"/>
    <w:rsid w:val="00DF0904"/>
    <w:rsid w:val="00DF095D"/>
    <w:rsid w:val="00DF0971"/>
    <w:rsid w:val="00DF0979"/>
    <w:rsid w:val="00DF09CC"/>
    <w:rsid w:val="00DF09FE"/>
    <w:rsid w:val="00DF0A20"/>
    <w:rsid w:val="00DF0AED"/>
    <w:rsid w:val="00DF0B20"/>
    <w:rsid w:val="00DF0BA0"/>
    <w:rsid w:val="00DF0C01"/>
    <w:rsid w:val="00DF0CB9"/>
    <w:rsid w:val="00DF0CBB"/>
    <w:rsid w:val="00DF0D2E"/>
    <w:rsid w:val="00DF0E3B"/>
    <w:rsid w:val="00DF0ED9"/>
    <w:rsid w:val="00DF0F3D"/>
    <w:rsid w:val="00DF0FBF"/>
    <w:rsid w:val="00DF1017"/>
    <w:rsid w:val="00DF10C5"/>
    <w:rsid w:val="00DF10D6"/>
    <w:rsid w:val="00DF1184"/>
    <w:rsid w:val="00DF11B5"/>
    <w:rsid w:val="00DF1286"/>
    <w:rsid w:val="00DF12E9"/>
    <w:rsid w:val="00DF1327"/>
    <w:rsid w:val="00DF133F"/>
    <w:rsid w:val="00DF1355"/>
    <w:rsid w:val="00DF13BE"/>
    <w:rsid w:val="00DF1414"/>
    <w:rsid w:val="00DF1428"/>
    <w:rsid w:val="00DF14BA"/>
    <w:rsid w:val="00DF14FC"/>
    <w:rsid w:val="00DF1536"/>
    <w:rsid w:val="00DF16B8"/>
    <w:rsid w:val="00DF179A"/>
    <w:rsid w:val="00DF17C9"/>
    <w:rsid w:val="00DF18A2"/>
    <w:rsid w:val="00DF1958"/>
    <w:rsid w:val="00DF1A26"/>
    <w:rsid w:val="00DF1A4F"/>
    <w:rsid w:val="00DF1AA6"/>
    <w:rsid w:val="00DF1AC2"/>
    <w:rsid w:val="00DF1B11"/>
    <w:rsid w:val="00DF1B1D"/>
    <w:rsid w:val="00DF1BB9"/>
    <w:rsid w:val="00DF1BBE"/>
    <w:rsid w:val="00DF1BDD"/>
    <w:rsid w:val="00DF1C0A"/>
    <w:rsid w:val="00DF1C32"/>
    <w:rsid w:val="00DF1C53"/>
    <w:rsid w:val="00DF1C84"/>
    <w:rsid w:val="00DF1CA3"/>
    <w:rsid w:val="00DF1CFD"/>
    <w:rsid w:val="00DF1D1C"/>
    <w:rsid w:val="00DF1D27"/>
    <w:rsid w:val="00DF1F3D"/>
    <w:rsid w:val="00DF1F44"/>
    <w:rsid w:val="00DF1F58"/>
    <w:rsid w:val="00DF1F6B"/>
    <w:rsid w:val="00DF1F99"/>
    <w:rsid w:val="00DF1FE4"/>
    <w:rsid w:val="00DF2003"/>
    <w:rsid w:val="00DF22BC"/>
    <w:rsid w:val="00DF22CE"/>
    <w:rsid w:val="00DF239B"/>
    <w:rsid w:val="00DF23E3"/>
    <w:rsid w:val="00DF2402"/>
    <w:rsid w:val="00DF2422"/>
    <w:rsid w:val="00DF24C5"/>
    <w:rsid w:val="00DF255E"/>
    <w:rsid w:val="00DF259A"/>
    <w:rsid w:val="00DF25C2"/>
    <w:rsid w:val="00DF2664"/>
    <w:rsid w:val="00DF2668"/>
    <w:rsid w:val="00DF267A"/>
    <w:rsid w:val="00DF27AD"/>
    <w:rsid w:val="00DF28A3"/>
    <w:rsid w:val="00DF2903"/>
    <w:rsid w:val="00DF2A02"/>
    <w:rsid w:val="00DF2A77"/>
    <w:rsid w:val="00DF2B09"/>
    <w:rsid w:val="00DF2C3C"/>
    <w:rsid w:val="00DF2CBB"/>
    <w:rsid w:val="00DF2E1F"/>
    <w:rsid w:val="00DF2E8E"/>
    <w:rsid w:val="00DF2E95"/>
    <w:rsid w:val="00DF2ECF"/>
    <w:rsid w:val="00DF30CC"/>
    <w:rsid w:val="00DF3113"/>
    <w:rsid w:val="00DF3285"/>
    <w:rsid w:val="00DF32D7"/>
    <w:rsid w:val="00DF3364"/>
    <w:rsid w:val="00DF33A4"/>
    <w:rsid w:val="00DF33E8"/>
    <w:rsid w:val="00DF33E9"/>
    <w:rsid w:val="00DF343E"/>
    <w:rsid w:val="00DF3550"/>
    <w:rsid w:val="00DF35AB"/>
    <w:rsid w:val="00DF35C6"/>
    <w:rsid w:val="00DF35FC"/>
    <w:rsid w:val="00DF366B"/>
    <w:rsid w:val="00DF3751"/>
    <w:rsid w:val="00DF37DE"/>
    <w:rsid w:val="00DF38E4"/>
    <w:rsid w:val="00DF3990"/>
    <w:rsid w:val="00DF3ADB"/>
    <w:rsid w:val="00DF3B65"/>
    <w:rsid w:val="00DF3B7F"/>
    <w:rsid w:val="00DF3BC7"/>
    <w:rsid w:val="00DF3BF4"/>
    <w:rsid w:val="00DF3C48"/>
    <w:rsid w:val="00DF3C7A"/>
    <w:rsid w:val="00DF3C7E"/>
    <w:rsid w:val="00DF3CD6"/>
    <w:rsid w:val="00DF3D08"/>
    <w:rsid w:val="00DF3D0C"/>
    <w:rsid w:val="00DF3E8B"/>
    <w:rsid w:val="00DF3EA1"/>
    <w:rsid w:val="00DF3F5C"/>
    <w:rsid w:val="00DF3FB9"/>
    <w:rsid w:val="00DF3FCF"/>
    <w:rsid w:val="00DF3FDD"/>
    <w:rsid w:val="00DF4065"/>
    <w:rsid w:val="00DF40F7"/>
    <w:rsid w:val="00DF422F"/>
    <w:rsid w:val="00DF4269"/>
    <w:rsid w:val="00DF427C"/>
    <w:rsid w:val="00DF431C"/>
    <w:rsid w:val="00DF4335"/>
    <w:rsid w:val="00DF4401"/>
    <w:rsid w:val="00DF445C"/>
    <w:rsid w:val="00DF448C"/>
    <w:rsid w:val="00DF4516"/>
    <w:rsid w:val="00DF452B"/>
    <w:rsid w:val="00DF4599"/>
    <w:rsid w:val="00DF45B9"/>
    <w:rsid w:val="00DF45C5"/>
    <w:rsid w:val="00DF46AC"/>
    <w:rsid w:val="00DF46BD"/>
    <w:rsid w:val="00DF472A"/>
    <w:rsid w:val="00DF486B"/>
    <w:rsid w:val="00DF48D3"/>
    <w:rsid w:val="00DF4978"/>
    <w:rsid w:val="00DF49B0"/>
    <w:rsid w:val="00DF49F9"/>
    <w:rsid w:val="00DF4C45"/>
    <w:rsid w:val="00DF4C50"/>
    <w:rsid w:val="00DF4CD9"/>
    <w:rsid w:val="00DF4D16"/>
    <w:rsid w:val="00DF4D67"/>
    <w:rsid w:val="00DF4EB1"/>
    <w:rsid w:val="00DF4ED9"/>
    <w:rsid w:val="00DF4EE2"/>
    <w:rsid w:val="00DF4F05"/>
    <w:rsid w:val="00DF4F3A"/>
    <w:rsid w:val="00DF4F68"/>
    <w:rsid w:val="00DF504C"/>
    <w:rsid w:val="00DF5120"/>
    <w:rsid w:val="00DF51D8"/>
    <w:rsid w:val="00DF51FC"/>
    <w:rsid w:val="00DF527A"/>
    <w:rsid w:val="00DF52EC"/>
    <w:rsid w:val="00DF53C7"/>
    <w:rsid w:val="00DF5418"/>
    <w:rsid w:val="00DF54DC"/>
    <w:rsid w:val="00DF555E"/>
    <w:rsid w:val="00DF5573"/>
    <w:rsid w:val="00DF5576"/>
    <w:rsid w:val="00DF563C"/>
    <w:rsid w:val="00DF56DD"/>
    <w:rsid w:val="00DF56E5"/>
    <w:rsid w:val="00DF5708"/>
    <w:rsid w:val="00DF570D"/>
    <w:rsid w:val="00DF5847"/>
    <w:rsid w:val="00DF5982"/>
    <w:rsid w:val="00DF5AA5"/>
    <w:rsid w:val="00DF5AA6"/>
    <w:rsid w:val="00DF5ACA"/>
    <w:rsid w:val="00DF5BC2"/>
    <w:rsid w:val="00DF5CD5"/>
    <w:rsid w:val="00DF5D06"/>
    <w:rsid w:val="00DF5D1C"/>
    <w:rsid w:val="00DF5D87"/>
    <w:rsid w:val="00DF5E16"/>
    <w:rsid w:val="00DF5E7A"/>
    <w:rsid w:val="00DF5EB1"/>
    <w:rsid w:val="00DF5FCA"/>
    <w:rsid w:val="00DF60CA"/>
    <w:rsid w:val="00DF60FB"/>
    <w:rsid w:val="00DF61AD"/>
    <w:rsid w:val="00DF625A"/>
    <w:rsid w:val="00DF637E"/>
    <w:rsid w:val="00DF6390"/>
    <w:rsid w:val="00DF642C"/>
    <w:rsid w:val="00DF6458"/>
    <w:rsid w:val="00DF646D"/>
    <w:rsid w:val="00DF64C3"/>
    <w:rsid w:val="00DF6536"/>
    <w:rsid w:val="00DF65AB"/>
    <w:rsid w:val="00DF65B8"/>
    <w:rsid w:val="00DF65BF"/>
    <w:rsid w:val="00DF65E1"/>
    <w:rsid w:val="00DF662F"/>
    <w:rsid w:val="00DF671A"/>
    <w:rsid w:val="00DF6731"/>
    <w:rsid w:val="00DF6788"/>
    <w:rsid w:val="00DF6798"/>
    <w:rsid w:val="00DF67A7"/>
    <w:rsid w:val="00DF67BF"/>
    <w:rsid w:val="00DF6879"/>
    <w:rsid w:val="00DF6930"/>
    <w:rsid w:val="00DF693C"/>
    <w:rsid w:val="00DF6A18"/>
    <w:rsid w:val="00DF6A67"/>
    <w:rsid w:val="00DF6A9A"/>
    <w:rsid w:val="00DF6ACC"/>
    <w:rsid w:val="00DF6AD3"/>
    <w:rsid w:val="00DF6B5B"/>
    <w:rsid w:val="00DF6B96"/>
    <w:rsid w:val="00DF6D19"/>
    <w:rsid w:val="00DF6D80"/>
    <w:rsid w:val="00DF6F46"/>
    <w:rsid w:val="00DF7032"/>
    <w:rsid w:val="00DF7048"/>
    <w:rsid w:val="00DF70EB"/>
    <w:rsid w:val="00DF7118"/>
    <w:rsid w:val="00DF7124"/>
    <w:rsid w:val="00DF7178"/>
    <w:rsid w:val="00DF71EB"/>
    <w:rsid w:val="00DF72C0"/>
    <w:rsid w:val="00DF7327"/>
    <w:rsid w:val="00DF73DE"/>
    <w:rsid w:val="00DF748C"/>
    <w:rsid w:val="00DF75CD"/>
    <w:rsid w:val="00DF7664"/>
    <w:rsid w:val="00DF77E7"/>
    <w:rsid w:val="00DF780F"/>
    <w:rsid w:val="00DF7825"/>
    <w:rsid w:val="00DF7863"/>
    <w:rsid w:val="00DF78C8"/>
    <w:rsid w:val="00DF7A62"/>
    <w:rsid w:val="00DF7AC9"/>
    <w:rsid w:val="00DF7AE2"/>
    <w:rsid w:val="00DF7C76"/>
    <w:rsid w:val="00DF7CAC"/>
    <w:rsid w:val="00DF7D95"/>
    <w:rsid w:val="00DF7E32"/>
    <w:rsid w:val="00DF7EC6"/>
    <w:rsid w:val="00DF7F2D"/>
    <w:rsid w:val="00DF7F51"/>
    <w:rsid w:val="00DF7FF6"/>
    <w:rsid w:val="00E00043"/>
    <w:rsid w:val="00E000F8"/>
    <w:rsid w:val="00E0022E"/>
    <w:rsid w:val="00E002DB"/>
    <w:rsid w:val="00E003DB"/>
    <w:rsid w:val="00E0046D"/>
    <w:rsid w:val="00E00577"/>
    <w:rsid w:val="00E005F1"/>
    <w:rsid w:val="00E00741"/>
    <w:rsid w:val="00E007A6"/>
    <w:rsid w:val="00E0081F"/>
    <w:rsid w:val="00E0084E"/>
    <w:rsid w:val="00E00860"/>
    <w:rsid w:val="00E00963"/>
    <w:rsid w:val="00E00A86"/>
    <w:rsid w:val="00E00C8D"/>
    <w:rsid w:val="00E00D61"/>
    <w:rsid w:val="00E00DE9"/>
    <w:rsid w:val="00E00E51"/>
    <w:rsid w:val="00E00EFF"/>
    <w:rsid w:val="00E00FC7"/>
    <w:rsid w:val="00E00FDB"/>
    <w:rsid w:val="00E0104F"/>
    <w:rsid w:val="00E0107B"/>
    <w:rsid w:val="00E01086"/>
    <w:rsid w:val="00E010B0"/>
    <w:rsid w:val="00E0114C"/>
    <w:rsid w:val="00E0118C"/>
    <w:rsid w:val="00E011D1"/>
    <w:rsid w:val="00E01253"/>
    <w:rsid w:val="00E012D5"/>
    <w:rsid w:val="00E01334"/>
    <w:rsid w:val="00E013EE"/>
    <w:rsid w:val="00E01490"/>
    <w:rsid w:val="00E014E1"/>
    <w:rsid w:val="00E0153E"/>
    <w:rsid w:val="00E015EE"/>
    <w:rsid w:val="00E01637"/>
    <w:rsid w:val="00E01782"/>
    <w:rsid w:val="00E018F2"/>
    <w:rsid w:val="00E018F4"/>
    <w:rsid w:val="00E018FD"/>
    <w:rsid w:val="00E019CE"/>
    <w:rsid w:val="00E01C50"/>
    <w:rsid w:val="00E01C73"/>
    <w:rsid w:val="00E01CA6"/>
    <w:rsid w:val="00E01CCC"/>
    <w:rsid w:val="00E01DCD"/>
    <w:rsid w:val="00E01DCF"/>
    <w:rsid w:val="00E01E9C"/>
    <w:rsid w:val="00E01F64"/>
    <w:rsid w:val="00E01FD8"/>
    <w:rsid w:val="00E02007"/>
    <w:rsid w:val="00E02075"/>
    <w:rsid w:val="00E020C2"/>
    <w:rsid w:val="00E02190"/>
    <w:rsid w:val="00E021A3"/>
    <w:rsid w:val="00E021C7"/>
    <w:rsid w:val="00E02262"/>
    <w:rsid w:val="00E0234E"/>
    <w:rsid w:val="00E02359"/>
    <w:rsid w:val="00E024D1"/>
    <w:rsid w:val="00E02522"/>
    <w:rsid w:val="00E025AE"/>
    <w:rsid w:val="00E02601"/>
    <w:rsid w:val="00E0264C"/>
    <w:rsid w:val="00E026B1"/>
    <w:rsid w:val="00E0280A"/>
    <w:rsid w:val="00E0280E"/>
    <w:rsid w:val="00E028BF"/>
    <w:rsid w:val="00E028CF"/>
    <w:rsid w:val="00E0292E"/>
    <w:rsid w:val="00E02936"/>
    <w:rsid w:val="00E02973"/>
    <w:rsid w:val="00E0299D"/>
    <w:rsid w:val="00E02A0E"/>
    <w:rsid w:val="00E02AB3"/>
    <w:rsid w:val="00E02AC8"/>
    <w:rsid w:val="00E02AE7"/>
    <w:rsid w:val="00E02AF9"/>
    <w:rsid w:val="00E02B9C"/>
    <w:rsid w:val="00E02C65"/>
    <w:rsid w:val="00E02D0A"/>
    <w:rsid w:val="00E02D29"/>
    <w:rsid w:val="00E02D91"/>
    <w:rsid w:val="00E02DCF"/>
    <w:rsid w:val="00E02DE8"/>
    <w:rsid w:val="00E02E33"/>
    <w:rsid w:val="00E02E4A"/>
    <w:rsid w:val="00E02E7F"/>
    <w:rsid w:val="00E02E85"/>
    <w:rsid w:val="00E02F09"/>
    <w:rsid w:val="00E02F60"/>
    <w:rsid w:val="00E0302B"/>
    <w:rsid w:val="00E0313A"/>
    <w:rsid w:val="00E03330"/>
    <w:rsid w:val="00E0336F"/>
    <w:rsid w:val="00E03472"/>
    <w:rsid w:val="00E03525"/>
    <w:rsid w:val="00E03542"/>
    <w:rsid w:val="00E03590"/>
    <w:rsid w:val="00E037B5"/>
    <w:rsid w:val="00E03825"/>
    <w:rsid w:val="00E03880"/>
    <w:rsid w:val="00E038FC"/>
    <w:rsid w:val="00E03986"/>
    <w:rsid w:val="00E03AD1"/>
    <w:rsid w:val="00E03B6A"/>
    <w:rsid w:val="00E03D69"/>
    <w:rsid w:val="00E03E92"/>
    <w:rsid w:val="00E03ED9"/>
    <w:rsid w:val="00E03F68"/>
    <w:rsid w:val="00E03F9D"/>
    <w:rsid w:val="00E03FA9"/>
    <w:rsid w:val="00E04007"/>
    <w:rsid w:val="00E0401F"/>
    <w:rsid w:val="00E0402B"/>
    <w:rsid w:val="00E0406F"/>
    <w:rsid w:val="00E040A4"/>
    <w:rsid w:val="00E04134"/>
    <w:rsid w:val="00E04137"/>
    <w:rsid w:val="00E04355"/>
    <w:rsid w:val="00E043C3"/>
    <w:rsid w:val="00E043F9"/>
    <w:rsid w:val="00E043FD"/>
    <w:rsid w:val="00E04416"/>
    <w:rsid w:val="00E04507"/>
    <w:rsid w:val="00E045A3"/>
    <w:rsid w:val="00E045AA"/>
    <w:rsid w:val="00E0466E"/>
    <w:rsid w:val="00E046B8"/>
    <w:rsid w:val="00E046D1"/>
    <w:rsid w:val="00E04761"/>
    <w:rsid w:val="00E04787"/>
    <w:rsid w:val="00E047F8"/>
    <w:rsid w:val="00E04A21"/>
    <w:rsid w:val="00E04A9F"/>
    <w:rsid w:val="00E04B98"/>
    <w:rsid w:val="00E04BA6"/>
    <w:rsid w:val="00E04C8A"/>
    <w:rsid w:val="00E04D36"/>
    <w:rsid w:val="00E04D46"/>
    <w:rsid w:val="00E04D86"/>
    <w:rsid w:val="00E04E67"/>
    <w:rsid w:val="00E04EC2"/>
    <w:rsid w:val="00E04F58"/>
    <w:rsid w:val="00E05149"/>
    <w:rsid w:val="00E05166"/>
    <w:rsid w:val="00E051CC"/>
    <w:rsid w:val="00E051D8"/>
    <w:rsid w:val="00E051F4"/>
    <w:rsid w:val="00E05257"/>
    <w:rsid w:val="00E05345"/>
    <w:rsid w:val="00E053D9"/>
    <w:rsid w:val="00E05420"/>
    <w:rsid w:val="00E05463"/>
    <w:rsid w:val="00E0558D"/>
    <w:rsid w:val="00E055BB"/>
    <w:rsid w:val="00E055BE"/>
    <w:rsid w:val="00E055DD"/>
    <w:rsid w:val="00E05622"/>
    <w:rsid w:val="00E05661"/>
    <w:rsid w:val="00E05673"/>
    <w:rsid w:val="00E05676"/>
    <w:rsid w:val="00E056DC"/>
    <w:rsid w:val="00E0584B"/>
    <w:rsid w:val="00E0585C"/>
    <w:rsid w:val="00E058AE"/>
    <w:rsid w:val="00E05928"/>
    <w:rsid w:val="00E05948"/>
    <w:rsid w:val="00E05959"/>
    <w:rsid w:val="00E05972"/>
    <w:rsid w:val="00E05A4E"/>
    <w:rsid w:val="00E05AF2"/>
    <w:rsid w:val="00E05AFA"/>
    <w:rsid w:val="00E05B02"/>
    <w:rsid w:val="00E05BE9"/>
    <w:rsid w:val="00E05CAB"/>
    <w:rsid w:val="00E05DF9"/>
    <w:rsid w:val="00E05E24"/>
    <w:rsid w:val="00E05EC3"/>
    <w:rsid w:val="00E05F3F"/>
    <w:rsid w:val="00E05F98"/>
    <w:rsid w:val="00E05FA1"/>
    <w:rsid w:val="00E05FAC"/>
    <w:rsid w:val="00E05FC1"/>
    <w:rsid w:val="00E05FC3"/>
    <w:rsid w:val="00E05FDB"/>
    <w:rsid w:val="00E061B3"/>
    <w:rsid w:val="00E0628A"/>
    <w:rsid w:val="00E062B2"/>
    <w:rsid w:val="00E06399"/>
    <w:rsid w:val="00E063BB"/>
    <w:rsid w:val="00E06432"/>
    <w:rsid w:val="00E06448"/>
    <w:rsid w:val="00E064D8"/>
    <w:rsid w:val="00E06523"/>
    <w:rsid w:val="00E06578"/>
    <w:rsid w:val="00E06593"/>
    <w:rsid w:val="00E06595"/>
    <w:rsid w:val="00E066D9"/>
    <w:rsid w:val="00E06722"/>
    <w:rsid w:val="00E0673E"/>
    <w:rsid w:val="00E067A0"/>
    <w:rsid w:val="00E067F0"/>
    <w:rsid w:val="00E067FA"/>
    <w:rsid w:val="00E06877"/>
    <w:rsid w:val="00E0691A"/>
    <w:rsid w:val="00E06956"/>
    <w:rsid w:val="00E069D1"/>
    <w:rsid w:val="00E069F7"/>
    <w:rsid w:val="00E06A10"/>
    <w:rsid w:val="00E06A55"/>
    <w:rsid w:val="00E06B59"/>
    <w:rsid w:val="00E06B93"/>
    <w:rsid w:val="00E06BC4"/>
    <w:rsid w:val="00E06BE8"/>
    <w:rsid w:val="00E06C79"/>
    <w:rsid w:val="00E06CF8"/>
    <w:rsid w:val="00E06DB4"/>
    <w:rsid w:val="00E06DD3"/>
    <w:rsid w:val="00E06EEB"/>
    <w:rsid w:val="00E07016"/>
    <w:rsid w:val="00E070CB"/>
    <w:rsid w:val="00E070CD"/>
    <w:rsid w:val="00E071CB"/>
    <w:rsid w:val="00E07330"/>
    <w:rsid w:val="00E07412"/>
    <w:rsid w:val="00E0749E"/>
    <w:rsid w:val="00E074AF"/>
    <w:rsid w:val="00E074EE"/>
    <w:rsid w:val="00E07563"/>
    <w:rsid w:val="00E07625"/>
    <w:rsid w:val="00E07709"/>
    <w:rsid w:val="00E07784"/>
    <w:rsid w:val="00E077BE"/>
    <w:rsid w:val="00E07848"/>
    <w:rsid w:val="00E078D0"/>
    <w:rsid w:val="00E0790B"/>
    <w:rsid w:val="00E07A0F"/>
    <w:rsid w:val="00E07B02"/>
    <w:rsid w:val="00E07B08"/>
    <w:rsid w:val="00E07B8C"/>
    <w:rsid w:val="00E07CD8"/>
    <w:rsid w:val="00E07D22"/>
    <w:rsid w:val="00E07D7B"/>
    <w:rsid w:val="00E07E1D"/>
    <w:rsid w:val="00E07E28"/>
    <w:rsid w:val="00E07EF4"/>
    <w:rsid w:val="00E07F90"/>
    <w:rsid w:val="00E07FB4"/>
    <w:rsid w:val="00E07FCD"/>
    <w:rsid w:val="00E10050"/>
    <w:rsid w:val="00E1007A"/>
    <w:rsid w:val="00E100D0"/>
    <w:rsid w:val="00E1010B"/>
    <w:rsid w:val="00E10239"/>
    <w:rsid w:val="00E1037C"/>
    <w:rsid w:val="00E10456"/>
    <w:rsid w:val="00E10480"/>
    <w:rsid w:val="00E104BC"/>
    <w:rsid w:val="00E104C7"/>
    <w:rsid w:val="00E104EF"/>
    <w:rsid w:val="00E10593"/>
    <w:rsid w:val="00E10676"/>
    <w:rsid w:val="00E10682"/>
    <w:rsid w:val="00E107B4"/>
    <w:rsid w:val="00E107D6"/>
    <w:rsid w:val="00E10896"/>
    <w:rsid w:val="00E108C1"/>
    <w:rsid w:val="00E1096F"/>
    <w:rsid w:val="00E10A81"/>
    <w:rsid w:val="00E10AF9"/>
    <w:rsid w:val="00E10B64"/>
    <w:rsid w:val="00E10C1E"/>
    <w:rsid w:val="00E10C4E"/>
    <w:rsid w:val="00E10CB1"/>
    <w:rsid w:val="00E10DBD"/>
    <w:rsid w:val="00E10E07"/>
    <w:rsid w:val="00E10E9F"/>
    <w:rsid w:val="00E10EA6"/>
    <w:rsid w:val="00E10F92"/>
    <w:rsid w:val="00E110A9"/>
    <w:rsid w:val="00E110B6"/>
    <w:rsid w:val="00E110C0"/>
    <w:rsid w:val="00E110DC"/>
    <w:rsid w:val="00E110F0"/>
    <w:rsid w:val="00E11194"/>
    <w:rsid w:val="00E111A8"/>
    <w:rsid w:val="00E11236"/>
    <w:rsid w:val="00E112BB"/>
    <w:rsid w:val="00E113CE"/>
    <w:rsid w:val="00E11411"/>
    <w:rsid w:val="00E1149B"/>
    <w:rsid w:val="00E116E3"/>
    <w:rsid w:val="00E1193E"/>
    <w:rsid w:val="00E11965"/>
    <w:rsid w:val="00E11988"/>
    <w:rsid w:val="00E119BB"/>
    <w:rsid w:val="00E119FD"/>
    <w:rsid w:val="00E11A91"/>
    <w:rsid w:val="00E11A9B"/>
    <w:rsid w:val="00E11B96"/>
    <w:rsid w:val="00E11BBC"/>
    <w:rsid w:val="00E11BE0"/>
    <w:rsid w:val="00E11C71"/>
    <w:rsid w:val="00E11C86"/>
    <w:rsid w:val="00E11CF7"/>
    <w:rsid w:val="00E11DAC"/>
    <w:rsid w:val="00E11FCB"/>
    <w:rsid w:val="00E121DC"/>
    <w:rsid w:val="00E12225"/>
    <w:rsid w:val="00E1228E"/>
    <w:rsid w:val="00E122AA"/>
    <w:rsid w:val="00E122CF"/>
    <w:rsid w:val="00E12347"/>
    <w:rsid w:val="00E1242A"/>
    <w:rsid w:val="00E1246D"/>
    <w:rsid w:val="00E12471"/>
    <w:rsid w:val="00E1248D"/>
    <w:rsid w:val="00E124B7"/>
    <w:rsid w:val="00E124C4"/>
    <w:rsid w:val="00E12634"/>
    <w:rsid w:val="00E126E7"/>
    <w:rsid w:val="00E1271D"/>
    <w:rsid w:val="00E1280D"/>
    <w:rsid w:val="00E12827"/>
    <w:rsid w:val="00E1286D"/>
    <w:rsid w:val="00E12887"/>
    <w:rsid w:val="00E12A12"/>
    <w:rsid w:val="00E12A2F"/>
    <w:rsid w:val="00E12A53"/>
    <w:rsid w:val="00E12AF6"/>
    <w:rsid w:val="00E12B91"/>
    <w:rsid w:val="00E12BC8"/>
    <w:rsid w:val="00E12C7A"/>
    <w:rsid w:val="00E12CEA"/>
    <w:rsid w:val="00E12E05"/>
    <w:rsid w:val="00E12F74"/>
    <w:rsid w:val="00E12FC1"/>
    <w:rsid w:val="00E13034"/>
    <w:rsid w:val="00E13067"/>
    <w:rsid w:val="00E130B1"/>
    <w:rsid w:val="00E130B9"/>
    <w:rsid w:val="00E13246"/>
    <w:rsid w:val="00E13261"/>
    <w:rsid w:val="00E132BB"/>
    <w:rsid w:val="00E132E5"/>
    <w:rsid w:val="00E13301"/>
    <w:rsid w:val="00E13337"/>
    <w:rsid w:val="00E1346F"/>
    <w:rsid w:val="00E1348D"/>
    <w:rsid w:val="00E134C2"/>
    <w:rsid w:val="00E134D6"/>
    <w:rsid w:val="00E13509"/>
    <w:rsid w:val="00E1350E"/>
    <w:rsid w:val="00E13514"/>
    <w:rsid w:val="00E13534"/>
    <w:rsid w:val="00E135A0"/>
    <w:rsid w:val="00E13791"/>
    <w:rsid w:val="00E137CA"/>
    <w:rsid w:val="00E13884"/>
    <w:rsid w:val="00E138AB"/>
    <w:rsid w:val="00E138DF"/>
    <w:rsid w:val="00E13A04"/>
    <w:rsid w:val="00E13B36"/>
    <w:rsid w:val="00E13B3A"/>
    <w:rsid w:val="00E13B56"/>
    <w:rsid w:val="00E13BB2"/>
    <w:rsid w:val="00E13C79"/>
    <w:rsid w:val="00E13DE9"/>
    <w:rsid w:val="00E13E03"/>
    <w:rsid w:val="00E13ECD"/>
    <w:rsid w:val="00E13EDF"/>
    <w:rsid w:val="00E13F31"/>
    <w:rsid w:val="00E13F6E"/>
    <w:rsid w:val="00E13F81"/>
    <w:rsid w:val="00E1402A"/>
    <w:rsid w:val="00E1405C"/>
    <w:rsid w:val="00E140B1"/>
    <w:rsid w:val="00E14137"/>
    <w:rsid w:val="00E1421F"/>
    <w:rsid w:val="00E14230"/>
    <w:rsid w:val="00E1423C"/>
    <w:rsid w:val="00E14245"/>
    <w:rsid w:val="00E14296"/>
    <w:rsid w:val="00E142D3"/>
    <w:rsid w:val="00E14430"/>
    <w:rsid w:val="00E144B6"/>
    <w:rsid w:val="00E1450F"/>
    <w:rsid w:val="00E1455E"/>
    <w:rsid w:val="00E14626"/>
    <w:rsid w:val="00E14651"/>
    <w:rsid w:val="00E1466E"/>
    <w:rsid w:val="00E146EB"/>
    <w:rsid w:val="00E1491A"/>
    <w:rsid w:val="00E14984"/>
    <w:rsid w:val="00E14A84"/>
    <w:rsid w:val="00E14AF4"/>
    <w:rsid w:val="00E14B4C"/>
    <w:rsid w:val="00E14B77"/>
    <w:rsid w:val="00E14B84"/>
    <w:rsid w:val="00E14C26"/>
    <w:rsid w:val="00E14D47"/>
    <w:rsid w:val="00E14DE5"/>
    <w:rsid w:val="00E14EB0"/>
    <w:rsid w:val="00E14F35"/>
    <w:rsid w:val="00E14F90"/>
    <w:rsid w:val="00E14FE8"/>
    <w:rsid w:val="00E15137"/>
    <w:rsid w:val="00E1518D"/>
    <w:rsid w:val="00E15213"/>
    <w:rsid w:val="00E15220"/>
    <w:rsid w:val="00E152BA"/>
    <w:rsid w:val="00E15312"/>
    <w:rsid w:val="00E15382"/>
    <w:rsid w:val="00E154D3"/>
    <w:rsid w:val="00E1559E"/>
    <w:rsid w:val="00E155DB"/>
    <w:rsid w:val="00E1562F"/>
    <w:rsid w:val="00E15632"/>
    <w:rsid w:val="00E157C7"/>
    <w:rsid w:val="00E15810"/>
    <w:rsid w:val="00E158D1"/>
    <w:rsid w:val="00E15901"/>
    <w:rsid w:val="00E1593D"/>
    <w:rsid w:val="00E15963"/>
    <w:rsid w:val="00E15966"/>
    <w:rsid w:val="00E15A5C"/>
    <w:rsid w:val="00E15A97"/>
    <w:rsid w:val="00E15AC6"/>
    <w:rsid w:val="00E15BBD"/>
    <w:rsid w:val="00E15BD7"/>
    <w:rsid w:val="00E15C33"/>
    <w:rsid w:val="00E15C98"/>
    <w:rsid w:val="00E15CA1"/>
    <w:rsid w:val="00E15DA9"/>
    <w:rsid w:val="00E15DE0"/>
    <w:rsid w:val="00E15EDF"/>
    <w:rsid w:val="00E15EE2"/>
    <w:rsid w:val="00E15F1F"/>
    <w:rsid w:val="00E16137"/>
    <w:rsid w:val="00E161DC"/>
    <w:rsid w:val="00E16212"/>
    <w:rsid w:val="00E1626F"/>
    <w:rsid w:val="00E1630E"/>
    <w:rsid w:val="00E1636D"/>
    <w:rsid w:val="00E1642D"/>
    <w:rsid w:val="00E1649E"/>
    <w:rsid w:val="00E164E7"/>
    <w:rsid w:val="00E16687"/>
    <w:rsid w:val="00E1674A"/>
    <w:rsid w:val="00E1682F"/>
    <w:rsid w:val="00E168DC"/>
    <w:rsid w:val="00E168EF"/>
    <w:rsid w:val="00E169C5"/>
    <w:rsid w:val="00E16A34"/>
    <w:rsid w:val="00E16A5D"/>
    <w:rsid w:val="00E16B72"/>
    <w:rsid w:val="00E16B83"/>
    <w:rsid w:val="00E16BC3"/>
    <w:rsid w:val="00E16BD9"/>
    <w:rsid w:val="00E16CB9"/>
    <w:rsid w:val="00E16CC0"/>
    <w:rsid w:val="00E16D45"/>
    <w:rsid w:val="00E16D88"/>
    <w:rsid w:val="00E16DAE"/>
    <w:rsid w:val="00E16E06"/>
    <w:rsid w:val="00E16E0C"/>
    <w:rsid w:val="00E16E6E"/>
    <w:rsid w:val="00E16FE2"/>
    <w:rsid w:val="00E17043"/>
    <w:rsid w:val="00E17122"/>
    <w:rsid w:val="00E1712A"/>
    <w:rsid w:val="00E17147"/>
    <w:rsid w:val="00E17156"/>
    <w:rsid w:val="00E1721E"/>
    <w:rsid w:val="00E17280"/>
    <w:rsid w:val="00E173D3"/>
    <w:rsid w:val="00E17427"/>
    <w:rsid w:val="00E17444"/>
    <w:rsid w:val="00E17447"/>
    <w:rsid w:val="00E1750B"/>
    <w:rsid w:val="00E17616"/>
    <w:rsid w:val="00E1769E"/>
    <w:rsid w:val="00E177EB"/>
    <w:rsid w:val="00E178DE"/>
    <w:rsid w:val="00E17908"/>
    <w:rsid w:val="00E17946"/>
    <w:rsid w:val="00E17A63"/>
    <w:rsid w:val="00E17B27"/>
    <w:rsid w:val="00E17BA8"/>
    <w:rsid w:val="00E17CA5"/>
    <w:rsid w:val="00E17D34"/>
    <w:rsid w:val="00E17D99"/>
    <w:rsid w:val="00E17DA5"/>
    <w:rsid w:val="00E17E75"/>
    <w:rsid w:val="00E17E79"/>
    <w:rsid w:val="00E17EA5"/>
    <w:rsid w:val="00E17F98"/>
    <w:rsid w:val="00E20018"/>
    <w:rsid w:val="00E200F5"/>
    <w:rsid w:val="00E20150"/>
    <w:rsid w:val="00E20184"/>
    <w:rsid w:val="00E201B9"/>
    <w:rsid w:val="00E201D0"/>
    <w:rsid w:val="00E201EE"/>
    <w:rsid w:val="00E20255"/>
    <w:rsid w:val="00E20387"/>
    <w:rsid w:val="00E20393"/>
    <w:rsid w:val="00E203D5"/>
    <w:rsid w:val="00E204D3"/>
    <w:rsid w:val="00E20500"/>
    <w:rsid w:val="00E20509"/>
    <w:rsid w:val="00E2053C"/>
    <w:rsid w:val="00E2057F"/>
    <w:rsid w:val="00E205A9"/>
    <w:rsid w:val="00E20609"/>
    <w:rsid w:val="00E2065A"/>
    <w:rsid w:val="00E206FB"/>
    <w:rsid w:val="00E2073D"/>
    <w:rsid w:val="00E20794"/>
    <w:rsid w:val="00E207CA"/>
    <w:rsid w:val="00E20852"/>
    <w:rsid w:val="00E20925"/>
    <w:rsid w:val="00E20940"/>
    <w:rsid w:val="00E20950"/>
    <w:rsid w:val="00E2095D"/>
    <w:rsid w:val="00E209A9"/>
    <w:rsid w:val="00E209B2"/>
    <w:rsid w:val="00E20A1E"/>
    <w:rsid w:val="00E20A60"/>
    <w:rsid w:val="00E20C17"/>
    <w:rsid w:val="00E20D73"/>
    <w:rsid w:val="00E20E7F"/>
    <w:rsid w:val="00E20E9F"/>
    <w:rsid w:val="00E20ED6"/>
    <w:rsid w:val="00E2103C"/>
    <w:rsid w:val="00E21055"/>
    <w:rsid w:val="00E21211"/>
    <w:rsid w:val="00E21310"/>
    <w:rsid w:val="00E21314"/>
    <w:rsid w:val="00E21325"/>
    <w:rsid w:val="00E21373"/>
    <w:rsid w:val="00E213AE"/>
    <w:rsid w:val="00E213F6"/>
    <w:rsid w:val="00E21451"/>
    <w:rsid w:val="00E21461"/>
    <w:rsid w:val="00E2151A"/>
    <w:rsid w:val="00E21582"/>
    <w:rsid w:val="00E215C4"/>
    <w:rsid w:val="00E21620"/>
    <w:rsid w:val="00E21649"/>
    <w:rsid w:val="00E2164D"/>
    <w:rsid w:val="00E216D9"/>
    <w:rsid w:val="00E216DF"/>
    <w:rsid w:val="00E2172D"/>
    <w:rsid w:val="00E217A0"/>
    <w:rsid w:val="00E217EA"/>
    <w:rsid w:val="00E218D4"/>
    <w:rsid w:val="00E21904"/>
    <w:rsid w:val="00E2199B"/>
    <w:rsid w:val="00E219FD"/>
    <w:rsid w:val="00E21B04"/>
    <w:rsid w:val="00E21BFA"/>
    <w:rsid w:val="00E21C3A"/>
    <w:rsid w:val="00E21CDE"/>
    <w:rsid w:val="00E21D07"/>
    <w:rsid w:val="00E21D10"/>
    <w:rsid w:val="00E21D4D"/>
    <w:rsid w:val="00E21E75"/>
    <w:rsid w:val="00E21FA2"/>
    <w:rsid w:val="00E21FAA"/>
    <w:rsid w:val="00E221C1"/>
    <w:rsid w:val="00E2229B"/>
    <w:rsid w:val="00E222A7"/>
    <w:rsid w:val="00E222E2"/>
    <w:rsid w:val="00E22317"/>
    <w:rsid w:val="00E224DC"/>
    <w:rsid w:val="00E22526"/>
    <w:rsid w:val="00E22576"/>
    <w:rsid w:val="00E225A7"/>
    <w:rsid w:val="00E225CA"/>
    <w:rsid w:val="00E22645"/>
    <w:rsid w:val="00E22790"/>
    <w:rsid w:val="00E227C1"/>
    <w:rsid w:val="00E228EF"/>
    <w:rsid w:val="00E22910"/>
    <w:rsid w:val="00E22976"/>
    <w:rsid w:val="00E22A55"/>
    <w:rsid w:val="00E22B20"/>
    <w:rsid w:val="00E22B89"/>
    <w:rsid w:val="00E22C57"/>
    <w:rsid w:val="00E22D33"/>
    <w:rsid w:val="00E22D8A"/>
    <w:rsid w:val="00E22DFB"/>
    <w:rsid w:val="00E22F1D"/>
    <w:rsid w:val="00E22F42"/>
    <w:rsid w:val="00E23158"/>
    <w:rsid w:val="00E23207"/>
    <w:rsid w:val="00E23301"/>
    <w:rsid w:val="00E23331"/>
    <w:rsid w:val="00E23333"/>
    <w:rsid w:val="00E2341C"/>
    <w:rsid w:val="00E23446"/>
    <w:rsid w:val="00E234E7"/>
    <w:rsid w:val="00E23569"/>
    <w:rsid w:val="00E23586"/>
    <w:rsid w:val="00E23592"/>
    <w:rsid w:val="00E23635"/>
    <w:rsid w:val="00E236E1"/>
    <w:rsid w:val="00E236F0"/>
    <w:rsid w:val="00E236FC"/>
    <w:rsid w:val="00E23892"/>
    <w:rsid w:val="00E23977"/>
    <w:rsid w:val="00E239C0"/>
    <w:rsid w:val="00E23A2B"/>
    <w:rsid w:val="00E23A30"/>
    <w:rsid w:val="00E23A6D"/>
    <w:rsid w:val="00E23A74"/>
    <w:rsid w:val="00E23AFF"/>
    <w:rsid w:val="00E23B77"/>
    <w:rsid w:val="00E23DD0"/>
    <w:rsid w:val="00E23EE1"/>
    <w:rsid w:val="00E23F06"/>
    <w:rsid w:val="00E23F6A"/>
    <w:rsid w:val="00E23F6F"/>
    <w:rsid w:val="00E23FE3"/>
    <w:rsid w:val="00E24057"/>
    <w:rsid w:val="00E2406B"/>
    <w:rsid w:val="00E2411E"/>
    <w:rsid w:val="00E2413F"/>
    <w:rsid w:val="00E241BA"/>
    <w:rsid w:val="00E241D1"/>
    <w:rsid w:val="00E24208"/>
    <w:rsid w:val="00E242B0"/>
    <w:rsid w:val="00E24302"/>
    <w:rsid w:val="00E2431E"/>
    <w:rsid w:val="00E243DE"/>
    <w:rsid w:val="00E24416"/>
    <w:rsid w:val="00E24558"/>
    <w:rsid w:val="00E2459C"/>
    <w:rsid w:val="00E24631"/>
    <w:rsid w:val="00E24658"/>
    <w:rsid w:val="00E246D4"/>
    <w:rsid w:val="00E246FB"/>
    <w:rsid w:val="00E24776"/>
    <w:rsid w:val="00E2479C"/>
    <w:rsid w:val="00E2484F"/>
    <w:rsid w:val="00E24886"/>
    <w:rsid w:val="00E248BD"/>
    <w:rsid w:val="00E2492B"/>
    <w:rsid w:val="00E24A2D"/>
    <w:rsid w:val="00E24A72"/>
    <w:rsid w:val="00E24B91"/>
    <w:rsid w:val="00E24BF7"/>
    <w:rsid w:val="00E24CD7"/>
    <w:rsid w:val="00E24CDF"/>
    <w:rsid w:val="00E24D82"/>
    <w:rsid w:val="00E24DCE"/>
    <w:rsid w:val="00E24E45"/>
    <w:rsid w:val="00E24F70"/>
    <w:rsid w:val="00E25007"/>
    <w:rsid w:val="00E25056"/>
    <w:rsid w:val="00E2508E"/>
    <w:rsid w:val="00E25204"/>
    <w:rsid w:val="00E25229"/>
    <w:rsid w:val="00E252A6"/>
    <w:rsid w:val="00E252D8"/>
    <w:rsid w:val="00E25468"/>
    <w:rsid w:val="00E25609"/>
    <w:rsid w:val="00E25652"/>
    <w:rsid w:val="00E256B4"/>
    <w:rsid w:val="00E256E7"/>
    <w:rsid w:val="00E25711"/>
    <w:rsid w:val="00E25718"/>
    <w:rsid w:val="00E257A4"/>
    <w:rsid w:val="00E2589A"/>
    <w:rsid w:val="00E25970"/>
    <w:rsid w:val="00E259AB"/>
    <w:rsid w:val="00E259C1"/>
    <w:rsid w:val="00E25A03"/>
    <w:rsid w:val="00E25A37"/>
    <w:rsid w:val="00E25A4B"/>
    <w:rsid w:val="00E25A4C"/>
    <w:rsid w:val="00E25AEB"/>
    <w:rsid w:val="00E25C1E"/>
    <w:rsid w:val="00E25C1F"/>
    <w:rsid w:val="00E25C26"/>
    <w:rsid w:val="00E25C59"/>
    <w:rsid w:val="00E25D0B"/>
    <w:rsid w:val="00E25D97"/>
    <w:rsid w:val="00E25DD0"/>
    <w:rsid w:val="00E25E8D"/>
    <w:rsid w:val="00E25F6D"/>
    <w:rsid w:val="00E25FBC"/>
    <w:rsid w:val="00E2601D"/>
    <w:rsid w:val="00E26098"/>
    <w:rsid w:val="00E2614B"/>
    <w:rsid w:val="00E26173"/>
    <w:rsid w:val="00E2618F"/>
    <w:rsid w:val="00E26235"/>
    <w:rsid w:val="00E263DD"/>
    <w:rsid w:val="00E2647E"/>
    <w:rsid w:val="00E264D5"/>
    <w:rsid w:val="00E264FB"/>
    <w:rsid w:val="00E2650B"/>
    <w:rsid w:val="00E26531"/>
    <w:rsid w:val="00E2657E"/>
    <w:rsid w:val="00E2658D"/>
    <w:rsid w:val="00E26638"/>
    <w:rsid w:val="00E266FD"/>
    <w:rsid w:val="00E26721"/>
    <w:rsid w:val="00E2684B"/>
    <w:rsid w:val="00E2698E"/>
    <w:rsid w:val="00E26A63"/>
    <w:rsid w:val="00E26A6C"/>
    <w:rsid w:val="00E26B5D"/>
    <w:rsid w:val="00E26B7A"/>
    <w:rsid w:val="00E26BA9"/>
    <w:rsid w:val="00E26C3C"/>
    <w:rsid w:val="00E26C40"/>
    <w:rsid w:val="00E26D26"/>
    <w:rsid w:val="00E26D46"/>
    <w:rsid w:val="00E26D60"/>
    <w:rsid w:val="00E26D90"/>
    <w:rsid w:val="00E26D92"/>
    <w:rsid w:val="00E26D98"/>
    <w:rsid w:val="00E26DBE"/>
    <w:rsid w:val="00E26E0B"/>
    <w:rsid w:val="00E26F2A"/>
    <w:rsid w:val="00E27003"/>
    <w:rsid w:val="00E27048"/>
    <w:rsid w:val="00E270D7"/>
    <w:rsid w:val="00E270F1"/>
    <w:rsid w:val="00E271ED"/>
    <w:rsid w:val="00E27300"/>
    <w:rsid w:val="00E27304"/>
    <w:rsid w:val="00E2738E"/>
    <w:rsid w:val="00E273AF"/>
    <w:rsid w:val="00E2740B"/>
    <w:rsid w:val="00E27419"/>
    <w:rsid w:val="00E27426"/>
    <w:rsid w:val="00E27455"/>
    <w:rsid w:val="00E275B2"/>
    <w:rsid w:val="00E27647"/>
    <w:rsid w:val="00E27776"/>
    <w:rsid w:val="00E277BE"/>
    <w:rsid w:val="00E278D8"/>
    <w:rsid w:val="00E279AD"/>
    <w:rsid w:val="00E27A26"/>
    <w:rsid w:val="00E27A4C"/>
    <w:rsid w:val="00E27A6C"/>
    <w:rsid w:val="00E27B58"/>
    <w:rsid w:val="00E27B91"/>
    <w:rsid w:val="00E27C41"/>
    <w:rsid w:val="00E27C90"/>
    <w:rsid w:val="00E27CB3"/>
    <w:rsid w:val="00E27D08"/>
    <w:rsid w:val="00E27D0B"/>
    <w:rsid w:val="00E27DC7"/>
    <w:rsid w:val="00E27E07"/>
    <w:rsid w:val="00E27F46"/>
    <w:rsid w:val="00E3007B"/>
    <w:rsid w:val="00E300B8"/>
    <w:rsid w:val="00E3026A"/>
    <w:rsid w:val="00E3026B"/>
    <w:rsid w:val="00E30350"/>
    <w:rsid w:val="00E30356"/>
    <w:rsid w:val="00E30359"/>
    <w:rsid w:val="00E3036A"/>
    <w:rsid w:val="00E3038B"/>
    <w:rsid w:val="00E30414"/>
    <w:rsid w:val="00E3049E"/>
    <w:rsid w:val="00E304A3"/>
    <w:rsid w:val="00E3052F"/>
    <w:rsid w:val="00E30543"/>
    <w:rsid w:val="00E30615"/>
    <w:rsid w:val="00E30669"/>
    <w:rsid w:val="00E306B0"/>
    <w:rsid w:val="00E306D5"/>
    <w:rsid w:val="00E30757"/>
    <w:rsid w:val="00E30811"/>
    <w:rsid w:val="00E30867"/>
    <w:rsid w:val="00E3087C"/>
    <w:rsid w:val="00E308C0"/>
    <w:rsid w:val="00E30A68"/>
    <w:rsid w:val="00E30AF7"/>
    <w:rsid w:val="00E30B0C"/>
    <w:rsid w:val="00E30B2D"/>
    <w:rsid w:val="00E30D7A"/>
    <w:rsid w:val="00E30DA9"/>
    <w:rsid w:val="00E30E51"/>
    <w:rsid w:val="00E3110C"/>
    <w:rsid w:val="00E3117B"/>
    <w:rsid w:val="00E3119B"/>
    <w:rsid w:val="00E3120E"/>
    <w:rsid w:val="00E31511"/>
    <w:rsid w:val="00E3155B"/>
    <w:rsid w:val="00E3157B"/>
    <w:rsid w:val="00E315D5"/>
    <w:rsid w:val="00E31664"/>
    <w:rsid w:val="00E316C8"/>
    <w:rsid w:val="00E3174B"/>
    <w:rsid w:val="00E31795"/>
    <w:rsid w:val="00E3180B"/>
    <w:rsid w:val="00E318A5"/>
    <w:rsid w:val="00E31946"/>
    <w:rsid w:val="00E3198A"/>
    <w:rsid w:val="00E319BA"/>
    <w:rsid w:val="00E31A10"/>
    <w:rsid w:val="00E31A8E"/>
    <w:rsid w:val="00E31AE1"/>
    <w:rsid w:val="00E31B7C"/>
    <w:rsid w:val="00E31CA2"/>
    <w:rsid w:val="00E31CE1"/>
    <w:rsid w:val="00E31D8E"/>
    <w:rsid w:val="00E31DC8"/>
    <w:rsid w:val="00E31DF6"/>
    <w:rsid w:val="00E31FA8"/>
    <w:rsid w:val="00E320BD"/>
    <w:rsid w:val="00E321F9"/>
    <w:rsid w:val="00E32206"/>
    <w:rsid w:val="00E322B4"/>
    <w:rsid w:val="00E322FC"/>
    <w:rsid w:val="00E32317"/>
    <w:rsid w:val="00E3234D"/>
    <w:rsid w:val="00E324E3"/>
    <w:rsid w:val="00E325AD"/>
    <w:rsid w:val="00E32696"/>
    <w:rsid w:val="00E3269E"/>
    <w:rsid w:val="00E327E5"/>
    <w:rsid w:val="00E3288C"/>
    <w:rsid w:val="00E32937"/>
    <w:rsid w:val="00E329E5"/>
    <w:rsid w:val="00E32A0C"/>
    <w:rsid w:val="00E32A1A"/>
    <w:rsid w:val="00E32A24"/>
    <w:rsid w:val="00E32B05"/>
    <w:rsid w:val="00E32B44"/>
    <w:rsid w:val="00E32B89"/>
    <w:rsid w:val="00E32C35"/>
    <w:rsid w:val="00E32C76"/>
    <w:rsid w:val="00E32CC4"/>
    <w:rsid w:val="00E32CCC"/>
    <w:rsid w:val="00E32E2C"/>
    <w:rsid w:val="00E32ECD"/>
    <w:rsid w:val="00E32F9B"/>
    <w:rsid w:val="00E32FE5"/>
    <w:rsid w:val="00E32FF0"/>
    <w:rsid w:val="00E33055"/>
    <w:rsid w:val="00E3305F"/>
    <w:rsid w:val="00E33098"/>
    <w:rsid w:val="00E330D7"/>
    <w:rsid w:val="00E3311C"/>
    <w:rsid w:val="00E332F2"/>
    <w:rsid w:val="00E332F7"/>
    <w:rsid w:val="00E33348"/>
    <w:rsid w:val="00E334B2"/>
    <w:rsid w:val="00E33558"/>
    <w:rsid w:val="00E33593"/>
    <w:rsid w:val="00E33596"/>
    <w:rsid w:val="00E3363A"/>
    <w:rsid w:val="00E33673"/>
    <w:rsid w:val="00E336B1"/>
    <w:rsid w:val="00E336F0"/>
    <w:rsid w:val="00E3378A"/>
    <w:rsid w:val="00E337D0"/>
    <w:rsid w:val="00E337FF"/>
    <w:rsid w:val="00E338FF"/>
    <w:rsid w:val="00E33951"/>
    <w:rsid w:val="00E339A2"/>
    <w:rsid w:val="00E33B07"/>
    <w:rsid w:val="00E33B0D"/>
    <w:rsid w:val="00E33B47"/>
    <w:rsid w:val="00E33B79"/>
    <w:rsid w:val="00E33B97"/>
    <w:rsid w:val="00E33BC4"/>
    <w:rsid w:val="00E33CE6"/>
    <w:rsid w:val="00E33D0C"/>
    <w:rsid w:val="00E33DF1"/>
    <w:rsid w:val="00E33E50"/>
    <w:rsid w:val="00E33F98"/>
    <w:rsid w:val="00E340FF"/>
    <w:rsid w:val="00E34174"/>
    <w:rsid w:val="00E341C9"/>
    <w:rsid w:val="00E341DC"/>
    <w:rsid w:val="00E34211"/>
    <w:rsid w:val="00E342C8"/>
    <w:rsid w:val="00E342DC"/>
    <w:rsid w:val="00E34303"/>
    <w:rsid w:val="00E3430B"/>
    <w:rsid w:val="00E3430D"/>
    <w:rsid w:val="00E34329"/>
    <w:rsid w:val="00E3432C"/>
    <w:rsid w:val="00E34374"/>
    <w:rsid w:val="00E343DE"/>
    <w:rsid w:val="00E344CF"/>
    <w:rsid w:val="00E3450F"/>
    <w:rsid w:val="00E34553"/>
    <w:rsid w:val="00E3459B"/>
    <w:rsid w:val="00E3460D"/>
    <w:rsid w:val="00E34618"/>
    <w:rsid w:val="00E346C5"/>
    <w:rsid w:val="00E347A6"/>
    <w:rsid w:val="00E347E3"/>
    <w:rsid w:val="00E347F9"/>
    <w:rsid w:val="00E348D9"/>
    <w:rsid w:val="00E34978"/>
    <w:rsid w:val="00E3497B"/>
    <w:rsid w:val="00E349D2"/>
    <w:rsid w:val="00E34A54"/>
    <w:rsid w:val="00E34AD7"/>
    <w:rsid w:val="00E34CC4"/>
    <w:rsid w:val="00E34CF9"/>
    <w:rsid w:val="00E34D27"/>
    <w:rsid w:val="00E34DA4"/>
    <w:rsid w:val="00E34DB0"/>
    <w:rsid w:val="00E34DC7"/>
    <w:rsid w:val="00E34EA5"/>
    <w:rsid w:val="00E34EC6"/>
    <w:rsid w:val="00E34FA3"/>
    <w:rsid w:val="00E34FAE"/>
    <w:rsid w:val="00E34FF5"/>
    <w:rsid w:val="00E34FFE"/>
    <w:rsid w:val="00E35026"/>
    <w:rsid w:val="00E35090"/>
    <w:rsid w:val="00E350EF"/>
    <w:rsid w:val="00E35101"/>
    <w:rsid w:val="00E351A2"/>
    <w:rsid w:val="00E352DB"/>
    <w:rsid w:val="00E352FB"/>
    <w:rsid w:val="00E35377"/>
    <w:rsid w:val="00E35486"/>
    <w:rsid w:val="00E354CA"/>
    <w:rsid w:val="00E3552C"/>
    <w:rsid w:val="00E35544"/>
    <w:rsid w:val="00E35560"/>
    <w:rsid w:val="00E35622"/>
    <w:rsid w:val="00E356EB"/>
    <w:rsid w:val="00E35753"/>
    <w:rsid w:val="00E35782"/>
    <w:rsid w:val="00E357E9"/>
    <w:rsid w:val="00E3583A"/>
    <w:rsid w:val="00E3590D"/>
    <w:rsid w:val="00E359E7"/>
    <w:rsid w:val="00E35BA2"/>
    <w:rsid w:val="00E35C09"/>
    <w:rsid w:val="00E35CB8"/>
    <w:rsid w:val="00E35CCD"/>
    <w:rsid w:val="00E35E5E"/>
    <w:rsid w:val="00E35EBB"/>
    <w:rsid w:val="00E35EDC"/>
    <w:rsid w:val="00E3600F"/>
    <w:rsid w:val="00E3608D"/>
    <w:rsid w:val="00E360BA"/>
    <w:rsid w:val="00E360BD"/>
    <w:rsid w:val="00E360D1"/>
    <w:rsid w:val="00E36104"/>
    <w:rsid w:val="00E361D1"/>
    <w:rsid w:val="00E3628F"/>
    <w:rsid w:val="00E3656A"/>
    <w:rsid w:val="00E3656D"/>
    <w:rsid w:val="00E36597"/>
    <w:rsid w:val="00E36607"/>
    <w:rsid w:val="00E3664A"/>
    <w:rsid w:val="00E366B9"/>
    <w:rsid w:val="00E3675C"/>
    <w:rsid w:val="00E36835"/>
    <w:rsid w:val="00E36A49"/>
    <w:rsid w:val="00E36A93"/>
    <w:rsid w:val="00E36A9F"/>
    <w:rsid w:val="00E36AAB"/>
    <w:rsid w:val="00E36AC5"/>
    <w:rsid w:val="00E36BDC"/>
    <w:rsid w:val="00E36C21"/>
    <w:rsid w:val="00E36C72"/>
    <w:rsid w:val="00E36C7A"/>
    <w:rsid w:val="00E36CFD"/>
    <w:rsid w:val="00E36D2E"/>
    <w:rsid w:val="00E36D97"/>
    <w:rsid w:val="00E36E7A"/>
    <w:rsid w:val="00E36E8C"/>
    <w:rsid w:val="00E36F0F"/>
    <w:rsid w:val="00E36F8E"/>
    <w:rsid w:val="00E37096"/>
    <w:rsid w:val="00E3713B"/>
    <w:rsid w:val="00E37223"/>
    <w:rsid w:val="00E3724C"/>
    <w:rsid w:val="00E37290"/>
    <w:rsid w:val="00E3733B"/>
    <w:rsid w:val="00E3737C"/>
    <w:rsid w:val="00E373F4"/>
    <w:rsid w:val="00E37406"/>
    <w:rsid w:val="00E3749A"/>
    <w:rsid w:val="00E374BB"/>
    <w:rsid w:val="00E374FA"/>
    <w:rsid w:val="00E37510"/>
    <w:rsid w:val="00E37569"/>
    <w:rsid w:val="00E37612"/>
    <w:rsid w:val="00E37619"/>
    <w:rsid w:val="00E3762A"/>
    <w:rsid w:val="00E37769"/>
    <w:rsid w:val="00E377E0"/>
    <w:rsid w:val="00E37817"/>
    <w:rsid w:val="00E3782A"/>
    <w:rsid w:val="00E3782C"/>
    <w:rsid w:val="00E3785B"/>
    <w:rsid w:val="00E3787C"/>
    <w:rsid w:val="00E37927"/>
    <w:rsid w:val="00E37A72"/>
    <w:rsid w:val="00E37A9C"/>
    <w:rsid w:val="00E37B1D"/>
    <w:rsid w:val="00E37BEA"/>
    <w:rsid w:val="00E37CDA"/>
    <w:rsid w:val="00E37D00"/>
    <w:rsid w:val="00E37D55"/>
    <w:rsid w:val="00E37DC9"/>
    <w:rsid w:val="00E37E50"/>
    <w:rsid w:val="00E37E61"/>
    <w:rsid w:val="00E37F2D"/>
    <w:rsid w:val="00E37F57"/>
    <w:rsid w:val="00E400A0"/>
    <w:rsid w:val="00E400B6"/>
    <w:rsid w:val="00E40111"/>
    <w:rsid w:val="00E4025C"/>
    <w:rsid w:val="00E40260"/>
    <w:rsid w:val="00E4029F"/>
    <w:rsid w:val="00E4031A"/>
    <w:rsid w:val="00E403A8"/>
    <w:rsid w:val="00E40459"/>
    <w:rsid w:val="00E405B2"/>
    <w:rsid w:val="00E406A6"/>
    <w:rsid w:val="00E406D0"/>
    <w:rsid w:val="00E40726"/>
    <w:rsid w:val="00E4072F"/>
    <w:rsid w:val="00E4075A"/>
    <w:rsid w:val="00E40769"/>
    <w:rsid w:val="00E407D5"/>
    <w:rsid w:val="00E40813"/>
    <w:rsid w:val="00E40856"/>
    <w:rsid w:val="00E4087D"/>
    <w:rsid w:val="00E40929"/>
    <w:rsid w:val="00E40944"/>
    <w:rsid w:val="00E40954"/>
    <w:rsid w:val="00E409DB"/>
    <w:rsid w:val="00E409E1"/>
    <w:rsid w:val="00E40A10"/>
    <w:rsid w:val="00E40A5B"/>
    <w:rsid w:val="00E40A6A"/>
    <w:rsid w:val="00E40AAA"/>
    <w:rsid w:val="00E40ACB"/>
    <w:rsid w:val="00E40ACD"/>
    <w:rsid w:val="00E40B03"/>
    <w:rsid w:val="00E40B36"/>
    <w:rsid w:val="00E40B87"/>
    <w:rsid w:val="00E40BD5"/>
    <w:rsid w:val="00E40E33"/>
    <w:rsid w:val="00E40E58"/>
    <w:rsid w:val="00E40EB5"/>
    <w:rsid w:val="00E40ECB"/>
    <w:rsid w:val="00E40EF0"/>
    <w:rsid w:val="00E40F5E"/>
    <w:rsid w:val="00E40FCD"/>
    <w:rsid w:val="00E4101F"/>
    <w:rsid w:val="00E4109E"/>
    <w:rsid w:val="00E410C2"/>
    <w:rsid w:val="00E41149"/>
    <w:rsid w:val="00E41173"/>
    <w:rsid w:val="00E41176"/>
    <w:rsid w:val="00E41245"/>
    <w:rsid w:val="00E41342"/>
    <w:rsid w:val="00E4137E"/>
    <w:rsid w:val="00E413B7"/>
    <w:rsid w:val="00E413C0"/>
    <w:rsid w:val="00E4140B"/>
    <w:rsid w:val="00E41417"/>
    <w:rsid w:val="00E4152C"/>
    <w:rsid w:val="00E41555"/>
    <w:rsid w:val="00E41587"/>
    <w:rsid w:val="00E4159A"/>
    <w:rsid w:val="00E416D4"/>
    <w:rsid w:val="00E417B1"/>
    <w:rsid w:val="00E4180C"/>
    <w:rsid w:val="00E419A2"/>
    <w:rsid w:val="00E41ADF"/>
    <w:rsid w:val="00E41BD5"/>
    <w:rsid w:val="00E41C2F"/>
    <w:rsid w:val="00E41D7C"/>
    <w:rsid w:val="00E41D7E"/>
    <w:rsid w:val="00E41DE2"/>
    <w:rsid w:val="00E41F07"/>
    <w:rsid w:val="00E41F24"/>
    <w:rsid w:val="00E41F9A"/>
    <w:rsid w:val="00E41FC8"/>
    <w:rsid w:val="00E42083"/>
    <w:rsid w:val="00E42090"/>
    <w:rsid w:val="00E421C8"/>
    <w:rsid w:val="00E4230B"/>
    <w:rsid w:val="00E4230C"/>
    <w:rsid w:val="00E423C0"/>
    <w:rsid w:val="00E42401"/>
    <w:rsid w:val="00E424ED"/>
    <w:rsid w:val="00E425CF"/>
    <w:rsid w:val="00E425D5"/>
    <w:rsid w:val="00E42618"/>
    <w:rsid w:val="00E426A7"/>
    <w:rsid w:val="00E426D6"/>
    <w:rsid w:val="00E42753"/>
    <w:rsid w:val="00E4279E"/>
    <w:rsid w:val="00E42805"/>
    <w:rsid w:val="00E42956"/>
    <w:rsid w:val="00E429E2"/>
    <w:rsid w:val="00E429FD"/>
    <w:rsid w:val="00E42A4A"/>
    <w:rsid w:val="00E42BE4"/>
    <w:rsid w:val="00E42C90"/>
    <w:rsid w:val="00E42D6F"/>
    <w:rsid w:val="00E42DA4"/>
    <w:rsid w:val="00E42E8B"/>
    <w:rsid w:val="00E42EE6"/>
    <w:rsid w:val="00E42FC7"/>
    <w:rsid w:val="00E43011"/>
    <w:rsid w:val="00E43075"/>
    <w:rsid w:val="00E43210"/>
    <w:rsid w:val="00E432FF"/>
    <w:rsid w:val="00E4333A"/>
    <w:rsid w:val="00E433FD"/>
    <w:rsid w:val="00E4340D"/>
    <w:rsid w:val="00E4350A"/>
    <w:rsid w:val="00E4353A"/>
    <w:rsid w:val="00E435A1"/>
    <w:rsid w:val="00E43611"/>
    <w:rsid w:val="00E436E7"/>
    <w:rsid w:val="00E43712"/>
    <w:rsid w:val="00E43793"/>
    <w:rsid w:val="00E437E4"/>
    <w:rsid w:val="00E439C8"/>
    <w:rsid w:val="00E43A26"/>
    <w:rsid w:val="00E43A82"/>
    <w:rsid w:val="00E43AB6"/>
    <w:rsid w:val="00E43B5A"/>
    <w:rsid w:val="00E43C05"/>
    <w:rsid w:val="00E43C1A"/>
    <w:rsid w:val="00E43C9E"/>
    <w:rsid w:val="00E43F0C"/>
    <w:rsid w:val="00E43F51"/>
    <w:rsid w:val="00E43F64"/>
    <w:rsid w:val="00E44015"/>
    <w:rsid w:val="00E44034"/>
    <w:rsid w:val="00E44038"/>
    <w:rsid w:val="00E44169"/>
    <w:rsid w:val="00E441E9"/>
    <w:rsid w:val="00E44229"/>
    <w:rsid w:val="00E4426B"/>
    <w:rsid w:val="00E44271"/>
    <w:rsid w:val="00E4430F"/>
    <w:rsid w:val="00E4432F"/>
    <w:rsid w:val="00E4435A"/>
    <w:rsid w:val="00E44378"/>
    <w:rsid w:val="00E44397"/>
    <w:rsid w:val="00E44417"/>
    <w:rsid w:val="00E444A1"/>
    <w:rsid w:val="00E4454F"/>
    <w:rsid w:val="00E445D5"/>
    <w:rsid w:val="00E44793"/>
    <w:rsid w:val="00E44849"/>
    <w:rsid w:val="00E44892"/>
    <w:rsid w:val="00E448AB"/>
    <w:rsid w:val="00E449D8"/>
    <w:rsid w:val="00E44A6E"/>
    <w:rsid w:val="00E44AC4"/>
    <w:rsid w:val="00E44AE7"/>
    <w:rsid w:val="00E44B0E"/>
    <w:rsid w:val="00E44B2F"/>
    <w:rsid w:val="00E44B95"/>
    <w:rsid w:val="00E44BC3"/>
    <w:rsid w:val="00E44BDC"/>
    <w:rsid w:val="00E44C55"/>
    <w:rsid w:val="00E44CAD"/>
    <w:rsid w:val="00E44CD0"/>
    <w:rsid w:val="00E44D0F"/>
    <w:rsid w:val="00E44D36"/>
    <w:rsid w:val="00E44D38"/>
    <w:rsid w:val="00E44DE1"/>
    <w:rsid w:val="00E44DF3"/>
    <w:rsid w:val="00E44E27"/>
    <w:rsid w:val="00E44E44"/>
    <w:rsid w:val="00E44F5E"/>
    <w:rsid w:val="00E44FDE"/>
    <w:rsid w:val="00E4510F"/>
    <w:rsid w:val="00E45119"/>
    <w:rsid w:val="00E451A9"/>
    <w:rsid w:val="00E451EE"/>
    <w:rsid w:val="00E452E5"/>
    <w:rsid w:val="00E45309"/>
    <w:rsid w:val="00E45383"/>
    <w:rsid w:val="00E4543C"/>
    <w:rsid w:val="00E454D1"/>
    <w:rsid w:val="00E45513"/>
    <w:rsid w:val="00E45554"/>
    <w:rsid w:val="00E45558"/>
    <w:rsid w:val="00E455B4"/>
    <w:rsid w:val="00E4560F"/>
    <w:rsid w:val="00E45660"/>
    <w:rsid w:val="00E456A0"/>
    <w:rsid w:val="00E456C7"/>
    <w:rsid w:val="00E456CC"/>
    <w:rsid w:val="00E45711"/>
    <w:rsid w:val="00E45747"/>
    <w:rsid w:val="00E457C9"/>
    <w:rsid w:val="00E457CF"/>
    <w:rsid w:val="00E457FF"/>
    <w:rsid w:val="00E4599D"/>
    <w:rsid w:val="00E45A03"/>
    <w:rsid w:val="00E45A3A"/>
    <w:rsid w:val="00E45B03"/>
    <w:rsid w:val="00E45B0B"/>
    <w:rsid w:val="00E45B12"/>
    <w:rsid w:val="00E45B77"/>
    <w:rsid w:val="00E45BC2"/>
    <w:rsid w:val="00E45C03"/>
    <w:rsid w:val="00E45C53"/>
    <w:rsid w:val="00E45CA2"/>
    <w:rsid w:val="00E45DA4"/>
    <w:rsid w:val="00E45DA7"/>
    <w:rsid w:val="00E45E7F"/>
    <w:rsid w:val="00E45F5F"/>
    <w:rsid w:val="00E4603D"/>
    <w:rsid w:val="00E46044"/>
    <w:rsid w:val="00E460E6"/>
    <w:rsid w:val="00E46170"/>
    <w:rsid w:val="00E461B1"/>
    <w:rsid w:val="00E4627B"/>
    <w:rsid w:val="00E462AE"/>
    <w:rsid w:val="00E462B6"/>
    <w:rsid w:val="00E462DB"/>
    <w:rsid w:val="00E46394"/>
    <w:rsid w:val="00E463DB"/>
    <w:rsid w:val="00E46408"/>
    <w:rsid w:val="00E46457"/>
    <w:rsid w:val="00E4646F"/>
    <w:rsid w:val="00E46519"/>
    <w:rsid w:val="00E4652F"/>
    <w:rsid w:val="00E46589"/>
    <w:rsid w:val="00E465BD"/>
    <w:rsid w:val="00E465CA"/>
    <w:rsid w:val="00E46600"/>
    <w:rsid w:val="00E4667B"/>
    <w:rsid w:val="00E466C8"/>
    <w:rsid w:val="00E46787"/>
    <w:rsid w:val="00E467BE"/>
    <w:rsid w:val="00E468D2"/>
    <w:rsid w:val="00E468F8"/>
    <w:rsid w:val="00E46954"/>
    <w:rsid w:val="00E4697F"/>
    <w:rsid w:val="00E46995"/>
    <w:rsid w:val="00E46A04"/>
    <w:rsid w:val="00E46B69"/>
    <w:rsid w:val="00E46BC5"/>
    <w:rsid w:val="00E46D3F"/>
    <w:rsid w:val="00E46EDE"/>
    <w:rsid w:val="00E46F5C"/>
    <w:rsid w:val="00E46FA5"/>
    <w:rsid w:val="00E47046"/>
    <w:rsid w:val="00E4715C"/>
    <w:rsid w:val="00E471F6"/>
    <w:rsid w:val="00E47236"/>
    <w:rsid w:val="00E475BF"/>
    <w:rsid w:val="00E4761C"/>
    <w:rsid w:val="00E4767D"/>
    <w:rsid w:val="00E476CA"/>
    <w:rsid w:val="00E476DA"/>
    <w:rsid w:val="00E47772"/>
    <w:rsid w:val="00E4783A"/>
    <w:rsid w:val="00E47890"/>
    <w:rsid w:val="00E478E4"/>
    <w:rsid w:val="00E47912"/>
    <w:rsid w:val="00E47A55"/>
    <w:rsid w:val="00E47AA2"/>
    <w:rsid w:val="00E47AC5"/>
    <w:rsid w:val="00E47AE8"/>
    <w:rsid w:val="00E47BEA"/>
    <w:rsid w:val="00E47C05"/>
    <w:rsid w:val="00E47C14"/>
    <w:rsid w:val="00E47C7B"/>
    <w:rsid w:val="00E47D34"/>
    <w:rsid w:val="00E47D4B"/>
    <w:rsid w:val="00E47E2A"/>
    <w:rsid w:val="00E47ECA"/>
    <w:rsid w:val="00E47EDF"/>
    <w:rsid w:val="00E47EEC"/>
    <w:rsid w:val="00E47F9A"/>
    <w:rsid w:val="00E47FA7"/>
    <w:rsid w:val="00E50046"/>
    <w:rsid w:val="00E50062"/>
    <w:rsid w:val="00E500E0"/>
    <w:rsid w:val="00E500EC"/>
    <w:rsid w:val="00E50141"/>
    <w:rsid w:val="00E501D5"/>
    <w:rsid w:val="00E502A9"/>
    <w:rsid w:val="00E50387"/>
    <w:rsid w:val="00E503AE"/>
    <w:rsid w:val="00E503FC"/>
    <w:rsid w:val="00E50473"/>
    <w:rsid w:val="00E504C9"/>
    <w:rsid w:val="00E50568"/>
    <w:rsid w:val="00E505CB"/>
    <w:rsid w:val="00E5062A"/>
    <w:rsid w:val="00E506FF"/>
    <w:rsid w:val="00E50746"/>
    <w:rsid w:val="00E5078C"/>
    <w:rsid w:val="00E50794"/>
    <w:rsid w:val="00E507DD"/>
    <w:rsid w:val="00E507DF"/>
    <w:rsid w:val="00E507E3"/>
    <w:rsid w:val="00E50809"/>
    <w:rsid w:val="00E508EA"/>
    <w:rsid w:val="00E5093C"/>
    <w:rsid w:val="00E509E4"/>
    <w:rsid w:val="00E50C6B"/>
    <w:rsid w:val="00E50C8B"/>
    <w:rsid w:val="00E50CE5"/>
    <w:rsid w:val="00E50E3B"/>
    <w:rsid w:val="00E50E98"/>
    <w:rsid w:val="00E50F4F"/>
    <w:rsid w:val="00E50F55"/>
    <w:rsid w:val="00E51074"/>
    <w:rsid w:val="00E51087"/>
    <w:rsid w:val="00E510C3"/>
    <w:rsid w:val="00E510F6"/>
    <w:rsid w:val="00E51134"/>
    <w:rsid w:val="00E511AD"/>
    <w:rsid w:val="00E51344"/>
    <w:rsid w:val="00E51354"/>
    <w:rsid w:val="00E513B1"/>
    <w:rsid w:val="00E51419"/>
    <w:rsid w:val="00E5149A"/>
    <w:rsid w:val="00E514B1"/>
    <w:rsid w:val="00E514D4"/>
    <w:rsid w:val="00E514EA"/>
    <w:rsid w:val="00E51550"/>
    <w:rsid w:val="00E5160A"/>
    <w:rsid w:val="00E51818"/>
    <w:rsid w:val="00E5183E"/>
    <w:rsid w:val="00E51867"/>
    <w:rsid w:val="00E518D3"/>
    <w:rsid w:val="00E51976"/>
    <w:rsid w:val="00E519CE"/>
    <w:rsid w:val="00E519F0"/>
    <w:rsid w:val="00E51A5B"/>
    <w:rsid w:val="00E51A63"/>
    <w:rsid w:val="00E51A6D"/>
    <w:rsid w:val="00E51B4B"/>
    <w:rsid w:val="00E51B4D"/>
    <w:rsid w:val="00E51BA3"/>
    <w:rsid w:val="00E51BEB"/>
    <w:rsid w:val="00E51C29"/>
    <w:rsid w:val="00E51E81"/>
    <w:rsid w:val="00E51F92"/>
    <w:rsid w:val="00E51FB9"/>
    <w:rsid w:val="00E52000"/>
    <w:rsid w:val="00E52065"/>
    <w:rsid w:val="00E5209C"/>
    <w:rsid w:val="00E520B1"/>
    <w:rsid w:val="00E520D4"/>
    <w:rsid w:val="00E5211F"/>
    <w:rsid w:val="00E52185"/>
    <w:rsid w:val="00E52189"/>
    <w:rsid w:val="00E521E3"/>
    <w:rsid w:val="00E521E4"/>
    <w:rsid w:val="00E5223D"/>
    <w:rsid w:val="00E522C8"/>
    <w:rsid w:val="00E52340"/>
    <w:rsid w:val="00E5236B"/>
    <w:rsid w:val="00E5237C"/>
    <w:rsid w:val="00E523C5"/>
    <w:rsid w:val="00E523D7"/>
    <w:rsid w:val="00E5246E"/>
    <w:rsid w:val="00E524D9"/>
    <w:rsid w:val="00E525B4"/>
    <w:rsid w:val="00E525BF"/>
    <w:rsid w:val="00E525DA"/>
    <w:rsid w:val="00E525F3"/>
    <w:rsid w:val="00E52615"/>
    <w:rsid w:val="00E5267D"/>
    <w:rsid w:val="00E526FF"/>
    <w:rsid w:val="00E52735"/>
    <w:rsid w:val="00E52817"/>
    <w:rsid w:val="00E52895"/>
    <w:rsid w:val="00E528D0"/>
    <w:rsid w:val="00E52906"/>
    <w:rsid w:val="00E52935"/>
    <w:rsid w:val="00E529A8"/>
    <w:rsid w:val="00E52A0D"/>
    <w:rsid w:val="00E52A20"/>
    <w:rsid w:val="00E52A58"/>
    <w:rsid w:val="00E52AFF"/>
    <w:rsid w:val="00E52BC4"/>
    <w:rsid w:val="00E52BDA"/>
    <w:rsid w:val="00E52CAA"/>
    <w:rsid w:val="00E52CFD"/>
    <w:rsid w:val="00E52D0C"/>
    <w:rsid w:val="00E52D3B"/>
    <w:rsid w:val="00E52E07"/>
    <w:rsid w:val="00E52E83"/>
    <w:rsid w:val="00E52EA0"/>
    <w:rsid w:val="00E52EEE"/>
    <w:rsid w:val="00E52F9F"/>
    <w:rsid w:val="00E52FA0"/>
    <w:rsid w:val="00E52FB3"/>
    <w:rsid w:val="00E52FE5"/>
    <w:rsid w:val="00E5301C"/>
    <w:rsid w:val="00E53040"/>
    <w:rsid w:val="00E5307B"/>
    <w:rsid w:val="00E53161"/>
    <w:rsid w:val="00E5323F"/>
    <w:rsid w:val="00E53250"/>
    <w:rsid w:val="00E53270"/>
    <w:rsid w:val="00E53271"/>
    <w:rsid w:val="00E53357"/>
    <w:rsid w:val="00E53380"/>
    <w:rsid w:val="00E53422"/>
    <w:rsid w:val="00E53423"/>
    <w:rsid w:val="00E53425"/>
    <w:rsid w:val="00E53500"/>
    <w:rsid w:val="00E53589"/>
    <w:rsid w:val="00E536CD"/>
    <w:rsid w:val="00E537FD"/>
    <w:rsid w:val="00E53829"/>
    <w:rsid w:val="00E538DF"/>
    <w:rsid w:val="00E538E5"/>
    <w:rsid w:val="00E53928"/>
    <w:rsid w:val="00E53981"/>
    <w:rsid w:val="00E53A17"/>
    <w:rsid w:val="00E53A49"/>
    <w:rsid w:val="00E53A5C"/>
    <w:rsid w:val="00E53AD2"/>
    <w:rsid w:val="00E53B33"/>
    <w:rsid w:val="00E53BF8"/>
    <w:rsid w:val="00E53C35"/>
    <w:rsid w:val="00E53C8C"/>
    <w:rsid w:val="00E53D95"/>
    <w:rsid w:val="00E53DEC"/>
    <w:rsid w:val="00E53DF5"/>
    <w:rsid w:val="00E53DFA"/>
    <w:rsid w:val="00E53EE8"/>
    <w:rsid w:val="00E53F86"/>
    <w:rsid w:val="00E53FE7"/>
    <w:rsid w:val="00E5400B"/>
    <w:rsid w:val="00E54026"/>
    <w:rsid w:val="00E5407B"/>
    <w:rsid w:val="00E540B4"/>
    <w:rsid w:val="00E540F8"/>
    <w:rsid w:val="00E541A5"/>
    <w:rsid w:val="00E541DF"/>
    <w:rsid w:val="00E5431F"/>
    <w:rsid w:val="00E5439D"/>
    <w:rsid w:val="00E543E5"/>
    <w:rsid w:val="00E5449C"/>
    <w:rsid w:val="00E544C1"/>
    <w:rsid w:val="00E544EF"/>
    <w:rsid w:val="00E545B5"/>
    <w:rsid w:val="00E546F6"/>
    <w:rsid w:val="00E54916"/>
    <w:rsid w:val="00E54919"/>
    <w:rsid w:val="00E54A9D"/>
    <w:rsid w:val="00E54AE7"/>
    <w:rsid w:val="00E54B58"/>
    <w:rsid w:val="00E54B6A"/>
    <w:rsid w:val="00E54BC3"/>
    <w:rsid w:val="00E54CB0"/>
    <w:rsid w:val="00E54D4D"/>
    <w:rsid w:val="00E54D7C"/>
    <w:rsid w:val="00E54DC6"/>
    <w:rsid w:val="00E54EC5"/>
    <w:rsid w:val="00E54F1A"/>
    <w:rsid w:val="00E54F46"/>
    <w:rsid w:val="00E54F69"/>
    <w:rsid w:val="00E550F9"/>
    <w:rsid w:val="00E5512B"/>
    <w:rsid w:val="00E5515B"/>
    <w:rsid w:val="00E55276"/>
    <w:rsid w:val="00E55278"/>
    <w:rsid w:val="00E55283"/>
    <w:rsid w:val="00E553BC"/>
    <w:rsid w:val="00E554AA"/>
    <w:rsid w:val="00E5558E"/>
    <w:rsid w:val="00E555AD"/>
    <w:rsid w:val="00E5561D"/>
    <w:rsid w:val="00E5563E"/>
    <w:rsid w:val="00E557AA"/>
    <w:rsid w:val="00E557FB"/>
    <w:rsid w:val="00E55802"/>
    <w:rsid w:val="00E55804"/>
    <w:rsid w:val="00E5592E"/>
    <w:rsid w:val="00E559BF"/>
    <w:rsid w:val="00E55A19"/>
    <w:rsid w:val="00E55A5B"/>
    <w:rsid w:val="00E55A7E"/>
    <w:rsid w:val="00E55A97"/>
    <w:rsid w:val="00E55AB2"/>
    <w:rsid w:val="00E55ABC"/>
    <w:rsid w:val="00E55ADF"/>
    <w:rsid w:val="00E55C4F"/>
    <w:rsid w:val="00E55C51"/>
    <w:rsid w:val="00E55C80"/>
    <w:rsid w:val="00E55C93"/>
    <w:rsid w:val="00E55D33"/>
    <w:rsid w:val="00E55FB2"/>
    <w:rsid w:val="00E55FF6"/>
    <w:rsid w:val="00E56006"/>
    <w:rsid w:val="00E56039"/>
    <w:rsid w:val="00E560E9"/>
    <w:rsid w:val="00E56193"/>
    <w:rsid w:val="00E56215"/>
    <w:rsid w:val="00E562E9"/>
    <w:rsid w:val="00E56350"/>
    <w:rsid w:val="00E5641B"/>
    <w:rsid w:val="00E56445"/>
    <w:rsid w:val="00E56468"/>
    <w:rsid w:val="00E564D4"/>
    <w:rsid w:val="00E564EA"/>
    <w:rsid w:val="00E564F1"/>
    <w:rsid w:val="00E564FE"/>
    <w:rsid w:val="00E56501"/>
    <w:rsid w:val="00E56506"/>
    <w:rsid w:val="00E5650A"/>
    <w:rsid w:val="00E56542"/>
    <w:rsid w:val="00E565D8"/>
    <w:rsid w:val="00E56641"/>
    <w:rsid w:val="00E56659"/>
    <w:rsid w:val="00E56661"/>
    <w:rsid w:val="00E56692"/>
    <w:rsid w:val="00E56730"/>
    <w:rsid w:val="00E56775"/>
    <w:rsid w:val="00E56776"/>
    <w:rsid w:val="00E56851"/>
    <w:rsid w:val="00E56869"/>
    <w:rsid w:val="00E568BD"/>
    <w:rsid w:val="00E56948"/>
    <w:rsid w:val="00E5698D"/>
    <w:rsid w:val="00E569F4"/>
    <w:rsid w:val="00E56A6D"/>
    <w:rsid w:val="00E56A70"/>
    <w:rsid w:val="00E56A7E"/>
    <w:rsid w:val="00E56A9E"/>
    <w:rsid w:val="00E56AFB"/>
    <w:rsid w:val="00E56B74"/>
    <w:rsid w:val="00E56C8F"/>
    <w:rsid w:val="00E56DC4"/>
    <w:rsid w:val="00E56EF3"/>
    <w:rsid w:val="00E56FB8"/>
    <w:rsid w:val="00E5702F"/>
    <w:rsid w:val="00E57059"/>
    <w:rsid w:val="00E57112"/>
    <w:rsid w:val="00E57141"/>
    <w:rsid w:val="00E5715C"/>
    <w:rsid w:val="00E57277"/>
    <w:rsid w:val="00E5730B"/>
    <w:rsid w:val="00E573D6"/>
    <w:rsid w:val="00E57453"/>
    <w:rsid w:val="00E574DA"/>
    <w:rsid w:val="00E57555"/>
    <w:rsid w:val="00E576B9"/>
    <w:rsid w:val="00E576BD"/>
    <w:rsid w:val="00E576C8"/>
    <w:rsid w:val="00E5771D"/>
    <w:rsid w:val="00E5779B"/>
    <w:rsid w:val="00E577B3"/>
    <w:rsid w:val="00E577F1"/>
    <w:rsid w:val="00E57815"/>
    <w:rsid w:val="00E57823"/>
    <w:rsid w:val="00E57849"/>
    <w:rsid w:val="00E57850"/>
    <w:rsid w:val="00E57880"/>
    <w:rsid w:val="00E579F1"/>
    <w:rsid w:val="00E57A02"/>
    <w:rsid w:val="00E57B76"/>
    <w:rsid w:val="00E57CEA"/>
    <w:rsid w:val="00E57D24"/>
    <w:rsid w:val="00E57D55"/>
    <w:rsid w:val="00E57E84"/>
    <w:rsid w:val="00E60002"/>
    <w:rsid w:val="00E6002C"/>
    <w:rsid w:val="00E600EA"/>
    <w:rsid w:val="00E601AC"/>
    <w:rsid w:val="00E601E3"/>
    <w:rsid w:val="00E60284"/>
    <w:rsid w:val="00E6029D"/>
    <w:rsid w:val="00E602EB"/>
    <w:rsid w:val="00E603BB"/>
    <w:rsid w:val="00E603C7"/>
    <w:rsid w:val="00E603DC"/>
    <w:rsid w:val="00E60401"/>
    <w:rsid w:val="00E60546"/>
    <w:rsid w:val="00E6059B"/>
    <w:rsid w:val="00E60700"/>
    <w:rsid w:val="00E60713"/>
    <w:rsid w:val="00E60759"/>
    <w:rsid w:val="00E60771"/>
    <w:rsid w:val="00E6091B"/>
    <w:rsid w:val="00E60988"/>
    <w:rsid w:val="00E609D2"/>
    <w:rsid w:val="00E60A27"/>
    <w:rsid w:val="00E60ACA"/>
    <w:rsid w:val="00E60B06"/>
    <w:rsid w:val="00E60B3D"/>
    <w:rsid w:val="00E60B86"/>
    <w:rsid w:val="00E60BAD"/>
    <w:rsid w:val="00E60C47"/>
    <w:rsid w:val="00E60CE7"/>
    <w:rsid w:val="00E60DAC"/>
    <w:rsid w:val="00E60F12"/>
    <w:rsid w:val="00E60F66"/>
    <w:rsid w:val="00E60F95"/>
    <w:rsid w:val="00E6100D"/>
    <w:rsid w:val="00E61055"/>
    <w:rsid w:val="00E6115C"/>
    <w:rsid w:val="00E6127B"/>
    <w:rsid w:val="00E61289"/>
    <w:rsid w:val="00E6137E"/>
    <w:rsid w:val="00E613A7"/>
    <w:rsid w:val="00E613EA"/>
    <w:rsid w:val="00E61409"/>
    <w:rsid w:val="00E61414"/>
    <w:rsid w:val="00E6149B"/>
    <w:rsid w:val="00E6157A"/>
    <w:rsid w:val="00E61595"/>
    <w:rsid w:val="00E615F1"/>
    <w:rsid w:val="00E6167E"/>
    <w:rsid w:val="00E616FF"/>
    <w:rsid w:val="00E6176D"/>
    <w:rsid w:val="00E61800"/>
    <w:rsid w:val="00E61831"/>
    <w:rsid w:val="00E61868"/>
    <w:rsid w:val="00E61869"/>
    <w:rsid w:val="00E6194E"/>
    <w:rsid w:val="00E6196B"/>
    <w:rsid w:val="00E6198B"/>
    <w:rsid w:val="00E61994"/>
    <w:rsid w:val="00E619C6"/>
    <w:rsid w:val="00E61A43"/>
    <w:rsid w:val="00E61C16"/>
    <w:rsid w:val="00E61C7E"/>
    <w:rsid w:val="00E61D9B"/>
    <w:rsid w:val="00E61DFB"/>
    <w:rsid w:val="00E61E7D"/>
    <w:rsid w:val="00E61EB5"/>
    <w:rsid w:val="00E61F1F"/>
    <w:rsid w:val="00E61F54"/>
    <w:rsid w:val="00E61F75"/>
    <w:rsid w:val="00E62043"/>
    <w:rsid w:val="00E620B1"/>
    <w:rsid w:val="00E6220A"/>
    <w:rsid w:val="00E622A6"/>
    <w:rsid w:val="00E6237A"/>
    <w:rsid w:val="00E6239A"/>
    <w:rsid w:val="00E6240E"/>
    <w:rsid w:val="00E62478"/>
    <w:rsid w:val="00E624AA"/>
    <w:rsid w:val="00E62580"/>
    <w:rsid w:val="00E6259D"/>
    <w:rsid w:val="00E625A1"/>
    <w:rsid w:val="00E625FB"/>
    <w:rsid w:val="00E6266B"/>
    <w:rsid w:val="00E627B1"/>
    <w:rsid w:val="00E628CD"/>
    <w:rsid w:val="00E6294F"/>
    <w:rsid w:val="00E629ED"/>
    <w:rsid w:val="00E62A46"/>
    <w:rsid w:val="00E62ADB"/>
    <w:rsid w:val="00E62B1D"/>
    <w:rsid w:val="00E62B61"/>
    <w:rsid w:val="00E62BAD"/>
    <w:rsid w:val="00E62BDD"/>
    <w:rsid w:val="00E62BF4"/>
    <w:rsid w:val="00E62C6C"/>
    <w:rsid w:val="00E62C7F"/>
    <w:rsid w:val="00E62CBF"/>
    <w:rsid w:val="00E62D0D"/>
    <w:rsid w:val="00E62DAD"/>
    <w:rsid w:val="00E62DD1"/>
    <w:rsid w:val="00E62E0A"/>
    <w:rsid w:val="00E62E95"/>
    <w:rsid w:val="00E62FA8"/>
    <w:rsid w:val="00E62FA9"/>
    <w:rsid w:val="00E62FC9"/>
    <w:rsid w:val="00E63041"/>
    <w:rsid w:val="00E630FD"/>
    <w:rsid w:val="00E63161"/>
    <w:rsid w:val="00E6317B"/>
    <w:rsid w:val="00E631F4"/>
    <w:rsid w:val="00E632F9"/>
    <w:rsid w:val="00E633B4"/>
    <w:rsid w:val="00E63400"/>
    <w:rsid w:val="00E63627"/>
    <w:rsid w:val="00E6369E"/>
    <w:rsid w:val="00E63718"/>
    <w:rsid w:val="00E637C2"/>
    <w:rsid w:val="00E637F2"/>
    <w:rsid w:val="00E638ED"/>
    <w:rsid w:val="00E63924"/>
    <w:rsid w:val="00E639B1"/>
    <w:rsid w:val="00E63A95"/>
    <w:rsid w:val="00E63B2B"/>
    <w:rsid w:val="00E63B38"/>
    <w:rsid w:val="00E63C8C"/>
    <w:rsid w:val="00E63CC7"/>
    <w:rsid w:val="00E63E16"/>
    <w:rsid w:val="00E63E3A"/>
    <w:rsid w:val="00E63F42"/>
    <w:rsid w:val="00E64049"/>
    <w:rsid w:val="00E6411D"/>
    <w:rsid w:val="00E64122"/>
    <w:rsid w:val="00E64131"/>
    <w:rsid w:val="00E64162"/>
    <w:rsid w:val="00E64163"/>
    <w:rsid w:val="00E641B4"/>
    <w:rsid w:val="00E641ED"/>
    <w:rsid w:val="00E64219"/>
    <w:rsid w:val="00E6425A"/>
    <w:rsid w:val="00E643BB"/>
    <w:rsid w:val="00E643CB"/>
    <w:rsid w:val="00E643F2"/>
    <w:rsid w:val="00E64445"/>
    <w:rsid w:val="00E6444C"/>
    <w:rsid w:val="00E6444F"/>
    <w:rsid w:val="00E64505"/>
    <w:rsid w:val="00E645F7"/>
    <w:rsid w:val="00E64670"/>
    <w:rsid w:val="00E64676"/>
    <w:rsid w:val="00E6468B"/>
    <w:rsid w:val="00E6471E"/>
    <w:rsid w:val="00E6477C"/>
    <w:rsid w:val="00E647A7"/>
    <w:rsid w:val="00E647BD"/>
    <w:rsid w:val="00E64846"/>
    <w:rsid w:val="00E6498B"/>
    <w:rsid w:val="00E649D2"/>
    <w:rsid w:val="00E64AA7"/>
    <w:rsid w:val="00E64AC7"/>
    <w:rsid w:val="00E64AF6"/>
    <w:rsid w:val="00E64B8D"/>
    <w:rsid w:val="00E64BB7"/>
    <w:rsid w:val="00E64C67"/>
    <w:rsid w:val="00E64CCC"/>
    <w:rsid w:val="00E64CEA"/>
    <w:rsid w:val="00E64CFB"/>
    <w:rsid w:val="00E64D16"/>
    <w:rsid w:val="00E64ECB"/>
    <w:rsid w:val="00E64F40"/>
    <w:rsid w:val="00E65107"/>
    <w:rsid w:val="00E65126"/>
    <w:rsid w:val="00E65183"/>
    <w:rsid w:val="00E651A0"/>
    <w:rsid w:val="00E651AE"/>
    <w:rsid w:val="00E65205"/>
    <w:rsid w:val="00E65210"/>
    <w:rsid w:val="00E65219"/>
    <w:rsid w:val="00E6523C"/>
    <w:rsid w:val="00E652B7"/>
    <w:rsid w:val="00E652FB"/>
    <w:rsid w:val="00E653D4"/>
    <w:rsid w:val="00E653DC"/>
    <w:rsid w:val="00E6542C"/>
    <w:rsid w:val="00E65438"/>
    <w:rsid w:val="00E65615"/>
    <w:rsid w:val="00E65689"/>
    <w:rsid w:val="00E657B1"/>
    <w:rsid w:val="00E65816"/>
    <w:rsid w:val="00E658D7"/>
    <w:rsid w:val="00E658DA"/>
    <w:rsid w:val="00E65995"/>
    <w:rsid w:val="00E65B54"/>
    <w:rsid w:val="00E65B68"/>
    <w:rsid w:val="00E65BE7"/>
    <w:rsid w:val="00E65C26"/>
    <w:rsid w:val="00E65C70"/>
    <w:rsid w:val="00E65C8F"/>
    <w:rsid w:val="00E65D4B"/>
    <w:rsid w:val="00E65DE5"/>
    <w:rsid w:val="00E65DE7"/>
    <w:rsid w:val="00E65E4D"/>
    <w:rsid w:val="00E65EC8"/>
    <w:rsid w:val="00E65F54"/>
    <w:rsid w:val="00E65F9F"/>
    <w:rsid w:val="00E65FD9"/>
    <w:rsid w:val="00E6602A"/>
    <w:rsid w:val="00E660C7"/>
    <w:rsid w:val="00E660FE"/>
    <w:rsid w:val="00E6611A"/>
    <w:rsid w:val="00E6614B"/>
    <w:rsid w:val="00E66151"/>
    <w:rsid w:val="00E66294"/>
    <w:rsid w:val="00E6636F"/>
    <w:rsid w:val="00E6647B"/>
    <w:rsid w:val="00E664AB"/>
    <w:rsid w:val="00E66545"/>
    <w:rsid w:val="00E66679"/>
    <w:rsid w:val="00E666B8"/>
    <w:rsid w:val="00E666DD"/>
    <w:rsid w:val="00E66717"/>
    <w:rsid w:val="00E667D9"/>
    <w:rsid w:val="00E667F3"/>
    <w:rsid w:val="00E66823"/>
    <w:rsid w:val="00E66876"/>
    <w:rsid w:val="00E6688C"/>
    <w:rsid w:val="00E668AA"/>
    <w:rsid w:val="00E6697B"/>
    <w:rsid w:val="00E669EA"/>
    <w:rsid w:val="00E669F9"/>
    <w:rsid w:val="00E66A53"/>
    <w:rsid w:val="00E66AE6"/>
    <w:rsid w:val="00E66AEF"/>
    <w:rsid w:val="00E66AF5"/>
    <w:rsid w:val="00E66B3D"/>
    <w:rsid w:val="00E66BBE"/>
    <w:rsid w:val="00E66C20"/>
    <w:rsid w:val="00E66CA4"/>
    <w:rsid w:val="00E66E19"/>
    <w:rsid w:val="00E66EA7"/>
    <w:rsid w:val="00E66F55"/>
    <w:rsid w:val="00E66FE3"/>
    <w:rsid w:val="00E6702D"/>
    <w:rsid w:val="00E6705E"/>
    <w:rsid w:val="00E67160"/>
    <w:rsid w:val="00E6716C"/>
    <w:rsid w:val="00E67400"/>
    <w:rsid w:val="00E67425"/>
    <w:rsid w:val="00E67427"/>
    <w:rsid w:val="00E67453"/>
    <w:rsid w:val="00E6748A"/>
    <w:rsid w:val="00E674BB"/>
    <w:rsid w:val="00E674CB"/>
    <w:rsid w:val="00E67505"/>
    <w:rsid w:val="00E67523"/>
    <w:rsid w:val="00E67530"/>
    <w:rsid w:val="00E67545"/>
    <w:rsid w:val="00E67576"/>
    <w:rsid w:val="00E6763A"/>
    <w:rsid w:val="00E67672"/>
    <w:rsid w:val="00E676CD"/>
    <w:rsid w:val="00E676DB"/>
    <w:rsid w:val="00E67822"/>
    <w:rsid w:val="00E678B4"/>
    <w:rsid w:val="00E678F7"/>
    <w:rsid w:val="00E67913"/>
    <w:rsid w:val="00E67953"/>
    <w:rsid w:val="00E67987"/>
    <w:rsid w:val="00E6799B"/>
    <w:rsid w:val="00E679BA"/>
    <w:rsid w:val="00E67A07"/>
    <w:rsid w:val="00E67A3D"/>
    <w:rsid w:val="00E67A9D"/>
    <w:rsid w:val="00E67B31"/>
    <w:rsid w:val="00E67BD8"/>
    <w:rsid w:val="00E67CAB"/>
    <w:rsid w:val="00E67CBD"/>
    <w:rsid w:val="00E67CC0"/>
    <w:rsid w:val="00E67DB4"/>
    <w:rsid w:val="00E67DCA"/>
    <w:rsid w:val="00E67DD5"/>
    <w:rsid w:val="00E67F97"/>
    <w:rsid w:val="00E70032"/>
    <w:rsid w:val="00E70097"/>
    <w:rsid w:val="00E7009E"/>
    <w:rsid w:val="00E70144"/>
    <w:rsid w:val="00E701A6"/>
    <w:rsid w:val="00E70218"/>
    <w:rsid w:val="00E7025B"/>
    <w:rsid w:val="00E7028A"/>
    <w:rsid w:val="00E702F1"/>
    <w:rsid w:val="00E7033D"/>
    <w:rsid w:val="00E70593"/>
    <w:rsid w:val="00E705BE"/>
    <w:rsid w:val="00E70651"/>
    <w:rsid w:val="00E706F8"/>
    <w:rsid w:val="00E70731"/>
    <w:rsid w:val="00E70748"/>
    <w:rsid w:val="00E70791"/>
    <w:rsid w:val="00E707D2"/>
    <w:rsid w:val="00E7091B"/>
    <w:rsid w:val="00E7091D"/>
    <w:rsid w:val="00E7096C"/>
    <w:rsid w:val="00E70973"/>
    <w:rsid w:val="00E70A01"/>
    <w:rsid w:val="00E70A15"/>
    <w:rsid w:val="00E70A22"/>
    <w:rsid w:val="00E70B78"/>
    <w:rsid w:val="00E70B86"/>
    <w:rsid w:val="00E70C05"/>
    <w:rsid w:val="00E70C5E"/>
    <w:rsid w:val="00E70CFE"/>
    <w:rsid w:val="00E70D1A"/>
    <w:rsid w:val="00E70D38"/>
    <w:rsid w:val="00E70D45"/>
    <w:rsid w:val="00E70DB7"/>
    <w:rsid w:val="00E70E00"/>
    <w:rsid w:val="00E70ED0"/>
    <w:rsid w:val="00E70F3C"/>
    <w:rsid w:val="00E70F7A"/>
    <w:rsid w:val="00E70FF7"/>
    <w:rsid w:val="00E710B0"/>
    <w:rsid w:val="00E710E9"/>
    <w:rsid w:val="00E7110A"/>
    <w:rsid w:val="00E71158"/>
    <w:rsid w:val="00E71164"/>
    <w:rsid w:val="00E71188"/>
    <w:rsid w:val="00E711A8"/>
    <w:rsid w:val="00E711B7"/>
    <w:rsid w:val="00E712F4"/>
    <w:rsid w:val="00E71316"/>
    <w:rsid w:val="00E71329"/>
    <w:rsid w:val="00E713E6"/>
    <w:rsid w:val="00E71691"/>
    <w:rsid w:val="00E7171D"/>
    <w:rsid w:val="00E71792"/>
    <w:rsid w:val="00E717BF"/>
    <w:rsid w:val="00E71883"/>
    <w:rsid w:val="00E718FD"/>
    <w:rsid w:val="00E71A1C"/>
    <w:rsid w:val="00E71ACE"/>
    <w:rsid w:val="00E71B6E"/>
    <w:rsid w:val="00E71BD8"/>
    <w:rsid w:val="00E71C18"/>
    <w:rsid w:val="00E71C3C"/>
    <w:rsid w:val="00E71C46"/>
    <w:rsid w:val="00E71C91"/>
    <w:rsid w:val="00E71CC6"/>
    <w:rsid w:val="00E71D33"/>
    <w:rsid w:val="00E71DDF"/>
    <w:rsid w:val="00E71E8C"/>
    <w:rsid w:val="00E71EA8"/>
    <w:rsid w:val="00E71F45"/>
    <w:rsid w:val="00E71F58"/>
    <w:rsid w:val="00E71F6D"/>
    <w:rsid w:val="00E71FF6"/>
    <w:rsid w:val="00E72063"/>
    <w:rsid w:val="00E720C5"/>
    <w:rsid w:val="00E720CE"/>
    <w:rsid w:val="00E72114"/>
    <w:rsid w:val="00E72268"/>
    <w:rsid w:val="00E72473"/>
    <w:rsid w:val="00E72496"/>
    <w:rsid w:val="00E724BB"/>
    <w:rsid w:val="00E724FF"/>
    <w:rsid w:val="00E72537"/>
    <w:rsid w:val="00E7263F"/>
    <w:rsid w:val="00E726E2"/>
    <w:rsid w:val="00E727AC"/>
    <w:rsid w:val="00E7284E"/>
    <w:rsid w:val="00E72898"/>
    <w:rsid w:val="00E728AD"/>
    <w:rsid w:val="00E72990"/>
    <w:rsid w:val="00E729CA"/>
    <w:rsid w:val="00E72A52"/>
    <w:rsid w:val="00E72AFF"/>
    <w:rsid w:val="00E72B39"/>
    <w:rsid w:val="00E72B85"/>
    <w:rsid w:val="00E72BD1"/>
    <w:rsid w:val="00E72DE7"/>
    <w:rsid w:val="00E72E80"/>
    <w:rsid w:val="00E72EB0"/>
    <w:rsid w:val="00E72F00"/>
    <w:rsid w:val="00E7301C"/>
    <w:rsid w:val="00E73026"/>
    <w:rsid w:val="00E73037"/>
    <w:rsid w:val="00E73068"/>
    <w:rsid w:val="00E7308B"/>
    <w:rsid w:val="00E730D6"/>
    <w:rsid w:val="00E730EC"/>
    <w:rsid w:val="00E731B7"/>
    <w:rsid w:val="00E731EF"/>
    <w:rsid w:val="00E731F0"/>
    <w:rsid w:val="00E73209"/>
    <w:rsid w:val="00E732C3"/>
    <w:rsid w:val="00E7339B"/>
    <w:rsid w:val="00E73439"/>
    <w:rsid w:val="00E734E9"/>
    <w:rsid w:val="00E73557"/>
    <w:rsid w:val="00E735CE"/>
    <w:rsid w:val="00E73613"/>
    <w:rsid w:val="00E73696"/>
    <w:rsid w:val="00E736B8"/>
    <w:rsid w:val="00E737A6"/>
    <w:rsid w:val="00E7386F"/>
    <w:rsid w:val="00E73949"/>
    <w:rsid w:val="00E73958"/>
    <w:rsid w:val="00E73BA4"/>
    <w:rsid w:val="00E73BB3"/>
    <w:rsid w:val="00E73C6C"/>
    <w:rsid w:val="00E73CA0"/>
    <w:rsid w:val="00E73D28"/>
    <w:rsid w:val="00E73D52"/>
    <w:rsid w:val="00E73DEE"/>
    <w:rsid w:val="00E73E32"/>
    <w:rsid w:val="00E73EAC"/>
    <w:rsid w:val="00E73EE0"/>
    <w:rsid w:val="00E73F67"/>
    <w:rsid w:val="00E73FE3"/>
    <w:rsid w:val="00E7401C"/>
    <w:rsid w:val="00E74061"/>
    <w:rsid w:val="00E740E2"/>
    <w:rsid w:val="00E741A6"/>
    <w:rsid w:val="00E74319"/>
    <w:rsid w:val="00E74436"/>
    <w:rsid w:val="00E744AD"/>
    <w:rsid w:val="00E7453E"/>
    <w:rsid w:val="00E74559"/>
    <w:rsid w:val="00E745D8"/>
    <w:rsid w:val="00E7462E"/>
    <w:rsid w:val="00E74633"/>
    <w:rsid w:val="00E7468F"/>
    <w:rsid w:val="00E746C9"/>
    <w:rsid w:val="00E74710"/>
    <w:rsid w:val="00E74757"/>
    <w:rsid w:val="00E74767"/>
    <w:rsid w:val="00E747BC"/>
    <w:rsid w:val="00E747F2"/>
    <w:rsid w:val="00E74860"/>
    <w:rsid w:val="00E74882"/>
    <w:rsid w:val="00E74999"/>
    <w:rsid w:val="00E7499E"/>
    <w:rsid w:val="00E749D7"/>
    <w:rsid w:val="00E74A87"/>
    <w:rsid w:val="00E74AB4"/>
    <w:rsid w:val="00E74AD6"/>
    <w:rsid w:val="00E74B14"/>
    <w:rsid w:val="00E74B50"/>
    <w:rsid w:val="00E74BDD"/>
    <w:rsid w:val="00E74C07"/>
    <w:rsid w:val="00E74C74"/>
    <w:rsid w:val="00E74CCD"/>
    <w:rsid w:val="00E74E7F"/>
    <w:rsid w:val="00E74EA3"/>
    <w:rsid w:val="00E74FA6"/>
    <w:rsid w:val="00E75010"/>
    <w:rsid w:val="00E750E1"/>
    <w:rsid w:val="00E75179"/>
    <w:rsid w:val="00E751AB"/>
    <w:rsid w:val="00E7523B"/>
    <w:rsid w:val="00E7523D"/>
    <w:rsid w:val="00E7524A"/>
    <w:rsid w:val="00E752EC"/>
    <w:rsid w:val="00E75310"/>
    <w:rsid w:val="00E75368"/>
    <w:rsid w:val="00E753D3"/>
    <w:rsid w:val="00E753E2"/>
    <w:rsid w:val="00E7557F"/>
    <w:rsid w:val="00E755A4"/>
    <w:rsid w:val="00E755E6"/>
    <w:rsid w:val="00E75781"/>
    <w:rsid w:val="00E757A6"/>
    <w:rsid w:val="00E7585E"/>
    <w:rsid w:val="00E75989"/>
    <w:rsid w:val="00E75ABE"/>
    <w:rsid w:val="00E75B1F"/>
    <w:rsid w:val="00E75B64"/>
    <w:rsid w:val="00E75BCB"/>
    <w:rsid w:val="00E75BF1"/>
    <w:rsid w:val="00E75C43"/>
    <w:rsid w:val="00E75C4B"/>
    <w:rsid w:val="00E75CC1"/>
    <w:rsid w:val="00E75D76"/>
    <w:rsid w:val="00E75DA4"/>
    <w:rsid w:val="00E75E77"/>
    <w:rsid w:val="00E75ED2"/>
    <w:rsid w:val="00E75EF5"/>
    <w:rsid w:val="00E76061"/>
    <w:rsid w:val="00E76088"/>
    <w:rsid w:val="00E76140"/>
    <w:rsid w:val="00E76185"/>
    <w:rsid w:val="00E7619A"/>
    <w:rsid w:val="00E76209"/>
    <w:rsid w:val="00E7620A"/>
    <w:rsid w:val="00E762BF"/>
    <w:rsid w:val="00E76353"/>
    <w:rsid w:val="00E76393"/>
    <w:rsid w:val="00E76547"/>
    <w:rsid w:val="00E765C0"/>
    <w:rsid w:val="00E766CF"/>
    <w:rsid w:val="00E76733"/>
    <w:rsid w:val="00E76783"/>
    <w:rsid w:val="00E7679A"/>
    <w:rsid w:val="00E76838"/>
    <w:rsid w:val="00E768F0"/>
    <w:rsid w:val="00E768F4"/>
    <w:rsid w:val="00E7698A"/>
    <w:rsid w:val="00E769BF"/>
    <w:rsid w:val="00E76AD0"/>
    <w:rsid w:val="00E76B9C"/>
    <w:rsid w:val="00E76C9C"/>
    <w:rsid w:val="00E76CD4"/>
    <w:rsid w:val="00E76E4B"/>
    <w:rsid w:val="00E76E79"/>
    <w:rsid w:val="00E76F34"/>
    <w:rsid w:val="00E76F75"/>
    <w:rsid w:val="00E76FBC"/>
    <w:rsid w:val="00E7704C"/>
    <w:rsid w:val="00E770D3"/>
    <w:rsid w:val="00E77127"/>
    <w:rsid w:val="00E77134"/>
    <w:rsid w:val="00E77193"/>
    <w:rsid w:val="00E7726A"/>
    <w:rsid w:val="00E772DD"/>
    <w:rsid w:val="00E7738A"/>
    <w:rsid w:val="00E774D9"/>
    <w:rsid w:val="00E77574"/>
    <w:rsid w:val="00E77671"/>
    <w:rsid w:val="00E77739"/>
    <w:rsid w:val="00E77755"/>
    <w:rsid w:val="00E77789"/>
    <w:rsid w:val="00E77811"/>
    <w:rsid w:val="00E77879"/>
    <w:rsid w:val="00E77890"/>
    <w:rsid w:val="00E778CD"/>
    <w:rsid w:val="00E77915"/>
    <w:rsid w:val="00E7799B"/>
    <w:rsid w:val="00E779F2"/>
    <w:rsid w:val="00E77AE5"/>
    <w:rsid w:val="00E77AFF"/>
    <w:rsid w:val="00E77B55"/>
    <w:rsid w:val="00E77B5D"/>
    <w:rsid w:val="00E77C47"/>
    <w:rsid w:val="00E77DA4"/>
    <w:rsid w:val="00E77E93"/>
    <w:rsid w:val="00E77EE8"/>
    <w:rsid w:val="00E77EEC"/>
    <w:rsid w:val="00E77F04"/>
    <w:rsid w:val="00E77F79"/>
    <w:rsid w:val="00E77F89"/>
    <w:rsid w:val="00E80161"/>
    <w:rsid w:val="00E8017C"/>
    <w:rsid w:val="00E80245"/>
    <w:rsid w:val="00E8033F"/>
    <w:rsid w:val="00E803E6"/>
    <w:rsid w:val="00E804DF"/>
    <w:rsid w:val="00E80501"/>
    <w:rsid w:val="00E805BE"/>
    <w:rsid w:val="00E80628"/>
    <w:rsid w:val="00E80693"/>
    <w:rsid w:val="00E80752"/>
    <w:rsid w:val="00E8078D"/>
    <w:rsid w:val="00E8095A"/>
    <w:rsid w:val="00E80976"/>
    <w:rsid w:val="00E80A03"/>
    <w:rsid w:val="00E80AF0"/>
    <w:rsid w:val="00E80B4B"/>
    <w:rsid w:val="00E80B69"/>
    <w:rsid w:val="00E80B98"/>
    <w:rsid w:val="00E80BAD"/>
    <w:rsid w:val="00E8100D"/>
    <w:rsid w:val="00E810FD"/>
    <w:rsid w:val="00E81257"/>
    <w:rsid w:val="00E812F1"/>
    <w:rsid w:val="00E8134F"/>
    <w:rsid w:val="00E81359"/>
    <w:rsid w:val="00E8137B"/>
    <w:rsid w:val="00E813A1"/>
    <w:rsid w:val="00E814A2"/>
    <w:rsid w:val="00E814A4"/>
    <w:rsid w:val="00E8150E"/>
    <w:rsid w:val="00E81575"/>
    <w:rsid w:val="00E815A1"/>
    <w:rsid w:val="00E8160D"/>
    <w:rsid w:val="00E819BB"/>
    <w:rsid w:val="00E81A22"/>
    <w:rsid w:val="00E81A33"/>
    <w:rsid w:val="00E81ACD"/>
    <w:rsid w:val="00E81ADC"/>
    <w:rsid w:val="00E81BDB"/>
    <w:rsid w:val="00E81BFC"/>
    <w:rsid w:val="00E81C47"/>
    <w:rsid w:val="00E81CAE"/>
    <w:rsid w:val="00E81CB1"/>
    <w:rsid w:val="00E81D1E"/>
    <w:rsid w:val="00E81D21"/>
    <w:rsid w:val="00E81D78"/>
    <w:rsid w:val="00E81DB3"/>
    <w:rsid w:val="00E81DC3"/>
    <w:rsid w:val="00E81E5A"/>
    <w:rsid w:val="00E81EBE"/>
    <w:rsid w:val="00E81EE8"/>
    <w:rsid w:val="00E81F25"/>
    <w:rsid w:val="00E81F27"/>
    <w:rsid w:val="00E820CB"/>
    <w:rsid w:val="00E820F8"/>
    <w:rsid w:val="00E821F3"/>
    <w:rsid w:val="00E821FA"/>
    <w:rsid w:val="00E82210"/>
    <w:rsid w:val="00E82386"/>
    <w:rsid w:val="00E8240F"/>
    <w:rsid w:val="00E824A4"/>
    <w:rsid w:val="00E824E6"/>
    <w:rsid w:val="00E82544"/>
    <w:rsid w:val="00E825C1"/>
    <w:rsid w:val="00E825F7"/>
    <w:rsid w:val="00E826AB"/>
    <w:rsid w:val="00E8271F"/>
    <w:rsid w:val="00E8276D"/>
    <w:rsid w:val="00E827A1"/>
    <w:rsid w:val="00E8280C"/>
    <w:rsid w:val="00E828CC"/>
    <w:rsid w:val="00E82919"/>
    <w:rsid w:val="00E82961"/>
    <w:rsid w:val="00E8298E"/>
    <w:rsid w:val="00E82992"/>
    <w:rsid w:val="00E82A5B"/>
    <w:rsid w:val="00E82AB8"/>
    <w:rsid w:val="00E82CAF"/>
    <w:rsid w:val="00E82CBD"/>
    <w:rsid w:val="00E82CE9"/>
    <w:rsid w:val="00E82CFD"/>
    <w:rsid w:val="00E82D55"/>
    <w:rsid w:val="00E82DAC"/>
    <w:rsid w:val="00E82EE5"/>
    <w:rsid w:val="00E8301E"/>
    <w:rsid w:val="00E83052"/>
    <w:rsid w:val="00E830F4"/>
    <w:rsid w:val="00E83116"/>
    <w:rsid w:val="00E8318E"/>
    <w:rsid w:val="00E83236"/>
    <w:rsid w:val="00E83271"/>
    <w:rsid w:val="00E832A4"/>
    <w:rsid w:val="00E83414"/>
    <w:rsid w:val="00E83431"/>
    <w:rsid w:val="00E83457"/>
    <w:rsid w:val="00E83582"/>
    <w:rsid w:val="00E8363F"/>
    <w:rsid w:val="00E8384B"/>
    <w:rsid w:val="00E8386E"/>
    <w:rsid w:val="00E8398C"/>
    <w:rsid w:val="00E83C34"/>
    <w:rsid w:val="00E83C71"/>
    <w:rsid w:val="00E83C82"/>
    <w:rsid w:val="00E83CAC"/>
    <w:rsid w:val="00E83D13"/>
    <w:rsid w:val="00E83D3A"/>
    <w:rsid w:val="00E83DA6"/>
    <w:rsid w:val="00E83DD7"/>
    <w:rsid w:val="00E83E18"/>
    <w:rsid w:val="00E83E4C"/>
    <w:rsid w:val="00E83E8D"/>
    <w:rsid w:val="00E83EE2"/>
    <w:rsid w:val="00E83FC2"/>
    <w:rsid w:val="00E83FFD"/>
    <w:rsid w:val="00E84055"/>
    <w:rsid w:val="00E840B6"/>
    <w:rsid w:val="00E84162"/>
    <w:rsid w:val="00E84283"/>
    <w:rsid w:val="00E84365"/>
    <w:rsid w:val="00E8437F"/>
    <w:rsid w:val="00E84392"/>
    <w:rsid w:val="00E8443A"/>
    <w:rsid w:val="00E8447E"/>
    <w:rsid w:val="00E844B4"/>
    <w:rsid w:val="00E844FB"/>
    <w:rsid w:val="00E84561"/>
    <w:rsid w:val="00E84589"/>
    <w:rsid w:val="00E845A4"/>
    <w:rsid w:val="00E8470B"/>
    <w:rsid w:val="00E8472A"/>
    <w:rsid w:val="00E847D4"/>
    <w:rsid w:val="00E8481C"/>
    <w:rsid w:val="00E8487C"/>
    <w:rsid w:val="00E848CF"/>
    <w:rsid w:val="00E848ED"/>
    <w:rsid w:val="00E848FF"/>
    <w:rsid w:val="00E849A9"/>
    <w:rsid w:val="00E84A52"/>
    <w:rsid w:val="00E84BDC"/>
    <w:rsid w:val="00E84D30"/>
    <w:rsid w:val="00E84E27"/>
    <w:rsid w:val="00E84E3B"/>
    <w:rsid w:val="00E84EAD"/>
    <w:rsid w:val="00E84EED"/>
    <w:rsid w:val="00E85014"/>
    <w:rsid w:val="00E85082"/>
    <w:rsid w:val="00E85093"/>
    <w:rsid w:val="00E85129"/>
    <w:rsid w:val="00E851B4"/>
    <w:rsid w:val="00E8535E"/>
    <w:rsid w:val="00E85389"/>
    <w:rsid w:val="00E853AA"/>
    <w:rsid w:val="00E854A2"/>
    <w:rsid w:val="00E854E4"/>
    <w:rsid w:val="00E85507"/>
    <w:rsid w:val="00E85626"/>
    <w:rsid w:val="00E856A9"/>
    <w:rsid w:val="00E85719"/>
    <w:rsid w:val="00E857EA"/>
    <w:rsid w:val="00E857F8"/>
    <w:rsid w:val="00E85906"/>
    <w:rsid w:val="00E85A6D"/>
    <w:rsid w:val="00E85AA3"/>
    <w:rsid w:val="00E85AAD"/>
    <w:rsid w:val="00E85AB2"/>
    <w:rsid w:val="00E85B06"/>
    <w:rsid w:val="00E85B2D"/>
    <w:rsid w:val="00E85B57"/>
    <w:rsid w:val="00E85BB4"/>
    <w:rsid w:val="00E85BE5"/>
    <w:rsid w:val="00E85C1F"/>
    <w:rsid w:val="00E85C30"/>
    <w:rsid w:val="00E85C95"/>
    <w:rsid w:val="00E85CA6"/>
    <w:rsid w:val="00E85F3D"/>
    <w:rsid w:val="00E85FA2"/>
    <w:rsid w:val="00E85FA5"/>
    <w:rsid w:val="00E8603B"/>
    <w:rsid w:val="00E8610B"/>
    <w:rsid w:val="00E861A1"/>
    <w:rsid w:val="00E861F4"/>
    <w:rsid w:val="00E86247"/>
    <w:rsid w:val="00E8625A"/>
    <w:rsid w:val="00E862A6"/>
    <w:rsid w:val="00E862BE"/>
    <w:rsid w:val="00E86332"/>
    <w:rsid w:val="00E86383"/>
    <w:rsid w:val="00E86394"/>
    <w:rsid w:val="00E86424"/>
    <w:rsid w:val="00E864CA"/>
    <w:rsid w:val="00E8651D"/>
    <w:rsid w:val="00E865D7"/>
    <w:rsid w:val="00E8662D"/>
    <w:rsid w:val="00E86664"/>
    <w:rsid w:val="00E86715"/>
    <w:rsid w:val="00E86858"/>
    <w:rsid w:val="00E8694B"/>
    <w:rsid w:val="00E86977"/>
    <w:rsid w:val="00E86AB3"/>
    <w:rsid w:val="00E86B75"/>
    <w:rsid w:val="00E86CCE"/>
    <w:rsid w:val="00E86CCF"/>
    <w:rsid w:val="00E86D47"/>
    <w:rsid w:val="00E86DD8"/>
    <w:rsid w:val="00E86EA9"/>
    <w:rsid w:val="00E86F4F"/>
    <w:rsid w:val="00E86F9E"/>
    <w:rsid w:val="00E8706B"/>
    <w:rsid w:val="00E870E2"/>
    <w:rsid w:val="00E8710C"/>
    <w:rsid w:val="00E8713B"/>
    <w:rsid w:val="00E871A0"/>
    <w:rsid w:val="00E871A5"/>
    <w:rsid w:val="00E87285"/>
    <w:rsid w:val="00E87363"/>
    <w:rsid w:val="00E87389"/>
    <w:rsid w:val="00E87411"/>
    <w:rsid w:val="00E8748F"/>
    <w:rsid w:val="00E874DF"/>
    <w:rsid w:val="00E87530"/>
    <w:rsid w:val="00E8753E"/>
    <w:rsid w:val="00E87573"/>
    <w:rsid w:val="00E875FD"/>
    <w:rsid w:val="00E87610"/>
    <w:rsid w:val="00E87632"/>
    <w:rsid w:val="00E876AF"/>
    <w:rsid w:val="00E876BB"/>
    <w:rsid w:val="00E87708"/>
    <w:rsid w:val="00E877AA"/>
    <w:rsid w:val="00E878B8"/>
    <w:rsid w:val="00E87952"/>
    <w:rsid w:val="00E8795D"/>
    <w:rsid w:val="00E879D5"/>
    <w:rsid w:val="00E87A09"/>
    <w:rsid w:val="00E87B01"/>
    <w:rsid w:val="00E87C60"/>
    <w:rsid w:val="00E87C8D"/>
    <w:rsid w:val="00E87E90"/>
    <w:rsid w:val="00E87ECE"/>
    <w:rsid w:val="00E87FED"/>
    <w:rsid w:val="00E900E3"/>
    <w:rsid w:val="00E90188"/>
    <w:rsid w:val="00E901E8"/>
    <w:rsid w:val="00E90304"/>
    <w:rsid w:val="00E90354"/>
    <w:rsid w:val="00E90373"/>
    <w:rsid w:val="00E90393"/>
    <w:rsid w:val="00E90494"/>
    <w:rsid w:val="00E90495"/>
    <w:rsid w:val="00E905CD"/>
    <w:rsid w:val="00E905D2"/>
    <w:rsid w:val="00E90616"/>
    <w:rsid w:val="00E9075F"/>
    <w:rsid w:val="00E9076A"/>
    <w:rsid w:val="00E907D0"/>
    <w:rsid w:val="00E90817"/>
    <w:rsid w:val="00E908AE"/>
    <w:rsid w:val="00E908E9"/>
    <w:rsid w:val="00E9090F"/>
    <w:rsid w:val="00E90918"/>
    <w:rsid w:val="00E909A2"/>
    <w:rsid w:val="00E90D17"/>
    <w:rsid w:val="00E90D93"/>
    <w:rsid w:val="00E90E3B"/>
    <w:rsid w:val="00E90F0A"/>
    <w:rsid w:val="00E90FD2"/>
    <w:rsid w:val="00E91029"/>
    <w:rsid w:val="00E9102A"/>
    <w:rsid w:val="00E910E3"/>
    <w:rsid w:val="00E9119B"/>
    <w:rsid w:val="00E91267"/>
    <w:rsid w:val="00E912DF"/>
    <w:rsid w:val="00E9134F"/>
    <w:rsid w:val="00E91366"/>
    <w:rsid w:val="00E914AE"/>
    <w:rsid w:val="00E914B3"/>
    <w:rsid w:val="00E914F0"/>
    <w:rsid w:val="00E91641"/>
    <w:rsid w:val="00E916AB"/>
    <w:rsid w:val="00E916AC"/>
    <w:rsid w:val="00E916D4"/>
    <w:rsid w:val="00E916DD"/>
    <w:rsid w:val="00E91745"/>
    <w:rsid w:val="00E917B4"/>
    <w:rsid w:val="00E9189E"/>
    <w:rsid w:val="00E91921"/>
    <w:rsid w:val="00E91933"/>
    <w:rsid w:val="00E91995"/>
    <w:rsid w:val="00E919C6"/>
    <w:rsid w:val="00E91B47"/>
    <w:rsid w:val="00E91B5F"/>
    <w:rsid w:val="00E91C68"/>
    <w:rsid w:val="00E91CAC"/>
    <w:rsid w:val="00E91CF5"/>
    <w:rsid w:val="00E91D8D"/>
    <w:rsid w:val="00E91DA6"/>
    <w:rsid w:val="00E91DE1"/>
    <w:rsid w:val="00E91EA9"/>
    <w:rsid w:val="00E91F09"/>
    <w:rsid w:val="00E91F1A"/>
    <w:rsid w:val="00E91F53"/>
    <w:rsid w:val="00E91F54"/>
    <w:rsid w:val="00E91F74"/>
    <w:rsid w:val="00E91F7B"/>
    <w:rsid w:val="00E91F7D"/>
    <w:rsid w:val="00E92140"/>
    <w:rsid w:val="00E92160"/>
    <w:rsid w:val="00E921E7"/>
    <w:rsid w:val="00E92237"/>
    <w:rsid w:val="00E92268"/>
    <w:rsid w:val="00E922B6"/>
    <w:rsid w:val="00E924DA"/>
    <w:rsid w:val="00E9261F"/>
    <w:rsid w:val="00E9265B"/>
    <w:rsid w:val="00E92712"/>
    <w:rsid w:val="00E927DA"/>
    <w:rsid w:val="00E927E6"/>
    <w:rsid w:val="00E92838"/>
    <w:rsid w:val="00E928D9"/>
    <w:rsid w:val="00E928E6"/>
    <w:rsid w:val="00E9292A"/>
    <w:rsid w:val="00E9293C"/>
    <w:rsid w:val="00E92A35"/>
    <w:rsid w:val="00E92A81"/>
    <w:rsid w:val="00E92B16"/>
    <w:rsid w:val="00E92B45"/>
    <w:rsid w:val="00E92BBC"/>
    <w:rsid w:val="00E92BC7"/>
    <w:rsid w:val="00E92CA5"/>
    <w:rsid w:val="00E92CD6"/>
    <w:rsid w:val="00E92F5B"/>
    <w:rsid w:val="00E92F6C"/>
    <w:rsid w:val="00E92FB1"/>
    <w:rsid w:val="00E92FDD"/>
    <w:rsid w:val="00E9304C"/>
    <w:rsid w:val="00E93057"/>
    <w:rsid w:val="00E9310B"/>
    <w:rsid w:val="00E931AE"/>
    <w:rsid w:val="00E931B5"/>
    <w:rsid w:val="00E931FE"/>
    <w:rsid w:val="00E93238"/>
    <w:rsid w:val="00E933ED"/>
    <w:rsid w:val="00E93452"/>
    <w:rsid w:val="00E93512"/>
    <w:rsid w:val="00E93594"/>
    <w:rsid w:val="00E935DE"/>
    <w:rsid w:val="00E935EF"/>
    <w:rsid w:val="00E93666"/>
    <w:rsid w:val="00E93764"/>
    <w:rsid w:val="00E93800"/>
    <w:rsid w:val="00E93825"/>
    <w:rsid w:val="00E93A50"/>
    <w:rsid w:val="00E93ADA"/>
    <w:rsid w:val="00E93B5E"/>
    <w:rsid w:val="00E93BD8"/>
    <w:rsid w:val="00E93C2B"/>
    <w:rsid w:val="00E93CBE"/>
    <w:rsid w:val="00E93DCA"/>
    <w:rsid w:val="00E93EAC"/>
    <w:rsid w:val="00E93ECE"/>
    <w:rsid w:val="00E93FEA"/>
    <w:rsid w:val="00E94022"/>
    <w:rsid w:val="00E94030"/>
    <w:rsid w:val="00E940A1"/>
    <w:rsid w:val="00E941A1"/>
    <w:rsid w:val="00E942C2"/>
    <w:rsid w:val="00E94307"/>
    <w:rsid w:val="00E9431D"/>
    <w:rsid w:val="00E9439E"/>
    <w:rsid w:val="00E9441E"/>
    <w:rsid w:val="00E94438"/>
    <w:rsid w:val="00E9445D"/>
    <w:rsid w:val="00E944AA"/>
    <w:rsid w:val="00E944B3"/>
    <w:rsid w:val="00E944CC"/>
    <w:rsid w:val="00E94533"/>
    <w:rsid w:val="00E945E1"/>
    <w:rsid w:val="00E94626"/>
    <w:rsid w:val="00E9468F"/>
    <w:rsid w:val="00E94692"/>
    <w:rsid w:val="00E947D3"/>
    <w:rsid w:val="00E947F7"/>
    <w:rsid w:val="00E948D7"/>
    <w:rsid w:val="00E948EE"/>
    <w:rsid w:val="00E9490D"/>
    <w:rsid w:val="00E94A4C"/>
    <w:rsid w:val="00E94AE6"/>
    <w:rsid w:val="00E94B1F"/>
    <w:rsid w:val="00E94B3D"/>
    <w:rsid w:val="00E94B41"/>
    <w:rsid w:val="00E94B76"/>
    <w:rsid w:val="00E94C66"/>
    <w:rsid w:val="00E94CF9"/>
    <w:rsid w:val="00E94D9F"/>
    <w:rsid w:val="00E94DC5"/>
    <w:rsid w:val="00E94E25"/>
    <w:rsid w:val="00E94F9B"/>
    <w:rsid w:val="00E9505C"/>
    <w:rsid w:val="00E950DE"/>
    <w:rsid w:val="00E9510A"/>
    <w:rsid w:val="00E95129"/>
    <w:rsid w:val="00E9519A"/>
    <w:rsid w:val="00E9528F"/>
    <w:rsid w:val="00E9529F"/>
    <w:rsid w:val="00E9532F"/>
    <w:rsid w:val="00E953EB"/>
    <w:rsid w:val="00E9540F"/>
    <w:rsid w:val="00E95443"/>
    <w:rsid w:val="00E95473"/>
    <w:rsid w:val="00E954F9"/>
    <w:rsid w:val="00E95507"/>
    <w:rsid w:val="00E95537"/>
    <w:rsid w:val="00E9558C"/>
    <w:rsid w:val="00E9569C"/>
    <w:rsid w:val="00E957AF"/>
    <w:rsid w:val="00E95824"/>
    <w:rsid w:val="00E958E7"/>
    <w:rsid w:val="00E959CB"/>
    <w:rsid w:val="00E959D2"/>
    <w:rsid w:val="00E95B61"/>
    <w:rsid w:val="00E95C71"/>
    <w:rsid w:val="00E95C81"/>
    <w:rsid w:val="00E95CCA"/>
    <w:rsid w:val="00E95D76"/>
    <w:rsid w:val="00E95DA8"/>
    <w:rsid w:val="00E95E0E"/>
    <w:rsid w:val="00E96026"/>
    <w:rsid w:val="00E9605C"/>
    <w:rsid w:val="00E960AE"/>
    <w:rsid w:val="00E9627A"/>
    <w:rsid w:val="00E962AA"/>
    <w:rsid w:val="00E962E8"/>
    <w:rsid w:val="00E96305"/>
    <w:rsid w:val="00E96346"/>
    <w:rsid w:val="00E96400"/>
    <w:rsid w:val="00E9641D"/>
    <w:rsid w:val="00E9659D"/>
    <w:rsid w:val="00E965D9"/>
    <w:rsid w:val="00E9691A"/>
    <w:rsid w:val="00E96932"/>
    <w:rsid w:val="00E96962"/>
    <w:rsid w:val="00E9698C"/>
    <w:rsid w:val="00E969A7"/>
    <w:rsid w:val="00E969B1"/>
    <w:rsid w:val="00E969C6"/>
    <w:rsid w:val="00E96AE0"/>
    <w:rsid w:val="00E96AE3"/>
    <w:rsid w:val="00E96BC4"/>
    <w:rsid w:val="00E96C39"/>
    <w:rsid w:val="00E96CEA"/>
    <w:rsid w:val="00E96D38"/>
    <w:rsid w:val="00E96D3A"/>
    <w:rsid w:val="00E96D9E"/>
    <w:rsid w:val="00E96E29"/>
    <w:rsid w:val="00E96F1D"/>
    <w:rsid w:val="00E96F2C"/>
    <w:rsid w:val="00E96F80"/>
    <w:rsid w:val="00E97112"/>
    <w:rsid w:val="00E97182"/>
    <w:rsid w:val="00E971DD"/>
    <w:rsid w:val="00E97208"/>
    <w:rsid w:val="00E972A1"/>
    <w:rsid w:val="00E97301"/>
    <w:rsid w:val="00E97307"/>
    <w:rsid w:val="00E97390"/>
    <w:rsid w:val="00E9739A"/>
    <w:rsid w:val="00E973FE"/>
    <w:rsid w:val="00E974D5"/>
    <w:rsid w:val="00E976A5"/>
    <w:rsid w:val="00E976D1"/>
    <w:rsid w:val="00E97702"/>
    <w:rsid w:val="00E97769"/>
    <w:rsid w:val="00E977AB"/>
    <w:rsid w:val="00E97892"/>
    <w:rsid w:val="00E978CF"/>
    <w:rsid w:val="00E97A3F"/>
    <w:rsid w:val="00E97B6C"/>
    <w:rsid w:val="00E97C38"/>
    <w:rsid w:val="00E97C46"/>
    <w:rsid w:val="00E97C5E"/>
    <w:rsid w:val="00E97DAC"/>
    <w:rsid w:val="00E97EFF"/>
    <w:rsid w:val="00E97F31"/>
    <w:rsid w:val="00E97F97"/>
    <w:rsid w:val="00EA000E"/>
    <w:rsid w:val="00EA014F"/>
    <w:rsid w:val="00EA01F2"/>
    <w:rsid w:val="00EA0208"/>
    <w:rsid w:val="00EA024A"/>
    <w:rsid w:val="00EA02A1"/>
    <w:rsid w:val="00EA02D8"/>
    <w:rsid w:val="00EA0301"/>
    <w:rsid w:val="00EA0309"/>
    <w:rsid w:val="00EA030C"/>
    <w:rsid w:val="00EA0382"/>
    <w:rsid w:val="00EA04CE"/>
    <w:rsid w:val="00EA0538"/>
    <w:rsid w:val="00EA053D"/>
    <w:rsid w:val="00EA05FA"/>
    <w:rsid w:val="00EA0614"/>
    <w:rsid w:val="00EA0631"/>
    <w:rsid w:val="00EA0689"/>
    <w:rsid w:val="00EA0692"/>
    <w:rsid w:val="00EA074B"/>
    <w:rsid w:val="00EA07C4"/>
    <w:rsid w:val="00EA08DC"/>
    <w:rsid w:val="00EA08E3"/>
    <w:rsid w:val="00EA09F2"/>
    <w:rsid w:val="00EA0B03"/>
    <w:rsid w:val="00EA0B98"/>
    <w:rsid w:val="00EA0BEB"/>
    <w:rsid w:val="00EA0D3F"/>
    <w:rsid w:val="00EA0E68"/>
    <w:rsid w:val="00EA0FA4"/>
    <w:rsid w:val="00EA100E"/>
    <w:rsid w:val="00EA11B7"/>
    <w:rsid w:val="00EA11DE"/>
    <w:rsid w:val="00EA1250"/>
    <w:rsid w:val="00EA126E"/>
    <w:rsid w:val="00EA127F"/>
    <w:rsid w:val="00EA12B2"/>
    <w:rsid w:val="00EA12B7"/>
    <w:rsid w:val="00EA1333"/>
    <w:rsid w:val="00EA1361"/>
    <w:rsid w:val="00EA13AC"/>
    <w:rsid w:val="00EA13F6"/>
    <w:rsid w:val="00EA1567"/>
    <w:rsid w:val="00EA1596"/>
    <w:rsid w:val="00EA15BA"/>
    <w:rsid w:val="00EA1642"/>
    <w:rsid w:val="00EA1660"/>
    <w:rsid w:val="00EA166B"/>
    <w:rsid w:val="00EA167E"/>
    <w:rsid w:val="00EA16CA"/>
    <w:rsid w:val="00EA16DE"/>
    <w:rsid w:val="00EA1837"/>
    <w:rsid w:val="00EA1899"/>
    <w:rsid w:val="00EA18FF"/>
    <w:rsid w:val="00EA19E1"/>
    <w:rsid w:val="00EA1AC8"/>
    <w:rsid w:val="00EA1C4A"/>
    <w:rsid w:val="00EA1C66"/>
    <w:rsid w:val="00EA1D61"/>
    <w:rsid w:val="00EA1E10"/>
    <w:rsid w:val="00EA1E1A"/>
    <w:rsid w:val="00EA1E24"/>
    <w:rsid w:val="00EA1E58"/>
    <w:rsid w:val="00EA1F0A"/>
    <w:rsid w:val="00EA1F2A"/>
    <w:rsid w:val="00EA1F8B"/>
    <w:rsid w:val="00EA2155"/>
    <w:rsid w:val="00EA2174"/>
    <w:rsid w:val="00EA218B"/>
    <w:rsid w:val="00EA2232"/>
    <w:rsid w:val="00EA22BC"/>
    <w:rsid w:val="00EA22D1"/>
    <w:rsid w:val="00EA234F"/>
    <w:rsid w:val="00EA23F0"/>
    <w:rsid w:val="00EA2406"/>
    <w:rsid w:val="00EA244A"/>
    <w:rsid w:val="00EA24C5"/>
    <w:rsid w:val="00EA24F3"/>
    <w:rsid w:val="00EA24F6"/>
    <w:rsid w:val="00EA2549"/>
    <w:rsid w:val="00EA254C"/>
    <w:rsid w:val="00EA2551"/>
    <w:rsid w:val="00EA25B4"/>
    <w:rsid w:val="00EA25BE"/>
    <w:rsid w:val="00EA27E5"/>
    <w:rsid w:val="00EA2865"/>
    <w:rsid w:val="00EA28C6"/>
    <w:rsid w:val="00EA2925"/>
    <w:rsid w:val="00EA29CA"/>
    <w:rsid w:val="00EA29F4"/>
    <w:rsid w:val="00EA2A60"/>
    <w:rsid w:val="00EA2B07"/>
    <w:rsid w:val="00EA2B76"/>
    <w:rsid w:val="00EA2B88"/>
    <w:rsid w:val="00EA2BDC"/>
    <w:rsid w:val="00EA2C81"/>
    <w:rsid w:val="00EA2D9D"/>
    <w:rsid w:val="00EA2DD7"/>
    <w:rsid w:val="00EA2E89"/>
    <w:rsid w:val="00EA2EF1"/>
    <w:rsid w:val="00EA2F44"/>
    <w:rsid w:val="00EA2FC3"/>
    <w:rsid w:val="00EA2FF8"/>
    <w:rsid w:val="00EA3073"/>
    <w:rsid w:val="00EA308F"/>
    <w:rsid w:val="00EA30AA"/>
    <w:rsid w:val="00EA3186"/>
    <w:rsid w:val="00EA31DF"/>
    <w:rsid w:val="00EA3294"/>
    <w:rsid w:val="00EA3352"/>
    <w:rsid w:val="00EA33B7"/>
    <w:rsid w:val="00EA34B2"/>
    <w:rsid w:val="00EA34C2"/>
    <w:rsid w:val="00EA356A"/>
    <w:rsid w:val="00EA378C"/>
    <w:rsid w:val="00EA378F"/>
    <w:rsid w:val="00EA37B0"/>
    <w:rsid w:val="00EA37CA"/>
    <w:rsid w:val="00EA37E6"/>
    <w:rsid w:val="00EA37ED"/>
    <w:rsid w:val="00EA382C"/>
    <w:rsid w:val="00EA38F3"/>
    <w:rsid w:val="00EA38F7"/>
    <w:rsid w:val="00EA3A9A"/>
    <w:rsid w:val="00EA3B22"/>
    <w:rsid w:val="00EA3B69"/>
    <w:rsid w:val="00EA3C14"/>
    <w:rsid w:val="00EA3C21"/>
    <w:rsid w:val="00EA3CC9"/>
    <w:rsid w:val="00EA3DE1"/>
    <w:rsid w:val="00EA3E1D"/>
    <w:rsid w:val="00EA3E3F"/>
    <w:rsid w:val="00EA3F1F"/>
    <w:rsid w:val="00EA3F3D"/>
    <w:rsid w:val="00EA3F71"/>
    <w:rsid w:val="00EA3FAF"/>
    <w:rsid w:val="00EA406F"/>
    <w:rsid w:val="00EA411C"/>
    <w:rsid w:val="00EA420D"/>
    <w:rsid w:val="00EA431B"/>
    <w:rsid w:val="00EA44FA"/>
    <w:rsid w:val="00EA465E"/>
    <w:rsid w:val="00EA4696"/>
    <w:rsid w:val="00EA46BB"/>
    <w:rsid w:val="00EA4735"/>
    <w:rsid w:val="00EA477B"/>
    <w:rsid w:val="00EA47A7"/>
    <w:rsid w:val="00EA47DE"/>
    <w:rsid w:val="00EA486D"/>
    <w:rsid w:val="00EA4923"/>
    <w:rsid w:val="00EA4990"/>
    <w:rsid w:val="00EA4995"/>
    <w:rsid w:val="00EA49C3"/>
    <w:rsid w:val="00EA4AD9"/>
    <w:rsid w:val="00EA4C8C"/>
    <w:rsid w:val="00EA4D79"/>
    <w:rsid w:val="00EA4D89"/>
    <w:rsid w:val="00EA4DD6"/>
    <w:rsid w:val="00EA4E33"/>
    <w:rsid w:val="00EA4EAF"/>
    <w:rsid w:val="00EA4F01"/>
    <w:rsid w:val="00EA4F94"/>
    <w:rsid w:val="00EA512D"/>
    <w:rsid w:val="00EA5130"/>
    <w:rsid w:val="00EA516A"/>
    <w:rsid w:val="00EA5348"/>
    <w:rsid w:val="00EA5376"/>
    <w:rsid w:val="00EA548B"/>
    <w:rsid w:val="00EA54E1"/>
    <w:rsid w:val="00EA5569"/>
    <w:rsid w:val="00EA55FB"/>
    <w:rsid w:val="00EA56D3"/>
    <w:rsid w:val="00EA589D"/>
    <w:rsid w:val="00EA58C5"/>
    <w:rsid w:val="00EA58DB"/>
    <w:rsid w:val="00EA5927"/>
    <w:rsid w:val="00EA5946"/>
    <w:rsid w:val="00EA5991"/>
    <w:rsid w:val="00EA59AE"/>
    <w:rsid w:val="00EA59D6"/>
    <w:rsid w:val="00EA5A1C"/>
    <w:rsid w:val="00EA5A2E"/>
    <w:rsid w:val="00EA5A82"/>
    <w:rsid w:val="00EA5C56"/>
    <w:rsid w:val="00EA5C69"/>
    <w:rsid w:val="00EA5CA2"/>
    <w:rsid w:val="00EA5CE9"/>
    <w:rsid w:val="00EA5D3B"/>
    <w:rsid w:val="00EA5D61"/>
    <w:rsid w:val="00EA5D74"/>
    <w:rsid w:val="00EA5E40"/>
    <w:rsid w:val="00EA62C5"/>
    <w:rsid w:val="00EA62FC"/>
    <w:rsid w:val="00EA635A"/>
    <w:rsid w:val="00EA6369"/>
    <w:rsid w:val="00EA6507"/>
    <w:rsid w:val="00EA65A4"/>
    <w:rsid w:val="00EA65ED"/>
    <w:rsid w:val="00EA67E8"/>
    <w:rsid w:val="00EA6820"/>
    <w:rsid w:val="00EA68F2"/>
    <w:rsid w:val="00EA6987"/>
    <w:rsid w:val="00EA698F"/>
    <w:rsid w:val="00EA69B6"/>
    <w:rsid w:val="00EA6A13"/>
    <w:rsid w:val="00EA6A4E"/>
    <w:rsid w:val="00EA6A55"/>
    <w:rsid w:val="00EA6A59"/>
    <w:rsid w:val="00EA6AEC"/>
    <w:rsid w:val="00EA6B35"/>
    <w:rsid w:val="00EA6B6F"/>
    <w:rsid w:val="00EA6CE0"/>
    <w:rsid w:val="00EA6D0E"/>
    <w:rsid w:val="00EA6D41"/>
    <w:rsid w:val="00EA6E01"/>
    <w:rsid w:val="00EA6F9D"/>
    <w:rsid w:val="00EA6FA3"/>
    <w:rsid w:val="00EA6FE6"/>
    <w:rsid w:val="00EA7075"/>
    <w:rsid w:val="00EA70AB"/>
    <w:rsid w:val="00EA7155"/>
    <w:rsid w:val="00EA716B"/>
    <w:rsid w:val="00EA71BD"/>
    <w:rsid w:val="00EA71C0"/>
    <w:rsid w:val="00EA7238"/>
    <w:rsid w:val="00EA7243"/>
    <w:rsid w:val="00EA72D1"/>
    <w:rsid w:val="00EA742C"/>
    <w:rsid w:val="00EA7486"/>
    <w:rsid w:val="00EA74C3"/>
    <w:rsid w:val="00EA7555"/>
    <w:rsid w:val="00EA7619"/>
    <w:rsid w:val="00EA76FF"/>
    <w:rsid w:val="00EA774F"/>
    <w:rsid w:val="00EA7777"/>
    <w:rsid w:val="00EA7894"/>
    <w:rsid w:val="00EA7A49"/>
    <w:rsid w:val="00EA7AE9"/>
    <w:rsid w:val="00EA7B0A"/>
    <w:rsid w:val="00EA7B3A"/>
    <w:rsid w:val="00EA7C2D"/>
    <w:rsid w:val="00EA7C62"/>
    <w:rsid w:val="00EA7D22"/>
    <w:rsid w:val="00EA7D56"/>
    <w:rsid w:val="00EA7D59"/>
    <w:rsid w:val="00EA7DDE"/>
    <w:rsid w:val="00EA7F12"/>
    <w:rsid w:val="00EA7F18"/>
    <w:rsid w:val="00EA7F2C"/>
    <w:rsid w:val="00EA7F4D"/>
    <w:rsid w:val="00EA7FBE"/>
    <w:rsid w:val="00EA7FE0"/>
    <w:rsid w:val="00EB0049"/>
    <w:rsid w:val="00EB014D"/>
    <w:rsid w:val="00EB01A2"/>
    <w:rsid w:val="00EB01B5"/>
    <w:rsid w:val="00EB0296"/>
    <w:rsid w:val="00EB038D"/>
    <w:rsid w:val="00EB03BD"/>
    <w:rsid w:val="00EB0403"/>
    <w:rsid w:val="00EB040F"/>
    <w:rsid w:val="00EB04A1"/>
    <w:rsid w:val="00EB04C0"/>
    <w:rsid w:val="00EB04FD"/>
    <w:rsid w:val="00EB053C"/>
    <w:rsid w:val="00EB06AD"/>
    <w:rsid w:val="00EB06D1"/>
    <w:rsid w:val="00EB0784"/>
    <w:rsid w:val="00EB083A"/>
    <w:rsid w:val="00EB0890"/>
    <w:rsid w:val="00EB0894"/>
    <w:rsid w:val="00EB08B2"/>
    <w:rsid w:val="00EB08EF"/>
    <w:rsid w:val="00EB095B"/>
    <w:rsid w:val="00EB09FC"/>
    <w:rsid w:val="00EB0A94"/>
    <w:rsid w:val="00EB0B52"/>
    <w:rsid w:val="00EB0C79"/>
    <w:rsid w:val="00EB0CF2"/>
    <w:rsid w:val="00EB0D20"/>
    <w:rsid w:val="00EB0E36"/>
    <w:rsid w:val="00EB0EC5"/>
    <w:rsid w:val="00EB0F52"/>
    <w:rsid w:val="00EB1045"/>
    <w:rsid w:val="00EB10C7"/>
    <w:rsid w:val="00EB10EB"/>
    <w:rsid w:val="00EB10F9"/>
    <w:rsid w:val="00EB115A"/>
    <w:rsid w:val="00EB11DE"/>
    <w:rsid w:val="00EB1259"/>
    <w:rsid w:val="00EB1265"/>
    <w:rsid w:val="00EB12C6"/>
    <w:rsid w:val="00EB1395"/>
    <w:rsid w:val="00EB13F2"/>
    <w:rsid w:val="00EB1408"/>
    <w:rsid w:val="00EB1525"/>
    <w:rsid w:val="00EB1536"/>
    <w:rsid w:val="00EB1569"/>
    <w:rsid w:val="00EB1575"/>
    <w:rsid w:val="00EB16F9"/>
    <w:rsid w:val="00EB17DC"/>
    <w:rsid w:val="00EB182E"/>
    <w:rsid w:val="00EB189A"/>
    <w:rsid w:val="00EB18CA"/>
    <w:rsid w:val="00EB1A20"/>
    <w:rsid w:val="00EB1AA3"/>
    <w:rsid w:val="00EB1B1B"/>
    <w:rsid w:val="00EB1B87"/>
    <w:rsid w:val="00EB1BF3"/>
    <w:rsid w:val="00EB1C77"/>
    <w:rsid w:val="00EB1CC1"/>
    <w:rsid w:val="00EB1D1E"/>
    <w:rsid w:val="00EB1D21"/>
    <w:rsid w:val="00EB1F05"/>
    <w:rsid w:val="00EB1F9E"/>
    <w:rsid w:val="00EB208C"/>
    <w:rsid w:val="00EB20F7"/>
    <w:rsid w:val="00EB20FA"/>
    <w:rsid w:val="00EB21D6"/>
    <w:rsid w:val="00EB2278"/>
    <w:rsid w:val="00EB22C8"/>
    <w:rsid w:val="00EB2382"/>
    <w:rsid w:val="00EB2389"/>
    <w:rsid w:val="00EB2486"/>
    <w:rsid w:val="00EB24B1"/>
    <w:rsid w:val="00EB24D8"/>
    <w:rsid w:val="00EB2591"/>
    <w:rsid w:val="00EB2749"/>
    <w:rsid w:val="00EB27AD"/>
    <w:rsid w:val="00EB27B9"/>
    <w:rsid w:val="00EB27CD"/>
    <w:rsid w:val="00EB27F8"/>
    <w:rsid w:val="00EB2851"/>
    <w:rsid w:val="00EB285A"/>
    <w:rsid w:val="00EB286B"/>
    <w:rsid w:val="00EB287D"/>
    <w:rsid w:val="00EB2923"/>
    <w:rsid w:val="00EB292D"/>
    <w:rsid w:val="00EB2942"/>
    <w:rsid w:val="00EB298F"/>
    <w:rsid w:val="00EB2A2C"/>
    <w:rsid w:val="00EB2A69"/>
    <w:rsid w:val="00EB2B42"/>
    <w:rsid w:val="00EB2B70"/>
    <w:rsid w:val="00EB2C20"/>
    <w:rsid w:val="00EB2C22"/>
    <w:rsid w:val="00EB2C40"/>
    <w:rsid w:val="00EB2C63"/>
    <w:rsid w:val="00EB2CBE"/>
    <w:rsid w:val="00EB2CD1"/>
    <w:rsid w:val="00EB2D59"/>
    <w:rsid w:val="00EB2D5E"/>
    <w:rsid w:val="00EB2D61"/>
    <w:rsid w:val="00EB2DAC"/>
    <w:rsid w:val="00EB2DAF"/>
    <w:rsid w:val="00EB2E19"/>
    <w:rsid w:val="00EB2F5D"/>
    <w:rsid w:val="00EB2F91"/>
    <w:rsid w:val="00EB2FE1"/>
    <w:rsid w:val="00EB300B"/>
    <w:rsid w:val="00EB3011"/>
    <w:rsid w:val="00EB3031"/>
    <w:rsid w:val="00EB3062"/>
    <w:rsid w:val="00EB309A"/>
    <w:rsid w:val="00EB3176"/>
    <w:rsid w:val="00EB31E9"/>
    <w:rsid w:val="00EB3205"/>
    <w:rsid w:val="00EB322A"/>
    <w:rsid w:val="00EB324B"/>
    <w:rsid w:val="00EB3268"/>
    <w:rsid w:val="00EB3299"/>
    <w:rsid w:val="00EB32C9"/>
    <w:rsid w:val="00EB330F"/>
    <w:rsid w:val="00EB3339"/>
    <w:rsid w:val="00EB333D"/>
    <w:rsid w:val="00EB33A4"/>
    <w:rsid w:val="00EB33EA"/>
    <w:rsid w:val="00EB341C"/>
    <w:rsid w:val="00EB3442"/>
    <w:rsid w:val="00EB346E"/>
    <w:rsid w:val="00EB348C"/>
    <w:rsid w:val="00EB34AF"/>
    <w:rsid w:val="00EB34CB"/>
    <w:rsid w:val="00EB3562"/>
    <w:rsid w:val="00EB359D"/>
    <w:rsid w:val="00EB35E2"/>
    <w:rsid w:val="00EB369E"/>
    <w:rsid w:val="00EB36C7"/>
    <w:rsid w:val="00EB37A2"/>
    <w:rsid w:val="00EB37AC"/>
    <w:rsid w:val="00EB3923"/>
    <w:rsid w:val="00EB3964"/>
    <w:rsid w:val="00EB398F"/>
    <w:rsid w:val="00EB39D2"/>
    <w:rsid w:val="00EB3A85"/>
    <w:rsid w:val="00EB3AB4"/>
    <w:rsid w:val="00EB3ACB"/>
    <w:rsid w:val="00EB3AEC"/>
    <w:rsid w:val="00EB3B47"/>
    <w:rsid w:val="00EB3BE6"/>
    <w:rsid w:val="00EB3C56"/>
    <w:rsid w:val="00EB3C84"/>
    <w:rsid w:val="00EB3CD8"/>
    <w:rsid w:val="00EB3F11"/>
    <w:rsid w:val="00EB4103"/>
    <w:rsid w:val="00EB4133"/>
    <w:rsid w:val="00EB437C"/>
    <w:rsid w:val="00EB4446"/>
    <w:rsid w:val="00EB4450"/>
    <w:rsid w:val="00EB445A"/>
    <w:rsid w:val="00EB45AB"/>
    <w:rsid w:val="00EB45CE"/>
    <w:rsid w:val="00EB4654"/>
    <w:rsid w:val="00EB471A"/>
    <w:rsid w:val="00EB4794"/>
    <w:rsid w:val="00EB47CB"/>
    <w:rsid w:val="00EB480E"/>
    <w:rsid w:val="00EB4941"/>
    <w:rsid w:val="00EB49E3"/>
    <w:rsid w:val="00EB4A2E"/>
    <w:rsid w:val="00EB4A4C"/>
    <w:rsid w:val="00EB4A82"/>
    <w:rsid w:val="00EB4A8B"/>
    <w:rsid w:val="00EB4AA4"/>
    <w:rsid w:val="00EB4C02"/>
    <w:rsid w:val="00EB4C2A"/>
    <w:rsid w:val="00EB4C46"/>
    <w:rsid w:val="00EB4C50"/>
    <w:rsid w:val="00EB4D2B"/>
    <w:rsid w:val="00EB4D56"/>
    <w:rsid w:val="00EB4DCD"/>
    <w:rsid w:val="00EB4E26"/>
    <w:rsid w:val="00EB4E8B"/>
    <w:rsid w:val="00EB4E96"/>
    <w:rsid w:val="00EB4F2E"/>
    <w:rsid w:val="00EB4FBF"/>
    <w:rsid w:val="00EB4FCB"/>
    <w:rsid w:val="00EB5060"/>
    <w:rsid w:val="00EB5079"/>
    <w:rsid w:val="00EB509A"/>
    <w:rsid w:val="00EB50A1"/>
    <w:rsid w:val="00EB50F5"/>
    <w:rsid w:val="00EB50FD"/>
    <w:rsid w:val="00EB5116"/>
    <w:rsid w:val="00EB51B0"/>
    <w:rsid w:val="00EB528B"/>
    <w:rsid w:val="00EB52A8"/>
    <w:rsid w:val="00EB5329"/>
    <w:rsid w:val="00EB53F1"/>
    <w:rsid w:val="00EB54AC"/>
    <w:rsid w:val="00EB54B8"/>
    <w:rsid w:val="00EB5563"/>
    <w:rsid w:val="00EB5612"/>
    <w:rsid w:val="00EB56A5"/>
    <w:rsid w:val="00EB56E1"/>
    <w:rsid w:val="00EB57C1"/>
    <w:rsid w:val="00EB58EC"/>
    <w:rsid w:val="00EB5955"/>
    <w:rsid w:val="00EB599C"/>
    <w:rsid w:val="00EB59A2"/>
    <w:rsid w:val="00EB5A2D"/>
    <w:rsid w:val="00EB5AD1"/>
    <w:rsid w:val="00EB5AD6"/>
    <w:rsid w:val="00EB5B89"/>
    <w:rsid w:val="00EB5C77"/>
    <w:rsid w:val="00EB5C80"/>
    <w:rsid w:val="00EB5C9A"/>
    <w:rsid w:val="00EB5CB9"/>
    <w:rsid w:val="00EB5D28"/>
    <w:rsid w:val="00EB5D49"/>
    <w:rsid w:val="00EB5D85"/>
    <w:rsid w:val="00EB5DFF"/>
    <w:rsid w:val="00EB5E3D"/>
    <w:rsid w:val="00EB6056"/>
    <w:rsid w:val="00EB60FE"/>
    <w:rsid w:val="00EB6114"/>
    <w:rsid w:val="00EB6123"/>
    <w:rsid w:val="00EB6276"/>
    <w:rsid w:val="00EB627F"/>
    <w:rsid w:val="00EB62B9"/>
    <w:rsid w:val="00EB62D4"/>
    <w:rsid w:val="00EB6322"/>
    <w:rsid w:val="00EB6331"/>
    <w:rsid w:val="00EB6410"/>
    <w:rsid w:val="00EB64B7"/>
    <w:rsid w:val="00EB6552"/>
    <w:rsid w:val="00EB6562"/>
    <w:rsid w:val="00EB6564"/>
    <w:rsid w:val="00EB65B0"/>
    <w:rsid w:val="00EB6609"/>
    <w:rsid w:val="00EB6614"/>
    <w:rsid w:val="00EB6646"/>
    <w:rsid w:val="00EB665A"/>
    <w:rsid w:val="00EB66C0"/>
    <w:rsid w:val="00EB66E9"/>
    <w:rsid w:val="00EB6835"/>
    <w:rsid w:val="00EB687E"/>
    <w:rsid w:val="00EB6881"/>
    <w:rsid w:val="00EB68E7"/>
    <w:rsid w:val="00EB69E4"/>
    <w:rsid w:val="00EB6AAC"/>
    <w:rsid w:val="00EB6BDB"/>
    <w:rsid w:val="00EB6CBA"/>
    <w:rsid w:val="00EB6DA8"/>
    <w:rsid w:val="00EB6F37"/>
    <w:rsid w:val="00EB6F4F"/>
    <w:rsid w:val="00EB6F5E"/>
    <w:rsid w:val="00EB6F7E"/>
    <w:rsid w:val="00EB701E"/>
    <w:rsid w:val="00EB71C0"/>
    <w:rsid w:val="00EB71F0"/>
    <w:rsid w:val="00EB7204"/>
    <w:rsid w:val="00EB722B"/>
    <w:rsid w:val="00EB72C6"/>
    <w:rsid w:val="00EB7370"/>
    <w:rsid w:val="00EB749F"/>
    <w:rsid w:val="00EB74E0"/>
    <w:rsid w:val="00EB7573"/>
    <w:rsid w:val="00EB75A4"/>
    <w:rsid w:val="00EB7754"/>
    <w:rsid w:val="00EB77A4"/>
    <w:rsid w:val="00EB77C2"/>
    <w:rsid w:val="00EB77E2"/>
    <w:rsid w:val="00EB7800"/>
    <w:rsid w:val="00EB7826"/>
    <w:rsid w:val="00EB7884"/>
    <w:rsid w:val="00EB7886"/>
    <w:rsid w:val="00EB79F0"/>
    <w:rsid w:val="00EB7AD5"/>
    <w:rsid w:val="00EB7B49"/>
    <w:rsid w:val="00EB7C9D"/>
    <w:rsid w:val="00EB7DB5"/>
    <w:rsid w:val="00EB7DE1"/>
    <w:rsid w:val="00EB7EA8"/>
    <w:rsid w:val="00EB7EF6"/>
    <w:rsid w:val="00EB7FAB"/>
    <w:rsid w:val="00EC0022"/>
    <w:rsid w:val="00EC004B"/>
    <w:rsid w:val="00EC0085"/>
    <w:rsid w:val="00EC00C3"/>
    <w:rsid w:val="00EC012D"/>
    <w:rsid w:val="00EC01AC"/>
    <w:rsid w:val="00EC0264"/>
    <w:rsid w:val="00EC02D8"/>
    <w:rsid w:val="00EC03EE"/>
    <w:rsid w:val="00EC042E"/>
    <w:rsid w:val="00EC057B"/>
    <w:rsid w:val="00EC05A5"/>
    <w:rsid w:val="00EC05B7"/>
    <w:rsid w:val="00EC06A0"/>
    <w:rsid w:val="00EC06D5"/>
    <w:rsid w:val="00EC06FA"/>
    <w:rsid w:val="00EC07D7"/>
    <w:rsid w:val="00EC07DC"/>
    <w:rsid w:val="00EC08B6"/>
    <w:rsid w:val="00EC0939"/>
    <w:rsid w:val="00EC09F1"/>
    <w:rsid w:val="00EC0A02"/>
    <w:rsid w:val="00EC0A03"/>
    <w:rsid w:val="00EC0AB3"/>
    <w:rsid w:val="00EC0B77"/>
    <w:rsid w:val="00EC0B79"/>
    <w:rsid w:val="00EC0B85"/>
    <w:rsid w:val="00EC0DE5"/>
    <w:rsid w:val="00EC0EBD"/>
    <w:rsid w:val="00EC0F11"/>
    <w:rsid w:val="00EC0FDF"/>
    <w:rsid w:val="00EC0FEF"/>
    <w:rsid w:val="00EC104C"/>
    <w:rsid w:val="00EC1125"/>
    <w:rsid w:val="00EC1264"/>
    <w:rsid w:val="00EC12F5"/>
    <w:rsid w:val="00EC1348"/>
    <w:rsid w:val="00EC15E4"/>
    <w:rsid w:val="00EC1621"/>
    <w:rsid w:val="00EC1712"/>
    <w:rsid w:val="00EC1793"/>
    <w:rsid w:val="00EC17D8"/>
    <w:rsid w:val="00EC1868"/>
    <w:rsid w:val="00EC18E6"/>
    <w:rsid w:val="00EC190B"/>
    <w:rsid w:val="00EC1914"/>
    <w:rsid w:val="00EC1984"/>
    <w:rsid w:val="00EC19E3"/>
    <w:rsid w:val="00EC1A84"/>
    <w:rsid w:val="00EC1A93"/>
    <w:rsid w:val="00EC1AA6"/>
    <w:rsid w:val="00EC1BDE"/>
    <w:rsid w:val="00EC1C16"/>
    <w:rsid w:val="00EC1C44"/>
    <w:rsid w:val="00EC1CDE"/>
    <w:rsid w:val="00EC1D88"/>
    <w:rsid w:val="00EC1D9D"/>
    <w:rsid w:val="00EC1DD6"/>
    <w:rsid w:val="00EC1E44"/>
    <w:rsid w:val="00EC1F2B"/>
    <w:rsid w:val="00EC1FA5"/>
    <w:rsid w:val="00EC1FC0"/>
    <w:rsid w:val="00EC208C"/>
    <w:rsid w:val="00EC209C"/>
    <w:rsid w:val="00EC20C9"/>
    <w:rsid w:val="00EC2118"/>
    <w:rsid w:val="00EC21F5"/>
    <w:rsid w:val="00EC21FF"/>
    <w:rsid w:val="00EC22B3"/>
    <w:rsid w:val="00EC22D6"/>
    <w:rsid w:val="00EC22D7"/>
    <w:rsid w:val="00EC2313"/>
    <w:rsid w:val="00EC234C"/>
    <w:rsid w:val="00EC23D5"/>
    <w:rsid w:val="00EC243B"/>
    <w:rsid w:val="00EC246D"/>
    <w:rsid w:val="00EC2471"/>
    <w:rsid w:val="00EC252B"/>
    <w:rsid w:val="00EC25A6"/>
    <w:rsid w:val="00EC2603"/>
    <w:rsid w:val="00EC264D"/>
    <w:rsid w:val="00EC2680"/>
    <w:rsid w:val="00EC26A4"/>
    <w:rsid w:val="00EC273F"/>
    <w:rsid w:val="00EC27AC"/>
    <w:rsid w:val="00EC27D9"/>
    <w:rsid w:val="00EC2951"/>
    <w:rsid w:val="00EC2996"/>
    <w:rsid w:val="00EC2A75"/>
    <w:rsid w:val="00EC2A8B"/>
    <w:rsid w:val="00EC2AE9"/>
    <w:rsid w:val="00EC2B2E"/>
    <w:rsid w:val="00EC2BA9"/>
    <w:rsid w:val="00EC2BB8"/>
    <w:rsid w:val="00EC2C2B"/>
    <w:rsid w:val="00EC2C61"/>
    <w:rsid w:val="00EC2CE8"/>
    <w:rsid w:val="00EC2D69"/>
    <w:rsid w:val="00EC2E99"/>
    <w:rsid w:val="00EC2F0B"/>
    <w:rsid w:val="00EC2F50"/>
    <w:rsid w:val="00EC2FD5"/>
    <w:rsid w:val="00EC3029"/>
    <w:rsid w:val="00EC3052"/>
    <w:rsid w:val="00EC3061"/>
    <w:rsid w:val="00EC30A8"/>
    <w:rsid w:val="00EC3150"/>
    <w:rsid w:val="00EC33AD"/>
    <w:rsid w:val="00EC3425"/>
    <w:rsid w:val="00EC34A5"/>
    <w:rsid w:val="00EC34B1"/>
    <w:rsid w:val="00EC356B"/>
    <w:rsid w:val="00EC3599"/>
    <w:rsid w:val="00EC3613"/>
    <w:rsid w:val="00EC368A"/>
    <w:rsid w:val="00EC36ED"/>
    <w:rsid w:val="00EC36EE"/>
    <w:rsid w:val="00EC3779"/>
    <w:rsid w:val="00EC387D"/>
    <w:rsid w:val="00EC38E8"/>
    <w:rsid w:val="00EC397C"/>
    <w:rsid w:val="00EC3A3C"/>
    <w:rsid w:val="00EC3A6C"/>
    <w:rsid w:val="00EC3A80"/>
    <w:rsid w:val="00EC3A8C"/>
    <w:rsid w:val="00EC3ABE"/>
    <w:rsid w:val="00EC3AC9"/>
    <w:rsid w:val="00EC3CF1"/>
    <w:rsid w:val="00EC3D38"/>
    <w:rsid w:val="00EC3E45"/>
    <w:rsid w:val="00EC3E89"/>
    <w:rsid w:val="00EC3EA0"/>
    <w:rsid w:val="00EC3EE4"/>
    <w:rsid w:val="00EC3F02"/>
    <w:rsid w:val="00EC3F5A"/>
    <w:rsid w:val="00EC4008"/>
    <w:rsid w:val="00EC403A"/>
    <w:rsid w:val="00EC4045"/>
    <w:rsid w:val="00EC4137"/>
    <w:rsid w:val="00EC4262"/>
    <w:rsid w:val="00EC427B"/>
    <w:rsid w:val="00EC4368"/>
    <w:rsid w:val="00EC44F9"/>
    <w:rsid w:val="00EC4544"/>
    <w:rsid w:val="00EC45BF"/>
    <w:rsid w:val="00EC4620"/>
    <w:rsid w:val="00EC465C"/>
    <w:rsid w:val="00EC4665"/>
    <w:rsid w:val="00EC46F1"/>
    <w:rsid w:val="00EC477B"/>
    <w:rsid w:val="00EC4896"/>
    <w:rsid w:val="00EC489F"/>
    <w:rsid w:val="00EC48B7"/>
    <w:rsid w:val="00EC48D7"/>
    <w:rsid w:val="00EC4936"/>
    <w:rsid w:val="00EC497D"/>
    <w:rsid w:val="00EC498A"/>
    <w:rsid w:val="00EC4995"/>
    <w:rsid w:val="00EC49E7"/>
    <w:rsid w:val="00EC49F8"/>
    <w:rsid w:val="00EC4A06"/>
    <w:rsid w:val="00EC4A24"/>
    <w:rsid w:val="00EC4A69"/>
    <w:rsid w:val="00EC4B26"/>
    <w:rsid w:val="00EC4BAA"/>
    <w:rsid w:val="00EC4BD1"/>
    <w:rsid w:val="00EC4C7A"/>
    <w:rsid w:val="00EC4C7B"/>
    <w:rsid w:val="00EC4CD1"/>
    <w:rsid w:val="00EC4DB2"/>
    <w:rsid w:val="00EC4E8E"/>
    <w:rsid w:val="00EC4EC7"/>
    <w:rsid w:val="00EC4F71"/>
    <w:rsid w:val="00EC4FAE"/>
    <w:rsid w:val="00EC4FF2"/>
    <w:rsid w:val="00EC501C"/>
    <w:rsid w:val="00EC501F"/>
    <w:rsid w:val="00EC5066"/>
    <w:rsid w:val="00EC50F8"/>
    <w:rsid w:val="00EC50FE"/>
    <w:rsid w:val="00EC51E1"/>
    <w:rsid w:val="00EC521E"/>
    <w:rsid w:val="00EC52EA"/>
    <w:rsid w:val="00EC530C"/>
    <w:rsid w:val="00EC5360"/>
    <w:rsid w:val="00EC5387"/>
    <w:rsid w:val="00EC5402"/>
    <w:rsid w:val="00EC5469"/>
    <w:rsid w:val="00EC54B7"/>
    <w:rsid w:val="00EC55D6"/>
    <w:rsid w:val="00EC564D"/>
    <w:rsid w:val="00EC5668"/>
    <w:rsid w:val="00EC56CA"/>
    <w:rsid w:val="00EC5736"/>
    <w:rsid w:val="00EC57B6"/>
    <w:rsid w:val="00EC5895"/>
    <w:rsid w:val="00EC589C"/>
    <w:rsid w:val="00EC58AE"/>
    <w:rsid w:val="00EC58CA"/>
    <w:rsid w:val="00EC5961"/>
    <w:rsid w:val="00EC59E7"/>
    <w:rsid w:val="00EC5A37"/>
    <w:rsid w:val="00EC5A7B"/>
    <w:rsid w:val="00EC5AC1"/>
    <w:rsid w:val="00EC5B66"/>
    <w:rsid w:val="00EC5C0A"/>
    <w:rsid w:val="00EC5C55"/>
    <w:rsid w:val="00EC5C82"/>
    <w:rsid w:val="00EC5CE5"/>
    <w:rsid w:val="00EC5D06"/>
    <w:rsid w:val="00EC5D5A"/>
    <w:rsid w:val="00EC5D6B"/>
    <w:rsid w:val="00EC5E13"/>
    <w:rsid w:val="00EC5E5E"/>
    <w:rsid w:val="00EC5E6A"/>
    <w:rsid w:val="00EC5EAB"/>
    <w:rsid w:val="00EC5EDB"/>
    <w:rsid w:val="00EC5EDF"/>
    <w:rsid w:val="00EC5FE2"/>
    <w:rsid w:val="00EC6011"/>
    <w:rsid w:val="00EC6034"/>
    <w:rsid w:val="00EC60AB"/>
    <w:rsid w:val="00EC60BD"/>
    <w:rsid w:val="00EC60E1"/>
    <w:rsid w:val="00EC611F"/>
    <w:rsid w:val="00EC61AD"/>
    <w:rsid w:val="00EC61E6"/>
    <w:rsid w:val="00EC61EA"/>
    <w:rsid w:val="00EC6243"/>
    <w:rsid w:val="00EC6261"/>
    <w:rsid w:val="00EC6370"/>
    <w:rsid w:val="00EC6453"/>
    <w:rsid w:val="00EC65A6"/>
    <w:rsid w:val="00EC65AF"/>
    <w:rsid w:val="00EC664B"/>
    <w:rsid w:val="00EC667A"/>
    <w:rsid w:val="00EC66BC"/>
    <w:rsid w:val="00EC6700"/>
    <w:rsid w:val="00EC67CD"/>
    <w:rsid w:val="00EC67E5"/>
    <w:rsid w:val="00EC6906"/>
    <w:rsid w:val="00EC691C"/>
    <w:rsid w:val="00EC6A93"/>
    <w:rsid w:val="00EC6AE5"/>
    <w:rsid w:val="00EC6B11"/>
    <w:rsid w:val="00EC6BA5"/>
    <w:rsid w:val="00EC6BD3"/>
    <w:rsid w:val="00EC6C29"/>
    <w:rsid w:val="00EC6C90"/>
    <w:rsid w:val="00EC6E38"/>
    <w:rsid w:val="00EC6F21"/>
    <w:rsid w:val="00EC6F2C"/>
    <w:rsid w:val="00EC7033"/>
    <w:rsid w:val="00EC70A6"/>
    <w:rsid w:val="00EC70C1"/>
    <w:rsid w:val="00EC7104"/>
    <w:rsid w:val="00EC71E8"/>
    <w:rsid w:val="00EC7222"/>
    <w:rsid w:val="00EC72E2"/>
    <w:rsid w:val="00EC7357"/>
    <w:rsid w:val="00EC73D9"/>
    <w:rsid w:val="00EC740E"/>
    <w:rsid w:val="00EC7428"/>
    <w:rsid w:val="00EC74B7"/>
    <w:rsid w:val="00EC74F6"/>
    <w:rsid w:val="00EC7500"/>
    <w:rsid w:val="00EC75DE"/>
    <w:rsid w:val="00EC76A8"/>
    <w:rsid w:val="00EC76BA"/>
    <w:rsid w:val="00EC76C0"/>
    <w:rsid w:val="00EC7744"/>
    <w:rsid w:val="00EC7794"/>
    <w:rsid w:val="00EC77F1"/>
    <w:rsid w:val="00EC7879"/>
    <w:rsid w:val="00EC78E6"/>
    <w:rsid w:val="00EC790D"/>
    <w:rsid w:val="00EC7988"/>
    <w:rsid w:val="00EC7ABE"/>
    <w:rsid w:val="00EC7AD1"/>
    <w:rsid w:val="00EC7B14"/>
    <w:rsid w:val="00EC7B97"/>
    <w:rsid w:val="00EC7C43"/>
    <w:rsid w:val="00EC7D8A"/>
    <w:rsid w:val="00EC7F0E"/>
    <w:rsid w:val="00EC7F64"/>
    <w:rsid w:val="00ED0012"/>
    <w:rsid w:val="00ED0073"/>
    <w:rsid w:val="00ED0096"/>
    <w:rsid w:val="00ED01D6"/>
    <w:rsid w:val="00ED01DF"/>
    <w:rsid w:val="00ED0275"/>
    <w:rsid w:val="00ED02B1"/>
    <w:rsid w:val="00ED0409"/>
    <w:rsid w:val="00ED041E"/>
    <w:rsid w:val="00ED0459"/>
    <w:rsid w:val="00ED046A"/>
    <w:rsid w:val="00ED0477"/>
    <w:rsid w:val="00ED04EE"/>
    <w:rsid w:val="00ED05AB"/>
    <w:rsid w:val="00ED0653"/>
    <w:rsid w:val="00ED076C"/>
    <w:rsid w:val="00ED07F7"/>
    <w:rsid w:val="00ED07F9"/>
    <w:rsid w:val="00ED086E"/>
    <w:rsid w:val="00ED0882"/>
    <w:rsid w:val="00ED08EF"/>
    <w:rsid w:val="00ED096E"/>
    <w:rsid w:val="00ED098E"/>
    <w:rsid w:val="00ED09AF"/>
    <w:rsid w:val="00ED0B8D"/>
    <w:rsid w:val="00ED0DA5"/>
    <w:rsid w:val="00ED0DA9"/>
    <w:rsid w:val="00ED0DF7"/>
    <w:rsid w:val="00ED0E8F"/>
    <w:rsid w:val="00ED0EEC"/>
    <w:rsid w:val="00ED0F1D"/>
    <w:rsid w:val="00ED0F89"/>
    <w:rsid w:val="00ED0FD2"/>
    <w:rsid w:val="00ED1193"/>
    <w:rsid w:val="00ED1195"/>
    <w:rsid w:val="00ED11CC"/>
    <w:rsid w:val="00ED11F0"/>
    <w:rsid w:val="00ED1212"/>
    <w:rsid w:val="00ED144B"/>
    <w:rsid w:val="00ED1460"/>
    <w:rsid w:val="00ED14A6"/>
    <w:rsid w:val="00ED1509"/>
    <w:rsid w:val="00ED15A9"/>
    <w:rsid w:val="00ED15D6"/>
    <w:rsid w:val="00ED15E9"/>
    <w:rsid w:val="00ED15F7"/>
    <w:rsid w:val="00ED1614"/>
    <w:rsid w:val="00ED175F"/>
    <w:rsid w:val="00ED178A"/>
    <w:rsid w:val="00ED1812"/>
    <w:rsid w:val="00ED1854"/>
    <w:rsid w:val="00ED1917"/>
    <w:rsid w:val="00ED1AE3"/>
    <w:rsid w:val="00ED1B7F"/>
    <w:rsid w:val="00ED1C5E"/>
    <w:rsid w:val="00ED1CA0"/>
    <w:rsid w:val="00ED1D0E"/>
    <w:rsid w:val="00ED1D90"/>
    <w:rsid w:val="00ED1DEE"/>
    <w:rsid w:val="00ED1E81"/>
    <w:rsid w:val="00ED1E99"/>
    <w:rsid w:val="00ED1EC0"/>
    <w:rsid w:val="00ED1EC5"/>
    <w:rsid w:val="00ED1EE1"/>
    <w:rsid w:val="00ED1F38"/>
    <w:rsid w:val="00ED1F43"/>
    <w:rsid w:val="00ED1F48"/>
    <w:rsid w:val="00ED1F8F"/>
    <w:rsid w:val="00ED1FBA"/>
    <w:rsid w:val="00ED1FDE"/>
    <w:rsid w:val="00ED1FE1"/>
    <w:rsid w:val="00ED206F"/>
    <w:rsid w:val="00ED20E1"/>
    <w:rsid w:val="00ED2131"/>
    <w:rsid w:val="00ED2155"/>
    <w:rsid w:val="00ED221B"/>
    <w:rsid w:val="00ED230E"/>
    <w:rsid w:val="00ED23C7"/>
    <w:rsid w:val="00ED23D5"/>
    <w:rsid w:val="00ED2475"/>
    <w:rsid w:val="00ED2491"/>
    <w:rsid w:val="00ED24F9"/>
    <w:rsid w:val="00ED2535"/>
    <w:rsid w:val="00ED2553"/>
    <w:rsid w:val="00ED2613"/>
    <w:rsid w:val="00ED2662"/>
    <w:rsid w:val="00ED273B"/>
    <w:rsid w:val="00ED27A9"/>
    <w:rsid w:val="00ED2901"/>
    <w:rsid w:val="00ED291D"/>
    <w:rsid w:val="00ED2994"/>
    <w:rsid w:val="00ED29DF"/>
    <w:rsid w:val="00ED29E3"/>
    <w:rsid w:val="00ED2A6B"/>
    <w:rsid w:val="00ED2A9D"/>
    <w:rsid w:val="00ED2C26"/>
    <w:rsid w:val="00ED2CCC"/>
    <w:rsid w:val="00ED2E38"/>
    <w:rsid w:val="00ED2E4A"/>
    <w:rsid w:val="00ED2F85"/>
    <w:rsid w:val="00ED3061"/>
    <w:rsid w:val="00ED3115"/>
    <w:rsid w:val="00ED3193"/>
    <w:rsid w:val="00ED3281"/>
    <w:rsid w:val="00ED32CF"/>
    <w:rsid w:val="00ED3346"/>
    <w:rsid w:val="00ED3394"/>
    <w:rsid w:val="00ED3432"/>
    <w:rsid w:val="00ED3492"/>
    <w:rsid w:val="00ED34E7"/>
    <w:rsid w:val="00ED3521"/>
    <w:rsid w:val="00ED3529"/>
    <w:rsid w:val="00ED366B"/>
    <w:rsid w:val="00ED366E"/>
    <w:rsid w:val="00ED36C7"/>
    <w:rsid w:val="00ED3709"/>
    <w:rsid w:val="00ED37FC"/>
    <w:rsid w:val="00ED384E"/>
    <w:rsid w:val="00ED39D1"/>
    <w:rsid w:val="00ED3A74"/>
    <w:rsid w:val="00ED3AB6"/>
    <w:rsid w:val="00ED3ADE"/>
    <w:rsid w:val="00ED3B52"/>
    <w:rsid w:val="00ED3B8C"/>
    <w:rsid w:val="00ED3C22"/>
    <w:rsid w:val="00ED3C27"/>
    <w:rsid w:val="00ED3E97"/>
    <w:rsid w:val="00ED3EE1"/>
    <w:rsid w:val="00ED3F0F"/>
    <w:rsid w:val="00ED3F81"/>
    <w:rsid w:val="00ED3FE9"/>
    <w:rsid w:val="00ED4052"/>
    <w:rsid w:val="00ED406F"/>
    <w:rsid w:val="00ED40EB"/>
    <w:rsid w:val="00ED40FC"/>
    <w:rsid w:val="00ED412F"/>
    <w:rsid w:val="00ED414A"/>
    <w:rsid w:val="00ED41CA"/>
    <w:rsid w:val="00ED41EE"/>
    <w:rsid w:val="00ED41FE"/>
    <w:rsid w:val="00ED428B"/>
    <w:rsid w:val="00ED42C3"/>
    <w:rsid w:val="00ED42CB"/>
    <w:rsid w:val="00ED4324"/>
    <w:rsid w:val="00ED4362"/>
    <w:rsid w:val="00ED4368"/>
    <w:rsid w:val="00ED4390"/>
    <w:rsid w:val="00ED4501"/>
    <w:rsid w:val="00ED4700"/>
    <w:rsid w:val="00ED4864"/>
    <w:rsid w:val="00ED48B0"/>
    <w:rsid w:val="00ED49CA"/>
    <w:rsid w:val="00ED49F5"/>
    <w:rsid w:val="00ED4A6F"/>
    <w:rsid w:val="00ED4B1E"/>
    <w:rsid w:val="00ED4BE2"/>
    <w:rsid w:val="00ED4C1E"/>
    <w:rsid w:val="00ED4CCF"/>
    <w:rsid w:val="00ED4D0B"/>
    <w:rsid w:val="00ED4D17"/>
    <w:rsid w:val="00ED4D93"/>
    <w:rsid w:val="00ED4DF8"/>
    <w:rsid w:val="00ED4E1C"/>
    <w:rsid w:val="00ED4F64"/>
    <w:rsid w:val="00ED4FA6"/>
    <w:rsid w:val="00ED4FB5"/>
    <w:rsid w:val="00ED5039"/>
    <w:rsid w:val="00ED5047"/>
    <w:rsid w:val="00ED5063"/>
    <w:rsid w:val="00ED50B9"/>
    <w:rsid w:val="00ED5101"/>
    <w:rsid w:val="00ED519E"/>
    <w:rsid w:val="00ED51E6"/>
    <w:rsid w:val="00ED52A0"/>
    <w:rsid w:val="00ED5343"/>
    <w:rsid w:val="00ED5390"/>
    <w:rsid w:val="00ED54B8"/>
    <w:rsid w:val="00ED54F9"/>
    <w:rsid w:val="00ED554D"/>
    <w:rsid w:val="00ED5560"/>
    <w:rsid w:val="00ED562B"/>
    <w:rsid w:val="00ED56C5"/>
    <w:rsid w:val="00ED5750"/>
    <w:rsid w:val="00ED576F"/>
    <w:rsid w:val="00ED58A9"/>
    <w:rsid w:val="00ED58C7"/>
    <w:rsid w:val="00ED5912"/>
    <w:rsid w:val="00ED59CF"/>
    <w:rsid w:val="00ED5A5A"/>
    <w:rsid w:val="00ED5AC7"/>
    <w:rsid w:val="00ED5ACA"/>
    <w:rsid w:val="00ED5B19"/>
    <w:rsid w:val="00ED5BED"/>
    <w:rsid w:val="00ED5D82"/>
    <w:rsid w:val="00ED5DA5"/>
    <w:rsid w:val="00ED5DB4"/>
    <w:rsid w:val="00ED5DED"/>
    <w:rsid w:val="00ED5EF3"/>
    <w:rsid w:val="00ED5F0D"/>
    <w:rsid w:val="00ED5F47"/>
    <w:rsid w:val="00ED5F68"/>
    <w:rsid w:val="00ED60B1"/>
    <w:rsid w:val="00ED6103"/>
    <w:rsid w:val="00ED614A"/>
    <w:rsid w:val="00ED6199"/>
    <w:rsid w:val="00ED6245"/>
    <w:rsid w:val="00ED633D"/>
    <w:rsid w:val="00ED6381"/>
    <w:rsid w:val="00ED63E1"/>
    <w:rsid w:val="00ED6408"/>
    <w:rsid w:val="00ED6442"/>
    <w:rsid w:val="00ED6453"/>
    <w:rsid w:val="00ED65A4"/>
    <w:rsid w:val="00ED65A9"/>
    <w:rsid w:val="00ED65FD"/>
    <w:rsid w:val="00ED6625"/>
    <w:rsid w:val="00ED6797"/>
    <w:rsid w:val="00ED67BC"/>
    <w:rsid w:val="00ED68A4"/>
    <w:rsid w:val="00ED69BD"/>
    <w:rsid w:val="00ED69DA"/>
    <w:rsid w:val="00ED6A01"/>
    <w:rsid w:val="00ED6A7D"/>
    <w:rsid w:val="00ED6C5C"/>
    <w:rsid w:val="00ED6CC0"/>
    <w:rsid w:val="00ED6D4D"/>
    <w:rsid w:val="00ED6DAD"/>
    <w:rsid w:val="00ED6ED5"/>
    <w:rsid w:val="00ED6F02"/>
    <w:rsid w:val="00ED6FF1"/>
    <w:rsid w:val="00ED701E"/>
    <w:rsid w:val="00ED70A5"/>
    <w:rsid w:val="00ED70CC"/>
    <w:rsid w:val="00ED7102"/>
    <w:rsid w:val="00ED7198"/>
    <w:rsid w:val="00ED71DD"/>
    <w:rsid w:val="00ED726A"/>
    <w:rsid w:val="00ED73BC"/>
    <w:rsid w:val="00ED7416"/>
    <w:rsid w:val="00ED7513"/>
    <w:rsid w:val="00ED7561"/>
    <w:rsid w:val="00ED75D2"/>
    <w:rsid w:val="00ED75E6"/>
    <w:rsid w:val="00ED75EF"/>
    <w:rsid w:val="00ED7615"/>
    <w:rsid w:val="00ED7706"/>
    <w:rsid w:val="00ED7764"/>
    <w:rsid w:val="00ED77F1"/>
    <w:rsid w:val="00ED77FD"/>
    <w:rsid w:val="00ED7851"/>
    <w:rsid w:val="00ED7869"/>
    <w:rsid w:val="00ED7880"/>
    <w:rsid w:val="00ED789D"/>
    <w:rsid w:val="00ED7912"/>
    <w:rsid w:val="00ED7979"/>
    <w:rsid w:val="00ED7985"/>
    <w:rsid w:val="00ED7A94"/>
    <w:rsid w:val="00ED7B13"/>
    <w:rsid w:val="00ED7B5A"/>
    <w:rsid w:val="00ED7BB2"/>
    <w:rsid w:val="00ED7C04"/>
    <w:rsid w:val="00ED7C0D"/>
    <w:rsid w:val="00ED7C48"/>
    <w:rsid w:val="00ED7D0D"/>
    <w:rsid w:val="00ED7D8A"/>
    <w:rsid w:val="00ED7DC9"/>
    <w:rsid w:val="00ED7E17"/>
    <w:rsid w:val="00ED7E52"/>
    <w:rsid w:val="00ED7E83"/>
    <w:rsid w:val="00ED7E86"/>
    <w:rsid w:val="00ED7E97"/>
    <w:rsid w:val="00ED7E9F"/>
    <w:rsid w:val="00ED7EA7"/>
    <w:rsid w:val="00ED7F7F"/>
    <w:rsid w:val="00ED7F80"/>
    <w:rsid w:val="00ED7F90"/>
    <w:rsid w:val="00ED7F94"/>
    <w:rsid w:val="00EE0050"/>
    <w:rsid w:val="00EE011D"/>
    <w:rsid w:val="00EE027F"/>
    <w:rsid w:val="00EE030C"/>
    <w:rsid w:val="00EE0311"/>
    <w:rsid w:val="00EE0322"/>
    <w:rsid w:val="00EE03A4"/>
    <w:rsid w:val="00EE0406"/>
    <w:rsid w:val="00EE042B"/>
    <w:rsid w:val="00EE0664"/>
    <w:rsid w:val="00EE06CE"/>
    <w:rsid w:val="00EE07C3"/>
    <w:rsid w:val="00EE0832"/>
    <w:rsid w:val="00EE08BC"/>
    <w:rsid w:val="00EE08D8"/>
    <w:rsid w:val="00EE08FD"/>
    <w:rsid w:val="00EE0982"/>
    <w:rsid w:val="00EE09CF"/>
    <w:rsid w:val="00EE09DC"/>
    <w:rsid w:val="00EE0A0C"/>
    <w:rsid w:val="00EE0A29"/>
    <w:rsid w:val="00EE0A3D"/>
    <w:rsid w:val="00EE0A76"/>
    <w:rsid w:val="00EE0AA9"/>
    <w:rsid w:val="00EE0B2B"/>
    <w:rsid w:val="00EE0C76"/>
    <w:rsid w:val="00EE0CEA"/>
    <w:rsid w:val="00EE0D12"/>
    <w:rsid w:val="00EE0D15"/>
    <w:rsid w:val="00EE0D4D"/>
    <w:rsid w:val="00EE0DF5"/>
    <w:rsid w:val="00EE0E45"/>
    <w:rsid w:val="00EE0FA1"/>
    <w:rsid w:val="00EE1349"/>
    <w:rsid w:val="00EE1370"/>
    <w:rsid w:val="00EE139D"/>
    <w:rsid w:val="00EE13B4"/>
    <w:rsid w:val="00EE13ED"/>
    <w:rsid w:val="00EE1455"/>
    <w:rsid w:val="00EE1538"/>
    <w:rsid w:val="00EE157C"/>
    <w:rsid w:val="00EE15E2"/>
    <w:rsid w:val="00EE1601"/>
    <w:rsid w:val="00EE1784"/>
    <w:rsid w:val="00EE17CD"/>
    <w:rsid w:val="00EE17F3"/>
    <w:rsid w:val="00EE17FD"/>
    <w:rsid w:val="00EE1820"/>
    <w:rsid w:val="00EE1856"/>
    <w:rsid w:val="00EE187D"/>
    <w:rsid w:val="00EE187F"/>
    <w:rsid w:val="00EE18AE"/>
    <w:rsid w:val="00EE1922"/>
    <w:rsid w:val="00EE1952"/>
    <w:rsid w:val="00EE19DF"/>
    <w:rsid w:val="00EE1AE6"/>
    <w:rsid w:val="00EE1B07"/>
    <w:rsid w:val="00EE1B49"/>
    <w:rsid w:val="00EE1B4D"/>
    <w:rsid w:val="00EE1C05"/>
    <w:rsid w:val="00EE1C29"/>
    <w:rsid w:val="00EE1CAA"/>
    <w:rsid w:val="00EE1D33"/>
    <w:rsid w:val="00EE1E4C"/>
    <w:rsid w:val="00EE1F4B"/>
    <w:rsid w:val="00EE1FB9"/>
    <w:rsid w:val="00EE209B"/>
    <w:rsid w:val="00EE20AE"/>
    <w:rsid w:val="00EE2135"/>
    <w:rsid w:val="00EE21E5"/>
    <w:rsid w:val="00EE220D"/>
    <w:rsid w:val="00EE2283"/>
    <w:rsid w:val="00EE2349"/>
    <w:rsid w:val="00EE2364"/>
    <w:rsid w:val="00EE2387"/>
    <w:rsid w:val="00EE254B"/>
    <w:rsid w:val="00EE2598"/>
    <w:rsid w:val="00EE26E4"/>
    <w:rsid w:val="00EE28BE"/>
    <w:rsid w:val="00EE291B"/>
    <w:rsid w:val="00EE2921"/>
    <w:rsid w:val="00EE29E4"/>
    <w:rsid w:val="00EE2A07"/>
    <w:rsid w:val="00EE2B6D"/>
    <w:rsid w:val="00EE2BA8"/>
    <w:rsid w:val="00EE2BB1"/>
    <w:rsid w:val="00EE2BD9"/>
    <w:rsid w:val="00EE2C3B"/>
    <w:rsid w:val="00EE2C3E"/>
    <w:rsid w:val="00EE2D4E"/>
    <w:rsid w:val="00EE2D89"/>
    <w:rsid w:val="00EE307D"/>
    <w:rsid w:val="00EE307F"/>
    <w:rsid w:val="00EE3136"/>
    <w:rsid w:val="00EE31BF"/>
    <w:rsid w:val="00EE324B"/>
    <w:rsid w:val="00EE32DA"/>
    <w:rsid w:val="00EE335D"/>
    <w:rsid w:val="00EE3368"/>
    <w:rsid w:val="00EE3388"/>
    <w:rsid w:val="00EE33C9"/>
    <w:rsid w:val="00EE340A"/>
    <w:rsid w:val="00EE34FF"/>
    <w:rsid w:val="00EE3560"/>
    <w:rsid w:val="00EE361B"/>
    <w:rsid w:val="00EE36CA"/>
    <w:rsid w:val="00EE372B"/>
    <w:rsid w:val="00EE3742"/>
    <w:rsid w:val="00EE37B1"/>
    <w:rsid w:val="00EE381D"/>
    <w:rsid w:val="00EE38AB"/>
    <w:rsid w:val="00EE38C3"/>
    <w:rsid w:val="00EE38D2"/>
    <w:rsid w:val="00EE38E0"/>
    <w:rsid w:val="00EE39F1"/>
    <w:rsid w:val="00EE3A51"/>
    <w:rsid w:val="00EE3ACE"/>
    <w:rsid w:val="00EE3AD0"/>
    <w:rsid w:val="00EE3B3F"/>
    <w:rsid w:val="00EE3C2E"/>
    <w:rsid w:val="00EE3C9C"/>
    <w:rsid w:val="00EE3CA7"/>
    <w:rsid w:val="00EE3D7B"/>
    <w:rsid w:val="00EE3D8B"/>
    <w:rsid w:val="00EE3DC9"/>
    <w:rsid w:val="00EE3E27"/>
    <w:rsid w:val="00EE3E2D"/>
    <w:rsid w:val="00EE3E36"/>
    <w:rsid w:val="00EE3E8C"/>
    <w:rsid w:val="00EE3EDA"/>
    <w:rsid w:val="00EE3F0B"/>
    <w:rsid w:val="00EE3F1F"/>
    <w:rsid w:val="00EE3F72"/>
    <w:rsid w:val="00EE3F8A"/>
    <w:rsid w:val="00EE3FAE"/>
    <w:rsid w:val="00EE4047"/>
    <w:rsid w:val="00EE4132"/>
    <w:rsid w:val="00EE4153"/>
    <w:rsid w:val="00EE422D"/>
    <w:rsid w:val="00EE428B"/>
    <w:rsid w:val="00EE4309"/>
    <w:rsid w:val="00EE432D"/>
    <w:rsid w:val="00EE4369"/>
    <w:rsid w:val="00EE43D2"/>
    <w:rsid w:val="00EE4488"/>
    <w:rsid w:val="00EE4513"/>
    <w:rsid w:val="00EE4538"/>
    <w:rsid w:val="00EE4590"/>
    <w:rsid w:val="00EE45A5"/>
    <w:rsid w:val="00EE45C5"/>
    <w:rsid w:val="00EE46BB"/>
    <w:rsid w:val="00EE47D5"/>
    <w:rsid w:val="00EE47F4"/>
    <w:rsid w:val="00EE4877"/>
    <w:rsid w:val="00EE48BB"/>
    <w:rsid w:val="00EE4908"/>
    <w:rsid w:val="00EE49F8"/>
    <w:rsid w:val="00EE4BDB"/>
    <w:rsid w:val="00EE4D0E"/>
    <w:rsid w:val="00EE4D3F"/>
    <w:rsid w:val="00EE4D80"/>
    <w:rsid w:val="00EE4DE8"/>
    <w:rsid w:val="00EE4E03"/>
    <w:rsid w:val="00EE4E7F"/>
    <w:rsid w:val="00EE5019"/>
    <w:rsid w:val="00EE513E"/>
    <w:rsid w:val="00EE5161"/>
    <w:rsid w:val="00EE5180"/>
    <w:rsid w:val="00EE51FA"/>
    <w:rsid w:val="00EE5299"/>
    <w:rsid w:val="00EE52BC"/>
    <w:rsid w:val="00EE5306"/>
    <w:rsid w:val="00EE5392"/>
    <w:rsid w:val="00EE53D2"/>
    <w:rsid w:val="00EE53E3"/>
    <w:rsid w:val="00EE5425"/>
    <w:rsid w:val="00EE5468"/>
    <w:rsid w:val="00EE54B0"/>
    <w:rsid w:val="00EE54C9"/>
    <w:rsid w:val="00EE54E4"/>
    <w:rsid w:val="00EE5516"/>
    <w:rsid w:val="00EE552E"/>
    <w:rsid w:val="00EE55C7"/>
    <w:rsid w:val="00EE55D3"/>
    <w:rsid w:val="00EE55E1"/>
    <w:rsid w:val="00EE5753"/>
    <w:rsid w:val="00EE5890"/>
    <w:rsid w:val="00EE58B3"/>
    <w:rsid w:val="00EE5921"/>
    <w:rsid w:val="00EE5964"/>
    <w:rsid w:val="00EE5970"/>
    <w:rsid w:val="00EE59FA"/>
    <w:rsid w:val="00EE5A8A"/>
    <w:rsid w:val="00EE5AE6"/>
    <w:rsid w:val="00EE5B38"/>
    <w:rsid w:val="00EE5B99"/>
    <w:rsid w:val="00EE5C6E"/>
    <w:rsid w:val="00EE5D06"/>
    <w:rsid w:val="00EE5DAF"/>
    <w:rsid w:val="00EE5E49"/>
    <w:rsid w:val="00EE5E93"/>
    <w:rsid w:val="00EE5F0C"/>
    <w:rsid w:val="00EE5F40"/>
    <w:rsid w:val="00EE5FAA"/>
    <w:rsid w:val="00EE5FD6"/>
    <w:rsid w:val="00EE6044"/>
    <w:rsid w:val="00EE6061"/>
    <w:rsid w:val="00EE61B5"/>
    <w:rsid w:val="00EE61F9"/>
    <w:rsid w:val="00EE6248"/>
    <w:rsid w:val="00EE628C"/>
    <w:rsid w:val="00EE62E2"/>
    <w:rsid w:val="00EE630C"/>
    <w:rsid w:val="00EE6572"/>
    <w:rsid w:val="00EE65A8"/>
    <w:rsid w:val="00EE65CB"/>
    <w:rsid w:val="00EE66F4"/>
    <w:rsid w:val="00EE6724"/>
    <w:rsid w:val="00EE673D"/>
    <w:rsid w:val="00EE6747"/>
    <w:rsid w:val="00EE675C"/>
    <w:rsid w:val="00EE679B"/>
    <w:rsid w:val="00EE6817"/>
    <w:rsid w:val="00EE68A6"/>
    <w:rsid w:val="00EE68C7"/>
    <w:rsid w:val="00EE6942"/>
    <w:rsid w:val="00EE698E"/>
    <w:rsid w:val="00EE6A28"/>
    <w:rsid w:val="00EE6AF7"/>
    <w:rsid w:val="00EE6B09"/>
    <w:rsid w:val="00EE6B19"/>
    <w:rsid w:val="00EE6BC9"/>
    <w:rsid w:val="00EE6BD0"/>
    <w:rsid w:val="00EE6BE6"/>
    <w:rsid w:val="00EE6C23"/>
    <w:rsid w:val="00EE6C5A"/>
    <w:rsid w:val="00EE6C70"/>
    <w:rsid w:val="00EE6CD3"/>
    <w:rsid w:val="00EE6D18"/>
    <w:rsid w:val="00EE6D19"/>
    <w:rsid w:val="00EE6D3F"/>
    <w:rsid w:val="00EE6D67"/>
    <w:rsid w:val="00EE6E11"/>
    <w:rsid w:val="00EE6EC6"/>
    <w:rsid w:val="00EE6FF0"/>
    <w:rsid w:val="00EE6FFE"/>
    <w:rsid w:val="00EE7020"/>
    <w:rsid w:val="00EE704F"/>
    <w:rsid w:val="00EE7071"/>
    <w:rsid w:val="00EE70CE"/>
    <w:rsid w:val="00EE70D9"/>
    <w:rsid w:val="00EE7214"/>
    <w:rsid w:val="00EE7249"/>
    <w:rsid w:val="00EE72B0"/>
    <w:rsid w:val="00EE7312"/>
    <w:rsid w:val="00EE7376"/>
    <w:rsid w:val="00EE7451"/>
    <w:rsid w:val="00EE7495"/>
    <w:rsid w:val="00EE76A7"/>
    <w:rsid w:val="00EE76F8"/>
    <w:rsid w:val="00EE773D"/>
    <w:rsid w:val="00EE7751"/>
    <w:rsid w:val="00EE77FD"/>
    <w:rsid w:val="00EE7807"/>
    <w:rsid w:val="00EE788A"/>
    <w:rsid w:val="00EE78FC"/>
    <w:rsid w:val="00EE7A41"/>
    <w:rsid w:val="00EE7A4D"/>
    <w:rsid w:val="00EE7A4E"/>
    <w:rsid w:val="00EE7B1F"/>
    <w:rsid w:val="00EE7B3D"/>
    <w:rsid w:val="00EE7B41"/>
    <w:rsid w:val="00EE7CA6"/>
    <w:rsid w:val="00EE7CB5"/>
    <w:rsid w:val="00EE7CE3"/>
    <w:rsid w:val="00EE7D0B"/>
    <w:rsid w:val="00EE7D24"/>
    <w:rsid w:val="00EE7D37"/>
    <w:rsid w:val="00EE7D8C"/>
    <w:rsid w:val="00EE7DA9"/>
    <w:rsid w:val="00EE7DBC"/>
    <w:rsid w:val="00EE7E37"/>
    <w:rsid w:val="00EE7E64"/>
    <w:rsid w:val="00EE7EF8"/>
    <w:rsid w:val="00EF0042"/>
    <w:rsid w:val="00EF0044"/>
    <w:rsid w:val="00EF00EE"/>
    <w:rsid w:val="00EF0179"/>
    <w:rsid w:val="00EF02C0"/>
    <w:rsid w:val="00EF0355"/>
    <w:rsid w:val="00EF0385"/>
    <w:rsid w:val="00EF03D3"/>
    <w:rsid w:val="00EF03E7"/>
    <w:rsid w:val="00EF0412"/>
    <w:rsid w:val="00EF04FE"/>
    <w:rsid w:val="00EF0511"/>
    <w:rsid w:val="00EF056B"/>
    <w:rsid w:val="00EF0599"/>
    <w:rsid w:val="00EF05EC"/>
    <w:rsid w:val="00EF066E"/>
    <w:rsid w:val="00EF06B7"/>
    <w:rsid w:val="00EF06B9"/>
    <w:rsid w:val="00EF0772"/>
    <w:rsid w:val="00EF0820"/>
    <w:rsid w:val="00EF087A"/>
    <w:rsid w:val="00EF09FE"/>
    <w:rsid w:val="00EF0B2D"/>
    <w:rsid w:val="00EF0BFF"/>
    <w:rsid w:val="00EF0D72"/>
    <w:rsid w:val="00EF0DD5"/>
    <w:rsid w:val="00EF0EA2"/>
    <w:rsid w:val="00EF0EDE"/>
    <w:rsid w:val="00EF0EE4"/>
    <w:rsid w:val="00EF0F13"/>
    <w:rsid w:val="00EF1021"/>
    <w:rsid w:val="00EF10BC"/>
    <w:rsid w:val="00EF114D"/>
    <w:rsid w:val="00EF1174"/>
    <w:rsid w:val="00EF1178"/>
    <w:rsid w:val="00EF1183"/>
    <w:rsid w:val="00EF1206"/>
    <w:rsid w:val="00EF12BB"/>
    <w:rsid w:val="00EF1345"/>
    <w:rsid w:val="00EF1430"/>
    <w:rsid w:val="00EF1457"/>
    <w:rsid w:val="00EF1490"/>
    <w:rsid w:val="00EF14A2"/>
    <w:rsid w:val="00EF14B9"/>
    <w:rsid w:val="00EF15B1"/>
    <w:rsid w:val="00EF15B4"/>
    <w:rsid w:val="00EF15CB"/>
    <w:rsid w:val="00EF15DC"/>
    <w:rsid w:val="00EF163D"/>
    <w:rsid w:val="00EF166C"/>
    <w:rsid w:val="00EF166E"/>
    <w:rsid w:val="00EF186C"/>
    <w:rsid w:val="00EF1917"/>
    <w:rsid w:val="00EF19BC"/>
    <w:rsid w:val="00EF1ABE"/>
    <w:rsid w:val="00EF1B22"/>
    <w:rsid w:val="00EF1BFC"/>
    <w:rsid w:val="00EF1CDA"/>
    <w:rsid w:val="00EF1D7F"/>
    <w:rsid w:val="00EF1E95"/>
    <w:rsid w:val="00EF1ED5"/>
    <w:rsid w:val="00EF1EFF"/>
    <w:rsid w:val="00EF1FD7"/>
    <w:rsid w:val="00EF20D7"/>
    <w:rsid w:val="00EF217A"/>
    <w:rsid w:val="00EF21DC"/>
    <w:rsid w:val="00EF21EB"/>
    <w:rsid w:val="00EF23BC"/>
    <w:rsid w:val="00EF23C3"/>
    <w:rsid w:val="00EF243D"/>
    <w:rsid w:val="00EF24B2"/>
    <w:rsid w:val="00EF25FC"/>
    <w:rsid w:val="00EF2616"/>
    <w:rsid w:val="00EF270D"/>
    <w:rsid w:val="00EF2720"/>
    <w:rsid w:val="00EF276D"/>
    <w:rsid w:val="00EF27C0"/>
    <w:rsid w:val="00EF27DD"/>
    <w:rsid w:val="00EF27E4"/>
    <w:rsid w:val="00EF28F7"/>
    <w:rsid w:val="00EF2911"/>
    <w:rsid w:val="00EF2988"/>
    <w:rsid w:val="00EF2AE0"/>
    <w:rsid w:val="00EF2AF0"/>
    <w:rsid w:val="00EF2B57"/>
    <w:rsid w:val="00EF2BB2"/>
    <w:rsid w:val="00EF2C46"/>
    <w:rsid w:val="00EF2CC3"/>
    <w:rsid w:val="00EF2D0E"/>
    <w:rsid w:val="00EF2D66"/>
    <w:rsid w:val="00EF2D7D"/>
    <w:rsid w:val="00EF2E98"/>
    <w:rsid w:val="00EF2F1F"/>
    <w:rsid w:val="00EF2F8D"/>
    <w:rsid w:val="00EF2F9F"/>
    <w:rsid w:val="00EF305C"/>
    <w:rsid w:val="00EF30B2"/>
    <w:rsid w:val="00EF314B"/>
    <w:rsid w:val="00EF3247"/>
    <w:rsid w:val="00EF3282"/>
    <w:rsid w:val="00EF33F3"/>
    <w:rsid w:val="00EF3419"/>
    <w:rsid w:val="00EF34CE"/>
    <w:rsid w:val="00EF3502"/>
    <w:rsid w:val="00EF354D"/>
    <w:rsid w:val="00EF3551"/>
    <w:rsid w:val="00EF3587"/>
    <w:rsid w:val="00EF35E0"/>
    <w:rsid w:val="00EF3603"/>
    <w:rsid w:val="00EF3674"/>
    <w:rsid w:val="00EF367E"/>
    <w:rsid w:val="00EF36DA"/>
    <w:rsid w:val="00EF37B1"/>
    <w:rsid w:val="00EF37C2"/>
    <w:rsid w:val="00EF395B"/>
    <w:rsid w:val="00EF3A9C"/>
    <w:rsid w:val="00EF3AF3"/>
    <w:rsid w:val="00EF3B21"/>
    <w:rsid w:val="00EF3B6D"/>
    <w:rsid w:val="00EF3B72"/>
    <w:rsid w:val="00EF3B81"/>
    <w:rsid w:val="00EF3C68"/>
    <w:rsid w:val="00EF3CFB"/>
    <w:rsid w:val="00EF3DC9"/>
    <w:rsid w:val="00EF3F83"/>
    <w:rsid w:val="00EF3FB2"/>
    <w:rsid w:val="00EF405F"/>
    <w:rsid w:val="00EF40D4"/>
    <w:rsid w:val="00EF4155"/>
    <w:rsid w:val="00EF4194"/>
    <w:rsid w:val="00EF42FF"/>
    <w:rsid w:val="00EF431B"/>
    <w:rsid w:val="00EF4324"/>
    <w:rsid w:val="00EF435B"/>
    <w:rsid w:val="00EF437B"/>
    <w:rsid w:val="00EF4459"/>
    <w:rsid w:val="00EF4598"/>
    <w:rsid w:val="00EF463D"/>
    <w:rsid w:val="00EF468A"/>
    <w:rsid w:val="00EF468E"/>
    <w:rsid w:val="00EF4698"/>
    <w:rsid w:val="00EF46D7"/>
    <w:rsid w:val="00EF4719"/>
    <w:rsid w:val="00EF4735"/>
    <w:rsid w:val="00EF495F"/>
    <w:rsid w:val="00EF499B"/>
    <w:rsid w:val="00EF4A09"/>
    <w:rsid w:val="00EF4A38"/>
    <w:rsid w:val="00EF4A9C"/>
    <w:rsid w:val="00EF4B11"/>
    <w:rsid w:val="00EF4B39"/>
    <w:rsid w:val="00EF4B96"/>
    <w:rsid w:val="00EF4D2B"/>
    <w:rsid w:val="00EF4DD8"/>
    <w:rsid w:val="00EF4DFC"/>
    <w:rsid w:val="00EF4E3A"/>
    <w:rsid w:val="00EF4E7D"/>
    <w:rsid w:val="00EF4F4C"/>
    <w:rsid w:val="00EF5127"/>
    <w:rsid w:val="00EF518D"/>
    <w:rsid w:val="00EF5190"/>
    <w:rsid w:val="00EF5265"/>
    <w:rsid w:val="00EF536D"/>
    <w:rsid w:val="00EF5392"/>
    <w:rsid w:val="00EF53B1"/>
    <w:rsid w:val="00EF53C6"/>
    <w:rsid w:val="00EF5407"/>
    <w:rsid w:val="00EF5434"/>
    <w:rsid w:val="00EF54E8"/>
    <w:rsid w:val="00EF55A3"/>
    <w:rsid w:val="00EF5661"/>
    <w:rsid w:val="00EF5671"/>
    <w:rsid w:val="00EF57CE"/>
    <w:rsid w:val="00EF585C"/>
    <w:rsid w:val="00EF589C"/>
    <w:rsid w:val="00EF58A5"/>
    <w:rsid w:val="00EF58C7"/>
    <w:rsid w:val="00EF58D0"/>
    <w:rsid w:val="00EF5A29"/>
    <w:rsid w:val="00EF5A5E"/>
    <w:rsid w:val="00EF5A7E"/>
    <w:rsid w:val="00EF5A90"/>
    <w:rsid w:val="00EF5AD7"/>
    <w:rsid w:val="00EF5C11"/>
    <w:rsid w:val="00EF5C59"/>
    <w:rsid w:val="00EF5CC9"/>
    <w:rsid w:val="00EF5CE8"/>
    <w:rsid w:val="00EF5D02"/>
    <w:rsid w:val="00EF5D7B"/>
    <w:rsid w:val="00EF5D8A"/>
    <w:rsid w:val="00EF5DB9"/>
    <w:rsid w:val="00EF5EC0"/>
    <w:rsid w:val="00EF5F79"/>
    <w:rsid w:val="00EF5F86"/>
    <w:rsid w:val="00EF60C6"/>
    <w:rsid w:val="00EF616A"/>
    <w:rsid w:val="00EF61AA"/>
    <w:rsid w:val="00EF6222"/>
    <w:rsid w:val="00EF6247"/>
    <w:rsid w:val="00EF62A7"/>
    <w:rsid w:val="00EF6319"/>
    <w:rsid w:val="00EF63B9"/>
    <w:rsid w:val="00EF63CA"/>
    <w:rsid w:val="00EF6553"/>
    <w:rsid w:val="00EF65AA"/>
    <w:rsid w:val="00EF6607"/>
    <w:rsid w:val="00EF6634"/>
    <w:rsid w:val="00EF6638"/>
    <w:rsid w:val="00EF6790"/>
    <w:rsid w:val="00EF67C4"/>
    <w:rsid w:val="00EF67E9"/>
    <w:rsid w:val="00EF6857"/>
    <w:rsid w:val="00EF6875"/>
    <w:rsid w:val="00EF68CD"/>
    <w:rsid w:val="00EF696A"/>
    <w:rsid w:val="00EF6996"/>
    <w:rsid w:val="00EF699B"/>
    <w:rsid w:val="00EF6ABF"/>
    <w:rsid w:val="00EF6B1F"/>
    <w:rsid w:val="00EF6C95"/>
    <w:rsid w:val="00EF6C9E"/>
    <w:rsid w:val="00EF6D10"/>
    <w:rsid w:val="00EF6D78"/>
    <w:rsid w:val="00EF6DB7"/>
    <w:rsid w:val="00EF6E86"/>
    <w:rsid w:val="00EF6F9C"/>
    <w:rsid w:val="00EF7003"/>
    <w:rsid w:val="00EF71AF"/>
    <w:rsid w:val="00EF71C0"/>
    <w:rsid w:val="00EF72B0"/>
    <w:rsid w:val="00EF730B"/>
    <w:rsid w:val="00EF7376"/>
    <w:rsid w:val="00EF73C9"/>
    <w:rsid w:val="00EF742C"/>
    <w:rsid w:val="00EF744A"/>
    <w:rsid w:val="00EF7494"/>
    <w:rsid w:val="00EF74B3"/>
    <w:rsid w:val="00EF7515"/>
    <w:rsid w:val="00EF75BC"/>
    <w:rsid w:val="00EF75E9"/>
    <w:rsid w:val="00EF763E"/>
    <w:rsid w:val="00EF7646"/>
    <w:rsid w:val="00EF76EE"/>
    <w:rsid w:val="00EF77F8"/>
    <w:rsid w:val="00EF7811"/>
    <w:rsid w:val="00EF7837"/>
    <w:rsid w:val="00EF786E"/>
    <w:rsid w:val="00EF78E8"/>
    <w:rsid w:val="00EF7912"/>
    <w:rsid w:val="00EF7981"/>
    <w:rsid w:val="00EF798E"/>
    <w:rsid w:val="00EF79C4"/>
    <w:rsid w:val="00EF79EF"/>
    <w:rsid w:val="00EF7A02"/>
    <w:rsid w:val="00EF7A1D"/>
    <w:rsid w:val="00EF7A41"/>
    <w:rsid w:val="00EF7A70"/>
    <w:rsid w:val="00EF7B4A"/>
    <w:rsid w:val="00EF7C80"/>
    <w:rsid w:val="00EF7CD2"/>
    <w:rsid w:val="00EF7CFB"/>
    <w:rsid w:val="00EF7DA2"/>
    <w:rsid w:val="00EF7FC5"/>
    <w:rsid w:val="00F00031"/>
    <w:rsid w:val="00F00067"/>
    <w:rsid w:val="00F000DF"/>
    <w:rsid w:val="00F0012F"/>
    <w:rsid w:val="00F0018C"/>
    <w:rsid w:val="00F0022B"/>
    <w:rsid w:val="00F00267"/>
    <w:rsid w:val="00F00273"/>
    <w:rsid w:val="00F002A7"/>
    <w:rsid w:val="00F0033C"/>
    <w:rsid w:val="00F003E8"/>
    <w:rsid w:val="00F003FA"/>
    <w:rsid w:val="00F00401"/>
    <w:rsid w:val="00F0043A"/>
    <w:rsid w:val="00F00443"/>
    <w:rsid w:val="00F00457"/>
    <w:rsid w:val="00F00462"/>
    <w:rsid w:val="00F004E2"/>
    <w:rsid w:val="00F00545"/>
    <w:rsid w:val="00F00556"/>
    <w:rsid w:val="00F0058E"/>
    <w:rsid w:val="00F005FB"/>
    <w:rsid w:val="00F00754"/>
    <w:rsid w:val="00F007CD"/>
    <w:rsid w:val="00F00801"/>
    <w:rsid w:val="00F008AC"/>
    <w:rsid w:val="00F008DC"/>
    <w:rsid w:val="00F00C2B"/>
    <w:rsid w:val="00F00C7E"/>
    <w:rsid w:val="00F00CAB"/>
    <w:rsid w:val="00F00CB7"/>
    <w:rsid w:val="00F00CF2"/>
    <w:rsid w:val="00F00D27"/>
    <w:rsid w:val="00F00D43"/>
    <w:rsid w:val="00F00DEE"/>
    <w:rsid w:val="00F00F46"/>
    <w:rsid w:val="00F00F78"/>
    <w:rsid w:val="00F00FD0"/>
    <w:rsid w:val="00F010B4"/>
    <w:rsid w:val="00F010D4"/>
    <w:rsid w:val="00F01137"/>
    <w:rsid w:val="00F0114E"/>
    <w:rsid w:val="00F01164"/>
    <w:rsid w:val="00F0119C"/>
    <w:rsid w:val="00F0124C"/>
    <w:rsid w:val="00F01283"/>
    <w:rsid w:val="00F0128F"/>
    <w:rsid w:val="00F01305"/>
    <w:rsid w:val="00F01407"/>
    <w:rsid w:val="00F0143E"/>
    <w:rsid w:val="00F01557"/>
    <w:rsid w:val="00F015C7"/>
    <w:rsid w:val="00F01613"/>
    <w:rsid w:val="00F016F7"/>
    <w:rsid w:val="00F0173A"/>
    <w:rsid w:val="00F017B3"/>
    <w:rsid w:val="00F017D4"/>
    <w:rsid w:val="00F01884"/>
    <w:rsid w:val="00F0197F"/>
    <w:rsid w:val="00F01999"/>
    <w:rsid w:val="00F019FA"/>
    <w:rsid w:val="00F01A74"/>
    <w:rsid w:val="00F01AC5"/>
    <w:rsid w:val="00F01AD6"/>
    <w:rsid w:val="00F01C6F"/>
    <w:rsid w:val="00F01CD3"/>
    <w:rsid w:val="00F01D99"/>
    <w:rsid w:val="00F01DFF"/>
    <w:rsid w:val="00F01E7E"/>
    <w:rsid w:val="00F01EB3"/>
    <w:rsid w:val="00F01F9D"/>
    <w:rsid w:val="00F02053"/>
    <w:rsid w:val="00F02071"/>
    <w:rsid w:val="00F020A4"/>
    <w:rsid w:val="00F02174"/>
    <w:rsid w:val="00F0225A"/>
    <w:rsid w:val="00F02278"/>
    <w:rsid w:val="00F022E4"/>
    <w:rsid w:val="00F02303"/>
    <w:rsid w:val="00F0249B"/>
    <w:rsid w:val="00F026AA"/>
    <w:rsid w:val="00F02797"/>
    <w:rsid w:val="00F027D1"/>
    <w:rsid w:val="00F028B2"/>
    <w:rsid w:val="00F02948"/>
    <w:rsid w:val="00F02A59"/>
    <w:rsid w:val="00F02A67"/>
    <w:rsid w:val="00F02A87"/>
    <w:rsid w:val="00F02B00"/>
    <w:rsid w:val="00F02BCF"/>
    <w:rsid w:val="00F02BDB"/>
    <w:rsid w:val="00F02BED"/>
    <w:rsid w:val="00F02C05"/>
    <w:rsid w:val="00F02C0C"/>
    <w:rsid w:val="00F02D32"/>
    <w:rsid w:val="00F02D93"/>
    <w:rsid w:val="00F02DDD"/>
    <w:rsid w:val="00F02F34"/>
    <w:rsid w:val="00F02F37"/>
    <w:rsid w:val="00F02F75"/>
    <w:rsid w:val="00F02FAC"/>
    <w:rsid w:val="00F03011"/>
    <w:rsid w:val="00F03032"/>
    <w:rsid w:val="00F0310D"/>
    <w:rsid w:val="00F0312D"/>
    <w:rsid w:val="00F0318D"/>
    <w:rsid w:val="00F0321E"/>
    <w:rsid w:val="00F032AA"/>
    <w:rsid w:val="00F032C8"/>
    <w:rsid w:val="00F0331C"/>
    <w:rsid w:val="00F033A1"/>
    <w:rsid w:val="00F033E0"/>
    <w:rsid w:val="00F0343A"/>
    <w:rsid w:val="00F03554"/>
    <w:rsid w:val="00F035C9"/>
    <w:rsid w:val="00F035FE"/>
    <w:rsid w:val="00F03652"/>
    <w:rsid w:val="00F03687"/>
    <w:rsid w:val="00F036E3"/>
    <w:rsid w:val="00F0375A"/>
    <w:rsid w:val="00F03792"/>
    <w:rsid w:val="00F037C5"/>
    <w:rsid w:val="00F038E9"/>
    <w:rsid w:val="00F0391A"/>
    <w:rsid w:val="00F03941"/>
    <w:rsid w:val="00F039FA"/>
    <w:rsid w:val="00F03A56"/>
    <w:rsid w:val="00F03AE9"/>
    <w:rsid w:val="00F03B0A"/>
    <w:rsid w:val="00F03B78"/>
    <w:rsid w:val="00F03C56"/>
    <w:rsid w:val="00F03C63"/>
    <w:rsid w:val="00F03C88"/>
    <w:rsid w:val="00F03D58"/>
    <w:rsid w:val="00F03D89"/>
    <w:rsid w:val="00F03DBF"/>
    <w:rsid w:val="00F03DC8"/>
    <w:rsid w:val="00F03DE5"/>
    <w:rsid w:val="00F03E0A"/>
    <w:rsid w:val="00F03E61"/>
    <w:rsid w:val="00F03E9F"/>
    <w:rsid w:val="00F03F08"/>
    <w:rsid w:val="00F03FD0"/>
    <w:rsid w:val="00F04068"/>
    <w:rsid w:val="00F040B8"/>
    <w:rsid w:val="00F040D6"/>
    <w:rsid w:val="00F040EC"/>
    <w:rsid w:val="00F040ED"/>
    <w:rsid w:val="00F0412E"/>
    <w:rsid w:val="00F041DF"/>
    <w:rsid w:val="00F04289"/>
    <w:rsid w:val="00F042AD"/>
    <w:rsid w:val="00F0433B"/>
    <w:rsid w:val="00F0438D"/>
    <w:rsid w:val="00F043CC"/>
    <w:rsid w:val="00F043F3"/>
    <w:rsid w:val="00F0441B"/>
    <w:rsid w:val="00F04437"/>
    <w:rsid w:val="00F044B5"/>
    <w:rsid w:val="00F045DE"/>
    <w:rsid w:val="00F0461C"/>
    <w:rsid w:val="00F04673"/>
    <w:rsid w:val="00F04675"/>
    <w:rsid w:val="00F04763"/>
    <w:rsid w:val="00F04834"/>
    <w:rsid w:val="00F04846"/>
    <w:rsid w:val="00F048AB"/>
    <w:rsid w:val="00F048FB"/>
    <w:rsid w:val="00F0490A"/>
    <w:rsid w:val="00F04973"/>
    <w:rsid w:val="00F049BB"/>
    <w:rsid w:val="00F04A53"/>
    <w:rsid w:val="00F04B5C"/>
    <w:rsid w:val="00F04C5A"/>
    <w:rsid w:val="00F04CA2"/>
    <w:rsid w:val="00F04F9E"/>
    <w:rsid w:val="00F05026"/>
    <w:rsid w:val="00F05053"/>
    <w:rsid w:val="00F050D2"/>
    <w:rsid w:val="00F050F5"/>
    <w:rsid w:val="00F051B0"/>
    <w:rsid w:val="00F051D9"/>
    <w:rsid w:val="00F05230"/>
    <w:rsid w:val="00F0525B"/>
    <w:rsid w:val="00F0528A"/>
    <w:rsid w:val="00F053D5"/>
    <w:rsid w:val="00F053E1"/>
    <w:rsid w:val="00F0541C"/>
    <w:rsid w:val="00F0546A"/>
    <w:rsid w:val="00F05499"/>
    <w:rsid w:val="00F05542"/>
    <w:rsid w:val="00F05585"/>
    <w:rsid w:val="00F055DE"/>
    <w:rsid w:val="00F05640"/>
    <w:rsid w:val="00F0567C"/>
    <w:rsid w:val="00F0569E"/>
    <w:rsid w:val="00F05724"/>
    <w:rsid w:val="00F0581A"/>
    <w:rsid w:val="00F058A1"/>
    <w:rsid w:val="00F058F5"/>
    <w:rsid w:val="00F05907"/>
    <w:rsid w:val="00F05914"/>
    <w:rsid w:val="00F05943"/>
    <w:rsid w:val="00F05961"/>
    <w:rsid w:val="00F059E8"/>
    <w:rsid w:val="00F05A5B"/>
    <w:rsid w:val="00F05A63"/>
    <w:rsid w:val="00F05A76"/>
    <w:rsid w:val="00F05A93"/>
    <w:rsid w:val="00F05B11"/>
    <w:rsid w:val="00F05B35"/>
    <w:rsid w:val="00F05BB7"/>
    <w:rsid w:val="00F05CCA"/>
    <w:rsid w:val="00F05E1C"/>
    <w:rsid w:val="00F05E39"/>
    <w:rsid w:val="00F05E63"/>
    <w:rsid w:val="00F05EF5"/>
    <w:rsid w:val="00F05EFF"/>
    <w:rsid w:val="00F0605D"/>
    <w:rsid w:val="00F060DB"/>
    <w:rsid w:val="00F06109"/>
    <w:rsid w:val="00F06173"/>
    <w:rsid w:val="00F061A7"/>
    <w:rsid w:val="00F06224"/>
    <w:rsid w:val="00F06287"/>
    <w:rsid w:val="00F062ED"/>
    <w:rsid w:val="00F063D8"/>
    <w:rsid w:val="00F0640E"/>
    <w:rsid w:val="00F06460"/>
    <w:rsid w:val="00F06464"/>
    <w:rsid w:val="00F0646B"/>
    <w:rsid w:val="00F06561"/>
    <w:rsid w:val="00F0657E"/>
    <w:rsid w:val="00F0671F"/>
    <w:rsid w:val="00F06741"/>
    <w:rsid w:val="00F067DE"/>
    <w:rsid w:val="00F068B6"/>
    <w:rsid w:val="00F0699B"/>
    <w:rsid w:val="00F06A26"/>
    <w:rsid w:val="00F06A3B"/>
    <w:rsid w:val="00F06AB0"/>
    <w:rsid w:val="00F06AB5"/>
    <w:rsid w:val="00F06ADA"/>
    <w:rsid w:val="00F06AF9"/>
    <w:rsid w:val="00F06B30"/>
    <w:rsid w:val="00F06C0F"/>
    <w:rsid w:val="00F06C63"/>
    <w:rsid w:val="00F06C7B"/>
    <w:rsid w:val="00F06CE0"/>
    <w:rsid w:val="00F06DCC"/>
    <w:rsid w:val="00F06E07"/>
    <w:rsid w:val="00F06EA9"/>
    <w:rsid w:val="00F06EC6"/>
    <w:rsid w:val="00F06FD0"/>
    <w:rsid w:val="00F0704A"/>
    <w:rsid w:val="00F0705A"/>
    <w:rsid w:val="00F07060"/>
    <w:rsid w:val="00F070A1"/>
    <w:rsid w:val="00F070E3"/>
    <w:rsid w:val="00F070E5"/>
    <w:rsid w:val="00F07125"/>
    <w:rsid w:val="00F07170"/>
    <w:rsid w:val="00F07184"/>
    <w:rsid w:val="00F07271"/>
    <w:rsid w:val="00F07317"/>
    <w:rsid w:val="00F0732A"/>
    <w:rsid w:val="00F0735F"/>
    <w:rsid w:val="00F07394"/>
    <w:rsid w:val="00F073E6"/>
    <w:rsid w:val="00F07463"/>
    <w:rsid w:val="00F074D8"/>
    <w:rsid w:val="00F07543"/>
    <w:rsid w:val="00F0755C"/>
    <w:rsid w:val="00F075F3"/>
    <w:rsid w:val="00F07623"/>
    <w:rsid w:val="00F07665"/>
    <w:rsid w:val="00F076CD"/>
    <w:rsid w:val="00F076EF"/>
    <w:rsid w:val="00F0776A"/>
    <w:rsid w:val="00F0780B"/>
    <w:rsid w:val="00F07829"/>
    <w:rsid w:val="00F07861"/>
    <w:rsid w:val="00F078FA"/>
    <w:rsid w:val="00F0792D"/>
    <w:rsid w:val="00F07A17"/>
    <w:rsid w:val="00F07A6D"/>
    <w:rsid w:val="00F07A76"/>
    <w:rsid w:val="00F07C0C"/>
    <w:rsid w:val="00F07D0B"/>
    <w:rsid w:val="00F07D39"/>
    <w:rsid w:val="00F07D4F"/>
    <w:rsid w:val="00F07D89"/>
    <w:rsid w:val="00F07D92"/>
    <w:rsid w:val="00F07D9E"/>
    <w:rsid w:val="00F07DE6"/>
    <w:rsid w:val="00F07E46"/>
    <w:rsid w:val="00F07F05"/>
    <w:rsid w:val="00F07F69"/>
    <w:rsid w:val="00F07FE9"/>
    <w:rsid w:val="00F10094"/>
    <w:rsid w:val="00F100CC"/>
    <w:rsid w:val="00F1019A"/>
    <w:rsid w:val="00F101FC"/>
    <w:rsid w:val="00F1027F"/>
    <w:rsid w:val="00F10381"/>
    <w:rsid w:val="00F1040E"/>
    <w:rsid w:val="00F104D3"/>
    <w:rsid w:val="00F106C7"/>
    <w:rsid w:val="00F106F1"/>
    <w:rsid w:val="00F10738"/>
    <w:rsid w:val="00F1073C"/>
    <w:rsid w:val="00F107A3"/>
    <w:rsid w:val="00F10819"/>
    <w:rsid w:val="00F108FF"/>
    <w:rsid w:val="00F10948"/>
    <w:rsid w:val="00F109AD"/>
    <w:rsid w:val="00F109DF"/>
    <w:rsid w:val="00F10A4C"/>
    <w:rsid w:val="00F10A80"/>
    <w:rsid w:val="00F10AF4"/>
    <w:rsid w:val="00F10BD3"/>
    <w:rsid w:val="00F10BDA"/>
    <w:rsid w:val="00F10E40"/>
    <w:rsid w:val="00F10E5B"/>
    <w:rsid w:val="00F10E80"/>
    <w:rsid w:val="00F10F5A"/>
    <w:rsid w:val="00F10F87"/>
    <w:rsid w:val="00F10F8E"/>
    <w:rsid w:val="00F11009"/>
    <w:rsid w:val="00F11059"/>
    <w:rsid w:val="00F110AC"/>
    <w:rsid w:val="00F1116D"/>
    <w:rsid w:val="00F111EC"/>
    <w:rsid w:val="00F112C6"/>
    <w:rsid w:val="00F112E0"/>
    <w:rsid w:val="00F11338"/>
    <w:rsid w:val="00F11344"/>
    <w:rsid w:val="00F113EC"/>
    <w:rsid w:val="00F1148A"/>
    <w:rsid w:val="00F11597"/>
    <w:rsid w:val="00F1162F"/>
    <w:rsid w:val="00F11675"/>
    <w:rsid w:val="00F11758"/>
    <w:rsid w:val="00F11767"/>
    <w:rsid w:val="00F11778"/>
    <w:rsid w:val="00F117A9"/>
    <w:rsid w:val="00F11870"/>
    <w:rsid w:val="00F119B0"/>
    <w:rsid w:val="00F119FC"/>
    <w:rsid w:val="00F11B54"/>
    <w:rsid w:val="00F11BBF"/>
    <w:rsid w:val="00F11DCB"/>
    <w:rsid w:val="00F11E19"/>
    <w:rsid w:val="00F11F1B"/>
    <w:rsid w:val="00F11F27"/>
    <w:rsid w:val="00F11F2B"/>
    <w:rsid w:val="00F1212D"/>
    <w:rsid w:val="00F1221A"/>
    <w:rsid w:val="00F1236F"/>
    <w:rsid w:val="00F12477"/>
    <w:rsid w:val="00F1247E"/>
    <w:rsid w:val="00F1258B"/>
    <w:rsid w:val="00F125BA"/>
    <w:rsid w:val="00F125BD"/>
    <w:rsid w:val="00F12726"/>
    <w:rsid w:val="00F12851"/>
    <w:rsid w:val="00F12935"/>
    <w:rsid w:val="00F129DD"/>
    <w:rsid w:val="00F12A3A"/>
    <w:rsid w:val="00F12A91"/>
    <w:rsid w:val="00F12ACA"/>
    <w:rsid w:val="00F12BAA"/>
    <w:rsid w:val="00F12BFC"/>
    <w:rsid w:val="00F12C0A"/>
    <w:rsid w:val="00F12C23"/>
    <w:rsid w:val="00F12C57"/>
    <w:rsid w:val="00F12C98"/>
    <w:rsid w:val="00F12CC1"/>
    <w:rsid w:val="00F12CCE"/>
    <w:rsid w:val="00F12D5B"/>
    <w:rsid w:val="00F12D68"/>
    <w:rsid w:val="00F12D9F"/>
    <w:rsid w:val="00F12E11"/>
    <w:rsid w:val="00F12E2A"/>
    <w:rsid w:val="00F12F33"/>
    <w:rsid w:val="00F12F49"/>
    <w:rsid w:val="00F12F61"/>
    <w:rsid w:val="00F1306E"/>
    <w:rsid w:val="00F13070"/>
    <w:rsid w:val="00F130ED"/>
    <w:rsid w:val="00F13136"/>
    <w:rsid w:val="00F1313C"/>
    <w:rsid w:val="00F1315C"/>
    <w:rsid w:val="00F13192"/>
    <w:rsid w:val="00F131DE"/>
    <w:rsid w:val="00F13260"/>
    <w:rsid w:val="00F132AC"/>
    <w:rsid w:val="00F132FD"/>
    <w:rsid w:val="00F13327"/>
    <w:rsid w:val="00F13335"/>
    <w:rsid w:val="00F1339F"/>
    <w:rsid w:val="00F133AF"/>
    <w:rsid w:val="00F134F5"/>
    <w:rsid w:val="00F134FF"/>
    <w:rsid w:val="00F13521"/>
    <w:rsid w:val="00F13529"/>
    <w:rsid w:val="00F1356F"/>
    <w:rsid w:val="00F135B5"/>
    <w:rsid w:val="00F1365F"/>
    <w:rsid w:val="00F13695"/>
    <w:rsid w:val="00F136BB"/>
    <w:rsid w:val="00F136BC"/>
    <w:rsid w:val="00F136C2"/>
    <w:rsid w:val="00F136E8"/>
    <w:rsid w:val="00F137DD"/>
    <w:rsid w:val="00F13901"/>
    <w:rsid w:val="00F1398F"/>
    <w:rsid w:val="00F139C6"/>
    <w:rsid w:val="00F139FF"/>
    <w:rsid w:val="00F13B1E"/>
    <w:rsid w:val="00F13B37"/>
    <w:rsid w:val="00F13BE8"/>
    <w:rsid w:val="00F13DBE"/>
    <w:rsid w:val="00F13E49"/>
    <w:rsid w:val="00F13E51"/>
    <w:rsid w:val="00F13F17"/>
    <w:rsid w:val="00F13F38"/>
    <w:rsid w:val="00F13F63"/>
    <w:rsid w:val="00F1402C"/>
    <w:rsid w:val="00F14119"/>
    <w:rsid w:val="00F14182"/>
    <w:rsid w:val="00F1421D"/>
    <w:rsid w:val="00F143CC"/>
    <w:rsid w:val="00F14498"/>
    <w:rsid w:val="00F1449C"/>
    <w:rsid w:val="00F14544"/>
    <w:rsid w:val="00F145D7"/>
    <w:rsid w:val="00F145DF"/>
    <w:rsid w:val="00F146B2"/>
    <w:rsid w:val="00F1480D"/>
    <w:rsid w:val="00F149A5"/>
    <w:rsid w:val="00F149BA"/>
    <w:rsid w:val="00F14A2D"/>
    <w:rsid w:val="00F14A45"/>
    <w:rsid w:val="00F14A93"/>
    <w:rsid w:val="00F14B63"/>
    <w:rsid w:val="00F14B73"/>
    <w:rsid w:val="00F14BFF"/>
    <w:rsid w:val="00F14CC1"/>
    <w:rsid w:val="00F14CCE"/>
    <w:rsid w:val="00F14D7D"/>
    <w:rsid w:val="00F14DA6"/>
    <w:rsid w:val="00F14DD3"/>
    <w:rsid w:val="00F14E23"/>
    <w:rsid w:val="00F14E5B"/>
    <w:rsid w:val="00F14F41"/>
    <w:rsid w:val="00F15109"/>
    <w:rsid w:val="00F151FC"/>
    <w:rsid w:val="00F1523A"/>
    <w:rsid w:val="00F1526C"/>
    <w:rsid w:val="00F152A3"/>
    <w:rsid w:val="00F152BA"/>
    <w:rsid w:val="00F152FA"/>
    <w:rsid w:val="00F15333"/>
    <w:rsid w:val="00F1536A"/>
    <w:rsid w:val="00F153DC"/>
    <w:rsid w:val="00F153E8"/>
    <w:rsid w:val="00F15438"/>
    <w:rsid w:val="00F154A5"/>
    <w:rsid w:val="00F15688"/>
    <w:rsid w:val="00F156ED"/>
    <w:rsid w:val="00F15783"/>
    <w:rsid w:val="00F157D1"/>
    <w:rsid w:val="00F1586E"/>
    <w:rsid w:val="00F15956"/>
    <w:rsid w:val="00F15961"/>
    <w:rsid w:val="00F1596B"/>
    <w:rsid w:val="00F159D1"/>
    <w:rsid w:val="00F15A06"/>
    <w:rsid w:val="00F15A08"/>
    <w:rsid w:val="00F15B54"/>
    <w:rsid w:val="00F15BD7"/>
    <w:rsid w:val="00F15C5C"/>
    <w:rsid w:val="00F15CA3"/>
    <w:rsid w:val="00F15D9A"/>
    <w:rsid w:val="00F15DF6"/>
    <w:rsid w:val="00F15F48"/>
    <w:rsid w:val="00F16026"/>
    <w:rsid w:val="00F16067"/>
    <w:rsid w:val="00F160EC"/>
    <w:rsid w:val="00F161E4"/>
    <w:rsid w:val="00F16237"/>
    <w:rsid w:val="00F16355"/>
    <w:rsid w:val="00F16405"/>
    <w:rsid w:val="00F1648B"/>
    <w:rsid w:val="00F164A2"/>
    <w:rsid w:val="00F164A3"/>
    <w:rsid w:val="00F164CF"/>
    <w:rsid w:val="00F1655A"/>
    <w:rsid w:val="00F165BD"/>
    <w:rsid w:val="00F16654"/>
    <w:rsid w:val="00F16660"/>
    <w:rsid w:val="00F16724"/>
    <w:rsid w:val="00F16745"/>
    <w:rsid w:val="00F167BA"/>
    <w:rsid w:val="00F167D2"/>
    <w:rsid w:val="00F167ED"/>
    <w:rsid w:val="00F1682B"/>
    <w:rsid w:val="00F16853"/>
    <w:rsid w:val="00F168E0"/>
    <w:rsid w:val="00F168E5"/>
    <w:rsid w:val="00F16905"/>
    <w:rsid w:val="00F169AE"/>
    <w:rsid w:val="00F169B0"/>
    <w:rsid w:val="00F169D3"/>
    <w:rsid w:val="00F16A8A"/>
    <w:rsid w:val="00F16AAD"/>
    <w:rsid w:val="00F16D0C"/>
    <w:rsid w:val="00F16D11"/>
    <w:rsid w:val="00F16D18"/>
    <w:rsid w:val="00F16EE6"/>
    <w:rsid w:val="00F16FEA"/>
    <w:rsid w:val="00F171CE"/>
    <w:rsid w:val="00F171F7"/>
    <w:rsid w:val="00F172B2"/>
    <w:rsid w:val="00F172E8"/>
    <w:rsid w:val="00F173E4"/>
    <w:rsid w:val="00F17481"/>
    <w:rsid w:val="00F17487"/>
    <w:rsid w:val="00F174BB"/>
    <w:rsid w:val="00F17534"/>
    <w:rsid w:val="00F1754D"/>
    <w:rsid w:val="00F175D3"/>
    <w:rsid w:val="00F17638"/>
    <w:rsid w:val="00F17723"/>
    <w:rsid w:val="00F17742"/>
    <w:rsid w:val="00F178D9"/>
    <w:rsid w:val="00F17949"/>
    <w:rsid w:val="00F1794C"/>
    <w:rsid w:val="00F17964"/>
    <w:rsid w:val="00F17A0F"/>
    <w:rsid w:val="00F17AD9"/>
    <w:rsid w:val="00F17ADC"/>
    <w:rsid w:val="00F17B95"/>
    <w:rsid w:val="00F17BCE"/>
    <w:rsid w:val="00F17C6A"/>
    <w:rsid w:val="00F17C7A"/>
    <w:rsid w:val="00F17C84"/>
    <w:rsid w:val="00F17CE1"/>
    <w:rsid w:val="00F17D56"/>
    <w:rsid w:val="00F17D73"/>
    <w:rsid w:val="00F17DFD"/>
    <w:rsid w:val="00F17E2F"/>
    <w:rsid w:val="00F17E7B"/>
    <w:rsid w:val="00F17EE7"/>
    <w:rsid w:val="00F17EF9"/>
    <w:rsid w:val="00F17F2F"/>
    <w:rsid w:val="00F17F60"/>
    <w:rsid w:val="00F2003C"/>
    <w:rsid w:val="00F2005C"/>
    <w:rsid w:val="00F200D5"/>
    <w:rsid w:val="00F20128"/>
    <w:rsid w:val="00F20288"/>
    <w:rsid w:val="00F20292"/>
    <w:rsid w:val="00F20334"/>
    <w:rsid w:val="00F203D7"/>
    <w:rsid w:val="00F2048D"/>
    <w:rsid w:val="00F2053F"/>
    <w:rsid w:val="00F20540"/>
    <w:rsid w:val="00F2059C"/>
    <w:rsid w:val="00F20606"/>
    <w:rsid w:val="00F206CD"/>
    <w:rsid w:val="00F2070D"/>
    <w:rsid w:val="00F2073E"/>
    <w:rsid w:val="00F20794"/>
    <w:rsid w:val="00F207C9"/>
    <w:rsid w:val="00F208BB"/>
    <w:rsid w:val="00F20909"/>
    <w:rsid w:val="00F20A8B"/>
    <w:rsid w:val="00F20BEF"/>
    <w:rsid w:val="00F20C74"/>
    <w:rsid w:val="00F20D52"/>
    <w:rsid w:val="00F20D56"/>
    <w:rsid w:val="00F20D99"/>
    <w:rsid w:val="00F20E10"/>
    <w:rsid w:val="00F20E89"/>
    <w:rsid w:val="00F20EEE"/>
    <w:rsid w:val="00F20F4B"/>
    <w:rsid w:val="00F20F91"/>
    <w:rsid w:val="00F210C7"/>
    <w:rsid w:val="00F21137"/>
    <w:rsid w:val="00F212E5"/>
    <w:rsid w:val="00F212EF"/>
    <w:rsid w:val="00F213C3"/>
    <w:rsid w:val="00F21472"/>
    <w:rsid w:val="00F214C7"/>
    <w:rsid w:val="00F21528"/>
    <w:rsid w:val="00F215A8"/>
    <w:rsid w:val="00F215EF"/>
    <w:rsid w:val="00F21622"/>
    <w:rsid w:val="00F21625"/>
    <w:rsid w:val="00F217C2"/>
    <w:rsid w:val="00F2194E"/>
    <w:rsid w:val="00F21A23"/>
    <w:rsid w:val="00F21A6B"/>
    <w:rsid w:val="00F21AE7"/>
    <w:rsid w:val="00F21C08"/>
    <w:rsid w:val="00F21C4A"/>
    <w:rsid w:val="00F21C95"/>
    <w:rsid w:val="00F21CD2"/>
    <w:rsid w:val="00F21D97"/>
    <w:rsid w:val="00F21E6B"/>
    <w:rsid w:val="00F21E88"/>
    <w:rsid w:val="00F21EB9"/>
    <w:rsid w:val="00F21EFB"/>
    <w:rsid w:val="00F21FE2"/>
    <w:rsid w:val="00F22059"/>
    <w:rsid w:val="00F22060"/>
    <w:rsid w:val="00F220DF"/>
    <w:rsid w:val="00F220EA"/>
    <w:rsid w:val="00F221CA"/>
    <w:rsid w:val="00F221DC"/>
    <w:rsid w:val="00F221F5"/>
    <w:rsid w:val="00F221F6"/>
    <w:rsid w:val="00F222E3"/>
    <w:rsid w:val="00F223B1"/>
    <w:rsid w:val="00F22402"/>
    <w:rsid w:val="00F2249C"/>
    <w:rsid w:val="00F224D5"/>
    <w:rsid w:val="00F2275F"/>
    <w:rsid w:val="00F2279A"/>
    <w:rsid w:val="00F22820"/>
    <w:rsid w:val="00F22834"/>
    <w:rsid w:val="00F22934"/>
    <w:rsid w:val="00F229EF"/>
    <w:rsid w:val="00F22A50"/>
    <w:rsid w:val="00F22A70"/>
    <w:rsid w:val="00F22A89"/>
    <w:rsid w:val="00F22C09"/>
    <w:rsid w:val="00F22C25"/>
    <w:rsid w:val="00F22CC1"/>
    <w:rsid w:val="00F22D08"/>
    <w:rsid w:val="00F22D62"/>
    <w:rsid w:val="00F22D69"/>
    <w:rsid w:val="00F22DDC"/>
    <w:rsid w:val="00F22E4A"/>
    <w:rsid w:val="00F22EA2"/>
    <w:rsid w:val="00F22FB6"/>
    <w:rsid w:val="00F22FC1"/>
    <w:rsid w:val="00F22FE1"/>
    <w:rsid w:val="00F2307E"/>
    <w:rsid w:val="00F230E1"/>
    <w:rsid w:val="00F2312C"/>
    <w:rsid w:val="00F2314F"/>
    <w:rsid w:val="00F23178"/>
    <w:rsid w:val="00F23197"/>
    <w:rsid w:val="00F2321B"/>
    <w:rsid w:val="00F2324E"/>
    <w:rsid w:val="00F23268"/>
    <w:rsid w:val="00F2326B"/>
    <w:rsid w:val="00F23436"/>
    <w:rsid w:val="00F23456"/>
    <w:rsid w:val="00F2345A"/>
    <w:rsid w:val="00F2348B"/>
    <w:rsid w:val="00F23497"/>
    <w:rsid w:val="00F23531"/>
    <w:rsid w:val="00F2358B"/>
    <w:rsid w:val="00F23593"/>
    <w:rsid w:val="00F23609"/>
    <w:rsid w:val="00F23649"/>
    <w:rsid w:val="00F2364A"/>
    <w:rsid w:val="00F2367A"/>
    <w:rsid w:val="00F236D0"/>
    <w:rsid w:val="00F236DD"/>
    <w:rsid w:val="00F23700"/>
    <w:rsid w:val="00F2382E"/>
    <w:rsid w:val="00F23842"/>
    <w:rsid w:val="00F23872"/>
    <w:rsid w:val="00F23878"/>
    <w:rsid w:val="00F239CB"/>
    <w:rsid w:val="00F23A24"/>
    <w:rsid w:val="00F23B7D"/>
    <w:rsid w:val="00F23BF3"/>
    <w:rsid w:val="00F23BF8"/>
    <w:rsid w:val="00F23E49"/>
    <w:rsid w:val="00F23E65"/>
    <w:rsid w:val="00F23EAE"/>
    <w:rsid w:val="00F23F28"/>
    <w:rsid w:val="00F23FC4"/>
    <w:rsid w:val="00F24017"/>
    <w:rsid w:val="00F24019"/>
    <w:rsid w:val="00F24058"/>
    <w:rsid w:val="00F240CC"/>
    <w:rsid w:val="00F241CE"/>
    <w:rsid w:val="00F241D0"/>
    <w:rsid w:val="00F243E6"/>
    <w:rsid w:val="00F2451E"/>
    <w:rsid w:val="00F246D1"/>
    <w:rsid w:val="00F24710"/>
    <w:rsid w:val="00F2475D"/>
    <w:rsid w:val="00F24796"/>
    <w:rsid w:val="00F248AA"/>
    <w:rsid w:val="00F24A04"/>
    <w:rsid w:val="00F24AB6"/>
    <w:rsid w:val="00F24BAB"/>
    <w:rsid w:val="00F24C13"/>
    <w:rsid w:val="00F24C5A"/>
    <w:rsid w:val="00F24D15"/>
    <w:rsid w:val="00F24E2E"/>
    <w:rsid w:val="00F24E4C"/>
    <w:rsid w:val="00F24F82"/>
    <w:rsid w:val="00F2500F"/>
    <w:rsid w:val="00F250A5"/>
    <w:rsid w:val="00F25156"/>
    <w:rsid w:val="00F251C4"/>
    <w:rsid w:val="00F2522B"/>
    <w:rsid w:val="00F252D6"/>
    <w:rsid w:val="00F25368"/>
    <w:rsid w:val="00F253AE"/>
    <w:rsid w:val="00F25487"/>
    <w:rsid w:val="00F25632"/>
    <w:rsid w:val="00F25677"/>
    <w:rsid w:val="00F25691"/>
    <w:rsid w:val="00F2570D"/>
    <w:rsid w:val="00F257E2"/>
    <w:rsid w:val="00F25830"/>
    <w:rsid w:val="00F25846"/>
    <w:rsid w:val="00F2586F"/>
    <w:rsid w:val="00F25891"/>
    <w:rsid w:val="00F258C7"/>
    <w:rsid w:val="00F25921"/>
    <w:rsid w:val="00F2593F"/>
    <w:rsid w:val="00F259B5"/>
    <w:rsid w:val="00F25A11"/>
    <w:rsid w:val="00F25A83"/>
    <w:rsid w:val="00F25AB8"/>
    <w:rsid w:val="00F25DA3"/>
    <w:rsid w:val="00F25DD7"/>
    <w:rsid w:val="00F25E62"/>
    <w:rsid w:val="00F25EFB"/>
    <w:rsid w:val="00F25F6A"/>
    <w:rsid w:val="00F25F84"/>
    <w:rsid w:val="00F26057"/>
    <w:rsid w:val="00F26286"/>
    <w:rsid w:val="00F262D4"/>
    <w:rsid w:val="00F263F8"/>
    <w:rsid w:val="00F26404"/>
    <w:rsid w:val="00F26406"/>
    <w:rsid w:val="00F26414"/>
    <w:rsid w:val="00F2641B"/>
    <w:rsid w:val="00F26440"/>
    <w:rsid w:val="00F264B7"/>
    <w:rsid w:val="00F264D8"/>
    <w:rsid w:val="00F26511"/>
    <w:rsid w:val="00F2653C"/>
    <w:rsid w:val="00F265C5"/>
    <w:rsid w:val="00F265F1"/>
    <w:rsid w:val="00F2662D"/>
    <w:rsid w:val="00F266C8"/>
    <w:rsid w:val="00F26844"/>
    <w:rsid w:val="00F26873"/>
    <w:rsid w:val="00F26901"/>
    <w:rsid w:val="00F26A08"/>
    <w:rsid w:val="00F26A60"/>
    <w:rsid w:val="00F26B8E"/>
    <w:rsid w:val="00F26BB9"/>
    <w:rsid w:val="00F26BCA"/>
    <w:rsid w:val="00F26C03"/>
    <w:rsid w:val="00F26C1D"/>
    <w:rsid w:val="00F26C34"/>
    <w:rsid w:val="00F26C45"/>
    <w:rsid w:val="00F26C79"/>
    <w:rsid w:val="00F26CB6"/>
    <w:rsid w:val="00F26CDB"/>
    <w:rsid w:val="00F26DA8"/>
    <w:rsid w:val="00F26E12"/>
    <w:rsid w:val="00F26E80"/>
    <w:rsid w:val="00F26EF9"/>
    <w:rsid w:val="00F26F14"/>
    <w:rsid w:val="00F26FBB"/>
    <w:rsid w:val="00F26FEF"/>
    <w:rsid w:val="00F27109"/>
    <w:rsid w:val="00F27177"/>
    <w:rsid w:val="00F2729A"/>
    <w:rsid w:val="00F272EA"/>
    <w:rsid w:val="00F272F7"/>
    <w:rsid w:val="00F273E9"/>
    <w:rsid w:val="00F273F9"/>
    <w:rsid w:val="00F2742F"/>
    <w:rsid w:val="00F27452"/>
    <w:rsid w:val="00F27534"/>
    <w:rsid w:val="00F27720"/>
    <w:rsid w:val="00F27864"/>
    <w:rsid w:val="00F278CE"/>
    <w:rsid w:val="00F27995"/>
    <w:rsid w:val="00F279A4"/>
    <w:rsid w:val="00F279AB"/>
    <w:rsid w:val="00F279BF"/>
    <w:rsid w:val="00F27A1D"/>
    <w:rsid w:val="00F27AC1"/>
    <w:rsid w:val="00F27B46"/>
    <w:rsid w:val="00F27D1E"/>
    <w:rsid w:val="00F27D44"/>
    <w:rsid w:val="00F27DBC"/>
    <w:rsid w:val="00F27DFA"/>
    <w:rsid w:val="00F27E9B"/>
    <w:rsid w:val="00F3004C"/>
    <w:rsid w:val="00F30094"/>
    <w:rsid w:val="00F300AE"/>
    <w:rsid w:val="00F30142"/>
    <w:rsid w:val="00F301FC"/>
    <w:rsid w:val="00F30201"/>
    <w:rsid w:val="00F302ED"/>
    <w:rsid w:val="00F30306"/>
    <w:rsid w:val="00F30307"/>
    <w:rsid w:val="00F30329"/>
    <w:rsid w:val="00F30368"/>
    <w:rsid w:val="00F3036C"/>
    <w:rsid w:val="00F303C6"/>
    <w:rsid w:val="00F30404"/>
    <w:rsid w:val="00F3041A"/>
    <w:rsid w:val="00F30447"/>
    <w:rsid w:val="00F3045E"/>
    <w:rsid w:val="00F304C7"/>
    <w:rsid w:val="00F3053D"/>
    <w:rsid w:val="00F30581"/>
    <w:rsid w:val="00F30594"/>
    <w:rsid w:val="00F305D1"/>
    <w:rsid w:val="00F3066D"/>
    <w:rsid w:val="00F3068E"/>
    <w:rsid w:val="00F306DD"/>
    <w:rsid w:val="00F3078B"/>
    <w:rsid w:val="00F30970"/>
    <w:rsid w:val="00F309A8"/>
    <w:rsid w:val="00F30A11"/>
    <w:rsid w:val="00F30AC5"/>
    <w:rsid w:val="00F30AD2"/>
    <w:rsid w:val="00F30C2A"/>
    <w:rsid w:val="00F30DF7"/>
    <w:rsid w:val="00F30E26"/>
    <w:rsid w:val="00F30EB8"/>
    <w:rsid w:val="00F30F1D"/>
    <w:rsid w:val="00F30FBA"/>
    <w:rsid w:val="00F30FBF"/>
    <w:rsid w:val="00F3112B"/>
    <w:rsid w:val="00F3114C"/>
    <w:rsid w:val="00F31154"/>
    <w:rsid w:val="00F3117E"/>
    <w:rsid w:val="00F311CB"/>
    <w:rsid w:val="00F3122C"/>
    <w:rsid w:val="00F312A5"/>
    <w:rsid w:val="00F312BD"/>
    <w:rsid w:val="00F3132C"/>
    <w:rsid w:val="00F31364"/>
    <w:rsid w:val="00F3136B"/>
    <w:rsid w:val="00F313A5"/>
    <w:rsid w:val="00F314A2"/>
    <w:rsid w:val="00F314F1"/>
    <w:rsid w:val="00F31501"/>
    <w:rsid w:val="00F3156B"/>
    <w:rsid w:val="00F315A6"/>
    <w:rsid w:val="00F315B2"/>
    <w:rsid w:val="00F315F0"/>
    <w:rsid w:val="00F316E2"/>
    <w:rsid w:val="00F31790"/>
    <w:rsid w:val="00F31801"/>
    <w:rsid w:val="00F318D3"/>
    <w:rsid w:val="00F31977"/>
    <w:rsid w:val="00F3197C"/>
    <w:rsid w:val="00F319C6"/>
    <w:rsid w:val="00F319CD"/>
    <w:rsid w:val="00F31A52"/>
    <w:rsid w:val="00F31A85"/>
    <w:rsid w:val="00F31AE9"/>
    <w:rsid w:val="00F31B85"/>
    <w:rsid w:val="00F31C78"/>
    <w:rsid w:val="00F31CFE"/>
    <w:rsid w:val="00F31DC1"/>
    <w:rsid w:val="00F31E09"/>
    <w:rsid w:val="00F31E6E"/>
    <w:rsid w:val="00F31EB0"/>
    <w:rsid w:val="00F31F09"/>
    <w:rsid w:val="00F31F1E"/>
    <w:rsid w:val="00F31F28"/>
    <w:rsid w:val="00F31FE8"/>
    <w:rsid w:val="00F31FF4"/>
    <w:rsid w:val="00F3204D"/>
    <w:rsid w:val="00F320D0"/>
    <w:rsid w:val="00F32457"/>
    <w:rsid w:val="00F3245C"/>
    <w:rsid w:val="00F32478"/>
    <w:rsid w:val="00F324F4"/>
    <w:rsid w:val="00F326F5"/>
    <w:rsid w:val="00F32746"/>
    <w:rsid w:val="00F327EA"/>
    <w:rsid w:val="00F32848"/>
    <w:rsid w:val="00F329FD"/>
    <w:rsid w:val="00F32C23"/>
    <w:rsid w:val="00F32CC4"/>
    <w:rsid w:val="00F32D08"/>
    <w:rsid w:val="00F32E41"/>
    <w:rsid w:val="00F32E6F"/>
    <w:rsid w:val="00F32E99"/>
    <w:rsid w:val="00F32F18"/>
    <w:rsid w:val="00F32F9A"/>
    <w:rsid w:val="00F32FC6"/>
    <w:rsid w:val="00F32FE9"/>
    <w:rsid w:val="00F3303F"/>
    <w:rsid w:val="00F33147"/>
    <w:rsid w:val="00F33175"/>
    <w:rsid w:val="00F3325E"/>
    <w:rsid w:val="00F332BC"/>
    <w:rsid w:val="00F33360"/>
    <w:rsid w:val="00F33397"/>
    <w:rsid w:val="00F333D8"/>
    <w:rsid w:val="00F3345F"/>
    <w:rsid w:val="00F33641"/>
    <w:rsid w:val="00F33661"/>
    <w:rsid w:val="00F33674"/>
    <w:rsid w:val="00F33676"/>
    <w:rsid w:val="00F336A2"/>
    <w:rsid w:val="00F336A4"/>
    <w:rsid w:val="00F336D4"/>
    <w:rsid w:val="00F33831"/>
    <w:rsid w:val="00F338A5"/>
    <w:rsid w:val="00F338C3"/>
    <w:rsid w:val="00F339DB"/>
    <w:rsid w:val="00F33A3B"/>
    <w:rsid w:val="00F33A82"/>
    <w:rsid w:val="00F33AE3"/>
    <w:rsid w:val="00F33B5F"/>
    <w:rsid w:val="00F33BF4"/>
    <w:rsid w:val="00F33C42"/>
    <w:rsid w:val="00F33C68"/>
    <w:rsid w:val="00F33C75"/>
    <w:rsid w:val="00F33C9F"/>
    <w:rsid w:val="00F33DDC"/>
    <w:rsid w:val="00F33E3A"/>
    <w:rsid w:val="00F33EDB"/>
    <w:rsid w:val="00F33F22"/>
    <w:rsid w:val="00F33F5A"/>
    <w:rsid w:val="00F33FC6"/>
    <w:rsid w:val="00F34080"/>
    <w:rsid w:val="00F340C9"/>
    <w:rsid w:val="00F3412F"/>
    <w:rsid w:val="00F341A4"/>
    <w:rsid w:val="00F3423A"/>
    <w:rsid w:val="00F34253"/>
    <w:rsid w:val="00F342D3"/>
    <w:rsid w:val="00F34317"/>
    <w:rsid w:val="00F343C5"/>
    <w:rsid w:val="00F343CF"/>
    <w:rsid w:val="00F343D2"/>
    <w:rsid w:val="00F3448B"/>
    <w:rsid w:val="00F3449A"/>
    <w:rsid w:val="00F34593"/>
    <w:rsid w:val="00F345DB"/>
    <w:rsid w:val="00F345FF"/>
    <w:rsid w:val="00F3460D"/>
    <w:rsid w:val="00F34614"/>
    <w:rsid w:val="00F34615"/>
    <w:rsid w:val="00F346B2"/>
    <w:rsid w:val="00F346BC"/>
    <w:rsid w:val="00F346E7"/>
    <w:rsid w:val="00F34803"/>
    <w:rsid w:val="00F34840"/>
    <w:rsid w:val="00F3488C"/>
    <w:rsid w:val="00F348DB"/>
    <w:rsid w:val="00F3491B"/>
    <w:rsid w:val="00F34930"/>
    <w:rsid w:val="00F34973"/>
    <w:rsid w:val="00F349CA"/>
    <w:rsid w:val="00F34B03"/>
    <w:rsid w:val="00F34B59"/>
    <w:rsid w:val="00F34CA8"/>
    <w:rsid w:val="00F34D6E"/>
    <w:rsid w:val="00F34E80"/>
    <w:rsid w:val="00F34F9E"/>
    <w:rsid w:val="00F34FEB"/>
    <w:rsid w:val="00F3500E"/>
    <w:rsid w:val="00F35026"/>
    <w:rsid w:val="00F35095"/>
    <w:rsid w:val="00F35126"/>
    <w:rsid w:val="00F35154"/>
    <w:rsid w:val="00F35166"/>
    <w:rsid w:val="00F354D2"/>
    <w:rsid w:val="00F3551C"/>
    <w:rsid w:val="00F3551D"/>
    <w:rsid w:val="00F355B5"/>
    <w:rsid w:val="00F355FF"/>
    <w:rsid w:val="00F356C0"/>
    <w:rsid w:val="00F3571D"/>
    <w:rsid w:val="00F3572A"/>
    <w:rsid w:val="00F3588B"/>
    <w:rsid w:val="00F3589F"/>
    <w:rsid w:val="00F3593B"/>
    <w:rsid w:val="00F35955"/>
    <w:rsid w:val="00F35994"/>
    <w:rsid w:val="00F35A95"/>
    <w:rsid w:val="00F35B0D"/>
    <w:rsid w:val="00F35B32"/>
    <w:rsid w:val="00F35BC0"/>
    <w:rsid w:val="00F35CE5"/>
    <w:rsid w:val="00F35CF5"/>
    <w:rsid w:val="00F35D32"/>
    <w:rsid w:val="00F35D51"/>
    <w:rsid w:val="00F35DCC"/>
    <w:rsid w:val="00F35DDE"/>
    <w:rsid w:val="00F35F20"/>
    <w:rsid w:val="00F35F73"/>
    <w:rsid w:val="00F35FC9"/>
    <w:rsid w:val="00F36018"/>
    <w:rsid w:val="00F3615E"/>
    <w:rsid w:val="00F36199"/>
    <w:rsid w:val="00F361B1"/>
    <w:rsid w:val="00F3622B"/>
    <w:rsid w:val="00F36231"/>
    <w:rsid w:val="00F36312"/>
    <w:rsid w:val="00F36386"/>
    <w:rsid w:val="00F36511"/>
    <w:rsid w:val="00F36690"/>
    <w:rsid w:val="00F366EE"/>
    <w:rsid w:val="00F3675D"/>
    <w:rsid w:val="00F3683A"/>
    <w:rsid w:val="00F3693E"/>
    <w:rsid w:val="00F3697E"/>
    <w:rsid w:val="00F369B9"/>
    <w:rsid w:val="00F369C3"/>
    <w:rsid w:val="00F36A1B"/>
    <w:rsid w:val="00F36A57"/>
    <w:rsid w:val="00F36AD6"/>
    <w:rsid w:val="00F36BAD"/>
    <w:rsid w:val="00F36C12"/>
    <w:rsid w:val="00F36C5E"/>
    <w:rsid w:val="00F36C87"/>
    <w:rsid w:val="00F36DD2"/>
    <w:rsid w:val="00F36E3A"/>
    <w:rsid w:val="00F36E71"/>
    <w:rsid w:val="00F36EC9"/>
    <w:rsid w:val="00F36F1C"/>
    <w:rsid w:val="00F36F31"/>
    <w:rsid w:val="00F36FEA"/>
    <w:rsid w:val="00F37023"/>
    <w:rsid w:val="00F37035"/>
    <w:rsid w:val="00F3706A"/>
    <w:rsid w:val="00F37072"/>
    <w:rsid w:val="00F3717F"/>
    <w:rsid w:val="00F37191"/>
    <w:rsid w:val="00F3719A"/>
    <w:rsid w:val="00F371E9"/>
    <w:rsid w:val="00F3722F"/>
    <w:rsid w:val="00F372CB"/>
    <w:rsid w:val="00F37357"/>
    <w:rsid w:val="00F37404"/>
    <w:rsid w:val="00F37429"/>
    <w:rsid w:val="00F37484"/>
    <w:rsid w:val="00F374A0"/>
    <w:rsid w:val="00F37516"/>
    <w:rsid w:val="00F37523"/>
    <w:rsid w:val="00F3756B"/>
    <w:rsid w:val="00F37584"/>
    <w:rsid w:val="00F375D3"/>
    <w:rsid w:val="00F375F5"/>
    <w:rsid w:val="00F375FB"/>
    <w:rsid w:val="00F37635"/>
    <w:rsid w:val="00F3774B"/>
    <w:rsid w:val="00F37758"/>
    <w:rsid w:val="00F377C6"/>
    <w:rsid w:val="00F377F6"/>
    <w:rsid w:val="00F3781F"/>
    <w:rsid w:val="00F37837"/>
    <w:rsid w:val="00F378CC"/>
    <w:rsid w:val="00F379B7"/>
    <w:rsid w:val="00F37A78"/>
    <w:rsid w:val="00F37B04"/>
    <w:rsid w:val="00F37B15"/>
    <w:rsid w:val="00F37B64"/>
    <w:rsid w:val="00F37BB5"/>
    <w:rsid w:val="00F37BED"/>
    <w:rsid w:val="00F37CAC"/>
    <w:rsid w:val="00F37CF9"/>
    <w:rsid w:val="00F37E6A"/>
    <w:rsid w:val="00F37FC3"/>
    <w:rsid w:val="00F40006"/>
    <w:rsid w:val="00F4006D"/>
    <w:rsid w:val="00F400D1"/>
    <w:rsid w:val="00F40165"/>
    <w:rsid w:val="00F4019B"/>
    <w:rsid w:val="00F401D3"/>
    <w:rsid w:val="00F40221"/>
    <w:rsid w:val="00F40252"/>
    <w:rsid w:val="00F4025F"/>
    <w:rsid w:val="00F402AA"/>
    <w:rsid w:val="00F4034D"/>
    <w:rsid w:val="00F404A8"/>
    <w:rsid w:val="00F40565"/>
    <w:rsid w:val="00F40567"/>
    <w:rsid w:val="00F40639"/>
    <w:rsid w:val="00F40684"/>
    <w:rsid w:val="00F406C8"/>
    <w:rsid w:val="00F40704"/>
    <w:rsid w:val="00F40743"/>
    <w:rsid w:val="00F40758"/>
    <w:rsid w:val="00F4080E"/>
    <w:rsid w:val="00F40881"/>
    <w:rsid w:val="00F408DF"/>
    <w:rsid w:val="00F40A1C"/>
    <w:rsid w:val="00F40B12"/>
    <w:rsid w:val="00F40B67"/>
    <w:rsid w:val="00F40BB3"/>
    <w:rsid w:val="00F40BFD"/>
    <w:rsid w:val="00F40C73"/>
    <w:rsid w:val="00F40D48"/>
    <w:rsid w:val="00F40D67"/>
    <w:rsid w:val="00F40E0B"/>
    <w:rsid w:val="00F40EF7"/>
    <w:rsid w:val="00F40FE9"/>
    <w:rsid w:val="00F410C3"/>
    <w:rsid w:val="00F410CC"/>
    <w:rsid w:val="00F41121"/>
    <w:rsid w:val="00F411C1"/>
    <w:rsid w:val="00F41225"/>
    <w:rsid w:val="00F41283"/>
    <w:rsid w:val="00F412E4"/>
    <w:rsid w:val="00F41334"/>
    <w:rsid w:val="00F4136A"/>
    <w:rsid w:val="00F41386"/>
    <w:rsid w:val="00F414AD"/>
    <w:rsid w:val="00F41590"/>
    <w:rsid w:val="00F41616"/>
    <w:rsid w:val="00F416DF"/>
    <w:rsid w:val="00F41743"/>
    <w:rsid w:val="00F41793"/>
    <w:rsid w:val="00F41799"/>
    <w:rsid w:val="00F417FB"/>
    <w:rsid w:val="00F4181D"/>
    <w:rsid w:val="00F418C1"/>
    <w:rsid w:val="00F41917"/>
    <w:rsid w:val="00F41923"/>
    <w:rsid w:val="00F41924"/>
    <w:rsid w:val="00F419D6"/>
    <w:rsid w:val="00F41A16"/>
    <w:rsid w:val="00F41A9C"/>
    <w:rsid w:val="00F41AC9"/>
    <w:rsid w:val="00F41ADC"/>
    <w:rsid w:val="00F41B6C"/>
    <w:rsid w:val="00F41B72"/>
    <w:rsid w:val="00F41B73"/>
    <w:rsid w:val="00F41B9A"/>
    <w:rsid w:val="00F41C97"/>
    <w:rsid w:val="00F41CAE"/>
    <w:rsid w:val="00F41D04"/>
    <w:rsid w:val="00F41DF5"/>
    <w:rsid w:val="00F41E61"/>
    <w:rsid w:val="00F41F02"/>
    <w:rsid w:val="00F41F27"/>
    <w:rsid w:val="00F41FB9"/>
    <w:rsid w:val="00F42076"/>
    <w:rsid w:val="00F4209A"/>
    <w:rsid w:val="00F42119"/>
    <w:rsid w:val="00F42122"/>
    <w:rsid w:val="00F42159"/>
    <w:rsid w:val="00F42242"/>
    <w:rsid w:val="00F422BF"/>
    <w:rsid w:val="00F42311"/>
    <w:rsid w:val="00F4238C"/>
    <w:rsid w:val="00F42414"/>
    <w:rsid w:val="00F4245B"/>
    <w:rsid w:val="00F42493"/>
    <w:rsid w:val="00F424A6"/>
    <w:rsid w:val="00F424EB"/>
    <w:rsid w:val="00F42508"/>
    <w:rsid w:val="00F42557"/>
    <w:rsid w:val="00F4270A"/>
    <w:rsid w:val="00F427A8"/>
    <w:rsid w:val="00F427E9"/>
    <w:rsid w:val="00F42842"/>
    <w:rsid w:val="00F4290D"/>
    <w:rsid w:val="00F42939"/>
    <w:rsid w:val="00F42953"/>
    <w:rsid w:val="00F429C7"/>
    <w:rsid w:val="00F42A3C"/>
    <w:rsid w:val="00F42A90"/>
    <w:rsid w:val="00F42AA8"/>
    <w:rsid w:val="00F42AD6"/>
    <w:rsid w:val="00F42B56"/>
    <w:rsid w:val="00F42BF6"/>
    <w:rsid w:val="00F42C26"/>
    <w:rsid w:val="00F42D13"/>
    <w:rsid w:val="00F42D25"/>
    <w:rsid w:val="00F42DBC"/>
    <w:rsid w:val="00F42E05"/>
    <w:rsid w:val="00F42E53"/>
    <w:rsid w:val="00F42EAA"/>
    <w:rsid w:val="00F42EB6"/>
    <w:rsid w:val="00F42FAB"/>
    <w:rsid w:val="00F42FB2"/>
    <w:rsid w:val="00F42FD2"/>
    <w:rsid w:val="00F4309B"/>
    <w:rsid w:val="00F430A9"/>
    <w:rsid w:val="00F430BC"/>
    <w:rsid w:val="00F431AC"/>
    <w:rsid w:val="00F43346"/>
    <w:rsid w:val="00F43592"/>
    <w:rsid w:val="00F435AC"/>
    <w:rsid w:val="00F435E3"/>
    <w:rsid w:val="00F435F0"/>
    <w:rsid w:val="00F436B6"/>
    <w:rsid w:val="00F43742"/>
    <w:rsid w:val="00F43753"/>
    <w:rsid w:val="00F4378F"/>
    <w:rsid w:val="00F437AC"/>
    <w:rsid w:val="00F437F6"/>
    <w:rsid w:val="00F43817"/>
    <w:rsid w:val="00F4384D"/>
    <w:rsid w:val="00F438A4"/>
    <w:rsid w:val="00F438AF"/>
    <w:rsid w:val="00F4392C"/>
    <w:rsid w:val="00F43A15"/>
    <w:rsid w:val="00F43AB5"/>
    <w:rsid w:val="00F43B6D"/>
    <w:rsid w:val="00F43BD1"/>
    <w:rsid w:val="00F43C2A"/>
    <w:rsid w:val="00F43C30"/>
    <w:rsid w:val="00F43CF1"/>
    <w:rsid w:val="00F43D03"/>
    <w:rsid w:val="00F43D06"/>
    <w:rsid w:val="00F43DF3"/>
    <w:rsid w:val="00F43EA7"/>
    <w:rsid w:val="00F43EB3"/>
    <w:rsid w:val="00F43EC7"/>
    <w:rsid w:val="00F43EE0"/>
    <w:rsid w:val="00F43F4A"/>
    <w:rsid w:val="00F43F5B"/>
    <w:rsid w:val="00F43F7D"/>
    <w:rsid w:val="00F44040"/>
    <w:rsid w:val="00F4405A"/>
    <w:rsid w:val="00F44088"/>
    <w:rsid w:val="00F44119"/>
    <w:rsid w:val="00F44171"/>
    <w:rsid w:val="00F44210"/>
    <w:rsid w:val="00F44248"/>
    <w:rsid w:val="00F4425E"/>
    <w:rsid w:val="00F44274"/>
    <w:rsid w:val="00F4432D"/>
    <w:rsid w:val="00F4438D"/>
    <w:rsid w:val="00F4442C"/>
    <w:rsid w:val="00F4448D"/>
    <w:rsid w:val="00F444DC"/>
    <w:rsid w:val="00F44531"/>
    <w:rsid w:val="00F445BA"/>
    <w:rsid w:val="00F445E9"/>
    <w:rsid w:val="00F445EA"/>
    <w:rsid w:val="00F44639"/>
    <w:rsid w:val="00F446CF"/>
    <w:rsid w:val="00F4476D"/>
    <w:rsid w:val="00F44850"/>
    <w:rsid w:val="00F448C0"/>
    <w:rsid w:val="00F448CE"/>
    <w:rsid w:val="00F44933"/>
    <w:rsid w:val="00F449BF"/>
    <w:rsid w:val="00F44A6B"/>
    <w:rsid w:val="00F44ABE"/>
    <w:rsid w:val="00F44C9F"/>
    <w:rsid w:val="00F44CC7"/>
    <w:rsid w:val="00F44DC1"/>
    <w:rsid w:val="00F44E77"/>
    <w:rsid w:val="00F44F12"/>
    <w:rsid w:val="00F44F97"/>
    <w:rsid w:val="00F4504D"/>
    <w:rsid w:val="00F450CD"/>
    <w:rsid w:val="00F45127"/>
    <w:rsid w:val="00F45218"/>
    <w:rsid w:val="00F45251"/>
    <w:rsid w:val="00F45254"/>
    <w:rsid w:val="00F45351"/>
    <w:rsid w:val="00F45370"/>
    <w:rsid w:val="00F45440"/>
    <w:rsid w:val="00F454C4"/>
    <w:rsid w:val="00F45799"/>
    <w:rsid w:val="00F457EB"/>
    <w:rsid w:val="00F458C4"/>
    <w:rsid w:val="00F458E8"/>
    <w:rsid w:val="00F4590B"/>
    <w:rsid w:val="00F4590F"/>
    <w:rsid w:val="00F4594F"/>
    <w:rsid w:val="00F45A97"/>
    <w:rsid w:val="00F45B60"/>
    <w:rsid w:val="00F45CEE"/>
    <w:rsid w:val="00F45ED3"/>
    <w:rsid w:val="00F45F00"/>
    <w:rsid w:val="00F45F10"/>
    <w:rsid w:val="00F45F36"/>
    <w:rsid w:val="00F45F62"/>
    <w:rsid w:val="00F45F68"/>
    <w:rsid w:val="00F4615F"/>
    <w:rsid w:val="00F4620A"/>
    <w:rsid w:val="00F462FD"/>
    <w:rsid w:val="00F46373"/>
    <w:rsid w:val="00F463B9"/>
    <w:rsid w:val="00F464AA"/>
    <w:rsid w:val="00F464E4"/>
    <w:rsid w:val="00F46560"/>
    <w:rsid w:val="00F46674"/>
    <w:rsid w:val="00F46736"/>
    <w:rsid w:val="00F467EA"/>
    <w:rsid w:val="00F4680A"/>
    <w:rsid w:val="00F46825"/>
    <w:rsid w:val="00F46837"/>
    <w:rsid w:val="00F46893"/>
    <w:rsid w:val="00F46969"/>
    <w:rsid w:val="00F469C4"/>
    <w:rsid w:val="00F46A2E"/>
    <w:rsid w:val="00F46B9D"/>
    <w:rsid w:val="00F46C33"/>
    <w:rsid w:val="00F46C83"/>
    <w:rsid w:val="00F46D53"/>
    <w:rsid w:val="00F46D9F"/>
    <w:rsid w:val="00F46E00"/>
    <w:rsid w:val="00F46E29"/>
    <w:rsid w:val="00F46E40"/>
    <w:rsid w:val="00F46E97"/>
    <w:rsid w:val="00F46EA1"/>
    <w:rsid w:val="00F46F41"/>
    <w:rsid w:val="00F46FC7"/>
    <w:rsid w:val="00F470B2"/>
    <w:rsid w:val="00F470BB"/>
    <w:rsid w:val="00F4711F"/>
    <w:rsid w:val="00F471D1"/>
    <w:rsid w:val="00F47255"/>
    <w:rsid w:val="00F47273"/>
    <w:rsid w:val="00F47358"/>
    <w:rsid w:val="00F473F6"/>
    <w:rsid w:val="00F47400"/>
    <w:rsid w:val="00F47513"/>
    <w:rsid w:val="00F4751A"/>
    <w:rsid w:val="00F475B8"/>
    <w:rsid w:val="00F4760A"/>
    <w:rsid w:val="00F477A4"/>
    <w:rsid w:val="00F47BE4"/>
    <w:rsid w:val="00F47C15"/>
    <w:rsid w:val="00F47C32"/>
    <w:rsid w:val="00F47D0C"/>
    <w:rsid w:val="00F47D8B"/>
    <w:rsid w:val="00F47DC6"/>
    <w:rsid w:val="00F47E1A"/>
    <w:rsid w:val="00F47F17"/>
    <w:rsid w:val="00F47F5A"/>
    <w:rsid w:val="00F50072"/>
    <w:rsid w:val="00F500ED"/>
    <w:rsid w:val="00F5025D"/>
    <w:rsid w:val="00F50311"/>
    <w:rsid w:val="00F50330"/>
    <w:rsid w:val="00F50346"/>
    <w:rsid w:val="00F503D5"/>
    <w:rsid w:val="00F504BC"/>
    <w:rsid w:val="00F50500"/>
    <w:rsid w:val="00F50503"/>
    <w:rsid w:val="00F5062B"/>
    <w:rsid w:val="00F506C9"/>
    <w:rsid w:val="00F506D0"/>
    <w:rsid w:val="00F5071F"/>
    <w:rsid w:val="00F50759"/>
    <w:rsid w:val="00F50790"/>
    <w:rsid w:val="00F507AA"/>
    <w:rsid w:val="00F507B9"/>
    <w:rsid w:val="00F508AF"/>
    <w:rsid w:val="00F508B5"/>
    <w:rsid w:val="00F50938"/>
    <w:rsid w:val="00F50946"/>
    <w:rsid w:val="00F509B7"/>
    <w:rsid w:val="00F509DA"/>
    <w:rsid w:val="00F50A7D"/>
    <w:rsid w:val="00F50A7F"/>
    <w:rsid w:val="00F50C6E"/>
    <w:rsid w:val="00F50D53"/>
    <w:rsid w:val="00F50F2D"/>
    <w:rsid w:val="00F50F65"/>
    <w:rsid w:val="00F50FEE"/>
    <w:rsid w:val="00F51032"/>
    <w:rsid w:val="00F51087"/>
    <w:rsid w:val="00F510C1"/>
    <w:rsid w:val="00F51121"/>
    <w:rsid w:val="00F51187"/>
    <w:rsid w:val="00F51275"/>
    <w:rsid w:val="00F512A1"/>
    <w:rsid w:val="00F512D9"/>
    <w:rsid w:val="00F5136D"/>
    <w:rsid w:val="00F515E8"/>
    <w:rsid w:val="00F516C9"/>
    <w:rsid w:val="00F516CB"/>
    <w:rsid w:val="00F5194C"/>
    <w:rsid w:val="00F51958"/>
    <w:rsid w:val="00F51962"/>
    <w:rsid w:val="00F51A5E"/>
    <w:rsid w:val="00F51A65"/>
    <w:rsid w:val="00F51A73"/>
    <w:rsid w:val="00F51BDA"/>
    <w:rsid w:val="00F51C52"/>
    <w:rsid w:val="00F51CD1"/>
    <w:rsid w:val="00F51E04"/>
    <w:rsid w:val="00F51E67"/>
    <w:rsid w:val="00F51F16"/>
    <w:rsid w:val="00F51FAF"/>
    <w:rsid w:val="00F51FCF"/>
    <w:rsid w:val="00F52009"/>
    <w:rsid w:val="00F520A0"/>
    <w:rsid w:val="00F520B3"/>
    <w:rsid w:val="00F520EC"/>
    <w:rsid w:val="00F520F5"/>
    <w:rsid w:val="00F521A1"/>
    <w:rsid w:val="00F523D0"/>
    <w:rsid w:val="00F52412"/>
    <w:rsid w:val="00F5246B"/>
    <w:rsid w:val="00F524F0"/>
    <w:rsid w:val="00F52604"/>
    <w:rsid w:val="00F52628"/>
    <w:rsid w:val="00F52642"/>
    <w:rsid w:val="00F52795"/>
    <w:rsid w:val="00F527E4"/>
    <w:rsid w:val="00F52813"/>
    <w:rsid w:val="00F528E7"/>
    <w:rsid w:val="00F529D7"/>
    <w:rsid w:val="00F529FE"/>
    <w:rsid w:val="00F52A28"/>
    <w:rsid w:val="00F52A69"/>
    <w:rsid w:val="00F52A8A"/>
    <w:rsid w:val="00F52AF3"/>
    <w:rsid w:val="00F52B3A"/>
    <w:rsid w:val="00F52B5B"/>
    <w:rsid w:val="00F52B71"/>
    <w:rsid w:val="00F52B8E"/>
    <w:rsid w:val="00F52D28"/>
    <w:rsid w:val="00F52DA1"/>
    <w:rsid w:val="00F52E5C"/>
    <w:rsid w:val="00F52F61"/>
    <w:rsid w:val="00F53002"/>
    <w:rsid w:val="00F5302D"/>
    <w:rsid w:val="00F530BB"/>
    <w:rsid w:val="00F5316B"/>
    <w:rsid w:val="00F53170"/>
    <w:rsid w:val="00F53174"/>
    <w:rsid w:val="00F531B7"/>
    <w:rsid w:val="00F531DE"/>
    <w:rsid w:val="00F53340"/>
    <w:rsid w:val="00F533CC"/>
    <w:rsid w:val="00F5349A"/>
    <w:rsid w:val="00F534FE"/>
    <w:rsid w:val="00F5352E"/>
    <w:rsid w:val="00F53557"/>
    <w:rsid w:val="00F535EC"/>
    <w:rsid w:val="00F53652"/>
    <w:rsid w:val="00F53725"/>
    <w:rsid w:val="00F53799"/>
    <w:rsid w:val="00F537EF"/>
    <w:rsid w:val="00F537FC"/>
    <w:rsid w:val="00F538C1"/>
    <w:rsid w:val="00F538F0"/>
    <w:rsid w:val="00F5395E"/>
    <w:rsid w:val="00F539B1"/>
    <w:rsid w:val="00F53A17"/>
    <w:rsid w:val="00F53A30"/>
    <w:rsid w:val="00F53B23"/>
    <w:rsid w:val="00F53B8F"/>
    <w:rsid w:val="00F53C91"/>
    <w:rsid w:val="00F53CFD"/>
    <w:rsid w:val="00F53D31"/>
    <w:rsid w:val="00F53E10"/>
    <w:rsid w:val="00F53E72"/>
    <w:rsid w:val="00F53EA1"/>
    <w:rsid w:val="00F53EF6"/>
    <w:rsid w:val="00F53F1C"/>
    <w:rsid w:val="00F53F8C"/>
    <w:rsid w:val="00F53FBA"/>
    <w:rsid w:val="00F540F0"/>
    <w:rsid w:val="00F540FE"/>
    <w:rsid w:val="00F541D5"/>
    <w:rsid w:val="00F5426A"/>
    <w:rsid w:val="00F54284"/>
    <w:rsid w:val="00F5429E"/>
    <w:rsid w:val="00F542AE"/>
    <w:rsid w:val="00F542B5"/>
    <w:rsid w:val="00F542E5"/>
    <w:rsid w:val="00F54324"/>
    <w:rsid w:val="00F543B5"/>
    <w:rsid w:val="00F5446D"/>
    <w:rsid w:val="00F544A4"/>
    <w:rsid w:val="00F544B5"/>
    <w:rsid w:val="00F544FD"/>
    <w:rsid w:val="00F54541"/>
    <w:rsid w:val="00F545A8"/>
    <w:rsid w:val="00F545EB"/>
    <w:rsid w:val="00F5466F"/>
    <w:rsid w:val="00F54684"/>
    <w:rsid w:val="00F546E4"/>
    <w:rsid w:val="00F54798"/>
    <w:rsid w:val="00F547A4"/>
    <w:rsid w:val="00F5498D"/>
    <w:rsid w:val="00F549B8"/>
    <w:rsid w:val="00F549DC"/>
    <w:rsid w:val="00F54ADE"/>
    <w:rsid w:val="00F54AF5"/>
    <w:rsid w:val="00F54B3E"/>
    <w:rsid w:val="00F54B4E"/>
    <w:rsid w:val="00F54B7F"/>
    <w:rsid w:val="00F54BDD"/>
    <w:rsid w:val="00F54BFB"/>
    <w:rsid w:val="00F54DBB"/>
    <w:rsid w:val="00F54DD6"/>
    <w:rsid w:val="00F54F0F"/>
    <w:rsid w:val="00F54FFE"/>
    <w:rsid w:val="00F55097"/>
    <w:rsid w:val="00F55161"/>
    <w:rsid w:val="00F55235"/>
    <w:rsid w:val="00F55247"/>
    <w:rsid w:val="00F55250"/>
    <w:rsid w:val="00F5531D"/>
    <w:rsid w:val="00F55474"/>
    <w:rsid w:val="00F55518"/>
    <w:rsid w:val="00F55630"/>
    <w:rsid w:val="00F55661"/>
    <w:rsid w:val="00F55702"/>
    <w:rsid w:val="00F5571D"/>
    <w:rsid w:val="00F55793"/>
    <w:rsid w:val="00F557BB"/>
    <w:rsid w:val="00F557E3"/>
    <w:rsid w:val="00F557FD"/>
    <w:rsid w:val="00F5581D"/>
    <w:rsid w:val="00F5588E"/>
    <w:rsid w:val="00F5589E"/>
    <w:rsid w:val="00F558CB"/>
    <w:rsid w:val="00F55B25"/>
    <w:rsid w:val="00F55BEA"/>
    <w:rsid w:val="00F55D16"/>
    <w:rsid w:val="00F55E25"/>
    <w:rsid w:val="00F55FE9"/>
    <w:rsid w:val="00F5606B"/>
    <w:rsid w:val="00F560B2"/>
    <w:rsid w:val="00F560B3"/>
    <w:rsid w:val="00F56122"/>
    <w:rsid w:val="00F56221"/>
    <w:rsid w:val="00F5624C"/>
    <w:rsid w:val="00F5625A"/>
    <w:rsid w:val="00F56294"/>
    <w:rsid w:val="00F5640F"/>
    <w:rsid w:val="00F56461"/>
    <w:rsid w:val="00F564EB"/>
    <w:rsid w:val="00F565DF"/>
    <w:rsid w:val="00F56744"/>
    <w:rsid w:val="00F5674D"/>
    <w:rsid w:val="00F56765"/>
    <w:rsid w:val="00F5676D"/>
    <w:rsid w:val="00F567B5"/>
    <w:rsid w:val="00F567CC"/>
    <w:rsid w:val="00F568D6"/>
    <w:rsid w:val="00F5696F"/>
    <w:rsid w:val="00F56987"/>
    <w:rsid w:val="00F56A35"/>
    <w:rsid w:val="00F56A48"/>
    <w:rsid w:val="00F56A65"/>
    <w:rsid w:val="00F56B21"/>
    <w:rsid w:val="00F56BCD"/>
    <w:rsid w:val="00F56BE0"/>
    <w:rsid w:val="00F56CF1"/>
    <w:rsid w:val="00F56D51"/>
    <w:rsid w:val="00F56D8E"/>
    <w:rsid w:val="00F56DB4"/>
    <w:rsid w:val="00F56DB7"/>
    <w:rsid w:val="00F56EAC"/>
    <w:rsid w:val="00F56F31"/>
    <w:rsid w:val="00F56F93"/>
    <w:rsid w:val="00F56FA9"/>
    <w:rsid w:val="00F5702D"/>
    <w:rsid w:val="00F570C2"/>
    <w:rsid w:val="00F570E2"/>
    <w:rsid w:val="00F570F0"/>
    <w:rsid w:val="00F57155"/>
    <w:rsid w:val="00F57290"/>
    <w:rsid w:val="00F572F9"/>
    <w:rsid w:val="00F572FE"/>
    <w:rsid w:val="00F57302"/>
    <w:rsid w:val="00F5735B"/>
    <w:rsid w:val="00F574A5"/>
    <w:rsid w:val="00F574BB"/>
    <w:rsid w:val="00F574D3"/>
    <w:rsid w:val="00F57525"/>
    <w:rsid w:val="00F57549"/>
    <w:rsid w:val="00F57614"/>
    <w:rsid w:val="00F57728"/>
    <w:rsid w:val="00F5773E"/>
    <w:rsid w:val="00F57781"/>
    <w:rsid w:val="00F577B2"/>
    <w:rsid w:val="00F577BC"/>
    <w:rsid w:val="00F5780C"/>
    <w:rsid w:val="00F57897"/>
    <w:rsid w:val="00F578C1"/>
    <w:rsid w:val="00F578E1"/>
    <w:rsid w:val="00F579E0"/>
    <w:rsid w:val="00F57A76"/>
    <w:rsid w:val="00F57AAF"/>
    <w:rsid w:val="00F57B10"/>
    <w:rsid w:val="00F57DC3"/>
    <w:rsid w:val="00F57EA3"/>
    <w:rsid w:val="00F60041"/>
    <w:rsid w:val="00F60128"/>
    <w:rsid w:val="00F60129"/>
    <w:rsid w:val="00F603EC"/>
    <w:rsid w:val="00F60538"/>
    <w:rsid w:val="00F60573"/>
    <w:rsid w:val="00F605B5"/>
    <w:rsid w:val="00F605E7"/>
    <w:rsid w:val="00F60684"/>
    <w:rsid w:val="00F608D2"/>
    <w:rsid w:val="00F608E0"/>
    <w:rsid w:val="00F60920"/>
    <w:rsid w:val="00F609A2"/>
    <w:rsid w:val="00F60B8D"/>
    <w:rsid w:val="00F60BB0"/>
    <w:rsid w:val="00F60C51"/>
    <w:rsid w:val="00F60C57"/>
    <w:rsid w:val="00F60C74"/>
    <w:rsid w:val="00F60D2A"/>
    <w:rsid w:val="00F60D74"/>
    <w:rsid w:val="00F60DF4"/>
    <w:rsid w:val="00F60E1D"/>
    <w:rsid w:val="00F60E30"/>
    <w:rsid w:val="00F60E67"/>
    <w:rsid w:val="00F60F16"/>
    <w:rsid w:val="00F60F21"/>
    <w:rsid w:val="00F60F74"/>
    <w:rsid w:val="00F60F98"/>
    <w:rsid w:val="00F60FD5"/>
    <w:rsid w:val="00F6112E"/>
    <w:rsid w:val="00F6122C"/>
    <w:rsid w:val="00F6123A"/>
    <w:rsid w:val="00F61396"/>
    <w:rsid w:val="00F613F0"/>
    <w:rsid w:val="00F6142C"/>
    <w:rsid w:val="00F614B1"/>
    <w:rsid w:val="00F614C8"/>
    <w:rsid w:val="00F614FF"/>
    <w:rsid w:val="00F61632"/>
    <w:rsid w:val="00F61693"/>
    <w:rsid w:val="00F61717"/>
    <w:rsid w:val="00F617D4"/>
    <w:rsid w:val="00F61854"/>
    <w:rsid w:val="00F61924"/>
    <w:rsid w:val="00F61933"/>
    <w:rsid w:val="00F61A60"/>
    <w:rsid w:val="00F61A86"/>
    <w:rsid w:val="00F61AE1"/>
    <w:rsid w:val="00F61AF6"/>
    <w:rsid w:val="00F61C14"/>
    <w:rsid w:val="00F61C7D"/>
    <w:rsid w:val="00F61CE4"/>
    <w:rsid w:val="00F61CE5"/>
    <w:rsid w:val="00F61CE8"/>
    <w:rsid w:val="00F61D74"/>
    <w:rsid w:val="00F61E28"/>
    <w:rsid w:val="00F61E47"/>
    <w:rsid w:val="00F61E49"/>
    <w:rsid w:val="00F61E78"/>
    <w:rsid w:val="00F61F1F"/>
    <w:rsid w:val="00F61FAB"/>
    <w:rsid w:val="00F6203D"/>
    <w:rsid w:val="00F62143"/>
    <w:rsid w:val="00F62159"/>
    <w:rsid w:val="00F621A0"/>
    <w:rsid w:val="00F621D9"/>
    <w:rsid w:val="00F621E7"/>
    <w:rsid w:val="00F622C8"/>
    <w:rsid w:val="00F622F1"/>
    <w:rsid w:val="00F62353"/>
    <w:rsid w:val="00F62391"/>
    <w:rsid w:val="00F62478"/>
    <w:rsid w:val="00F62493"/>
    <w:rsid w:val="00F624B2"/>
    <w:rsid w:val="00F624DB"/>
    <w:rsid w:val="00F624DD"/>
    <w:rsid w:val="00F624EF"/>
    <w:rsid w:val="00F6253A"/>
    <w:rsid w:val="00F6253D"/>
    <w:rsid w:val="00F62573"/>
    <w:rsid w:val="00F6258F"/>
    <w:rsid w:val="00F625D5"/>
    <w:rsid w:val="00F62635"/>
    <w:rsid w:val="00F62709"/>
    <w:rsid w:val="00F628A8"/>
    <w:rsid w:val="00F628CD"/>
    <w:rsid w:val="00F6299A"/>
    <w:rsid w:val="00F629CE"/>
    <w:rsid w:val="00F629F3"/>
    <w:rsid w:val="00F62B83"/>
    <w:rsid w:val="00F62CA7"/>
    <w:rsid w:val="00F62CC1"/>
    <w:rsid w:val="00F62D01"/>
    <w:rsid w:val="00F62D11"/>
    <w:rsid w:val="00F62D29"/>
    <w:rsid w:val="00F62D64"/>
    <w:rsid w:val="00F62D96"/>
    <w:rsid w:val="00F62D9C"/>
    <w:rsid w:val="00F62DAC"/>
    <w:rsid w:val="00F62E2F"/>
    <w:rsid w:val="00F62E51"/>
    <w:rsid w:val="00F62EBD"/>
    <w:rsid w:val="00F62F00"/>
    <w:rsid w:val="00F62F32"/>
    <w:rsid w:val="00F62F46"/>
    <w:rsid w:val="00F62F6A"/>
    <w:rsid w:val="00F62FEE"/>
    <w:rsid w:val="00F63048"/>
    <w:rsid w:val="00F630DC"/>
    <w:rsid w:val="00F63136"/>
    <w:rsid w:val="00F631D2"/>
    <w:rsid w:val="00F63313"/>
    <w:rsid w:val="00F63320"/>
    <w:rsid w:val="00F6334D"/>
    <w:rsid w:val="00F6336C"/>
    <w:rsid w:val="00F63407"/>
    <w:rsid w:val="00F63460"/>
    <w:rsid w:val="00F63498"/>
    <w:rsid w:val="00F634DE"/>
    <w:rsid w:val="00F63517"/>
    <w:rsid w:val="00F635C5"/>
    <w:rsid w:val="00F63624"/>
    <w:rsid w:val="00F63648"/>
    <w:rsid w:val="00F6371C"/>
    <w:rsid w:val="00F6376C"/>
    <w:rsid w:val="00F63822"/>
    <w:rsid w:val="00F6384A"/>
    <w:rsid w:val="00F63885"/>
    <w:rsid w:val="00F63A51"/>
    <w:rsid w:val="00F63AC0"/>
    <w:rsid w:val="00F63B0B"/>
    <w:rsid w:val="00F63B80"/>
    <w:rsid w:val="00F63C03"/>
    <w:rsid w:val="00F63C1E"/>
    <w:rsid w:val="00F63C82"/>
    <w:rsid w:val="00F63CBE"/>
    <w:rsid w:val="00F63CFC"/>
    <w:rsid w:val="00F63D04"/>
    <w:rsid w:val="00F63D49"/>
    <w:rsid w:val="00F63D7B"/>
    <w:rsid w:val="00F63E2E"/>
    <w:rsid w:val="00F63E8D"/>
    <w:rsid w:val="00F63E92"/>
    <w:rsid w:val="00F63EA0"/>
    <w:rsid w:val="00F63EB9"/>
    <w:rsid w:val="00F63EC7"/>
    <w:rsid w:val="00F63F10"/>
    <w:rsid w:val="00F63FFA"/>
    <w:rsid w:val="00F64003"/>
    <w:rsid w:val="00F640D4"/>
    <w:rsid w:val="00F641C8"/>
    <w:rsid w:val="00F64319"/>
    <w:rsid w:val="00F64359"/>
    <w:rsid w:val="00F64378"/>
    <w:rsid w:val="00F6455A"/>
    <w:rsid w:val="00F645C8"/>
    <w:rsid w:val="00F64604"/>
    <w:rsid w:val="00F64654"/>
    <w:rsid w:val="00F646D4"/>
    <w:rsid w:val="00F648B1"/>
    <w:rsid w:val="00F64913"/>
    <w:rsid w:val="00F6492E"/>
    <w:rsid w:val="00F64A73"/>
    <w:rsid w:val="00F64A85"/>
    <w:rsid w:val="00F64AB8"/>
    <w:rsid w:val="00F64C52"/>
    <w:rsid w:val="00F64E3D"/>
    <w:rsid w:val="00F64E59"/>
    <w:rsid w:val="00F64F36"/>
    <w:rsid w:val="00F64FAB"/>
    <w:rsid w:val="00F64FDC"/>
    <w:rsid w:val="00F65033"/>
    <w:rsid w:val="00F650DC"/>
    <w:rsid w:val="00F65193"/>
    <w:rsid w:val="00F651BA"/>
    <w:rsid w:val="00F652FF"/>
    <w:rsid w:val="00F6538B"/>
    <w:rsid w:val="00F653AF"/>
    <w:rsid w:val="00F65495"/>
    <w:rsid w:val="00F654BA"/>
    <w:rsid w:val="00F65569"/>
    <w:rsid w:val="00F6556E"/>
    <w:rsid w:val="00F6560D"/>
    <w:rsid w:val="00F65625"/>
    <w:rsid w:val="00F656B4"/>
    <w:rsid w:val="00F65709"/>
    <w:rsid w:val="00F6579D"/>
    <w:rsid w:val="00F657A2"/>
    <w:rsid w:val="00F658A4"/>
    <w:rsid w:val="00F65B8D"/>
    <w:rsid w:val="00F65DA5"/>
    <w:rsid w:val="00F65E91"/>
    <w:rsid w:val="00F65E93"/>
    <w:rsid w:val="00F65E98"/>
    <w:rsid w:val="00F6600C"/>
    <w:rsid w:val="00F6602C"/>
    <w:rsid w:val="00F66251"/>
    <w:rsid w:val="00F6643C"/>
    <w:rsid w:val="00F6653C"/>
    <w:rsid w:val="00F666A5"/>
    <w:rsid w:val="00F667AB"/>
    <w:rsid w:val="00F667C1"/>
    <w:rsid w:val="00F667D9"/>
    <w:rsid w:val="00F66821"/>
    <w:rsid w:val="00F6686B"/>
    <w:rsid w:val="00F668B5"/>
    <w:rsid w:val="00F669F8"/>
    <w:rsid w:val="00F66A77"/>
    <w:rsid w:val="00F66AFB"/>
    <w:rsid w:val="00F66B45"/>
    <w:rsid w:val="00F66B72"/>
    <w:rsid w:val="00F66BA0"/>
    <w:rsid w:val="00F66C21"/>
    <w:rsid w:val="00F66C5E"/>
    <w:rsid w:val="00F66D3B"/>
    <w:rsid w:val="00F66DE7"/>
    <w:rsid w:val="00F66E55"/>
    <w:rsid w:val="00F66E9C"/>
    <w:rsid w:val="00F67102"/>
    <w:rsid w:val="00F67216"/>
    <w:rsid w:val="00F672C1"/>
    <w:rsid w:val="00F672D7"/>
    <w:rsid w:val="00F672D8"/>
    <w:rsid w:val="00F67308"/>
    <w:rsid w:val="00F6731F"/>
    <w:rsid w:val="00F673A6"/>
    <w:rsid w:val="00F674D1"/>
    <w:rsid w:val="00F675A9"/>
    <w:rsid w:val="00F675E6"/>
    <w:rsid w:val="00F676D6"/>
    <w:rsid w:val="00F67826"/>
    <w:rsid w:val="00F6788D"/>
    <w:rsid w:val="00F678C6"/>
    <w:rsid w:val="00F67924"/>
    <w:rsid w:val="00F6794C"/>
    <w:rsid w:val="00F67973"/>
    <w:rsid w:val="00F67A77"/>
    <w:rsid w:val="00F67A7E"/>
    <w:rsid w:val="00F67A9F"/>
    <w:rsid w:val="00F67AB8"/>
    <w:rsid w:val="00F67B33"/>
    <w:rsid w:val="00F67B60"/>
    <w:rsid w:val="00F67BB8"/>
    <w:rsid w:val="00F67BEB"/>
    <w:rsid w:val="00F67C0E"/>
    <w:rsid w:val="00F67C6C"/>
    <w:rsid w:val="00F67C7D"/>
    <w:rsid w:val="00F67D5B"/>
    <w:rsid w:val="00F67D6E"/>
    <w:rsid w:val="00F67E63"/>
    <w:rsid w:val="00F67F92"/>
    <w:rsid w:val="00F67FBE"/>
    <w:rsid w:val="00F7003C"/>
    <w:rsid w:val="00F701C2"/>
    <w:rsid w:val="00F7026D"/>
    <w:rsid w:val="00F70273"/>
    <w:rsid w:val="00F702C8"/>
    <w:rsid w:val="00F70365"/>
    <w:rsid w:val="00F703A1"/>
    <w:rsid w:val="00F704B1"/>
    <w:rsid w:val="00F704F1"/>
    <w:rsid w:val="00F7067A"/>
    <w:rsid w:val="00F706C7"/>
    <w:rsid w:val="00F7070D"/>
    <w:rsid w:val="00F707B3"/>
    <w:rsid w:val="00F707CD"/>
    <w:rsid w:val="00F70802"/>
    <w:rsid w:val="00F7083C"/>
    <w:rsid w:val="00F708E9"/>
    <w:rsid w:val="00F708EF"/>
    <w:rsid w:val="00F70995"/>
    <w:rsid w:val="00F70A2F"/>
    <w:rsid w:val="00F70A96"/>
    <w:rsid w:val="00F70AC0"/>
    <w:rsid w:val="00F70B94"/>
    <w:rsid w:val="00F70CD0"/>
    <w:rsid w:val="00F70CDB"/>
    <w:rsid w:val="00F70D27"/>
    <w:rsid w:val="00F70D33"/>
    <w:rsid w:val="00F70DC0"/>
    <w:rsid w:val="00F70DC2"/>
    <w:rsid w:val="00F70DD3"/>
    <w:rsid w:val="00F70DF6"/>
    <w:rsid w:val="00F70E46"/>
    <w:rsid w:val="00F70ED3"/>
    <w:rsid w:val="00F71018"/>
    <w:rsid w:val="00F7120C"/>
    <w:rsid w:val="00F71298"/>
    <w:rsid w:val="00F71396"/>
    <w:rsid w:val="00F713E3"/>
    <w:rsid w:val="00F71418"/>
    <w:rsid w:val="00F714C3"/>
    <w:rsid w:val="00F714C5"/>
    <w:rsid w:val="00F7152C"/>
    <w:rsid w:val="00F71615"/>
    <w:rsid w:val="00F716DD"/>
    <w:rsid w:val="00F716E2"/>
    <w:rsid w:val="00F71711"/>
    <w:rsid w:val="00F71752"/>
    <w:rsid w:val="00F71754"/>
    <w:rsid w:val="00F71775"/>
    <w:rsid w:val="00F718AF"/>
    <w:rsid w:val="00F71936"/>
    <w:rsid w:val="00F71994"/>
    <w:rsid w:val="00F719A2"/>
    <w:rsid w:val="00F71A2C"/>
    <w:rsid w:val="00F71A34"/>
    <w:rsid w:val="00F71A55"/>
    <w:rsid w:val="00F71B30"/>
    <w:rsid w:val="00F71BBB"/>
    <w:rsid w:val="00F71C1D"/>
    <w:rsid w:val="00F71C2F"/>
    <w:rsid w:val="00F71DF5"/>
    <w:rsid w:val="00F71E6A"/>
    <w:rsid w:val="00F71F2A"/>
    <w:rsid w:val="00F71FBA"/>
    <w:rsid w:val="00F720AA"/>
    <w:rsid w:val="00F720B7"/>
    <w:rsid w:val="00F720E5"/>
    <w:rsid w:val="00F720FD"/>
    <w:rsid w:val="00F72142"/>
    <w:rsid w:val="00F7222B"/>
    <w:rsid w:val="00F72288"/>
    <w:rsid w:val="00F722A8"/>
    <w:rsid w:val="00F722AC"/>
    <w:rsid w:val="00F72363"/>
    <w:rsid w:val="00F723A9"/>
    <w:rsid w:val="00F723B5"/>
    <w:rsid w:val="00F7245A"/>
    <w:rsid w:val="00F724CF"/>
    <w:rsid w:val="00F724E5"/>
    <w:rsid w:val="00F725BD"/>
    <w:rsid w:val="00F72603"/>
    <w:rsid w:val="00F7267A"/>
    <w:rsid w:val="00F72684"/>
    <w:rsid w:val="00F72696"/>
    <w:rsid w:val="00F726A4"/>
    <w:rsid w:val="00F726CF"/>
    <w:rsid w:val="00F72767"/>
    <w:rsid w:val="00F727C8"/>
    <w:rsid w:val="00F727E9"/>
    <w:rsid w:val="00F72855"/>
    <w:rsid w:val="00F72867"/>
    <w:rsid w:val="00F728D0"/>
    <w:rsid w:val="00F728EC"/>
    <w:rsid w:val="00F7292B"/>
    <w:rsid w:val="00F7296F"/>
    <w:rsid w:val="00F729DB"/>
    <w:rsid w:val="00F729EF"/>
    <w:rsid w:val="00F72A04"/>
    <w:rsid w:val="00F72A6A"/>
    <w:rsid w:val="00F72B7C"/>
    <w:rsid w:val="00F72B90"/>
    <w:rsid w:val="00F72BAE"/>
    <w:rsid w:val="00F72BE8"/>
    <w:rsid w:val="00F72C33"/>
    <w:rsid w:val="00F72CFA"/>
    <w:rsid w:val="00F72D5A"/>
    <w:rsid w:val="00F72D68"/>
    <w:rsid w:val="00F72D71"/>
    <w:rsid w:val="00F72D86"/>
    <w:rsid w:val="00F72DBA"/>
    <w:rsid w:val="00F72DED"/>
    <w:rsid w:val="00F72EBF"/>
    <w:rsid w:val="00F72ED2"/>
    <w:rsid w:val="00F72FEB"/>
    <w:rsid w:val="00F73000"/>
    <w:rsid w:val="00F7310A"/>
    <w:rsid w:val="00F73289"/>
    <w:rsid w:val="00F7329E"/>
    <w:rsid w:val="00F73338"/>
    <w:rsid w:val="00F733E7"/>
    <w:rsid w:val="00F7348A"/>
    <w:rsid w:val="00F73506"/>
    <w:rsid w:val="00F73527"/>
    <w:rsid w:val="00F7354C"/>
    <w:rsid w:val="00F7356A"/>
    <w:rsid w:val="00F7360D"/>
    <w:rsid w:val="00F7363D"/>
    <w:rsid w:val="00F7369D"/>
    <w:rsid w:val="00F736E3"/>
    <w:rsid w:val="00F73716"/>
    <w:rsid w:val="00F7374F"/>
    <w:rsid w:val="00F738AE"/>
    <w:rsid w:val="00F738B1"/>
    <w:rsid w:val="00F7390F"/>
    <w:rsid w:val="00F73973"/>
    <w:rsid w:val="00F739CB"/>
    <w:rsid w:val="00F739F4"/>
    <w:rsid w:val="00F73A6A"/>
    <w:rsid w:val="00F73AB3"/>
    <w:rsid w:val="00F73AE6"/>
    <w:rsid w:val="00F73B03"/>
    <w:rsid w:val="00F73B49"/>
    <w:rsid w:val="00F73BA7"/>
    <w:rsid w:val="00F73D9D"/>
    <w:rsid w:val="00F73E05"/>
    <w:rsid w:val="00F73F61"/>
    <w:rsid w:val="00F7400D"/>
    <w:rsid w:val="00F740AE"/>
    <w:rsid w:val="00F740EF"/>
    <w:rsid w:val="00F74121"/>
    <w:rsid w:val="00F74124"/>
    <w:rsid w:val="00F7419B"/>
    <w:rsid w:val="00F741A9"/>
    <w:rsid w:val="00F74631"/>
    <w:rsid w:val="00F746EC"/>
    <w:rsid w:val="00F74792"/>
    <w:rsid w:val="00F74838"/>
    <w:rsid w:val="00F74925"/>
    <w:rsid w:val="00F7492B"/>
    <w:rsid w:val="00F7494B"/>
    <w:rsid w:val="00F74AB7"/>
    <w:rsid w:val="00F74B41"/>
    <w:rsid w:val="00F74BBF"/>
    <w:rsid w:val="00F74D23"/>
    <w:rsid w:val="00F74D61"/>
    <w:rsid w:val="00F74D7D"/>
    <w:rsid w:val="00F74DDB"/>
    <w:rsid w:val="00F74E2A"/>
    <w:rsid w:val="00F74E7A"/>
    <w:rsid w:val="00F74E84"/>
    <w:rsid w:val="00F74EEC"/>
    <w:rsid w:val="00F74F8C"/>
    <w:rsid w:val="00F75015"/>
    <w:rsid w:val="00F750CF"/>
    <w:rsid w:val="00F750EF"/>
    <w:rsid w:val="00F75121"/>
    <w:rsid w:val="00F7521F"/>
    <w:rsid w:val="00F75323"/>
    <w:rsid w:val="00F753C9"/>
    <w:rsid w:val="00F753D0"/>
    <w:rsid w:val="00F754E7"/>
    <w:rsid w:val="00F75554"/>
    <w:rsid w:val="00F7557F"/>
    <w:rsid w:val="00F7558F"/>
    <w:rsid w:val="00F75661"/>
    <w:rsid w:val="00F7570C"/>
    <w:rsid w:val="00F757B7"/>
    <w:rsid w:val="00F75826"/>
    <w:rsid w:val="00F759EF"/>
    <w:rsid w:val="00F75A05"/>
    <w:rsid w:val="00F75A5C"/>
    <w:rsid w:val="00F75A63"/>
    <w:rsid w:val="00F75BB6"/>
    <w:rsid w:val="00F75C92"/>
    <w:rsid w:val="00F75CF1"/>
    <w:rsid w:val="00F75CF7"/>
    <w:rsid w:val="00F75E28"/>
    <w:rsid w:val="00F75E76"/>
    <w:rsid w:val="00F75E81"/>
    <w:rsid w:val="00F75E91"/>
    <w:rsid w:val="00F75F1D"/>
    <w:rsid w:val="00F75F35"/>
    <w:rsid w:val="00F76056"/>
    <w:rsid w:val="00F760DD"/>
    <w:rsid w:val="00F76124"/>
    <w:rsid w:val="00F76136"/>
    <w:rsid w:val="00F761C9"/>
    <w:rsid w:val="00F762A9"/>
    <w:rsid w:val="00F7637A"/>
    <w:rsid w:val="00F76391"/>
    <w:rsid w:val="00F763D5"/>
    <w:rsid w:val="00F76432"/>
    <w:rsid w:val="00F76508"/>
    <w:rsid w:val="00F76519"/>
    <w:rsid w:val="00F76551"/>
    <w:rsid w:val="00F76640"/>
    <w:rsid w:val="00F76655"/>
    <w:rsid w:val="00F766AB"/>
    <w:rsid w:val="00F76731"/>
    <w:rsid w:val="00F76790"/>
    <w:rsid w:val="00F767E8"/>
    <w:rsid w:val="00F76847"/>
    <w:rsid w:val="00F7688D"/>
    <w:rsid w:val="00F76944"/>
    <w:rsid w:val="00F76956"/>
    <w:rsid w:val="00F7695C"/>
    <w:rsid w:val="00F769ED"/>
    <w:rsid w:val="00F76A55"/>
    <w:rsid w:val="00F76AAD"/>
    <w:rsid w:val="00F76AC0"/>
    <w:rsid w:val="00F76AF8"/>
    <w:rsid w:val="00F76B47"/>
    <w:rsid w:val="00F76BB1"/>
    <w:rsid w:val="00F76D79"/>
    <w:rsid w:val="00F76DC5"/>
    <w:rsid w:val="00F76E6F"/>
    <w:rsid w:val="00F76F00"/>
    <w:rsid w:val="00F76F35"/>
    <w:rsid w:val="00F76F3C"/>
    <w:rsid w:val="00F76F8C"/>
    <w:rsid w:val="00F76F9E"/>
    <w:rsid w:val="00F76FBF"/>
    <w:rsid w:val="00F7705E"/>
    <w:rsid w:val="00F7706B"/>
    <w:rsid w:val="00F770CC"/>
    <w:rsid w:val="00F77307"/>
    <w:rsid w:val="00F77364"/>
    <w:rsid w:val="00F773A4"/>
    <w:rsid w:val="00F773DC"/>
    <w:rsid w:val="00F77493"/>
    <w:rsid w:val="00F7753D"/>
    <w:rsid w:val="00F775D1"/>
    <w:rsid w:val="00F77945"/>
    <w:rsid w:val="00F77967"/>
    <w:rsid w:val="00F77A3F"/>
    <w:rsid w:val="00F77BC1"/>
    <w:rsid w:val="00F77BF2"/>
    <w:rsid w:val="00F77BFE"/>
    <w:rsid w:val="00F77CC3"/>
    <w:rsid w:val="00F77D2E"/>
    <w:rsid w:val="00F77D31"/>
    <w:rsid w:val="00F77D5C"/>
    <w:rsid w:val="00F77DFB"/>
    <w:rsid w:val="00F77E02"/>
    <w:rsid w:val="00F77E46"/>
    <w:rsid w:val="00F77E8E"/>
    <w:rsid w:val="00F77ED0"/>
    <w:rsid w:val="00F77F8A"/>
    <w:rsid w:val="00F77FE9"/>
    <w:rsid w:val="00F80003"/>
    <w:rsid w:val="00F80043"/>
    <w:rsid w:val="00F80132"/>
    <w:rsid w:val="00F8019A"/>
    <w:rsid w:val="00F801AB"/>
    <w:rsid w:val="00F8026E"/>
    <w:rsid w:val="00F8038C"/>
    <w:rsid w:val="00F803B9"/>
    <w:rsid w:val="00F8041D"/>
    <w:rsid w:val="00F80427"/>
    <w:rsid w:val="00F80453"/>
    <w:rsid w:val="00F80524"/>
    <w:rsid w:val="00F80529"/>
    <w:rsid w:val="00F806FC"/>
    <w:rsid w:val="00F8076C"/>
    <w:rsid w:val="00F807BE"/>
    <w:rsid w:val="00F807DC"/>
    <w:rsid w:val="00F807E9"/>
    <w:rsid w:val="00F807FF"/>
    <w:rsid w:val="00F8086A"/>
    <w:rsid w:val="00F809DD"/>
    <w:rsid w:val="00F80C05"/>
    <w:rsid w:val="00F80DA6"/>
    <w:rsid w:val="00F81033"/>
    <w:rsid w:val="00F8115F"/>
    <w:rsid w:val="00F81201"/>
    <w:rsid w:val="00F8125A"/>
    <w:rsid w:val="00F8126C"/>
    <w:rsid w:val="00F81286"/>
    <w:rsid w:val="00F81319"/>
    <w:rsid w:val="00F81328"/>
    <w:rsid w:val="00F81387"/>
    <w:rsid w:val="00F8142C"/>
    <w:rsid w:val="00F81466"/>
    <w:rsid w:val="00F81470"/>
    <w:rsid w:val="00F81557"/>
    <w:rsid w:val="00F8159D"/>
    <w:rsid w:val="00F816AE"/>
    <w:rsid w:val="00F81769"/>
    <w:rsid w:val="00F817DE"/>
    <w:rsid w:val="00F8184D"/>
    <w:rsid w:val="00F818A7"/>
    <w:rsid w:val="00F81918"/>
    <w:rsid w:val="00F819EA"/>
    <w:rsid w:val="00F81AAA"/>
    <w:rsid w:val="00F81B94"/>
    <w:rsid w:val="00F81B97"/>
    <w:rsid w:val="00F81BEB"/>
    <w:rsid w:val="00F81BEE"/>
    <w:rsid w:val="00F81BF7"/>
    <w:rsid w:val="00F81C42"/>
    <w:rsid w:val="00F81CB4"/>
    <w:rsid w:val="00F81DAF"/>
    <w:rsid w:val="00F81DC1"/>
    <w:rsid w:val="00F81DED"/>
    <w:rsid w:val="00F81E3D"/>
    <w:rsid w:val="00F81EB5"/>
    <w:rsid w:val="00F81F0F"/>
    <w:rsid w:val="00F81F2E"/>
    <w:rsid w:val="00F82013"/>
    <w:rsid w:val="00F821A8"/>
    <w:rsid w:val="00F821BF"/>
    <w:rsid w:val="00F82235"/>
    <w:rsid w:val="00F82272"/>
    <w:rsid w:val="00F822CF"/>
    <w:rsid w:val="00F822EC"/>
    <w:rsid w:val="00F8234D"/>
    <w:rsid w:val="00F82369"/>
    <w:rsid w:val="00F82370"/>
    <w:rsid w:val="00F823BA"/>
    <w:rsid w:val="00F823D4"/>
    <w:rsid w:val="00F82420"/>
    <w:rsid w:val="00F824DB"/>
    <w:rsid w:val="00F824ED"/>
    <w:rsid w:val="00F8252B"/>
    <w:rsid w:val="00F8257C"/>
    <w:rsid w:val="00F825C1"/>
    <w:rsid w:val="00F825F1"/>
    <w:rsid w:val="00F825FF"/>
    <w:rsid w:val="00F826F1"/>
    <w:rsid w:val="00F82761"/>
    <w:rsid w:val="00F82867"/>
    <w:rsid w:val="00F82885"/>
    <w:rsid w:val="00F8295C"/>
    <w:rsid w:val="00F82965"/>
    <w:rsid w:val="00F82977"/>
    <w:rsid w:val="00F829F9"/>
    <w:rsid w:val="00F82ACF"/>
    <w:rsid w:val="00F82AEE"/>
    <w:rsid w:val="00F82BB1"/>
    <w:rsid w:val="00F82BD0"/>
    <w:rsid w:val="00F82BD5"/>
    <w:rsid w:val="00F82BED"/>
    <w:rsid w:val="00F82C29"/>
    <w:rsid w:val="00F82C8B"/>
    <w:rsid w:val="00F82CAF"/>
    <w:rsid w:val="00F82CD7"/>
    <w:rsid w:val="00F82DC4"/>
    <w:rsid w:val="00F82DD5"/>
    <w:rsid w:val="00F82EF8"/>
    <w:rsid w:val="00F82F6C"/>
    <w:rsid w:val="00F82FC5"/>
    <w:rsid w:val="00F83045"/>
    <w:rsid w:val="00F830C0"/>
    <w:rsid w:val="00F8312A"/>
    <w:rsid w:val="00F8318A"/>
    <w:rsid w:val="00F831CF"/>
    <w:rsid w:val="00F83265"/>
    <w:rsid w:val="00F8326E"/>
    <w:rsid w:val="00F8335C"/>
    <w:rsid w:val="00F83363"/>
    <w:rsid w:val="00F83384"/>
    <w:rsid w:val="00F833D9"/>
    <w:rsid w:val="00F833F5"/>
    <w:rsid w:val="00F8342E"/>
    <w:rsid w:val="00F83456"/>
    <w:rsid w:val="00F8348B"/>
    <w:rsid w:val="00F834BC"/>
    <w:rsid w:val="00F834DC"/>
    <w:rsid w:val="00F83512"/>
    <w:rsid w:val="00F83524"/>
    <w:rsid w:val="00F835CE"/>
    <w:rsid w:val="00F83609"/>
    <w:rsid w:val="00F83642"/>
    <w:rsid w:val="00F83755"/>
    <w:rsid w:val="00F837A5"/>
    <w:rsid w:val="00F838A7"/>
    <w:rsid w:val="00F83900"/>
    <w:rsid w:val="00F839B3"/>
    <w:rsid w:val="00F839C4"/>
    <w:rsid w:val="00F83A3B"/>
    <w:rsid w:val="00F83A79"/>
    <w:rsid w:val="00F83B2D"/>
    <w:rsid w:val="00F83C00"/>
    <w:rsid w:val="00F83CA3"/>
    <w:rsid w:val="00F83CEF"/>
    <w:rsid w:val="00F83D28"/>
    <w:rsid w:val="00F83D47"/>
    <w:rsid w:val="00F83DC4"/>
    <w:rsid w:val="00F83E26"/>
    <w:rsid w:val="00F83E28"/>
    <w:rsid w:val="00F83E33"/>
    <w:rsid w:val="00F83EBC"/>
    <w:rsid w:val="00F83F0C"/>
    <w:rsid w:val="00F83F40"/>
    <w:rsid w:val="00F83F55"/>
    <w:rsid w:val="00F83F81"/>
    <w:rsid w:val="00F83FE1"/>
    <w:rsid w:val="00F84027"/>
    <w:rsid w:val="00F84120"/>
    <w:rsid w:val="00F84142"/>
    <w:rsid w:val="00F84194"/>
    <w:rsid w:val="00F8419D"/>
    <w:rsid w:val="00F841D6"/>
    <w:rsid w:val="00F84282"/>
    <w:rsid w:val="00F8429D"/>
    <w:rsid w:val="00F842CA"/>
    <w:rsid w:val="00F842ED"/>
    <w:rsid w:val="00F842F8"/>
    <w:rsid w:val="00F84300"/>
    <w:rsid w:val="00F84418"/>
    <w:rsid w:val="00F8443A"/>
    <w:rsid w:val="00F844C8"/>
    <w:rsid w:val="00F845EA"/>
    <w:rsid w:val="00F8463D"/>
    <w:rsid w:val="00F8463E"/>
    <w:rsid w:val="00F84679"/>
    <w:rsid w:val="00F84686"/>
    <w:rsid w:val="00F8469C"/>
    <w:rsid w:val="00F848C4"/>
    <w:rsid w:val="00F849CD"/>
    <w:rsid w:val="00F849E4"/>
    <w:rsid w:val="00F849EA"/>
    <w:rsid w:val="00F84A2F"/>
    <w:rsid w:val="00F84A50"/>
    <w:rsid w:val="00F84ABF"/>
    <w:rsid w:val="00F84BD6"/>
    <w:rsid w:val="00F84C5C"/>
    <w:rsid w:val="00F84C90"/>
    <w:rsid w:val="00F84CDB"/>
    <w:rsid w:val="00F84D00"/>
    <w:rsid w:val="00F84D67"/>
    <w:rsid w:val="00F84D82"/>
    <w:rsid w:val="00F84E74"/>
    <w:rsid w:val="00F84EB6"/>
    <w:rsid w:val="00F84F16"/>
    <w:rsid w:val="00F84F72"/>
    <w:rsid w:val="00F84F79"/>
    <w:rsid w:val="00F850B7"/>
    <w:rsid w:val="00F850EC"/>
    <w:rsid w:val="00F8517B"/>
    <w:rsid w:val="00F851DF"/>
    <w:rsid w:val="00F85262"/>
    <w:rsid w:val="00F852E8"/>
    <w:rsid w:val="00F852EA"/>
    <w:rsid w:val="00F85441"/>
    <w:rsid w:val="00F85480"/>
    <w:rsid w:val="00F85489"/>
    <w:rsid w:val="00F854B4"/>
    <w:rsid w:val="00F85502"/>
    <w:rsid w:val="00F8553A"/>
    <w:rsid w:val="00F8563B"/>
    <w:rsid w:val="00F856B5"/>
    <w:rsid w:val="00F856DD"/>
    <w:rsid w:val="00F8586F"/>
    <w:rsid w:val="00F858C7"/>
    <w:rsid w:val="00F85925"/>
    <w:rsid w:val="00F85A35"/>
    <w:rsid w:val="00F85B49"/>
    <w:rsid w:val="00F85B9E"/>
    <w:rsid w:val="00F85BB1"/>
    <w:rsid w:val="00F85BB8"/>
    <w:rsid w:val="00F85BD7"/>
    <w:rsid w:val="00F85BF6"/>
    <w:rsid w:val="00F85C2E"/>
    <w:rsid w:val="00F85C33"/>
    <w:rsid w:val="00F85CC5"/>
    <w:rsid w:val="00F85CE1"/>
    <w:rsid w:val="00F85CE6"/>
    <w:rsid w:val="00F85DC8"/>
    <w:rsid w:val="00F85DCC"/>
    <w:rsid w:val="00F85E12"/>
    <w:rsid w:val="00F85E17"/>
    <w:rsid w:val="00F85E69"/>
    <w:rsid w:val="00F85EA9"/>
    <w:rsid w:val="00F85ED0"/>
    <w:rsid w:val="00F85F5A"/>
    <w:rsid w:val="00F860A1"/>
    <w:rsid w:val="00F861CB"/>
    <w:rsid w:val="00F861EA"/>
    <w:rsid w:val="00F86274"/>
    <w:rsid w:val="00F8628D"/>
    <w:rsid w:val="00F86313"/>
    <w:rsid w:val="00F863C4"/>
    <w:rsid w:val="00F86459"/>
    <w:rsid w:val="00F864DA"/>
    <w:rsid w:val="00F864E9"/>
    <w:rsid w:val="00F8650A"/>
    <w:rsid w:val="00F86599"/>
    <w:rsid w:val="00F86633"/>
    <w:rsid w:val="00F866FC"/>
    <w:rsid w:val="00F867FE"/>
    <w:rsid w:val="00F86835"/>
    <w:rsid w:val="00F8687B"/>
    <w:rsid w:val="00F868F4"/>
    <w:rsid w:val="00F86907"/>
    <w:rsid w:val="00F86971"/>
    <w:rsid w:val="00F869BF"/>
    <w:rsid w:val="00F86A3F"/>
    <w:rsid w:val="00F86A4B"/>
    <w:rsid w:val="00F86A7A"/>
    <w:rsid w:val="00F86ABA"/>
    <w:rsid w:val="00F86B27"/>
    <w:rsid w:val="00F86D85"/>
    <w:rsid w:val="00F86E01"/>
    <w:rsid w:val="00F86E17"/>
    <w:rsid w:val="00F86E97"/>
    <w:rsid w:val="00F86EBC"/>
    <w:rsid w:val="00F86EE8"/>
    <w:rsid w:val="00F86F01"/>
    <w:rsid w:val="00F86F06"/>
    <w:rsid w:val="00F86F39"/>
    <w:rsid w:val="00F86F99"/>
    <w:rsid w:val="00F87027"/>
    <w:rsid w:val="00F870EC"/>
    <w:rsid w:val="00F87292"/>
    <w:rsid w:val="00F87336"/>
    <w:rsid w:val="00F87349"/>
    <w:rsid w:val="00F8734E"/>
    <w:rsid w:val="00F87351"/>
    <w:rsid w:val="00F8744A"/>
    <w:rsid w:val="00F874E4"/>
    <w:rsid w:val="00F87595"/>
    <w:rsid w:val="00F875B8"/>
    <w:rsid w:val="00F87621"/>
    <w:rsid w:val="00F87669"/>
    <w:rsid w:val="00F87707"/>
    <w:rsid w:val="00F87710"/>
    <w:rsid w:val="00F877DA"/>
    <w:rsid w:val="00F87817"/>
    <w:rsid w:val="00F878F6"/>
    <w:rsid w:val="00F87949"/>
    <w:rsid w:val="00F87A3F"/>
    <w:rsid w:val="00F87A7B"/>
    <w:rsid w:val="00F87A8A"/>
    <w:rsid w:val="00F87AB5"/>
    <w:rsid w:val="00F87B18"/>
    <w:rsid w:val="00F87B25"/>
    <w:rsid w:val="00F87B6E"/>
    <w:rsid w:val="00F87B95"/>
    <w:rsid w:val="00F87C31"/>
    <w:rsid w:val="00F87CA5"/>
    <w:rsid w:val="00F87D18"/>
    <w:rsid w:val="00F87D5A"/>
    <w:rsid w:val="00F87DED"/>
    <w:rsid w:val="00F87E8B"/>
    <w:rsid w:val="00F87E93"/>
    <w:rsid w:val="00F87F92"/>
    <w:rsid w:val="00F87FC6"/>
    <w:rsid w:val="00F9003E"/>
    <w:rsid w:val="00F90130"/>
    <w:rsid w:val="00F901DE"/>
    <w:rsid w:val="00F9029D"/>
    <w:rsid w:val="00F90349"/>
    <w:rsid w:val="00F90392"/>
    <w:rsid w:val="00F9039F"/>
    <w:rsid w:val="00F90409"/>
    <w:rsid w:val="00F90410"/>
    <w:rsid w:val="00F90456"/>
    <w:rsid w:val="00F904E3"/>
    <w:rsid w:val="00F90535"/>
    <w:rsid w:val="00F90692"/>
    <w:rsid w:val="00F906C0"/>
    <w:rsid w:val="00F906F2"/>
    <w:rsid w:val="00F9076F"/>
    <w:rsid w:val="00F907A1"/>
    <w:rsid w:val="00F9081C"/>
    <w:rsid w:val="00F908EA"/>
    <w:rsid w:val="00F90959"/>
    <w:rsid w:val="00F90964"/>
    <w:rsid w:val="00F90971"/>
    <w:rsid w:val="00F90A38"/>
    <w:rsid w:val="00F90A79"/>
    <w:rsid w:val="00F90A7F"/>
    <w:rsid w:val="00F90CD3"/>
    <w:rsid w:val="00F90CF2"/>
    <w:rsid w:val="00F90D3D"/>
    <w:rsid w:val="00F90DBB"/>
    <w:rsid w:val="00F90E0F"/>
    <w:rsid w:val="00F90E57"/>
    <w:rsid w:val="00F90EA5"/>
    <w:rsid w:val="00F90F0D"/>
    <w:rsid w:val="00F90F48"/>
    <w:rsid w:val="00F9106F"/>
    <w:rsid w:val="00F9110B"/>
    <w:rsid w:val="00F9113F"/>
    <w:rsid w:val="00F9115A"/>
    <w:rsid w:val="00F911AE"/>
    <w:rsid w:val="00F91234"/>
    <w:rsid w:val="00F91297"/>
    <w:rsid w:val="00F9133B"/>
    <w:rsid w:val="00F913CC"/>
    <w:rsid w:val="00F913E1"/>
    <w:rsid w:val="00F91466"/>
    <w:rsid w:val="00F91479"/>
    <w:rsid w:val="00F915A8"/>
    <w:rsid w:val="00F915E8"/>
    <w:rsid w:val="00F915EC"/>
    <w:rsid w:val="00F915FF"/>
    <w:rsid w:val="00F9177C"/>
    <w:rsid w:val="00F917D4"/>
    <w:rsid w:val="00F918E7"/>
    <w:rsid w:val="00F91966"/>
    <w:rsid w:val="00F91A53"/>
    <w:rsid w:val="00F91A95"/>
    <w:rsid w:val="00F91AC7"/>
    <w:rsid w:val="00F91AF2"/>
    <w:rsid w:val="00F91CB6"/>
    <w:rsid w:val="00F91D1A"/>
    <w:rsid w:val="00F91D94"/>
    <w:rsid w:val="00F91D9C"/>
    <w:rsid w:val="00F91D9E"/>
    <w:rsid w:val="00F91DCC"/>
    <w:rsid w:val="00F91E15"/>
    <w:rsid w:val="00F91EFF"/>
    <w:rsid w:val="00F91F19"/>
    <w:rsid w:val="00F92082"/>
    <w:rsid w:val="00F92090"/>
    <w:rsid w:val="00F9210E"/>
    <w:rsid w:val="00F92111"/>
    <w:rsid w:val="00F9218D"/>
    <w:rsid w:val="00F9219F"/>
    <w:rsid w:val="00F921F3"/>
    <w:rsid w:val="00F92330"/>
    <w:rsid w:val="00F924C0"/>
    <w:rsid w:val="00F924D8"/>
    <w:rsid w:val="00F92506"/>
    <w:rsid w:val="00F9257A"/>
    <w:rsid w:val="00F92642"/>
    <w:rsid w:val="00F9266F"/>
    <w:rsid w:val="00F92682"/>
    <w:rsid w:val="00F92735"/>
    <w:rsid w:val="00F9276F"/>
    <w:rsid w:val="00F927DC"/>
    <w:rsid w:val="00F927F2"/>
    <w:rsid w:val="00F9284E"/>
    <w:rsid w:val="00F928F8"/>
    <w:rsid w:val="00F92A5F"/>
    <w:rsid w:val="00F92A8B"/>
    <w:rsid w:val="00F92AC6"/>
    <w:rsid w:val="00F92ACA"/>
    <w:rsid w:val="00F92B7A"/>
    <w:rsid w:val="00F92C23"/>
    <w:rsid w:val="00F92C49"/>
    <w:rsid w:val="00F92D58"/>
    <w:rsid w:val="00F92DF0"/>
    <w:rsid w:val="00F92E36"/>
    <w:rsid w:val="00F92E4B"/>
    <w:rsid w:val="00F92E96"/>
    <w:rsid w:val="00F92FBD"/>
    <w:rsid w:val="00F93116"/>
    <w:rsid w:val="00F93135"/>
    <w:rsid w:val="00F931A6"/>
    <w:rsid w:val="00F931D4"/>
    <w:rsid w:val="00F931F7"/>
    <w:rsid w:val="00F9321A"/>
    <w:rsid w:val="00F93307"/>
    <w:rsid w:val="00F93324"/>
    <w:rsid w:val="00F93379"/>
    <w:rsid w:val="00F933AF"/>
    <w:rsid w:val="00F933C6"/>
    <w:rsid w:val="00F93402"/>
    <w:rsid w:val="00F93467"/>
    <w:rsid w:val="00F934FE"/>
    <w:rsid w:val="00F9350E"/>
    <w:rsid w:val="00F93596"/>
    <w:rsid w:val="00F9359A"/>
    <w:rsid w:val="00F93607"/>
    <w:rsid w:val="00F937C2"/>
    <w:rsid w:val="00F9381A"/>
    <w:rsid w:val="00F93A13"/>
    <w:rsid w:val="00F93A9E"/>
    <w:rsid w:val="00F93C6F"/>
    <w:rsid w:val="00F93CCE"/>
    <w:rsid w:val="00F93CF0"/>
    <w:rsid w:val="00F93D1F"/>
    <w:rsid w:val="00F93E0A"/>
    <w:rsid w:val="00F93EF2"/>
    <w:rsid w:val="00F93F0C"/>
    <w:rsid w:val="00F941B9"/>
    <w:rsid w:val="00F941ED"/>
    <w:rsid w:val="00F942B8"/>
    <w:rsid w:val="00F943AE"/>
    <w:rsid w:val="00F944A8"/>
    <w:rsid w:val="00F9452C"/>
    <w:rsid w:val="00F94556"/>
    <w:rsid w:val="00F945A2"/>
    <w:rsid w:val="00F945DC"/>
    <w:rsid w:val="00F94605"/>
    <w:rsid w:val="00F9469A"/>
    <w:rsid w:val="00F947F4"/>
    <w:rsid w:val="00F94868"/>
    <w:rsid w:val="00F948AE"/>
    <w:rsid w:val="00F949FF"/>
    <w:rsid w:val="00F94A23"/>
    <w:rsid w:val="00F94A99"/>
    <w:rsid w:val="00F94BFE"/>
    <w:rsid w:val="00F94C92"/>
    <w:rsid w:val="00F94CBB"/>
    <w:rsid w:val="00F94CD1"/>
    <w:rsid w:val="00F94D51"/>
    <w:rsid w:val="00F94DC9"/>
    <w:rsid w:val="00F94DE0"/>
    <w:rsid w:val="00F94E17"/>
    <w:rsid w:val="00F94E40"/>
    <w:rsid w:val="00F94EB7"/>
    <w:rsid w:val="00F94ED6"/>
    <w:rsid w:val="00F94F0A"/>
    <w:rsid w:val="00F94F79"/>
    <w:rsid w:val="00F94F8C"/>
    <w:rsid w:val="00F94F9A"/>
    <w:rsid w:val="00F94FFF"/>
    <w:rsid w:val="00F95043"/>
    <w:rsid w:val="00F95057"/>
    <w:rsid w:val="00F95245"/>
    <w:rsid w:val="00F95359"/>
    <w:rsid w:val="00F953C7"/>
    <w:rsid w:val="00F9544F"/>
    <w:rsid w:val="00F954A0"/>
    <w:rsid w:val="00F9565E"/>
    <w:rsid w:val="00F9569B"/>
    <w:rsid w:val="00F95798"/>
    <w:rsid w:val="00F957B4"/>
    <w:rsid w:val="00F957BB"/>
    <w:rsid w:val="00F957C8"/>
    <w:rsid w:val="00F958E2"/>
    <w:rsid w:val="00F958E7"/>
    <w:rsid w:val="00F95908"/>
    <w:rsid w:val="00F9590C"/>
    <w:rsid w:val="00F95988"/>
    <w:rsid w:val="00F95A09"/>
    <w:rsid w:val="00F95A0A"/>
    <w:rsid w:val="00F95B29"/>
    <w:rsid w:val="00F95BCB"/>
    <w:rsid w:val="00F95CA3"/>
    <w:rsid w:val="00F95E04"/>
    <w:rsid w:val="00F95E1D"/>
    <w:rsid w:val="00F95F67"/>
    <w:rsid w:val="00F95FAA"/>
    <w:rsid w:val="00F95FAC"/>
    <w:rsid w:val="00F96074"/>
    <w:rsid w:val="00F96085"/>
    <w:rsid w:val="00F9609C"/>
    <w:rsid w:val="00F960C2"/>
    <w:rsid w:val="00F96107"/>
    <w:rsid w:val="00F96211"/>
    <w:rsid w:val="00F963D4"/>
    <w:rsid w:val="00F9644F"/>
    <w:rsid w:val="00F964D6"/>
    <w:rsid w:val="00F964D7"/>
    <w:rsid w:val="00F964F5"/>
    <w:rsid w:val="00F965A9"/>
    <w:rsid w:val="00F966A0"/>
    <w:rsid w:val="00F9670D"/>
    <w:rsid w:val="00F9671A"/>
    <w:rsid w:val="00F967B5"/>
    <w:rsid w:val="00F96842"/>
    <w:rsid w:val="00F96891"/>
    <w:rsid w:val="00F968DE"/>
    <w:rsid w:val="00F96A30"/>
    <w:rsid w:val="00F96A69"/>
    <w:rsid w:val="00F96A95"/>
    <w:rsid w:val="00F96B0C"/>
    <w:rsid w:val="00F96B6D"/>
    <w:rsid w:val="00F96B73"/>
    <w:rsid w:val="00F96B88"/>
    <w:rsid w:val="00F96D38"/>
    <w:rsid w:val="00F96DB3"/>
    <w:rsid w:val="00F96DC3"/>
    <w:rsid w:val="00F96E23"/>
    <w:rsid w:val="00F96E25"/>
    <w:rsid w:val="00F96E7D"/>
    <w:rsid w:val="00F96EF4"/>
    <w:rsid w:val="00F97042"/>
    <w:rsid w:val="00F97063"/>
    <w:rsid w:val="00F970B7"/>
    <w:rsid w:val="00F970F9"/>
    <w:rsid w:val="00F971E4"/>
    <w:rsid w:val="00F97231"/>
    <w:rsid w:val="00F972C0"/>
    <w:rsid w:val="00F972C9"/>
    <w:rsid w:val="00F972CC"/>
    <w:rsid w:val="00F9730B"/>
    <w:rsid w:val="00F9734C"/>
    <w:rsid w:val="00F973B9"/>
    <w:rsid w:val="00F97451"/>
    <w:rsid w:val="00F9745F"/>
    <w:rsid w:val="00F97462"/>
    <w:rsid w:val="00F97505"/>
    <w:rsid w:val="00F97507"/>
    <w:rsid w:val="00F97592"/>
    <w:rsid w:val="00F975E9"/>
    <w:rsid w:val="00F9767C"/>
    <w:rsid w:val="00F976A3"/>
    <w:rsid w:val="00F976CB"/>
    <w:rsid w:val="00F976F7"/>
    <w:rsid w:val="00F97730"/>
    <w:rsid w:val="00F97788"/>
    <w:rsid w:val="00F977CA"/>
    <w:rsid w:val="00F977D8"/>
    <w:rsid w:val="00F977F7"/>
    <w:rsid w:val="00F9789F"/>
    <w:rsid w:val="00F97951"/>
    <w:rsid w:val="00F97A4D"/>
    <w:rsid w:val="00F97ABF"/>
    <w:rsid w:val="00F97B1F"/>
    <w:rsid w:val="00F97C95"/>
    <w:rsid w:val="00F97DCB"/>
    <w:rsid w:val="00F97DE8"/>
    <w:rsid w:val="00F97E69"/>
    <w:rsid w:val="00F97E6B"/>
    <w:rsid w:val="00F97EE6"/>
    <w:rsid w:val="00F97F01"/>
    <w:rsid w:val="00F97F40"/>
    <w:rsid w:val="00F97FC7"/>
    <w:rsid w:val="00F97FF2"/>
    <w:rsid w:val="00FA0041"/>
    <w:rsid w:val="00FA0094"/>
    <w:rsid w:val="00FA00A5"/>
    <w:rsid w:val="00FA00D5"/>
    <w:rsid w:val="00FA0148"/>
    <w:rsid w:val="00FA01F0"/>
    <w:rsid w:val="00FA0200"/>
    <w:rsid w:val="00FA0216"/>
    <w:rsid w:val="00FA02E8"/>
    <w:rsid w:val="00FA034E"/>
    <w:rsid w:val="00FA037B"/>
    <w:rsid w:val="00FA0393"/>
    <w:rsid w:val="00FA0452"/>
    <w:rsid w:val="00FA0454"/>
    <w:rsid w:val="00FA0657"/>
    <w:rsid w:val="00FA067E"/>
    <w:rsid w:val="00FA0778"/>
    <w:rsid w:val="00FA07CB"/>
    <w:rsid w:val="00FA089D"/>
    <w:rsid w:val="00FA08A8"/>
    <w:rsid w:val="00FA0901"/>
    <w:rsid w:val="00FA0B34"/>
    <w:rsid w:val="00FA0BCD"/>
    <w:rsid w:val="00FA0CA1"/>
    <w:rsid w:val="00FA0D6E"/>
    <w:rsid w:val="00FA0D7F"/>
    <w:rsid w:val="00FA0DB9"/>
    <w:rsid w:val="00FA0E8E"/>
    <w:rsid w:val="00FA0EB4"/>
    <w:rsid w:val="00FA102B"/>
    <w:rsid w:val="00FA1172"/>
    <w:rsid w:val="00FA1223"/>
    <w:rsid w:val="00FA1234"/>
    <w:rsid w:val="00FA12C5"/>
    <w:rsid w:val="00FA14B6"/>
    <w:rsid w:val="00FA1592"/>
    <w:rsid w:val="00FA1598"/>
    <w:rsid w:val="00FA1645"/>
    <w:rsid w:val="00FA1656"/>
    <w:rsid w:val="00FA1694"/>
    <w:rsid w:val="00FA16F4"/>
    <w:rsid w:val="00FA1792"/>
    <w:rsid w:val="00FA17AF"/>
    <w:rsid w:val="00FA17E3"/>
    <w:rsid w:val="00FA1810"/>
    <w:rsid w:val="00FA1852"/>
    <w:rsid w:val="00FA18AE"/>
    <w:rsid w:val="00FA18D9"/>
    <w:rsid w:val="00FA1983"/>
    <w:rsid w:val="00FA1A44"/>
    <w:rsid w:val="00FA1A46"/>
    <w:rsid w:val="00FA1B12"/>
    <w:rsid w:val="00FA1C0A"/>
    <w:rsid w:val="00FA1C99"/>
    <w:rsid w:val="00FA1CF7"/>
    <w:rsid w:val="00FA1CF8"/>
    <w:rsid w:val="00FA1D15"/>
    <w:rsid w:val="00FA1D55"/>
    <w:rsid w:val="00FA1D61"/>
    <w:rsid w:val="00FA1DAC"/>
    <w:rsid w:val="00FA1DB5"/>
    <w:rsid w:val="00FA1E28"/>
    <w:rsid w:val="00FA1EE0"/>
    <w:rsid w:val="00FA1F03"/>
    <w:rsid w:val="00FA1F0B"/>
    <w:rsid w:val="00FA1F5D"/>
    <w:rsid w:val="00FA1FF6"/>
    <w:rsid w:val="00FA207A"/>
    <w:rsid w:val="00FA2104"/>
    <w:rsid w:val="00FA2343"/>
    <w:rsid w:val="00FA250A"/>
    <w:rsid w:val="00FA25D2"/>
    <w:rsid w:val="00FA25EE"/>
    <w:rsid w:val="00FA2636"/>
    <w:rsid w:val="00FA2657"/>
    <w:rsid w:val="00FA2855"/>
    <w:rsid w:val="00FA2868"/>
    <w:rsid w:val="00FA291F"/>
    <w:rsid w:val="00FA292A"/>
    <w:rsid w:val="00FA2A31"/>
    <w:rsid w:val="00FA2A8D"/>
    <w:rsid w:val="00FA2B35"/>
    <w:rsid w:val="00FA2B5A"/>
    <w:rsid w:val="00FA2B9D"/>
    <w:rsid w:val="00FA2DAC"/>
    <w:rsid w:val="00FA2DF5"/>
    <w:rsid w:val="00FA2E35"/>
    <w:rsid w:val="00FA2EF3"/>
    <w:rsid w:val="00FA2F67"/>
    <w:rsid w:val="00FA2FB6"/>
    <w:rsid w:val="00FA3000"/>
    <w:rsid w:val="00FA301D"/>
    <w:rsid w:val="00FA3112"/>
    <w:rsid w:val="00FA3113"/>
    <w:rsid w:val="00FA31DA"/>
    <w:rsid w:val="00FA3352"/>
    <w:rsid w:val="00FA33D0"/>
    <w:rsid w:val="00FA345E"/>
    <w:rsid w:val="00FA34B2"/>
    <w:rsid w:val="00FA35C7"/>
    <w:rsid w:val="00FA364E"/>
    <w:rsid w:val="00FA36DE"/>
    <w:rsid w:val="00FA3757"/>
    <w:rsid w:val="00FA376C"/>
    <w:rsid w:val="00FA3798"/>
    <w:rsid w:val="00FA37BE"/>
    <w:rsid w:val="00FA37EE"/>
    <w:rsid w:val="00FA380C"/>
    <w:rsid w:val="00FA382E"/>
    <w:rsid w:val="00FA38A3"/>
    <w:rsid w:val="00FA3AF0"/>
    <w:rsid w:val="00FA3B19"/>
    <w:rsid w:val="00FA3B44"/>
    <w:rsid w:val="00FA3BB1"/>
    <w:rsid w:val="00FA3C2C"/>
    <w:rsid w:val="00FA3C3B"/>
    <w:rsid w:val="00FA3C40"/>
    <w:rsid w:val="00FA3C58"/>
    <w:rsid w:val="00FA3CA6"/>
    <w:rsid w:val="00FA3D55"/>
    <w:rsid w:val="00FA3D65"/>
    <w:rsid w:val="00FA3E0E"/>
    <w:rsid w:val="00FA3E42"/>
    <w:rsid w:val="00FA3EE0"/>
    <w:rsid w:val="00FA40CA"/>
    <w:rsid w:val="00FA40FC"/>
    <w:rsid w:val="00FA4194"/>
    <w:rsid w:val="00FA41B8"/>
    <w:rsid w:val="00FA41BD"/>
    <w:rsid w:val="00FA41E1"/>
    <w:rsid w:val="00FA4266"/>
    <w:rsid w:val="00FA426C"/>
    <w:rsid w:val="00FA42F9"/>
    <w:rsid w:val="00FA431D"/>
    <w:rsid w:val="00FA4348"/>
    <w:rsid w:val="00FA4388"/>
    <w:rsid w:val="00FA44D5"/>
    <w:rsid w:val="00FA4523"/>
    <w:rsid w:val="00FA455A"/>
    <w:rsid w:val="00FA466E"/>
    <w:rsid w:val="00FA4687"/>
    <w:rsid w:val="00FA4698"/>
    <w:rsid w:val="00FA4734"/>
    <w:rsid w:val="00FA490B"/>
    <w:rsid w:val="00FA4934"/>
    <w:rsid w:val="00FA49FE"/>
    <w:rsid w:val="00FA4AF3"/>
    <w:rsid w:val="00FA4B41"/>
    <w:rsid w:val="00FA4CC8"/>
    <w:rsid w:val="00FA4CDE"/>
    <w:rsid w:val="00FA4D63"/>
    <w:rsid w:val="00FA4D6A"/>
    <w:rsid w:val="00FA4D95"/>
    <w:rsid w:val="00FA4E00"/>
    <w:rsid w:val="00FA4EB9"/>
    <w:rsid w:val="00FA4EC8"/>
    <w:rsid w:val="00FA4F1B"/>
    <w:rsid w:val="00FA4F23"/>
    <w:rsid w:val="00FA4F8F"/>
    <w:rsid w:val="00FA5092"/>
    <w:rsid w:val="00FA50B6"/>
    <w:rsid w:val="00FA50DF"/>
    <w:rsid w:val="00FA512D"/>
    <w:rsid w:val="00FA5224"/>
    <w:rsid w:val="00FA5296"/>
    <w:rsid w:val="00FA5486"/>
    <w:rsid w:val="00FA54B4"/>
    <w:rsid w:val="00FA54BC"/>
    <w:rsid w:val="00FA558C"/>
    <w:rsid w:val="00FA55DA"/>
    <w:rsid w:val="00FA566A"/>
    <w:rsid w:val="00FA5699"/>
    <w:rsid w:val="00FA56E6"/>
    <w:rsid w:val="00FA574B"/>
    <w:rsid w:val="00FA583D"/>
    <w:rsid w:val="00FA5854"/>
    <w:rsid w:val="00FA5875"/>
    <w:rsid w:val="00FA58A9"/>
    <w:rsid w:val="00FA5A22"/>
    <w:rsid w:val="00FA5A64"/>
    <w:rsid w:val="00FA5B0D"/>
    <w:rsid w:val="00FA5BB9"/>
    <w:rsid w:val="00FA5C51"/>
    <w:rsid w:val="00FA5C5F"/>
    <w:rsid w:val="00FA5C60"/>
    <w:rsid w:val="00FA5C97"/>
    <w:rsid w:val="00FA5CD2"/>
    <w:rsid w:val="00FA5DAC"/>
    <w:rsid w:val="00FA5DED"/>
    <w:rsid w:val="00FA5E93"/>
    <w:rsid w:val="00FA5F40"/>
    <w:rsid w:val="00FA61D4"/>
    <w:rsid w:val="00FA628E"/>
    <w:rsid w:val="00FA62AA"/>
    <w:rsid w:val="00FA6326"/>
    <w:rsid w:val="00FA636C"/>
    <w:rsid w:val="00FA6392"/>
    <w:rsid w:val="00FA63BC"/>
    <w:rsid w:val="00FA6566"/>
    <w:rsid w:val="00FA6728"/>
    <w:rsid w:val="00FA6740"/>
    <w:rsid w:val="00FA677B"/>
    <w:rsid w:val="00FA67EE"/>
    <w:rsid w:val="00FA67F0"/>
    <w:rsid w:val="00FA67F1"/>
    <w:rsid w:val="00FA68B9"/>
    <w:rsid w:val="00FA69C4"/>
    <w:rsid w:val="00FA6A1A"/>
    <w:rsid w:val="00FA6A83"/>
    <w:rsid w:val="00FA6AC1"/>
    <w:rsid w:val="00FA6C6A"/>
    <w:rsid w:val="00FA6CDA"/>
    <w:rsid w:val="00FA6D0F"/>
    <w:rsid w:val="00FA6DC5"/>
    <w:rsid w:val="00FA6E4D"/>
    <w:rsid w:val="00FA6F33"/>
    <w:rsid w:val="00FA6FC9"/>
    <w:rsid w:val="00FA71AE"/>
    <w:rsid w:val="00FA71D7"/>
    <w:rsid w:val="00FA7367"/>
    <w:rsid w:val="00FA73F7"/>
    <w:rsid w:val="00FA7522"/>
    <w:rsid w:val="00FA7530"/>
    <w:rsid w:val="00FA7772"/>
    <w:rsid w:val="00FA778A"/>
    <w:rsid w:val="00FA77DE"/>
    <w:rsid w:val="00FA781E"/>
    <w:rsid w:val="00FA7852"/>
    <w:rsid w:val="00FA785E"/>
    <w:rsid w:val="00FA78CF"/>
    <w:rsid w:val="00FA7A0B"/>
    <w:rsid w:val="00FA7A0C"/>
    <w:rsid w:val="00FA7A28"/>
    <w:rsid w:val="00FA7A3C"/>
    <w:rsid w:val="00FA7ABC"/>
    <w:rsid w:val="00FA7AE2"/>
    <w:rsid w:val="00FA7AED"/>
    <w:rsid w:val="00FA7B4B"/>
    <w:rsid w:val="00FA7BB9"/>
    <w:rsid w:val="00FA7C02"/>
    <w:rsid w:val="00FA7C07"/>
    <w:rsid w:val="00FA7CC9"/>
    <w:rsid w:val="00FA7D4C"/>
    <w:rsid w:val="00FA7D9F"/>
    <w:rsid w:val="00FB007A"/>
    <w:rsid w:val="00FB0083"/>
    <w:rsid w:val="00FB00A6"/>
    <w:rsid w:val="00FB0147"/>
    <w:rsid w:val="00FB0282"/>
    <w:rsid w:val="00FB02BB"/>
    <w:rsid w:val="00FB0435"/>
    <w:rsid w:val="00FB0656"/>
    <w:rsid w:val="00FB06BE"/>
    <w:rsid w:val="00FB06C6"/>
    <w:rsid w:val="00FB0709"/>
    <w:rsid w:val="00FB073D"/>
    <w:rsid w:val="00FB0804"/>
    <w:rsid w:val="00FB081E"/>
    <w:rsid w:val="00FB0894"/>
    <w:rsid w:val="00FB08A8"/>
    <w:rsid w:val="00FB08AE"/>
    <w:rsid w:val="00FB0914"/>
    <w:rsid w:val="00FB0932"/>
    <w:rsid w:val="00FB0AB1"/>
    <w:rsid w:val="00FB0BC9"/>
    <w:rsid w:val="00FB0CF3"/>
    <w:rsid w:val="00FB0D44"/>
    <w:rsid w:val="00FB0F0D"/>
    <w:rsid w:val="00FB0F1F"/>
    <w:rsid w:val="00FB10A0"/>
    <w:rsid w:val="00FB11F9"/>
    <w:rsid w:val="00FB1231"/>
    <w:rsid w:val="00FB1276"/>
    <w:rsid w:val="00FB131C"/>
    <w:rsid w:val="00FB13A7"/>
    <w:rsid w:val="00FB13B1"/>
    <w:rsid w:val="00FB13FE"/>
    <w:rsid w:val="00FB14DE"/>
    <w:rsid w:val="00FB14F4"/>
    <w:rsid w:val="00FB1522"/>
    <w:rsid w:val="00FB167E"/>
    <w:rsid w:val="00FB16E6"/>
    <w:rsid w:val="00FB171D"/>
    <w:rsid w:val="00FB1739"/>
    <w:rsid w:val="00FB179A"/>
    <w:rsid w:val="00FB17A1"/>
    <w:rsid w:val="00FB17E1"/>
    <w:rsid w:val="00FB17E5"/>
    <w:rsid w:val="00FB1813"/>
    <w:rsid w:val="00FB1886"/>
    <w:rsid w:val="00FB19E0"/>
    <w:rsid w:val="00FB1B04"/>
    <w:rsid w:val="00FB1B73"/>
    <w:rsid w:val="00FB1BC2"/>
    <w:rsid w:val="00FB1C59"/>
    <w:rsid w:val="00FB1CBD"/>
    <w:rsid w:val="00FB1D00"/>
    <w:rsid w:val="00FB1D18"/>
    <w:rsid w:val="00FB1D1F"/>
    <w:rsid w:val="00FB1DCF"/>
    <w:rsid w:val="00FB1E2C"/>
    <w:rsid w:val="00FB1F5E"/>
    <w:rsid w:val="00FB1F94"/>
    <w:rsid w:val="00FB2056"/>
    <w:rsid w:val="00FB20A0"/>
    <w:rsid w:val="00FB20EE"/>
    <w:rsid w:val="00FB2110"/>
    <w:rsid w:val="00FB2181"/>
    <w:rsid w:val="00FB2189"/>
    <w:rsid w:val="00FB21D6"/>
    <w:rsid w:val="00FB21E0"/>
    <w:rsid w:val="00FB21EE"/>
    <w:rsid w:val="00FB22A7"/>
    <w:rsid w:val="00FB2313"/>
    <w:rsid w:val="00FB2352"/>
    <w:rsid w:val="00FB243C"/>
    <w:rsid w:val="00FB243F"/>
    <w:rsid w:val="00FB24AA"/>
    <w:rsid w:val="00FB254A"/>
    <w:rsid w:val="00FB25EB"/>
    <w:rsid w:val="00FB263E"/>
    <w:rsid w:val="00FB2730"/>
    <w:rsid w:val="00FB287B"/>
    <w:rsid w:val="00FB28D5"/>
    <w:rsid w:val="00FB2941"/>
    <w:rsid w:val="00FB2A20"/>
    <w:rsid w:val="00FB2B27"/>
    <w:rsid w:val="00FB2B84"/>
    <w:rsid w:val="00FB2C83"/>
    <w:rsid w:val="00FB2D2A"/>
    <w:rsid w:val="00FB2D71"/>
    <w:rsid w:val="00FB2DB7"/>
    <w:rsid w:val="00FB2E0E"/>
    <w:rsid w:val="00FB2E66"/>
    <w:rsid w:val="00FB2F3E"/>
    <w:rsid w:val="00FB302A"/>
    <w:rsid w:val="00FB302D"/>
    <w:rsid w:val="00FB3030"/>
    <w:rsid w:val="00FB3078"/>
    <w:rsid w:val="00FB30CC"/>
    <w:rsid w:val="00FB30E3"/>
    <w:rsid w:val="00FB3123"/>
    <w:rsid w:val="00FB3125"/>
    <w:rsid w:val="00FB312D"/>
    <w:rsid w:val="00FB3193"/>
    <w:rsid w:val="00FB31D0"/>
    <w:rsid w:val="00FB31E1"/>
    <w:rsid w:val="00FB31E6"/>
    <w:rsid w:val="00FB32A4"/>
    <w:rsid w:val="00FB3310"/>
    <w:rsid w:val="00FB33F3"/>
    <w:rsid w:val="00FB33FA"/>
    <w:rsid w:val="00FB3462"/>
    <w:rsid w:val="00FB3546"/>
    <w:rsid w:val="00FB360B"/>
    <w:rsid w:val="00FB3691"/>
    <w:rsid w:val="00FB376C"/>
    <w:rsid w:val="00FB380D"/>
    <w:rsid w:val="00FB3858"/>
    <w:rsid w:val="00FB38F6"/>
    <w:rsid w:val="00FB3940"/>
    <w:rsid w:val="00FB397E"/>
    <w:rsid w:val="00FB3A63"/>
    <w:rsid w:val="00FB3B5C"/>
    <w:rsid w:val="00FB3B88"/>
    <w:rsid w:val="00FB3D01"/>
    <w:rsid w:val="00FB3D20"/>
    <w:rsid w:val="00FB3DA7"/>
    <w:rsid w:val="00FB3DF7"/>
    <w:rsid w:val="00FB3E6C"/>
    <w:rsid w:val="00FB3EA0"/>
    <w:rsid w:val="00FB3F2F"/>
    <w:rsid w:val="00FB3F8A"/>
    <w:rsid w:val="00FB3FD4"/>
    <w:rsid w:val="00FB40B1"/>
    <w:rsid w:val="00FB424E"/>
    <w:rsid w:val="00FB4252"/>
    <w:rsid w:val="00FB4270"/>
    <w:rsid w:val="00FB42F4"/>
    <w:rsid w:val="00FB437F"/>
    <w:rsid w:val="00FB444D"/>
    <w:rsid w:val="00FB4467"/>
    <w:rsid w:val="00FB44F2"/>
    <w:rsid w:val="00FB4667"/>
    <w:rsid w:val="00FB46DC"/>
    <w:rsid w:val="00FB4775"/>
    <w:rsid w:val="00FB4820"/>
    <w:rsid w:val="00FB4963"/>
    <w:rsid w:val="00FB49C6"/>
    <w:rsid w:val="00FB4A22"/>
    <w:rsid w:val="00FB4A8D"/>
    <w:rsid w:val="00FB4ACE"/>
    <w:rsid w:val="00FB4AED"/>
    <w:rsid w:val="00FB4B6B"/>
    <w:rsid w:val="00FB4BB8"/>
    <w:rsid w:val="00FB4C83"/>
    <w:rsid w:val="00FB4C89"/>
    <w:rsid w:val="00FB4D95"/>
    <w:rsid w:val="00FB4E28"/>
    <w:rsid w:val="00FB4E3A"/>
    <w:rsid w:val="00FB4F87"/>
    <w:rsid w:val="00FB4FED"/>
    <w:rsid w:val="00FB50A5"/>
    <w:rsid w:val="00FB51DE"/>
    <w:rsid w:val="00FB51E1"/>
    <w:rsid w:val="00FB51E4"/>
    <w:rsid w:val="00FB51F3"/>
    <w:rsid w:val="00FB520F"/>
    <w:rsid w:val="00FB5255"/>
    <w:rsid w:val="00FB525E"/>
    <w:rsid w:val="00FB52AA"/>
    <w:rsid w:val="00FB5416"/>
    <w:rsid w:val="00FB5427"/>
    <w:rsid w:val="00FB54A2"/>
    <w:rsid w:val="00FB551D"/>
    <w:rsid w:val="00FB5547"/>
    <w:rsid w:val="00FB559F"/>
    <w:rsid w:val="00FB55DE"/>
    <w:rsid w:val="00FB55E6"/>
    <w:rsid w:val="00FB5640"/>
    <w:rsid w:val="00FB572C"/>
    <w:rsid w:val="00FB57B1"/>
    <w:rsid w:val="00FB57ED"/>
    <w:rsid w:val="00FB5894"/>
    <w:rsid w:val="00FB589A"/>
    <w:rsid w:val="00FB58C7"/>
    <w:rsid w:val="00FB58E6"/>
    <w:rsid w:val="00FB594D"/>
    <w:rsid w:val="00FB59B5"/>
    <w:rsid w:val="00FB5AD3"/>
    <w:rsid w:val="00FB5B7F"/>
    <w:rsid w:val="00FB5BBB"/>
    <w:rsid w:val="00FB5C29"/>
    <w:rsid w:val="00FB5CD5"/>
    <w:rsid w:val="00FB5D06"/>
    <w:rsid w:val="00FB5D9E"/>
    <w:rsid w:val="00FB5E0B"/>
    <w:rsid w:val="00FB5F2C"/>
    <w:rsid w:val="00FB5F3E"/>
    <w:rsid w:val="00FB5F41"/>
    <w:rsid w:val="00FB5F45"/>
    <w:rsid w:val="00FB5FC4"/>
    <w:rsid w:val="00FB605D"/>
    <w:rsid w:val="00FB60DA"/>
    <w:rsid w:val="00FB6223"/>
    <w:rsid w:val="00FB6290"/>
    <w:rsid w:val="00FB6301"/>
    <w:rsid w:val="00FB631D"/>
    <w:rsid w:val="00FB6343"/>
    <w:rsid w:val="00FB6357"/>
    <w:rsid w:val="00FB639C"/>
    <w:rsid w:val="00FB641F"/>
    <w:rsid w:val="00FB64D5"/>
    <w:rsid w:val="00FB656E"/>
    <w:rsid w:val="00FB65EC"/>
    <w:rsid w:val="00FB66A9"/>
    <w:rsid w:val="00FB676B"/>
    <w:rsid w:val="00FB67DE"/>
    <w:rsid w:val="00FB6805"/>
    <w:rsid w:val="00FB68AA"/>
    <w:rsid w:val="00FB68B5"/>
    <w:rsid w:val="00FB6966"/>
    <w:rsid w:val="00FB69E9"/>
    <w:rsid w:val="00FB6B22"/>
    <w:rsid w:val="00FB6B7F"/>
    <w:rsid w:val="00FB6BF1"/>
    <w:rsid w:val="00FB6C57"/>
    <w:rsid w:val="00FB6CAA"/>
    <w:rsid w:val="00FB6D67"/>
    <w:rsid w:val="00FB6D9F"/>
    <w:rsid w:val="00FB6DA0"/>
    <w:rsid w:val="00FB6E18"/>
    <w:rsid w:val="00FB6E5B"/>
    <w:rsid w:val="00FB6EFC"/>
    <w:rsid w:val="00FB6FC9"/>
    <w:rsid w:val="00FB7018"/>
    <w:rsid w:val="00FB705D"/>
    <w:rsid w:val="00FB70A0"/>
    <w:rsid w:val="00FB70B2"/>
    <w:rsid w:val="00FB70FE"/>
    <w:rsid w:val="00FB7159"/>
    <w:rsid w:val="00FB72A7"/>
    <w:rsid w:val="00FB72D1"/>
    <w:rsid w:val="00FB7462"/>
    <w:rsid w:val="00FB752D"/>
    <w:rsid w:val="00FB75AF"/>
    <w:rsid w:val="00FB7655"/>
    <w:rsid w:val="00FB7703"/>
    <w:rsid w:val="00FB7706"/>
    <w:rsid w:val="00FB7715"/>
    <w:rsid w:val="00FB77B2"/>
    <w:rsid w:val="00FB77D6"/>
    <w:rsid w:val="00FB77E7"/>
    <w:rsid w:val="00FB7835"/>
    <w:rsid w:val="00FB783E"/>
    <w:rsid w:val="00FB7883"/>
    <w:rsid w:val="00FB78D7"/>
    <w:rsid w:val="00FB7915"/>
    <w:rsid w:val="00FB793A"/>
    <w:rsid w:val="00FB7941"/>
    <w:rsid w:val="00FB7A6F"/>
    <w:rsid w:val="00FB7AEE"/>
    <w:rsid w:val="00FB7B93"/>
    <w:rsid w:val="00FB7BA0"/>
    <w:rsid w:val="00FB7BCA"/>
    <w:rsid w:val="00FB7C0A"/>
    <w:rsid w:val="00FB7C66"/>
    <w:rsid w:val="00FB7C99"/>
    <w:rsid w:val="00FB7CEC"/>
    <w:rsid w:val="00FB7D6D"/>
    <w:rsid w:val="00FB7D85"/>
    <w:rsid w:val="00FB7DAB"/>
    <w:rsid w:val="00FB7F04"/>
    <w:rsid w:val="00FB7F52"/>
    <w:rsid w:val="00FC00D0"/>
    <w:rsid w:val="00FC010C"/>
    <w:rsid w:val="00FC011E"/>
    <w:rsid w:val="00FC017A"/>
    <w:rsid w:val="00FC019E"/>
    <w:rsid w:val="00FC0285"/>
    <w:rsid w:val="00FC02EB"/>
    <w:rsid w:val="00FC038D"/>
    <w:rsid w:val="00FC0398"/>
    <w:rsid w:val="00FC03DB"/>
    <w:rsid w:val="00FC04AB"/>
    <w:rsid w:val="00FC04B5"/>
    <w:rsid w:val="00FC04F6"/>
    <w:rsid w:val="00FC0534"/>
    <w:rsid w:val="00FC054F"/>
    <w:rsid w:val="00FC0574"/>
    <w:rsid w:val="00FC05FC"/>
    <w:rsid w:val="00FC0622"/>
    <w:rsid w:val="00FC0623"/>
    <w:rsid w:val="00FC0655"/>
    <w:rsid w:val="00FC0734"/>
    <w:rsid w:val="00FC074F"/>
    <w:rsid w:val="00FC081D"/>
    <w:rsid w:val="00FC0870"/>
    <w:rsid w:val="00FC0AAC"/>
    <w:rsid w:val="00FC0AD8"/>
    <w:rsid w:val="00FC0B08"/>
    <w:rsid w:val="00FC0B4E"/>
    <w:rsid w:val="00FC0BE0"/>
    <w:rsid w:val="00FC0C03"/>
    <w:rsid w:val="00FC0C49"/>
    <w:rsid w:val="00FC0CB8"/>
    <w:rsid w:val="00FC0D07"/>
    <w:rsid w:val="00FC0D99"/>
    <w:rsid w:val="00FC0DB6"/>
    <w:rsid w:val="00FC0E7C"/>
    <w:rsid w:val="00FC0EAA"/>
    <w:rsid w:val="00FC0ED4"/>
    <w:rsid w:val="00FC0EE4"/>
    <w:rsid w:val="00FC0FF0"/>
    <w:rsid w:val="00FC1027"/>
    <w:rsid w:val="00FC102D"/>
    <w:rsid w:val="00FC102E"/>
    <w:rsid w:val="00FC1070"/>
    <w:rsid w:val="00FC10A7"/>
    <w:rsid w:val="00FC1177"/>
    <w:rsid w:val="00FC122D"/>
    <w:rsid w:val="00FC1233"/>
    <w:rsid w:val="00FC12D4"/>
    <w:rsid w:val="00FC1379"/>
    <w:rsid w:val="00FC13FC"/>
    <w:rsid w:val="00FC1420"/>
    <w:rsid w:val="00FC144A"/>
    <w:rsid w:val="00FC1543"/>
    <w:rsid w:val="00FC1561"/>
    <w:rsid w:val="00FC15E7"/>
    <w:rsid w:val="00FC1624"/>
    <w:rsid w:val="00FC1728"/>
    <w:rsid w:val="00FC1791"/>
    <w:rsid w:val="00FC17BB"/>
    <w:rsid w:val="00FC17BE"/>
    <w:rsid w:val="00FC17ED"/>
    <w:rsid w:val="00FC1877"/>
    <w:rsid w:val="00FC1884"/>
    <w:rsid w:val="00FC18F5"/>
    <w:rsid w:val="00FC1940"/>
    <w:rsid w:val="00FC1968"/>
    <w:rsid w:val="00FC19B4"/>
    <w:rsid w:val="00FC1A74"/>
    <w:rsid w:val="00FC1A89"/>
    <w:rsid w:val="00FC1C25"/>
    <w:rsid w:val="00FC1C59"/>
    <w:rsid w:val="00FC1CC1"/>
    <w:rsid w:val="00FC1D38"/>
    <w:rsid w:val="00FC1D93"/>
    <w:rsid w:val="00FC1DBD"/>
    <w:rsid w:val="00FC1DC3"/>
    <w:rsid w:val="00FC1E07"/>
    <w:rsid w:val="00FC1E1E"/>
    <w:rsid w:val="00FC1E30"/>
    <w:rsid w:val="00FC1E76"/>
    <w:rsid w:val="00FC1EF2"/>
    <w:rsid w:val="00FC1F0C"/>
    <w:rsid w:val="00FC1F1E"/>
    <w:rsid w:val="00FC1F44"/>
    <w:rsid w:val="00FC1FBC"/>
    <w:rsid w:val="00FC1FF5"/>
    <w:rsid w:val="00FC2043"/>
    <w:rsid w:val="00FC20AF"/>
    <w:rsid w:val="00FC20CB"/>
    <w:rsid w:val="00FC2123"/>
    <w:rsid w:val="00FC2216"/>
    <w:rsid w:val="00FC221E"/>
    <w:rsid w:val="00FC22C9"/>
    <w:rsid w:val="00FC2335"/>
    <w:rsid w:val="00FC2444"/>
    <w:rsid w:val="00FC2543"/>
    <w:rsid w:val="00FC2606"/>
    <w:rsid w:val="00FC2630"/>
    <w:rsid w:val="00FC264B"/>
    <w:rsid w:val="00FC26F8"/>
    <w:rsid w:val="00FC2781"/>
    <w:rsid w:val="00FC27DB"/>
    <w:rsid w:val="00FC290C"/>
    <w:rsid w:val="00FC29B2"/>
    <w:rsid w:val="00FC29B5"/>
    <w:rsid w:val="00FC2A22"/>
    <w:rsid w:val="00FC2AB1"/>
    <w:rsid w:val="00FC2ABC"/>
    <w:rsid w:val="00FC2B49"/>
    <w:rsid w:val="00FC2B6F"/>
    <w:rsid w:val="00FC2BEF"/>
    <w:rsid w:val="00FC2BF2"/>
    <w:rsid w:val="00FC2C4B"/>
    <w:rsid w:val="00FC2C86"/>
    <w:rsid w:val="00FC2CA9"/>
    <w:rsid w:val="00FC2DC2"/>
    <w:rsid w:val="00FC2EAA"/>
    <w:rsid w:val="00FC2F3F"/>
    <w:rsid w:val="00FC2F79"/>
    <w:rsid w:val="00FC2FE1"/>
    <w:rsid w:val="00FC3012"/>
    <w:rsid w:val="00FC3030"/>
    <w:rsid w:val="00FC307E"/>
    <w:rsid w:val="00FC3081"/>
    <w:rsid w:val="00FC31B1"/>
    <w:rsid w:val="00FC31F1"/>
    <w:rsid w:val="00FC3207"/>
    <w:rsid w:val="00FC329D"/>
    <w:rsid w:val="00FC32E3"/>
    <w:rsid w:val="00FC3384"/>
    <w:rsid w:val="00FC339A"/>
    <w:rsid w:val="00FC33BB"/>
    <w:rsid w:val="00FC3424"/>
    <w:rsid w:val="00FC3552"/>
    <w:rsid w:val="00FC3558"/>
    <w:rsid w:val="00FC356A"/>
    <w:rsid w:val="00FC3570"/>
    <w:rsid w:val="00FC35BB"/>
    <w:rsid w:val="00FC360C"/>
    <w:rsid w:val="00FC36E7"/>
    <w:rsid w:val="00FC36F2"/>
    <w:rsid w:val="00FC372E"/>
    <w:rsid w:val="00FC376E"/>
    <w:rsid w:val="00FC389B"/>
    <w:rsid w:val="00FC38E5"/>
    <w:rsid w:val="00FC38F4"/>
    <w:rsid w:val="00FC3941"/>
    <w:rsid w:val="00FC399B"/>
    <w:rsid w:val="00FC39AB"/>
    <w:rsid w:val="00FC39BC"/>
    <w:rsid w:val="00FC3A10"/>
    <w:rsid w:val="00FC3A6F"/>
    <w:rsid w:val="00FC3A9B"/>
    <w:rsid w:val="00FC3B3C"/>
    <w:rsid w:val="00FC3B7E"/>
    <w:rsid w:val="00FC3BC4"/>
    <w:rsid w:val="00FC3C42"/>
    <w:rsid w:val="00FC3C56"/>
    <w:rsid w:val="00FC3C6B"/>
    <w:rsid w:val="00FC3CEA"/>
    <w:rsid w:val="00FC3DBE"/>
    <w:rsid w:val="00FC3DC8"/>
    <w:rsid w:val="00FC3DE5"/>
    <w:rsid w:val="00FC3E08"/>
    <w:rsid w:val="00FC3EC6"/>
    <w:rsid w:val="00FC410C"/>
    <w:rsid w:val="00FC4144"/>
    <w:rsid w:val="00FC4204"/>
    <w:rsid w:val="00FC4275"/>
    <w:rsid w:val="00FC4296"/>
    <w:rsid w:val="00FC42A1"/>
    <w:rsid w:val="00FC42F6"/>
    <w:rsid w:val="00FC434B"/>
    <w:rsid w:val="00FC439F"/>
    <w:rsid w:val="00FC44C1"/>
    <w:rsid w:val="00FC44D6"/>
    <w:rsid w:val="00FC44DC"/>
    <w:rsid w:val="00FC450E"/>
    <w:rsid w:val="00FC4596"/>
    <w:rsid w:val="00FC45B5"/>
    <w:rsid w:val="00FC4631"/>
    <w:rsid w:val="00FC463B"/>
    <w:rsid w:val="00FC4690"/>
    <w:rsid w:val="00FC47A6"/>
    <w:rsid w:val="00FC47C6"/>
    <w:rsid w:val="00FC48EB"/>
    <w:rsid w:val="00FC4944"/>
    <w:rsid w:val="00FC4980"/>
    <w:rsid w:val="00FC49BB"/>
    <w:rsid w:val="00FC4A86"/>
    <w:rsid w:val="00FC4C0C"/>
    <w:rsid w:val="00FC4C46"/>
    <w:rsid w:val="00FC4CB3"/>
    <w:rsid w:val="00FC4D4D"/>
    <w:rsid w:val="00FC4E10"/>
    <w:rsid w:val="00FC4F2C"/>
    <w:rsid w:val="00FC4FD1"/>
    <w:rsid w:val="00FC500D"/>
    <w:rsid w:val="00FC51AF"/>
    <w:rsid w:val="00FC5209"/>
    <w:rsid w:val="00FC523E"/>
    <w:rsid w:val="00FC5260"/>
    <w:rsid w:val="00FC527E"/>
    <w:rsid w:val="00FC52BB"/>
    <w:rsid w:val="00FC52F6"/>
    <w:rsid w:val="00FC5357"/>
    <w:rsid w:val="00FC5394"/>
    <w:rsid w:val="00FC53B5"/>
    <w:rsid w:val="00FC5414"/>
    <w:rsid w:val="00FC541B"/>
    <w:rsid w:val="00FC54F9"/>
    <w:rsid w:val="00FC5586"/>
    <w:rsid w:val="00FC55C2"/>
    <w:rsid w:val="00FC5627"/>
    <w:rsid w:val="00FC5706"/>
    <w:rsid w:val="00FC5806"/>
    <w:rsid w:val="00FC583C"/>
    <w:rsid w:val="00FC584F"/>
    <w:rsid w:val="00FC5862"/>
    <w:rsid w:val="00FC5875"/>
    <w:rsid w:val="00FC599F"/>
    <w:rsid w:val="00FC5B47"/>
    <w:rsid w:val="00FC5B4A"/>
    <w:rsid w:val="00FC5BD4"/>
    <w:rsid w:val="00FC5C55"/>
    <w:rsid w:val="00FC5C7E"/>
    <w:rsid w:val="00FC5CC1"/>
    <w:rsid w:val="00FC5D47"/>
    <w:rsid w:val="00FC5D75"/>
    <w:rsid w:val="00FC5D91"/>
    <w:rsid w:val="00FC5E1A"/>
    <w:rsid w:val="00FC5F1F"/>
    <w:rsid w:val="00FC5F65"/>
    <w:rsid w:val="00FC5F83"/>
    <w:rsid w:val="00FC5FE2"/>
    <w:rsid w:val="00FC6082"/>
    <w:rsid w:val="00FC61FE"/>
    <w:rsid w:val="00FC6208"/>
    <w:rsid w:val="00FC6226"/>
    <w:rsid w:val="00FC6284"/>
    <w:rsid w:val="00FC62A8"/>
    <w:rsid w:val="00FC6379"/>
    <w:rsid w:val="00FC637F"/>
    <w:rsid w:val="00FC63C2"/>
    <w:rsid w:val="00FC6458"/>
    <w:rsid w:val="00FC647E"/>
    <w:rsid w:val="00FC6496"/>
    <w:rsid w:val="00FC64A5"/>
    <w:rsid w:val="00FC64F0"/>
    <w:rsid w:val="00FC64F5"/>
    <w:rsid w:val="00FC64F9"/>
    <w:rsid w:val="00FC6504"/>
    <w:rsid w:val="00FC65D1"/>
    <w:rsid w:val="00FC660F"/>
    <w:rsid w:val="00FC66FD"/>
    <w:rsid w:val="00FC6713"/>
    <w:rsid w:val="00FC6715"/>
    <w:rsid w:val="00FC673F"/>
    <w:rsid w:val="00FC686D"/>
    <w:rsid w:val="00FC6871"/>
    <w:rsid w:val="00FC6A8A"/>
    <w:rsid w:val="00FC6AD6"/>
    <w:rsid w:val="00FC6BEF"/>
    <w:rsid w:val="00FC6C48"/>
    <w:rsid w:val="00FC6D0D"/>
    <w:rsid w:val="00FC6D11"/>
    <w:rsid w:val="00FC6D25"/>
    <w:rsid w:val="00FC6DC2"/>
    <w:rsid w:val="00FC6E97"/>
    <w:rsid w:val="00FC6F16"/>
    <w:rsid w:val="00FC6F2C"/>
    <w:rsid w:val="00FC6F3B"/>
    <w:rsid w:val="00FC6F67"/>
    <w:rsid w:val="00FC6FAE"/>
    <w:rsid w:val="00FC704A"/>
    <w:rsid w:val="00FC70C1"/>
    <w:rsid w:val="00FC710C"/>
    <w:rsid w:val="00FC7130"/>
    <w:rsid w:val="00FC71DC"/>
    <w:rsid w:val="00FC7248"/>
    <w:rsid w:val="00FC73AF"/>
    <w:rsid w:val="00FC73CE"/>
    <w:rsid w:val="00FC7504"/>
    <w:rsid w:val="00FC756E"/>
    <w:rsid w:val="00FC7590"/>
    <w:rsid w:val="00FC75BA"/>
    <w:rsid w:val="00FC75D9"/>
    <w:rsid w:val="00FC7620"/>
    <w:rsid w:val="00FC763C"/>
    <w:rsid w:val="00FC7718"/>
    <w:rsid w:val="00FC7865"/>
    <w:rsid w:val="00FC78BC"/>
    <w:rsid w:val="00FC78F9"/>
    <w:rsid w:val="00FC7952"/>
    <w:rsid w:val="00FC7A68"/>
    <w:rsid w:val="00FC7A77"/>
    <w:rsid w:val="00FC7AB2"/>
    <w:rsid w:val="00FC7AC7"/>
    <w:rsid w:val="00FC7B72"/>
    <w:rsid w:val="00FC7B9F"/>
    <w:rsid w:val="00FC7C3C"/>
    <w:rsid w:val="00FC7D04"/>
    <w:rsid w:val="00FC7D2E"/>
    <w:rsid w:val="00FC7D90"/>
    <w:rsid w:val="00FC7DE2"/>
    <w:rsid w:val="00FC7E1A"/>
    <w:rsid w:val="00FC7E43"/>
    <w:rsid w:val="00FC7E85"/>
    <w:rsid w:val="00FC7EAF"/>
    <w:rsid w:val="00FC7EB1"/>
    <w:rsid w:val="00FC7ED5"/>
    <w:rsid w:val="00FC7EEB"/>
    <w:rsid w:val="00FC7F09"/>
    <w:rsid w:val="00FC7F96"/>
    <w:rsid w:val="00FD002F"/>
    <w:rsid w:val="00FD005A"/>
    <w:rsid w:val="00FD0073"/>
    <w:rsid w:val="00FD00CA"/>
    <w:rsid w:val="00FD0179"/>
    <w:rsid w:val="00FD01AB"/>
    <w:rsid w:val="00FD01E7"/>
    <w:rsid w:val="00FD01FE"/>
    <w:rsid w:val="00FD0208"/>
    <w:rsid w:val="00FD020B"/>
    <w:rsid w:val="00FD024D"/>
    <w:rsid w:val="00FD0255"/>
    <w:rsid w:val="00FD0261"/>
    <w:rsid w:val="00FD0389"/>
    <w:rsid w:val="00FD03C4"/>
    <w:rsid w:val="00FD048A"/>
    <w:rsid w:val="00FD063C"/>
    <w:rsid w:val="00FD0681"/>
    <w:rsid w:val="00FD06F8"/>
    <w:rsid w:val="00FD071B"/>
    <w:rsid w:val="00FD0752"/>
    <w:rsid w:val="00FD077D"/>
    <w:rsid w:val="00FD0780"/>
    <w:rsid w:val="00FD0791"/>
    <w:rsid w:val="00FD07A3"/>
    <w:rsid w:val="00FD07C7"/>
    <w:rsid w:val="00FD07D2"/>
    <w:rsid w:val="00FD0842"/>
    <w:rsid w:val="00FD08F0"/>
    <w:rsid w:val="00FD0998"/>
    <w:rsid w:val="00FD0B65"/>
    <w:rsid w:val="00FD0BA0"/>
    <w:rsid w:val="00FD0BB7"/>
    <w:rsid w:val="00FD0DC2"/>
    <w:rsid w:val="00FD0EA6"/>
    <w:rsid w:val="00FD0EB7"/>
    <w:rsid w:val="00FD0F15"/>
    <w:rsid w:val="00FD0F8C"/>
    <w:rsid w:val="00FD0FAD"/>
    <w:rsid w:val="00FD0FAF"/>
    <w:rsid w:val="00FD1250"/>
    <w:rsid w:val="00FD1272"/>
    <w:rsid w:val="00FD128A"/>
    <w:rsid w:val="00FD13D2"/>
    <w:rsid w:val="00FD13DA"/>
    <w:rsid w:val="00FD1479"/>
    <w:rsid w:val="00FD14B1"/>
    <w:rsid w:val="00FD1625"/>
    <w:rsid w:val="00FD1732"/>
    <w:rsid w:val="00FD178A"/>
    <w:rsid w:val="00FD17A6"/>
    <w:rsid w:val="00FD17BA"/>
    <w:rsid w:val="00FD1809"/>
    <w:rsid w:val="00FD1858"/>
    <w:rsid w:val="00FD1901"/>
    <w:rsid w:val="00FD19A8"/>
    <w:rsid w:val="00FD1A14"/>
    <w:rsid w:val="00FD1A2F"/>
    <w:rsid w:val="00FD1A31"/>
    <w:rsid w:val="00FD1AB2"/>
    <w:rsid w:val="00FD1B10"/>
    <w:rsid w:val="00FD1BFF"/>
    <w:rsid w:val="00FD1C02"/>
    <w:rsid w:val="00FD1C44"/>
    <w:rsid w:val="00FD1CBE"/>
    <w:rsid w:val="00FD1CC6"/>
    <w:rsid w:val="00FD1D14"/>
    <w:rsid w:val="00FD1D27"/>
    <w:rsid w:val="00FD1D62"/>
    <w:rsid w:val="00FD1DA0"/>
    <w:rsid w:val="00FD1DD7"/>
    <w:rsid w:val="00FD1F3F"/>
    <w:rsid w:val="00FD1FA7"/>
    <w:rsid w:val="00FD2058"/>
    <w:rsid w:val="00FD2100"/>
    <w:rsid w:val="00FD2114"/>
    <w:rsid w:val="00FD223A"/>
    <w:rsid w:val="00FD2244"/>
    <w:rsid w:val="00FD2297"/>
    <w:rsid w:val="00FD22BE"/>
    <w:rsid w:val="00FD22F1"/>
    <w:rsid w:val="00FD2304"/>
    <w:rsid w:val="00FD2378"/>
    <w:rsid w:val="00FD2480"/>
    <w:rsid w:val="00FD24DE"/>
    <w:rsid w:val="00FD2535"/>
    <w:rsid w:val="00FD2542"/>
    <w:rsid w:val="00FD254F"/>
    <w:rsid w:val="00FD257C"/>
    <w:rsid w:val="00FD25A7"/>
    <w:rsid w:val="00FD26AE"/>
    <w:rsid w:val="00FD26B8"/>
    <w:rsid w:val="00FD2701"/>
    <w:rsid w:val="00FD273C"/>
    <w:rsid w:val="00FD2812"/>
    <w:rsid w:val="00FD2836"/>
    <w:rsid w:val="00FD287B"/>
    <w:rsid w:val="00FD28D8"/>
    <w:rsid w:val="00FD28FB"/>
    <w:rsid w:val="00FD29E8"/>
    <w:rsid w:val="00FD2A7B"/>
    <w:rsid w:val="00FD2B9A"/>
    <w:rsid w:val="00FD2C19"/>
    <w:rsid w:val="00FD2CDE"/>
    <w:rsid w:val="00FD2D0A"/>
    <w:rsid w:val="00FD2D58"/>
    <w:rsid w:val="00FD2F58"/>
    <w:rsid w:val="00FD2F88"/>
    <w:rsid w:val="00FD303F"/>
    <w:rsid w:val="00FD313D"/>
    <w:rsid w:val="00FD32E2"/>
    <w:rsid w:val="00FD3343"/>
    <w:rsid w:val="00FD3359"/>
    <w:rsid w:val="00FD3384"/>
    <w:rsid w:val="00FD33E3"/>
    <w:rsid w:val="00FD34BF"/>
    <w:rsid w:val="00FD34DD"/>
    <w:rsid w:val="00FD352D"/>
    <w:rsid w:val="00FD3566"/>
    <w:rsid w:val="00FD3578"/>
    <w:rsid w:val="00FD36F7"/>
    <w:rsid w:val="00FD3709"/>
    <w:rsid w:val="00FD3739"/>
    <w:rsid w:val="00FD376C"/>
    <w:rsid w:val="00FD37E8"/>
    <w:rsid w:val="00FD389D"/>
    <w:rsid w:val="00FD3934"/>
    <w:rsid w:val="00FD3940"/>
    <w:rsid w:val="00FD3942"/>
    <w:rsid w:val="00FD3969"/>
    <w:rsid w:val="00FD3A00"/>
    <w:rsid w:val="00FD3A69"/>
    <w:rsid w:val="00FD3AEA"/>
    <w:rsid w:val="00FD3B33"/>
    <w:rsid w:val="00FD3B3A"/>
    <w:rsid w:val="00FD3B46"/>
    <w:rsid w:val="00FD3B73"/>
    <w:rsid w:val="00FD3B90"/>
    <w:rsid w:val="00FD3CA6"/>
    <w:rsid w:val="00FD3DFE"/>
    <w:rsid w:val="00FD3E60"/>
    <w:rsid w:val="00FD3EB2"/>
    <w:rsid w:val="00FD404A"/>
    <w:rsid w:val="00FD412D"/>
    <w:rsid w:val="00FD422E"/>
    <w:rsid w:val="00FD427C"/>
    <w:rsid w:val="00FD42A9"/>
    <w:rsid w:val="00FD42D9"/>
    <w:rsid w:val="00FD42E2"/>
    <w:rsid w:val="00FD42FD"/>
    <w:rsid w:val="00FD430A"/>
    <w:rsid w:val="00FD435F"/>
    <w:rsid w:val="00FD4365"/>
    <w:rsid w:val="00FD4399"/>
    <w:rsid w:val="00FD4404"/>
    <w:rsid w:val="00FD440E"/>
    <w:rsid w:val="00FD44FE"/>
    <w:rsid w:val="00FD463D"/>
    <w:rsid w:val="00FD46AB"/>
    <w:rsid w:val="00FD46C9"/>
    <w:rsid w:val="00FD46DC"/>
    <w:rsid w:val="00FD478A"/>
    <w:rsid w:val="00FD47EC"/>
    <w:rsid w:val="00FD480C"/>
    <w:rsid w:val="00FD480F"/>
    <w:rsid w:val="00FD494B"/>
    <w:rsid w:val="00FD495F"/>
    <w:rsid w:val="00FD49C4"/>
    <w:rsid w:val="00FD49E4"/>
    <w:rsid w:val="00FD4AAC"/>
    <w:rsid w:val="00FD4AC5"/>
    <w:rsid w:val="00FD4B1B"/>
    <w:rsid w:val="00FD4B40"/>
    <w:rsid w:val="00FD4B4A"/>
    <w:rsid w:val="00FD4E06"/>
    <w:rsid w:val="00FD4E35"/>
    <w:rsid w:val="00FD4E9D"/>
    <w:rsid w:val="00FD4F8B"/>
    <w:rsid w:val="00FD4FCC"/>
    <w:rsid w:val="00FD4FE6"/>
    <w:rsid w:val="00FD504B"/>
    <w:rsid w:val="00FD5070"/>
    <w:rsid w:val="00FD5071"/>
    <w:rsid w:val="00FD5167"/>
    <w:rsid w:val="00FD5202"/>
    <w:rsid w:val="00FD520A"/>
    <w:rsid w:val="00FD5270"/>
    <w:rsid w:val="00FD5408"/>
    <w:rsid w:val="00FD544D"/>
    <w:rsid w:val="00FD5462"/>
    <w:rsid w:val="00FD54FA"/>
    <w:rsid w:val="00FD55A0"/>
    <w:rsid w:val="00FD55A8"/>
    <w:rsid w:val="00FD55CF"/>
    <w:rsid w:val="00FD5619"/>
    <w:rsid w:val="00FD565E"/>
    <w:rsid w:val="00FD56E5"/>
    <w:rsid w:val="00FD5807"/>
    <w:rsid w:val="00FD5896"/>
    <w:rsid w:val="00FD58AB"/>
    <w:rsid w:val="00FD58B7"/>
    <w:rsid w:val="00FD58BF"/>
    <w:rsid w:val="00FD58E2"/>
    <w:rsid w:val="00FD591E"/>
    <w:rsid w:val="00FD5925"/>
    <w:rsid w:val="00FD595B"/>
    <w:rsid w:val="00FD5994"/>
    <w:rsid w:val="00FD59DB"/>
    <w:rsid w:val="00FD5A2B"/>
    <w:rsid w:val="00FD5AAE"/>
    <w:rsid w:val="00FD5AC6"/>
    <w:rsid w:val="00FD5AE6"/>
    <w:rsid w:val="00FD5BCF"/>
    <w:rsid w:val="00FD5BDF"/>
    <w:rsid w:val="00FD5C99"/>
    <w:rsid w:val="00FD5CCC"/>
    <w:rsid w:val="00FD5D3A"/>
    <w:rsid w:val="00FD5E6B"/>
    <w:rsid w:val="00FD5EA0"/>
    <w:rsid w:val="00FD5ED8"/>
    <w:rsid w:val="00FD5F3A"/>
    <w:rsid w:val="00FD6057"/>
    <w:rsid w:val="00FD60E5"/>
    <w:rsid w:val="00FD616B"/>
    <w:rsid w:val="00FD61D4"/>
    <w:rsid w:val="00FD61D7"/>
    <w:rsid w:val="00FD6277"/>
    <w:rsid w:val="00FD627F"/>
    <w:rsid w:val="00FD6385"/>
    <w:rsid w:val="00FD63DE"/>
    <w:rsid w:val="00FD63FC"/>
    <w:rsid w:val="00FD6455"/>
    <w:rsid w:val="00FD64C4"/>
    <w:rsid w:val="00FD650A"/>
    <w:rsid w:val="00FD6511"/>
    <w:rsid w:val="00FD6532"/>
    <w:rsid w:val="00FD6561"/>
    <w:rsid w:val="00FD6637"/>
    <w:rsid w:val="00FD665D"/>
    <w:rsid w:val="00FD66BB"/>
    <w:rsid w:val="00FD671C"/>
    <w:rsid w:val="00FD6729"/>
    <w:rsid w:val="00FD67B9"/>
    <w:rsid w:val="00FD67D0"/>
    <w:rsid w:val="00FD6878"/>
    <w:rsid w:val="00FD69CB"/>
    <w:rsid w:val="00FD69DA"/>
    <w:rsid w:val="00FD6A29"/>
    <w:rsid w:val="00FD6BF3"/>
    <w:rsid w:val="00FD6C27"/>
    <w:rsid w:val="00FD6C74"/>
    <w:rsid w:val="00FD6DAF"/>
    <w:rsid w:val="00FD6DDF"/>
    <w:rsid w:val="00FD6EC0"/>
    <w:rsid w:val="00FD6F29"/>
    <w:rsid w:val="00FD6FA9"/>
    <w:rsid w:val="00FD6FB5"/>
    <w:rsid w:val="00FD71AC"/>
    <w:rsid w:val="00FD72B3"/>
    <w:rsid w:val="00FD72ED"/>
    <w:rsid w:val="00FD7315"/>
    <w:rsid w:val="00FD7351"/>
    <w:rsid w:val="00FD736D"/>
    <w:rsid w:val="00FD742C"/>
    <w:rsid w:val="00FD7501"/>
    <w:rsid w:val="00FD7538"/>
    <w:rsid w:val="00FD7539"/>
    <w:rsid w:val="00FD7592"/>
    <w:rsid w:val="00FD75D4"/>
    <w:rsid w:val="00FD7658"/>
    <w:rsid w:val="00FD7716"/>
    <w:rsid w:val="00FD792F"/>
    <w:rsid w:val="00FD79DA"/>
    <w:rsid w:val="00FD79ED"/>
    <w:rsid w:val="00FD7A70"/>
    <w:rsid w:val="00FD7A97"/>
    <w:rsid w:val="00FD7ADF"/>
    <w:rsid w:val="00FD7AF8"/>
    <w:rsid w:val="00FD7B40"/>
    <w:rsid w:val="00FD7B43"/>
    <w:rsid w:val="00FD7B44"/>
    <w:rsid w:val="00FD7C17"/>
    <w:rsid w:val="00FD7C4F"/>
    <w:rsid w:val="00FD7CBB"/>
    <w:rsid w:val="00FD7D06"/>
    <w:rsid w:val="00FD7D2B"/>
    <w:rsid w:val="00FD7D91"/>
    <w:rsid w:val="00FD7E44"/>
    <w:rsid w:val="00FD7F00"/>
    <w:rsid w:val="00FD7F87"/>
    <w:rsid w:val="00FD7FE2"/>
    <w:rsid w:val="00FE0072"/>
    <w:rsid w:val="00FE00E2"/>
    <w:rsid w:val="00FE011A"/>
    <w:rsid w:val="00FE0299"/>
    <w:rsid w:val="00FE055B"/>
    <w:rsid w:val="00FE0575"/>
    <w:rsid w:val="00FE05B5"/>
    <w:rsid w:val="00FE05D3"/>
    <w:rsid w:val="00FE0636"/>
    <w:rsid w:val="00FE068A"/>
    <w:rsid w:val="00FE076F"/>
    <w:rsid w:val="00FE07A5"/>
    <w:rsid w:val="00FE07C2"/>
    <w:rsid w:val="00FE0825"/>
    <w:rsid w:val="00FE0928"/>
    <w:rsid w:val="00FE09E7"/>
    <w:rsid w:val="00FE0A28"/>
    <w:rsid w:val="00FE0A34"/>
    <w:rsid w:val="00FE0A88"/>
    <w:rsid w:val="00FE0B6A"/>
    <w:rsid w:val="00FE0B90"/>
    <w:rsid w:val="00FE0BD8"/>
    <w:rsid w:val="00FE0C08"/>
    <w:rsid w:val="00FE0CB2"/>
    <w:rsid w:val="00FE0CC0"/>
    <w:rsid w:val="00FE0CDE"/>
    <w:rsid w:val="00FE0E1F"/>
    <w:rsid w:val="00FE0FC1"/>
    <w:rsid w:val="00FE1036"/>
    <w:rsid w:val="00FE108B"/>
    <w:rsid w:val="00FE108C"/>
    <w:rsid w:val="00FE10B9"/>
    <w:rsid w:val="00FE10CD"/>
    <w:rsid w:val="00FE10DF"/>
    <w:rsid w:val="00FE11AE"/>
    <w:rsid w:val="00FE11C1"/>
    <w:rsid w:val="00FE124D"/>
    <w:rsid w:val="00FE1296"/>
    <w:rsid w:val="00FE1418"/>
    <w:rsid w:val="00FE142D"/>
    <w:rsid w:val="00FE158E"/>
    <w:rsid w:val="00FE1625"/>
    <w:rsid w:val="00FE1662"/>
    <w:rsid w:val="00FE16C2"/>
    <w:rsid w:val="00FE16CD"/>
    <w:rsid w:val="00FE1715"/>
    <w:rsid w:val="00FE17B6"/>
    <w:rsid w:val="00FE1819"/>
    <w:rsid w:val="00FE18FA"/>
    <w:rsid w:val="00FE1903"/>
    <w:rsid w:val="00FE1A17"/>
    <w:rsid w:val="00FE1A1A"/>
    <w:rsid w:val="00FE1A32"/>
    <w:rsid w:val="00FE1B2A"/>
    <w:rsid w:val="00FE1B82"/>
    <w:rsid w:val="00FE1BF2"/>
    <w:rsid w:val="00FE1C0A"/>
    <w:rsid w:val="00FE1C36"/>
    <w:rsid w:val="00FE1D52"/>
    <w:rsid w:val="00FE1D5D"/>
    <w:rsid w:val="00FE1E3E"/>
    <w:rsid w:val="00FE1E48"/>
    <w:rsid w:val="00FE1E68"/>
    <w:rsid w:val="00FE1F1A"/>
    <w:rsid w:val="00FE1FB7"/>
    <w:rsid w:val="00FE1FBB"/>
    <w:rsid w:val="00FE2086"/>
    <w:rsid w:val="00FE2156"/>
    <w:rsid w:val="00FE21A0"/>
    <w:rsid w:val="00FE225D"/>
    <w:rsid w:val="00FE22F2"/>
    <w:rsid w:val="00FE231E"/>
    <w:rsid w:val="00FE23DC"/>
    <w:rsid w:val="00FE254D"/>
    <w:rsid w:val="00FE26D0"/>
    <w:rsid w:val="00FE272F"/>
    <w:rsid w:val="00FE274F"/>
    <w:rsid w:val="00FE27C9"/>
    <w:rsid w:val="00FE27EA"/>
    <w:rsid w:val="00FE27FC"/>
    <w:rsid w:val="00FE285E"/>
    <w:rsid w:val="00FE2870"/>
    <w:rsid w:val="00FE28B5"/>
    <w:rsid w:val="00FE294D"/>
    <w:rsid w:val="00FE2953"/>
    <w:rsid w:val="00FE29A5"/>
    <w:rsid w:val="00FE2A7D"/>
    <w:rsid w:val="00FE2B04"/>
    <w:rsid w:val="00FE2BFF"/>
    <w:rsid w:val="00FE2C40"/>
    <w:rsid w:val="00FE2D3A"/>
    <w:rsid w:val="00FE2D41"/>
    <w:rsid w:val="00FE2D52"/>
    <w:rsid w:val="00FE2DA0"/>
    <w:rsid w:val="00FE2DA2"/>
    <w:rsid w:val="00FE2E04"/>
    <w:rsid w:val="00FE2E16"/>
    <w:rsid w:val="00FE2FA1"/>
    <w:rsid w:val="00FE315E"/>
    <w:rsid w:val="00FE32FE"/>
    <w:rsid w:val="00FE3373"/>
    <w:rsid w:val="00FE3417"/>
    <w:rsid w:val="00FE346B"/>
    <w:rsid w:val="00FE3543"/>
    <w:rsid w:val="00FE35CA"/>
    <w:rsid w:val="00FE3608"/>
    <w:rsid w:val="00FE361C"/>
    <w:rsid w:val="00FE364F"/>
    <w:rsid w:val="00FE367F"/>
    <w:rsid w:val="00FE36CE"/>
    <w:rsid w:val="00FE3702"/>
    <w:rsid w:val="00FE384F"/>
    <w:rsid w:val="00FE3854"/>
    <w:rsid w:val="00FE3856"/>
    <w:rsid w:val="00FE38A2"/>
    <w:rsid w:val="00FE393A"/>
    <w:rsid w:val="00FE3988"/>
    <w:rsid w:val="00FE3A8E"/>
    <w:rsid w:val="00FE3AF7"/>
    <w:rsid w:val="00FE3B3D"/>
    <w:rsid w:val="00FE3BDA"/>
    <w:rsid w:val="00FE3C74"/>
    <w:rsid w:val="00FE3D87"/>
    <w:rsid w:val="00FE3D94"/>
    <w:rsid w:val="00FE3E0F"/>
    <w:rsid w:val="00FE3E65"/>
    <w:rsid w:val="00FE3F65"/>
    <w:rsid w:val="00FE40D6"/>
    <w:rsid w:val="00FE4116"/>
    <w:rsid w:val="00FE4243"/>
    <w:rsid w:val="00FE42C6"/>
    <w:rsid w:val="00FE4308"/>
    <w:rsid w:val="00FE431C"/>
    <w:rsid w:val="00FE4382"/>
    <w:rsid w:val="00FE439C"/>
    <w:rsid w:val="00FE43F7"/>
    <w:rsid w:val="00FE441D"/>
    <w:rsid w:val="00FE44BB"/>
    <w:rsid w:val="00FE44CA"/>
    <w:rsid w:val="00FE44CC"/>
    <w:rsid w:val="00FE4506"/>
    <w:rsid w:val="00FE4515"/>
    <w:rsid w:val="00FE456E"/>
    <w:rsid w:val="00FE464D"/>
    <w:rsid w:val="00FE4660"/>
    <w:rsid w:val="00FE46B8"/>
    <w:rsid w:val="00FE473F"/>
    <w:rsid w:val="00FE4745"/>
    <w:rsid w:val="00FE4814"/>
    <w:rsid w:val="00FE4829"/>
    <w:rsid w:val="00FE487F"/>
    <w:rsid w:val="00FE48B4"/>
    <w:rsid w:val="00FE48E9"/>
    <w:rsid w:val="00FE49AB"/>
    <w:rsid w:val="00FE49CA"/>
    <w:rsid w:val="00FE49D8"/>
    <w:rsid w:val="00FE49DC"/>
    <w:rsid w:val="00FE49EB"/>
    <w:rsid w:val="00FE4A4A"/>
    <w:rsid w:val="00FE4B3E"/>
    <w:rsid w:val="00FE4B91"/>
    <w:rsid w:val="00FE4C2F"/>
    <w:rsid w:val="00FE4C6F"/>
    <w:rsid w:val="00FE4C8E"/>
    <w:rsid w:val="00FE4CBE"/>
    <w:rsid w:val="00FE4E54"/>
    <w:rsid w:val="00FE4E66"/>
    <w:rsid w:val="00FE4F9F"/>
    <w:rsid w:val="00FE5000"/>
    <w:rsid w:val="00FE5190"/>
    <w:rsid w:val="00FE51BC"/>
    <w:rsid w:val="00FE51FF"/>
    <w:rsid w:val="00FE52AF"/>
    <w:rsid w:val="00FE52CA"/>
    <w:rsid w:val="00FE535C"/>
    <w:rsid w:val="00FE538F"/>
    <w:rsid w:val="00FE5439"/>
    <w:rsid w:val="00FE543C"/>
    <w:rsid w:val="00FE549A"/>
    <w:rsid w:val="00FE5550"/>
    <w:rsid w:val="00FE55C2"/>
    <w:rsid w:val="00FE55E7"/>
    <w:rsid w:val="00FE5605"/>
    <w:rsid w:val="00FE5663"/>
    <w:rsid w:val="00FE5718"/>
    <w:rsid w:val="00FE579E"/>
    <w:rsid w:val="00FE5881"/>
    <w:rsid w:val="00FE589C"/>
    <w:rsid w:val="00FE58FF"/>
    <w:rsid w:val="00FE5986"/>
    <w:rsid w:val="00FE59DF"/>
    <w:rsid w:val="00FE59FE"/>
    <w:rsid w:val="00FE5A4C"/>
    <w:rsid w:val="00FE5A80"/>
    <w:rsid w:val="00FE5AA7"/>
    <w:rsid w:val="00FE5ACA"/>
    <w:rsid w:val="00FE5B0D"/>
    <w:rsid w:val="00FE5C37"/>
    <w:rsid w:val="00FE5D11"/>
    <w:rsid w:val="00FE5DC5"/>
    <w:rsid w:val="00FE5DC9"/>
    <w:rsid w:val="00FE5E39"/>
    <w:rsid w:val="00FE5EFD"/>
    <w:rsid w:val="00FE5F4A"/>
    <w:rsid w:val="00FE60D3"/>
    <w:rsid w:val="00FE60EB"/>
    <w:rsid w:val="00FE60ED"/>
    <w:rsid w:val="00FE613C"/>
    <w:rsid w:val="00FE6186"/>
    <w:rsid w:val="00FE61BB"/>
    <w:rsid w:val="00FE628F"/>
    <w:rsid w:val="00FE6385"/>
    <w:rsid w:val="00FE648E"/>
    <w:rsid w:val="00FE64F9"/>
    <w:rsid w:val="00FE654B"/>
    <w:rsid w:val="00FE65B8"/>
    <w:rsid w:val="00FE65F0"/>
    <w:rsid w:val="00FE6793"/>
    <w:rsid w:val="00FE6888"/>
    <w:rsid w:val="00FE6899"/>
    <w:rsid w:val="00FE68C0"/>
    <w:rsid w:val="00FE6966"/>
    <w:rsid w:val="00FE6A13"/>
    <w:rsid w:val="00FE6A5E"/>
    <w:rsid w:val="00FE6C3E"/>
    <w:rsid w:val="00FE6C41"/>
    <w:rsid w:val="00FE6C7D"/>
    <w:rsid w:val="00FE6CD0"/>
    <w:rsid w:val="00FE6CF1"/>
    <w:rsid w:val="00FE6D37"/>
    <w:rsid w:val="00FE6D6A"/>
    <w:rsid w:val="00FE6E83"/>
    <w:rsid w:val="00FE6EC6"/>
    <w:rsid w:val="00FE6FA4"/>
    <w:rsid w:val="00FE6FD3"/>
    <w:rsid w:val="00FE7004"/>
    <w:rsid w:val="00FE7009"/>
    <w:rsid w:val="00FE703E"/>
    <w:rsid w:val="00FE70B3"/>
    <w:rsid w:val="00FE70C8"/>
    <w:rsid w:val="00FE7119"/>
    <w:rsid w:val="00FE711A"/>
    <w:rsid w:val="00FE73A9"/>
    <w:rsid w:val="00FE73B7"/>
    <w:rsid w:val="00FE7400"/>
    <w:rsid w:val="00FE75AF"/>
    <w:rsid w:val="00FE75C0"/>
    <w:rsid w:val="00FE75D7"/>
    <w:rsid w:val="00FE7611"/>
    <w:rsid w:val="00FE76BE"/>
    <w:rsid w:val="00FE76F1"/>
    <w:rsid w:val="00FE7723"/>
    <w:rsid w:val="00FE77B2"/>
    <w:rsid w:val="00FE782C"/>
    <w:rsid w:val="00FE78F8"/>
    <w:rsid w:val="00FE799F"/>
    <w:rsid w:val="00FE7B2C"/>
    <w:rsid w:val="00FE7B2F"/>
    <w:rsid w:val="00FE7B49"/>
    <w:rsid w:val="00FE7C13"/>
    <w:rsid w:val="00FE7C2C"/>
    <w:rsid w:val="00FE7C7E"/>
    <w:rsid w:val="00FE7D9F"/>
    <w:rsid w:val="00FE7DE0"/>
    <w:rsid w:val="00FE7E85"/>
    <w:rsid w:val="00FE7ECF"/>
    <w:rsid w:val="00FE7EF3"/>
    <w:rsid w:val="00FE7F88"/>
    <w:rsid w:val="00FE7FA7"/>
    <w:rsid w:val="00FE7FE9"/>
    <w:rsid w:val="00FE7FF6"/>
    <w:rsid w:val="00FF0071"/>
    <w:rsid w:val="00FF0087"/>
    <w:rsid w:val="00FF0174"/>
    <w:rsid w:val="00FF01AB"/>
    <w:rsid w:val="00FF02DB"/>
    <w:rsid w:val="00FF030A"/>
    <w:rsid w:val="00FF031D"/>
    <w:rsid w:val="00FF040D"/>
    <w:rsid w:val="00FF0415"/>
    <w:rsid w:val="00FF04AC"/>
    <w:rsid w:val="00FF04FC"/>
    <w:rsid w:val="00FF0542"/>
    <w:rsid w:val="00FF054B"/>
    <w:rsid w:val="00FF062F"/>
    <w:rsid w:val="00FF0770"/>
    <w:rsid w:val="00FF08AB"/>
    <w:rsid w:val="00FF099C"/>
    <w:rsid w:val="00FF0A07"/>
    <w:rsid w:val="00FF0B19"/>
    <w:rsid w:val="00FF0B46"/>
    <w:rsid w:val="00FF0B94"/>
    <w:rsid w:val="00FF0BF8"/>
    <w:rsid w:val="00FF0C9F"/>
    <w:rsid w:val="00FF0CB2"/>
    <w:rsid w:val="00FF0DAE"/>
    <w:rsid w:val="00FF0E43"/>
    <w:rsid w:val="00FF0E73"/>
    <w:rsid w:val="00FF0E8F"/>
    <w:rsid w:val="00FF0FFE"/>
    <w:rsid w:val="00FF10E9"/>
    <w:rsid w:val="00FF113C"/>
    <w:rsid w:val="00FF117C"/>
    <w:rsid w:val="00FF12C5"/>
    <w:rsid w:val="00FF12D5"/>
    <w:rsid w:val="00FF12DF"/>
    <w:rsid w:val="00FF145C"/>
    <w:rsid w:val="00FF1462"/>
    <w:rsid w:val="00FF146A"/>
    <w:rsid w:val="00FF167B"/>
    <w:rsid w:val="00FF16E3"/>
    <w:rsid w:val="00FF18BB"/>
    <w:rsid w:val="00FF18F8"/>
    <w:rsid w:val="00FF1910"/>
    <w:rsid w:val="00FF19B0"/>
    <w:rsid w:val="00FF1A07"/>
    <w:rsid w:val="00FF1A97"/>
    <w:rsid w:val="00FF1B96"/>
    <w:rsid w:val="00FF1BF0"/>
    <w:rsid w:val="00FF1C6A"/>
    <w:rsid w:val="00FF1D00"/>
    <w:rsid w:val="00FF1D3F"/>
    <w:rsid w:val="00FF1D83"/>
    <w:rsid w:val="00FF1E68"/>
    <w:rsid w:val="00FF1F2F"/>
    <w:rsid w:val="00FF1F3F"/>
    <w:rsid w:val="00FF1F72"/>
    <w:rsid w:val="00FF1F92"/>
    <w:rsid w:val="00FF1FDA"/>
    <w:rsid w:val="00FF1FEB"/>
    <w:rsid w:val="00FF2054"/>
    <w:rsid w:val="00FF20B9"/>
    <w:rsid w:val="00FF20D3"/>
    <w:rsid w:val="00FF20EB"/>
    <w:rsid w:val="00FF2179"/>
    <w:rsid w:val="00FF24D0"/>
    <w:rsid w:val="00FF24E1"/>
    <w:rsid w:val="00FF257A"/>
    <w:rsid w:val="00FF2696"/>
    <w:rsid w:val="00FF26B5"/>
    <w:rsid w:val="00FF2760"/>
    <w:rsid w:val="00FF276B"/>
    <w:rsid w:val="00FF2772"/>
    <w:rsid w:val="00FF277B"/>
    <w:rsid w:val="00FF27CB"/>
    <w:rsid w:val="00FF27FB"/>
    <w:rsid w:val="00FF2845"/>
    <w:rsid w:val="00FF284A"/>
    <w:rsid w:val="00FF2889"/>
    <w:rsid w:val="00FF28D6"/>
    <w:rsid w:val="00FF2906"/>
    <w:rsid w:val="00FF297F"/>
    <w:rsid w:val="00FF29A5"/>
    <w:rsid w:val="00FF29DC"/>
    <w:rsid w:val="00FF2A2B"/>
    <w:rsid w:val="00FF2A46"/>
    <w:rsid w:val="00FF2C83"/>
    <w:rsid w:val="00FF2DDE"/>
    <w:rsid w:val="00FF2E06"/>
    <w:rsid w:val="00FF2E49"/>
    <w:rsid w:val="00FF2E5B"/>
    <w:rsid w:val="00FF2F17"/>
    <w:rsid w:val="00FF2F39"/>
    <w:rsid w:val="00FF2F9F"/>
    <w:rsid w:val="00FF314E"/>
    <w:rsid w:val="00FF3160"/>
    <w:rsid w:val="00FF31D7"/>
    <w:rsid w:val="00FF325B"/>
    <w:rsid w:val="00FF3275"/>
    <w:rsid w:val="00FF3283"/>
    <w:rsid w:val="00FF32B6"/>
    <w:rsid w:val="00FF3339"/>
    <w:rsid w:val="00FF335C"/>
    <w:rsid w:val="00FF3379"/>
    <w:rsid w:val="00FF339A"/>
    <w:rsid w:val="00FF342D"/>
    <w:rsid w:val="00FF3451"/>
    <w:rsid w:val="00FF34D7"/>
    <w:rsid w:val="00FF34FD"/>
    <w:rsid w:val="00FF351A"/>
    <w:rsid w:val="00FF3532"/>
    <w:rsid w:val="00FF3750"/>
    <w:rsid w:val="00FF375D"/>
    <w:rsid w:val="00FF3854"/>
    <w:rsid w:val="00FF3859"/>
    <w:rsid w:val="00FF38C1"/>
    <w:rsid w:val="00FF3954"/>
    <w:rsid w:val="00FF39AA"/>
    <w:rsid w:val="00FF3A5F"/>
    <w:rsid w:val="00FF3AD5"/>
    <w:rsid w:val="00FF3BBA"/>
    <w:rsid w:val="00FF3BD2"/>
    <w:rsid w:val="00FF3D36"/>
    <w:rsid w:val="00FF3EBB"/>
    <w:rsid w:val="00FF3ED2"/>
    <w:rsid w:val="00FF3F52"/>
    <w:rsid w:val="00FF3F5C"/>
    <w:rsid w:val="00FF3F91"/>
    <w:rsid w:val="00FF3FD3"/>
    <w:rsid w:val="00FF4047"/>
    <w:rsid w:val="00FF40A9"/>
    <w:rsid w:val="00FF40F3"/>
    <w:rsid w:val="00FF4109"/>
    <w:rsid w:val="00FF4219"/>
    <w:rsid w:val="00FF424C"/>
    <w:rsid w:val="00FF4297"/>
    <w:rsid w:val="00FF42ED"/>
    <w:rsid w:val="00FF42EE"/>
    <w:rsid w:val="00FF448C"/>
    <w:rsid w:val="00FF451F"/>
    <w:rsid w:val="00FF45D2"/>
    <w:rsid w:val="00FF46E5"/>
    <w:rsid w:val="00FF4734"/>
    <w:rsid w:val="00FF4750"/>
    <w:rsid w:val="00FF476F"/>
    <w:rsid w:val="00FF4A73"/>
    <w:rsid w:val="00FF4AEC"/>
    <w:rsid w:val="00FF4B1A"/>
    <w:rsid w:val="00FF4BA3"/>
    <w:rsid w:val="00FF4C00"/>
    <w:rsid w:val="00FF4C0C"/>
    <w:rsid w:val="00FF4C39"/>
    <w:rsid w:val="00FF4C75"/>
    <w:rsid w:val="00FF4C78"/>
    <w:rsid w:val="00FF4D7D"/>
    <w:rsid w:val="00FF4E15"/>
    <w:rsid w:val="00FF4E2A"/>
    <w:rsid w:val="00FF4E91"/>
    <w:rsid w:val="00FF4EC0"/>
    <w:rsid w:val="00FF4EDD"/>
    <w:rsid w:val="00FF4FBA"/>
    <w:rsid w:val="00FF5110"/>
    <w:rsid w:val="00FF51D8"/>
    <w:rsid w:val="00FF52BA"/>
    <w:rsid w:val="00FF5304"/>
    <w:rsid w:val="00FF5313"/>
    <w:rsid w:val="00FF533F"/>
    <w:rsid w:val="00FF53CA"/>
    <w:rsid w:val="00FF5488"/>
    <w:rsid w:val="00FF54C3"/>
    <w:rsid w:val="00FF5540"/>
    <w:rsid w:val="00FF5541"/>
    <w:rsid w:val="00FF56CC"/>
    <w:rsid w:val="00FF56D5"/>
    <w:rsid w:val="00FF576C"/>
    <w:rsid w:val="00FF57AF"/>
    <w:rsid w:val="00FF57B9"/>
    <w:rsid w:val="00FF5880"/>
    <w:rsid w:val="00FF5894"/>
    <w:rsid w:val="00FF58A5"/>
    <w:rsid w:val="00FF591E"/>
    <w:rsid w:val="00FF593B"/>
    <w:rsid w:val="00FF5959"/>
    <w:rsid w:val="00FF5987"/>
    <w:rsid w:val="00FF5A4F"/>
    <w:rsid w:val="00FF5A73"/>
    <w:rsid w:val="00FF5ABE"/>
    <w:rsid w:val="00FF5AE2"/>
    <w:rsid w:val="00FF5B2F"/>
    <w:rsid w:val="00FF5B71"/>
    <w:rsid w:val="00FF5C82"/>
    <w:rsid w:val="00FF5D15"/>
    <w:rsid w:val="00FF5D91"/>
    <w:rsid w:val="00FF5DA5"/>
    <w:rsid w:val="00FF5E4B"/>
    <w:rsid w:val="00FF5E85"/>
    <w:rsid w:val="00FF5EE8"/>
    <w:rsid w:val="00FF5F5A"/>
    <w:rsid w:val="00FF5F83"/>
    <w:rsid w:val="00FF602F"/>
    <w:rsid w:val="00FF6121"/>
    <w:rsid w:val="00FF622C"/>
    <w:rsid w:val="00FF6263"/>
    <w:rsid w:val="00FF628D"/>
    <w:rsid w:val="00FF6347"/>
    <w:rsid w:val="00FF639B"/>
    <w:rsid w:val="00FF65CF"/>
    <w:rsid w:val="00FF65E0"/>
    <w:rsid w:val="00FF6604"/>
    <w:rsid w:val="00FF66A0"/>
    <w:rsid w:val="00FF66EB"/>
    <w:rsid w:val="00FF67A6"/>
    <w:rsid w:val="00FF687E"/>
    <w:rsid w:val="00FF68FA"/>
    <w:rsid w:val="00FF691B"/>
    <w:rsid w:val="00FF69A9"/>
    <w:rsid w:val="00FF6B47"/>
    <w:rsid w:val="00FF6B49"/>
    <w:rsid w:val="00FF6C07"/>
    <w:rsid w:val="00FF6C4C"/>
    <w:rsid w:val="00FF6CB9"/>
    <w:rsid w:val="00FF6CD5"/>
    <w:rsid w:val="00FF6D33"/>
    <w:rsid w:val="00FF6D78"/>
    <w:rsid w:val="00FF6E4F"/>
    <w:rsid w:val="00FF6E89"/>
    <w:rsid w:val="00FF6EEE"/>
    <w:rsid w:val="00FF6F04"/>
    <w:rsid w:val="00FF6F2F"/>
    <w:rsid w:val="00FF6F66"/>
    <w:rsid w:val="00FF6FD6"/>
    <w:rsid w:val="00FF701C"/>
    <w:rsid w:val="00FF7031"/>
    <w:rsid w:val="00FF703E"/>
    <w:rsid w:val="00FF7132"/>
    <w:rsid w:val="00FF713B"/>
    <w:rsid w:val="00FF716E"/>
    <w:rsid w:val="00FF71B3"/>
    <w:rsid w:val="00FF7239"/>
    <w:rsid w:val="00FF7246"/>
    <w:rsid w:val="00FF7251"/>
    <w:rsid w:val="00FF72AD"/>
    <w:rsid w:val="00FF72E2"/>
    <w:rsid w:val="00FF737C"/>
    <w:rsid w:val="00FF7393"/>
    <w:rsid w:val="00FF73AB"/>
    <w:rsid w:val="00FF73C7"/>
    <w:rsid w:val="00FF73E5"/>
    <w:rsid w:val="00FF73F8"/>
    <w:rsid w:val="00FF76CD"/>
    <w:rsid w:val="00FF77B3"/>
    <w:rsid w:val="00FF7834"/>
    <w:rsid w:val="00FF7856"/>
    <w:rsid w:val="00FF79E4"/>
    <w:rsid w:val="00FF79EB"/>
    <w:rsid w:val="00FF7A05"/>
    <w:rsid w:val="00FF7A31"/>
    <w:rsid w:val="00FF7A54"/>
    <w:rsid w:val="00FF7A82"/>
    <w:rsid w:val="00FF7B8A"/>
    <w:rsid w:val="00FF7BFC"/>
    <w:rsid w:val="00FF7CD1"/>
    <w:rsid w:val="00FF7CE9"/>
    <w:rsid w:val="00FF7D8A"/>
    <w:rsid w:val="00FF7D8C"/>
    <w:rsid w:val="00FF7DB3"/>
    <w:rsid w:val="00FF7E71"/>
    <w:rsid w:val="00FF7F6A"/>
    <w:rsid w:val="00FF7FAF"/>
    <w:rsid w:val="012758C9"/>
    <w:rsid w:val="01275D05"/>
    <w:rsid w:val="0129703A"/>
    <w:rsid w:val="01304F4F"/>
    <w:rsid w:val="013FF97F"/>
    <w:rsid w:val="015932A5"/>
    <w:rsid w:val="0164848C"/>
    <w:rsid w:val="0174176C"/>
    <w:rsid w:val="017B75D7"/>
    <w:rsid w:val="018D1F30"/>
    <w:rsid w:val="01A57A13"/>
    <w:rsid w:val="01ABA9E5"/>
    <w:rsid w:val="01EC1F3A"/>
    <w:rsid w:val="01FC2751"/>
    <w:rsid w:val="0231813A"/>
    <w:rsid w:val="025AFAD1"/>
    <w:rsid w:val="027DC055"/>
    <w:rsid w:val="0290ED46"/>
    <w:rsid w:val="02B61A8D"/>
    <w:rsid w:val="02B73873"/>
    <w:rsid w:val="02D27607"/>
    <w:rsid w:val="02DAF742"/>
    <w:rsid w:val="02E10AF9"/>
    <w:rsid w:val="02FD6827"/>
    <w:rsid w:val="02FE3517"/>
    <w:rsid w:val="0300FDBB"/>
    <w:rsid w:val="030FC5DB"/>
    <w:rsid w:val="032F2F64"/>
    <w:rsid w:val="0334B1B5"/>
    <w:rsid w:val="0334B317"/>
    <w:rsid w:val="033F8FD8"/>
    <w:rsid w:val="034113CC"/>
    <w:rsid w:val="0341763F"/>
    <w:rsid w:val="0363B719"/>
    <w:rsid w:val="03653DD7"/>
    <w:rsid w:val="0377944E"/>
    <w:rsid w:val="038C2D62"/>
    <w:rsid w:val="0393105A"/>
    <w:rsid w:val="03AC30D3"/>
    <w:rsid w:val="03AD190F"/>
    <w:rsid w:val="03CDC62F"/>
    <w:rsid w:val="03E34EA7"/>
    <w:rsid w:val="03E9ACB5"/>
    <w:rsid w:val="03FAF8C3"/>
    <w:rsid w:val="040BA581"/>
    <w:rsid w:val="0416F598"/>
    <w:rsid w:val="043ACBF0"/>
    <w:rsid w:val="04402C5E"/>
    <w:rsid w:val="045BCB09"/>
    <w:rsid w:val="046CBE96"/>
    <w:rsid w:val="047DF9CE"/>
    <w:rsid w:val="047FC314"/>
    <w:rsid w:val="048865D6"/>
    <w:rsid w:val="048E66E4"/>
    <w:rsid w:val="0490EBAD"/>
    <w:rsid w:val="049740B4"/>
    <w:rsid w:val="049DA2E4"/>
    <w:rsid w:val="04A0B4C3"/>
    <w:rsid w:val="04A1EAC2"/>
    <w:rsid w:val="04A518F6"/>
    <w:rsid w:val="04B12152"/>
    <w:rsid w:val="04C0204A"/>
    <w:rsid w:val="04C57812"/>
    <w:rsid w:val="04D080B6"/>
    <w:rsid w:val="04F2285C"/>
    <w:rsid w:val="04F57848"/>
    <w:rsid w:val="04F8F1D8"/>
    <w:rsid w:val="04FB21AA"/>
    <w:rsid w:val="050C0C1F"/>
    <w:rsid w:val="051E5F29"/>
    <w:rsid w:val="0528718F"/>
    <w:rsid w:val="053A3CAA"/>
    <w:rsid w:val="053D9B9F"/>
    <w:rsid w:val="05604A37"/>
    <w:rsid w:val="0560C3AB"/>
    <w:rsid w:val="056B7CA7"/>
    <w:rsid w:val="058B38F5"/>
    <w:rsid w:val="05965A9B"/>
    <w:rsid w:val="05977560"/>
    <w:rsid w:val="05A33FDF"/>
    <w:rsid w:val="05B77BA1"/>
    <w:rsid w:val="05C05592"/>
    <w:rsid w:val="05C7138A"/>
    <w:rsid w:val="05CD9290"/>
    <w:rsid w:val="05CE2BAB"/>
    <w:rsid w:val="05D6CB1E"/>
    <w:rsid w:val="05D8D167"/>
    <w:rsid w:val="05DB0BB6"/>
    <w:rsid w:val="05DE8F0D"/>
    <w:rsid w:val="05E4FE11"/>
    <w:rsid w:val="05F2932D"/>
    <w:rsid w:val="05F4AC38"/>
    <w:rsid w:val="05FC8E9E"/>
    <w:rsid w:val="0604BE9D"/>
    <w:rsid w:val="06077645"/>
    <w:rsid w:val="060B4845"/>
    <w:rsid w:val="061F9314"/>
    <w:rsid w:val="0634CD07"/>
    <w:rsid w:val="0646E522"/>
    <w:rsid w:val="0669C0E9"/>
    <w:rsid w:val="066AD965"/>
    <w:rsid w:val="0675A081"/>
    <w:rsid w:val="06C1A68D"/>
    <w:rsid w:val="06D7447D"/>
    <w:rsid w:val="06DDF13A"/>
    <w:rsid w:val="06E9082A"/>
    <w:rsid w:val="0711A140"/>
    <w:rsid w:val="0716BD78"/>
    <w:rsid w:val="072BBF09"/>
    <w:rsid w:val="07320157"/>
    <w:rsid w:val="0734DE3C"/>
    <w:rsid w:val="073B7D06"/>
    <w:rsid w:val="074E9D1E"/>
    <w:rsid w:val="0766C49C"/>
    <w:rsid w:val="0772F9E4"/>
    <w:rsid w:val="07859563"/>
    <w:rsid w:val="0795106D"/>
    <w:rsid w:val="07A25D69"/>
    <w:rsid w:val="07B3D172"/>
    <w:rsid w:val="07B54DFD"/>
    <w:rsid w:val="07C295AC"/>
    <w:rsid w:val="07CAD229"/>
    <w:rsid w:val="07CE87B6"/>
    <w:rsid w:val="07D1EDA4"/>
    <w:rsid w:val="07D51505"/>
    <w:rsid w:val="07E800C3"/>
    <w:rsid w:val="07F0704E"/>
    <w:rsid w:val="07F6B755"/>
    <w:rsid w:val="07FD0901"/>
    <w:rsid w:val="0801BCF5"/>
    <w:rsid w:val="08052E56"/>
    <w:rsid w:val="0809E0AB"/>
    <w:rsid w:val="081AEA34"/>
    <w:rsid w:val="083C0DCE"/>
    <w:rsid w:val="084CFDDE"/>
    <w:rsid w:val="08510BED"/>
    <w:rsid w:val="08570BA0"/>
    <w:rsid w:val="085CA6E3"/>
    <w:rsid w:val="085E3615"/>
    <w:rsid w:val="089B4372"/>
    <w:rsid w:val="08AFEBD2"/>
    <w:rsid w:val="08D3F791"/>
    <w:rsid w:val="09027920"/>
    <w:rsid w:val="090C7615"/>
    <w:rsid w:val="091D3C40"/>
    <w:rsid w:val="092FCC7A"/>
    <w:rsid w:val="0933234F"/>
    <w:rsid w:val="093DD5B6"/>
    <w:rsid w:val="094D5C12"/>
    <w:rsid w:val="095DB5E3"/>
    <w:rsid w:val="096845ED"/>
    <w:rsid w:val="096FD26A"/>
    <w:rsid w:val="0972C544"/>
    <w:rsid w:val="098EBC5F"/>
    <w:rsid w:val="098FD421"/>
    <w:rsid w:val="099E9925"/>
    <w:rsid w:val="09C03BE2"/>
    <w:rsid w:val="09C57EDB"/>
    <w:rsid w:val="09CEFF45"/>
    <w:rsid w:val="09E0F42B"/>
    <w:rsid w:val="09F25948"/>
    <w:rsid w:val="09F26F68"/>
    <w:rsid w:val="0A133FF0"/>
    <w:rsid w:val="0A135C56"/>
    <w:rsid w:val="0A4BA4B9"/>
    <w:rsid w:val="0A64D13B"/>
    <w:rsid w:val="0A7158DE"/>
    <w:rsid w:val="0A7BCAAF"/>
    <w:rsid w:val="0A91A754"/>
    <w:rsid w:val="0A9981A7"/>
    <w:rsid w:val="0AC39CB4"/>
    <w:rsid w:val="0ADDFE31"/>
    <w:rsid w:val="0B1A10D5"/>
    <w:rsid w:val="0B1DC9AE"/>
    <w:rsid w:val="0B270F08"/>
    <w:rsid w:val="0B444C6D"/>
    <w:rsid w:val="0B471C39"/>
    <w:rsid w:val="0B572117"/>
    <w:rsid w:val="0B7882C8"/>
    <w:rsid w:val="0B7C2076"/>
    <w:rsid w:val="0B7CD529"/>
    <w:rsid w:val="0B949B6F"/>
    <w:rsid w:val="0BB54524"/>
    <w:rsid w:val="0BBA5DFB"/>
    <w:rsid w:val="0BCA9050"/>
    <w:rsid w:val="0BD7E6DE"/>
    <w:rsid w:val="0BE11F97"/>
    <w:rsid w:val="0BF8BFD0"/>
    <w:rsid w:val="0C227139"/>
    <w:rsid w:val="0C2FCB32"/>
    <w:rsid w:val="0C40A473"/>
    <w:rsid w:val="0C73A21A"/>
    <w:rsid w:val="0C7C5780"/>
    <w:rsid w:val="0C8C542F"/>
    <w:rsid w:val="0C95F2E2"/>
    <w:rsid w:val="0C960536"/>
    <w:rsid w:val="0CA89B89"/>
    <w:rsid w:val="0CABC603"/>
    <w:rsid w:val="0CB78ED4"/>
    <w:rsid w:val="0CC19BFB"/>
    <w:rsid w:val="0CC1F1AB"/>
    <w:rsid w:val="0CCAE7CF"/>
    <w:rsid w:val="0CCB4CCF"/>
    <w:rsid w:val="0CD5B036"/>
    <w:rsid w:val="0CD6D5D9"/>
    <w:rsid w:val="0CE151E9"/>
    <w:rsid w:val="0D03963E"/>
    <w:rsid w:val="0D04DE0B"/>
    <w:rsid w:val="0D0C7AFD"/>
    <w:rsid w:val="0D1820B3"/>
    <w:rsid w:val="0D265DB4"/>
    <w:rsid w:val="0D3A23E7"/>
    <w:rsid w:val="0D3EFC1E"/>
    <w:rsid w:val="0D4A9DA7"/>
    <w:rsid w:val="0D612CCA"/>
    <w:rsid w:val="0D61D2C4"/>
    <w:rsid w:val="0D636266"/>
    <w:rsid w:val="0D8AD5F7"/>
    <w:rsid w:val="0D8E2363"/>
    <w:rsid w:val="0D9FF961"/>
    <w:rsid w:val="0DBF2DE8"/>
    <w:rsid w:val="0DC9813E"/>
    <w:rsid w:val="0DDAD6E1"/>
    <w:rsid w:val="0E07EC70"/>
    <w:rsid w:val="0E2121A2"/>
    <w:rsid w:val="0E67AAE8"/>
    <w:rsid w:val="0EA2F832"/>
    <w:rsid w:val="0EB16A9E"/>
    <w:rsid w:val="0EB38E2B"/>
    <w:rsid w:val="0EBBC1DF"/>
    <w:rsid w:val="0EBE4EF1"/>
    <w:rsid w:val="0EC203F2"/>
    <w:rsid w:val="0EC3A7EE"/>
    <w:rsid w:val="0EDA2BD7"/>
    <w:rsid w:val="0EE7922D"/>
    <w:rsid w:val="0F053A5F"/>
    <w:rsid w:val="0F174669"/>
    <w:rsid w:val="0F446804"/>
    <w:rsid w:val="0F45B0C7"/>
    <w:rsid w:val="0F4AFEB4"/>
    <w:rsid w:val="0F58A33B"/>
    <w:rsid w:val="0F6622F0"/>
    <w:rsid w:val="0F829A67"/>
    <w:rsid w:val="0FA4018F"/>
    <w:rsid w:val="0FB31598"/>
    <w:rsid w:val="0FC1B631"/>
    <w:rsid w:val="0FCF1661"/>
    <w:rsid w:val="0FD6041E"/>
    <w:rsid w:val="10082137"/>
    <w:rsid w:val="100B77BC"/>
    <w:rsid w:val="10173304"/>
    <w:rsid w:val="102515D5"/>
    <w:rsid w:val="1047AE86"/>
    <w:rsid w:val="104A67A1"/>
    <w:rsid w:val="106D87D3"/>
    <w:rsid w:val="108787F3"/>
    <w:rsid w:val="10A899C6"/>
    <w:rsid w:val="10B2F33B"/>
    <w:rsid w:val="10C21D4F"/>
    <w:rsid w:val="10C86BCC"/>
    <w:rsid w:val="10D36B5B"/>
    <w:rsid w:val="10DF1BC3"/>
    <w:rsid w:val="10E90B40"/>
    <w:rsid w:val="10FD023A"/>
    <w:rsid w:val="1113AC46"/>
    <w:rsid w:val="11188590"/>
    <w:rsid w:val="1121772E"/>
    <w:rsid w:val="1131DFD7"/>
    <w:rsid w:val="113A0D8B"/>
    <w:rsid w:val="114A5783"/>
    <w:rsid w:val="114E6A12"/>
    <w:rsid w:val="117093F5"/>
    <w:rsid w:val="117A175C"/>
    <w:rsid w:val="117FF17C"/>
    <w:rsid w:val="1184FBCC"/>
    <w:rsid w:val="1187CDF3"/>
    <w:rsid w:val="1192CC0D"/>
    <w:rsid w:val="11993DDE"/>
    <w:rsid w:val="11A400B6"/>
    <w:rsid w:val="11B0CFF2"/>
    <w:rsid w:val="11C1F6AA"/>
    <w:rsid w:val="121E17F7"/>
    <w:rsid w:val="122BC952"/>
    <w:rsid w:val="12387670"/>
    <w:rsid w:val="123ED909"/>
    <w:rsid w:val="125408BC"/>
    <w:rsid w:val="12547CDD"/>
    <w:rsid w:val="126F51F5"/>
    <w:rsid w:val="127228C2"/>
    <w:rsid w:val="12756ABB"/>
    <w:rsid w:val="1289FDE1"/>
    <w:rsid w:val="128ED75C"/>
    <w:rsid w:val="1291AC1B"/>
    <w:rsid w:val="129C19AD"/>
    <w:rsid w:val="12ACB10E"/>
    <w:rsid w:val="12AF3388"/>
    <w:rsid w:val="12BE0C81"/>
    <w:rsid w:val="12C55DEA"/>
    <w:rsid w:val="12C56F71"/>
    <w:rsid w:val="12DB72ED"/>
    <w:rsid w:val="12ED0609"/>
    <w:rsid w:val="12F4F28B"/>
    <w:rsid w:val="131F77C3"/>
    <w:rsid w:val="132A408D"/>
    <w:rsid w:val="135B2D09"/>
    <w:rsid w:val="135BBE43"/>
    <w:rsid w:val="1364A7B9"/>
    <w:rsid w:val="1379533A"/>
    <w:rsid w:val="137F8840"/>
    <w:rsid w:val="1390A715"/>
    <w:rsid w:val="139EFCA0"/>
    <w:rsid w:val="13BC5F66"/>
    <w:rsid w:val="13CA49A1"/>
    <w:rsid w:val="13CDC0AA"/>
    <w:rsid w:val="13E70AF0"/>
    <w:rsid w:val="13F0D061"/>
    <w:rsid w:val="13F7D765"/>
    <w:rsid w:val="13FBF81F"/>
    <w:rsid w:val="140437FA"/>
    <w:rsid w:val="14090557"/>
    <w:rsid w:val="1419EDC7"/>
    <w:rsid w:val="141DEE2D"/>
    <w:rsid w:val="1440E3B3"/>
    <w:rsid w:val="144A0603"/>
    <w:rsid w:val="145EFCA7"/>
    <w:rsid w:val="147170F6"/>
    <w:rsid w:val="1477E263"/>
    <w:rsid w:val="148893E3"/>
    <w:rsid w:val="14C2F252"/>
    <w:rsid w:val="14C6B040"/>
    <w:rsid w:val="14F8353B"/>
    <w:rsid w:val="152F8AB4"/>
    <w:rsid w:val="1544AC91"/>
    <w:rsid w:val="154652BC"/>
    <w:rsid w:val="1549F309"/>
    <w:rsid w:val="155D6656"/>
    <w:rsid w:val="156B76DD"/>
    <w:rsid w:val="1589C4F4"/>
    <w:rsid w:val="158B40B3"/>
    <w:rsid w:val="15A1612E"/>
    <w:rsid w:val="15BE1E99"/>
    <w:rsid w:val="15D742FE"/>
    <w:rsid w:val="15DB2E37"/>
    <w:rsid w:val="15E80D28"/>
    <w:rsid w:val="15EE6DAA"/>
    <w:rsid w:val="15F86C74"/>
    <w:rsid w:val="16038BDF"/>
    <w:rsid w:val="1615E0AD"/>
    <w:rsid w:val="1619C4E6"/>
    <w:rsid w:val="1621FF59"/>
    <w:rsid w:val="16330E12"/>
    <w:rsid w:val="163E41B0"/>
    <w:rsid w:val="16524105"/>
    <w:rsid w:val="165DCC25"/>
    <w:rsid w:val="1662D5DF"/>
    <w:rsid w:val="1676C44D"/>
    <w:rsid w:val="16839EB2"/>
    <w:rsid w:val="168D6C35"/>
    <w:rsid w:val="169DE799"/>
    <w:rsid w:val="16A2AFD9"/>
    <w:rsid w:val="16B52840"/>
    <w:rsid w:val="16C19341"/>
    <w:rsid w:val="16DD51D5"/>
    <w:rsid w:val="16EFDE70"/>
    <w:rsid w:val="16F7C31E"/>
    <w:rsid w:val="16FEE4F9"/>
    <w:rsid w:val="1706E6A4"/>
    <w:rsid w:val="1728F5F6"/>
    <w:rsid w:val="17423D30"/>
    <w:rsid w:val="176EEBC3"/>
    <w:rsid w:val="176FCEE1"/>
    <w:rsid w:val="17769717"/>
    <w:rsid w:val="17829EE6"/>
    <w:rsid w:val="178F7D35"/>
    <w:rsid w:val="1799586F"/>
    <w:rsid w:val="17B2695D"/>
    <w:rsid w:val="17C586E6"/>
    <w:rsid w:val="17C7F2DC"/>
    <w:rsid w:val="17D93E89"/>
    <w:rsid w:val="17E80B97"/>
    <w:rsid w:val="17F13DC1"/>
    <w:rsid w:val="180988B2"/>
    <w:rsid w:val="180C8005"/>
    <w:rsid w:val="180E2CD5"/>
    <w:rsid w:val="181C9060"/>
    <w:rsid w:val="1846EB69"/>
    <w:rsid w:val="185B1AB8"/>
    <w:rsid w:val="186D5528"/>
    <w:rsid w:val="1890380C"/>
    <w:rsid w:val="18979B75"/>
    <w:rsid w:val="189CD278"/>
    <w:rsid w:val="18A7FEF9"/>
    <w:rsid w:val="18C0FCDF"/>
    <w:rsid w:val="18CF2E1C"/>
    <w:rsid w:val="18D1FAB7"/>
    <w:rsid w:val="18E28E8C"/>
    <w:rsid w:val="18F63AA4"/>
    <w:rsid w:val="18FEBB30"/>
    <w:rsid w:val="190B4129"/>
    <w:rsid w:val="191BC936"/>
    <w:rsid w:val="1922D12A"/>
    <w:rsid w:val="19276195"/>
    <w:rsid w:val="19388E86"/>
    <w:rsid w:val="194528B1"/>
    <w:rsid w:val="194B6F93"/>
    <w:rsid w:val="194E21C0"/>
    <w:rsid w:val="19563C25"/>
    <w:rsid w:val="1966D4A8"/>
    <w:rsid w:val="197A30C7"/>
    <w:rsid w:val="198E3935"/>
    <w:rsid w:val="19915364"/>
    <w:rsid w:val="199549A1"/>
    <w:rsid w:val="19A36029"/>
    <w:rsid w:val="19C49CCF"/>
    <w:rsid w:val="19C64711"/>
    <w:rsid w:val="19CA1B40"/>
    <w:rsid w:val="19D0A5A9"/>
    <w:rsid w:val="19DBE750"/>
    <w:rsid w:val="19E2A3EC"/>
    <w:rsid w:val="19E468F1"/>
    <w:rsid w:val="19F537DD"/>
    <w:rsid w:val="1A011806"/>
    <w:rsid w:val="1A0FDBA2"/>
    <w:rsid w:val="1A1A946B"/>
    <w:rsid w:val="1A2EB31E"/>
    <w:rsid w:val="1A524990"/>
    <w:rsid w:val="1A52A5BE"/>
    <w:rsid w:val="1A7781F1"/>
    <w:rsid w:val="1A7EA472"/>
    <w:rsid w:val="1A8FBE38"/>
    <w:rsid w:val="1A9C53B4"/>
    <w:rsid w:val="1AA7B3CC"/>
    <w:rsid w:val="1AD058B4"/>
    <w:rsid w:val="1AF54463"/>
    <w:rsid w:val="1AFCAEBD"/>
    <w:rsid w:val="1B42574E"/>
    <w:rsid w:val="1B53CCE9"/>
    <w:rsid w:val="1B54BBE5"/>
    <w:rsid w:val="1B70EE40"/>
    <w:rsid w:val="1B74A6A6"/>
    <w:rsid w:val="1B81905F"/>
    <w:rsid w:val="1B85F6E5"/>
    <w:rsid w:val="1B99D293"/>
    <w:rsid w:val="1B9E54E2"/>
    <w:rsid w:val="1BB3CF33"/>
    <w:rsid w:val="1BCB00A0"/>
    <w:rsid w:val="1BD133F5"/>
    <w:rsid w:val="1BFCE19D"/>
    <w:rsid w:val="1C193094"/>
    <w:rsid w:val="1C3A488C"/>
    <w:rsid w:val="1C55914C"/>
    <w:rsid w:val="1C943392"/>
    <w:rsid w:val="1C997C4D"/>
    <w:rsid w:val="1CA75F1C"/>
    <w:rsid w:val="1CB732B6"/>
    <w:rsid w:val="1CC24A43"/>
    <w:rsid w:val="1CEB8AE7"/>
    <w:rsid w:val="1CF5635C"/>
    <w:rsid w:val="1D0467E0"/>
    <w:rsid w:val="1D1B32C5"/>
    <w:rsid w:val="1D276D85"/>
    <w:rsid w:val="1D30E5A6"/>
    <w:rsid w:val="1D346A52"/>
    <w:rsid w:val="1D36E45D"/>
    <w:rsid w:val="1D71C776"/>
    <w:rsid w:val="1D74BFB6"/>
    <w:rsid w:val="1D8C6A03"/>
    <w:rsid w:val="1DB4CCFB"/>
    <w:rsid w:val="1DB8A905"/>
    <w:rsid w:val="1DC7FCE6"/>
    <w:rsid w:val="1DC9FB92"/>
    <w:rsid w:val="1DE31E04"/>
    <w:rsid w:val="1DEED7A9"/>
    <w:rsid w:val="1DF46F1A"/>
    <w:rsid w:val="1DFD2F18"/>
    <w:rsid w:val="1E084E13"/>
    <w:rsid w:val="1E166B8C"/>
    <w:rsid w:val="1E1AF7BC"/>
    <w:rsid w:val="1E2CD4F8"/>
    <w:rsid w:val="1E3EA120"/>
    <w:rsid w:val="1E45A0DA"/>
    <w:rsid w:val="1E7363B1"/>
    <w:rsid w:val="1E76AC08"/>
    <w:rsid w:val="1E89E655"/>
    <w:rsid w:val="1E93614A"/>
    <w:rsid w:val="1E9B01BA"/>
    <w:rsid w:val="1EAADF8D"/>
    <w:rsid w:val="1EB407C9"/>
    <w:rsid w:val="1EB6AFEF"/>
    <w:rsid w:val="1EBDD546"/>
    <w:rsid w:val="1EC44901"/>
    <w:rsid w:val="1EC5BD5D"/>
    <w:rsid w:val="1ED98C5B"/>
    <w:rsid w:val="1EDFAFC9"/>
    <w:rsid w:val="1EECE3D9"/>
    <w:rsid w:val="1EF8A2E8"/>
    <w:rsid w:val="1F045E39"/>
    <w:rsid w:val="1F0E9480"/>
    <w:rsid w:val="1F14E5F7"/>
    <w:rsid w:val="1F199859"/>
    <w:rsid w:val="1F1B674E"/>
    <w:rsid w:val="1F1C5C9B"/>
    <w:rsid w:val="1F1DF86F"/>
    <w:rsid w:val="1F2F53EF"/>
    <w:rsid w:val="1F55C365"/>
    <w:rsid w:val="1F577DC3"/>
    <w:rsid w:val="1F6ECD15"/>
    <w:rsid w:val="1F721094"/>
    <w:rsid w:val="1F7D84AB"/>
    <w:rsid w:val="1F8998EE"/>
    <w:rsid w:val="1F8B02B8"/>
    <w:rsid w:val="1F9B275F"/>
    <w:rsid w:val="1F9E05CA"/>
    <w:rsid w:val="1FAE72FC"/>
    <w:rsid w:val="1FC4BE95"/>
    <w:rsid w:val="1FE2B11E"/>
    <w:rsid w:val="1FE74A20"/>
    <w:rsid w:val="1FF528B9"/>
    <w:rsid w:val="1FF94B5E"/>
    <w:rsid w:val="200EF337"/>
    <w:rsid w:val="201F437C"/>
    <w:rsid w:val="20241AF3"/>
    <w:rsid w:val="2030BCD3"/>
    <w:rsid w:val="2031AA7B"/>
    <w:rsid w:val="203814A3"/>
    <w:rsid w:val="204207F3"/>
    <w:rsid w:val="20556104"/>
    <w:rsid w:val="205928C9"/>
    <w:rsid w:val="2077E21F"/>
    <w:rsid w:val="209EBB9A"/>
    <w:rsid w:val="20A42820"/>
    <w:rsid w:val="20A7D5E1"/>
    <w:rsid w:val="20AF4A8A"/>
    <w:rsid w:val="20B5D290"/>
    <w:rsid w:val="20D300C1"/>
    <w:rsid w:val="20F0A0B6"/>
    <w:rsid w:val="20F83FFA"/>
    <w:rsid w:val="20F8E01F"/>
    <w:rsid w:val="20FA2B1A"/>
    <w:rsid w:val="2104FA7A"/>
    <w:rsid w:val="21239F25"/>
    <w:rsid w:val="213D7D07"/>
    <w:rsid w:val="2159B31C"/>
    <w:rsid w:val="21605F72"/>
    <w:rsid w:val="2161FCAD"/>
    <w:rsid w:val="216521EC"/>
    <w:rsid w:val="2167E4D8"/>
    <w:rsid w:val="2176008A"/>
    <w:rsid w:val="21829D19"/>
    <w:rsid w:val="21BD8D67"/>
    <w:rsid w:val="21C73589"/>
    <w:rsid w:val="21E9454F"/>
    <w:rsid w:val="21FE5603"/>
    <w:rsid w:val="22201417"/>
    <w:rsid w:val="22453264"/>
    <w:rsid w:val="22513754"/>
    <w:rsid w:val="22726636"/>
    <w:rsid w:val="228B19C4"/>
    <w:rsid w:val="229ADE24"/>
    <w:rsid w:val="229CB372"/>
    <w:rsid w:val="22A613E9"/>
    <w:rsid w:val="22BA0607"/>
    <w:rsid w:val="22CFC0D3"/>
    <w:rsid w:val="22D2132F"/>
    <w:rsid w:val="22EC76AC"/>
    <w:rsid w:val="22F49FE1"/>
    <w:rsid w:val="22FB327C"/>
    <w:rsid w:val="22FF8C6D"/>
    <w:rsid w:val="23028154"/>
    <w:rsid w:val="232AD4FB"/>
    <w:rsid w:val="23437763"/>
    <w:rsid w:val="235A6877"/>
    <w:rsid w:val="23657759"/>
    <w:rsid w:val="2372E6F1"/>
    <w:rsid w:val="237B3426"/>
    <w:rsid w:val="237B7270"/>
    <w:rsid w:val="23814565"/>
    <w:rsid w:val="238C53B2"/>
    <w:rsid w:val="23D704D6"/>
    <w:rsid w:val="23E566A1"/>
    <w:rsid w:val="23E878F3"/>
    <w:rsid w:val="23EB6E7B"/>
    <w:rsid w:val="23EF2BA8"/>
    <w:rsid w:val="2449558B"/>
    <w:rsid w:val="2457497A"/>
    <w:rsid w:val="24696A5F"/>
    <w:rsid w:val="246C9B6A"/>
    <w:rsid w:val="246CB654"/>
    <w:rsid w:val="246E1285"/>
    <w:rsid w:val="2485678D"/>
    <w:rsid w:val="2489124B"/>
    <w:rsid w:val="248CFDDE"/>
    <w:rsid w:val="249928AC"/>
    <w:rsid w:val="249D459E"/>
    <w:rsid w:val="24A198E2"/>
    <w:rsid w:val="24A91D90"/>
    <w:rsid w:val="24B0965E"/>
    <w:rsid w:val="24B68EF8"/>
    <w:rsid w:val="24BE91C7"/>
    <w:rsid w:val="24D781B9"/>
    <w:rsid w:val="24D824E9"/>
    <w:rsid w:val="24DA2DB7"/>
    <w:rsid w:val="24EB86A1"/>
    <w:rsid w:val="24F3BA5D"/>
    <w:rsid w:val="250B0724"/>
    <w:rsid w:val="252ED4D9"/>
    <w:rsid w:val="2541B98A"/>
    <w:rsid w:val="2542A85A"/>
    <w:rsid w:val="2542E40F"/>
    <w:rsid w:val="254A1A33"/>
    <w:rsid w:val="25568894"/>
    <w:rsid w:val="25593F5F"/>
    <w:rsid w:val="256B9850"/>
    <w:rsid w:val="258B0CFF"/>
    <w:rsid w:val="2594C1F7"/>
    <w:rsid w:val="25A722AB"/>
    <w:rsid w:val="25AF10B5"/>
    <w:rsid w:val="25C7D5BF"/>
    <w:rsid w:val="25CDF891"/>
    <w:rsid w:val="25F11BDF"/>
    <w:rsid w:val="25F47E67"/>
    <w:rsid w:val="2613128B"/>
    <w:rsid w:val="2631EB82"/>
    <w:rsid w:val="264C96E6"/>
    <w:rsid w:val="2659E5DB"/>
    <w:rsid w:val="266D9053"/>
    <w:rsid w:val="2673B1E3"/>
    <w:rsid w:val="2676576E"/>
    <w:rsid w:val="26889F31"/>
    <w:rsid w:val="26A9B969"/>
    <w:rsid w:val="26B094BA"/>
    <w:rsid w:val="26D1DEF6"/>
    <w:rsid w:val="26DFE263"/>
    <w:rsid w:val="26E20847"/>
    <w:rsid w:val="26F172A2"/>
    <w:rsid w:val="26F751C8"/>
    <w:rsid w:val="26F85991"/>
    <w:rsid w:val="26FC86B1"/>
    <w:rsid w:val="271E6A08"/>
    <w:rsid w:val="271F3B3B"/>
    <w:rsid w:val="27221DEF"/>
    <w:rsid w:val="2726C3E8"/>
    <w:rsid w:val="272FB058"/>
    <w:rsid w:val="273C1B20"/>
    <w:rsid w:val="2753A348"/>
    <w:rsid w:val="277D884E"/>
    <w:rsid w:val="27959722"/>
    <w:rsid w:val="279865CB"/>
    <w:rsid w:val="279CCEF7"/>
    <w:rsid w:val="27B2EB7A"/>
    <w:rsid w:val="27BF4823"/>
    <w:rsid w:val="27EB1686"/>
    <w:rsid w:val="27F3890C"/>
    <w:rsid w:val="27F4E4F0"/>
    <w:rsid w:val="27FF59FA"/>
    <w:rsid w:val="28014897"/>
    <w:rsid w:val="280B337D"/>
    <w:rsid w:val="284FAC84"/>
    <w:rsid w:val="2887143C"/>
    <w:rsid w:val="28893183"/>
    <w:rsid w:val="289B26DC"/>
    <w:rsid w:val="289B8831"/>
    <w:rsid w:val="28A0D104"/>
    <w:rsid w:val="28B0D045"/>
    <w:rsid w:val="28BAB170"/>
    <w:rsid w:val="28D3D33B"/>
    <w:rsid w:val="28DE76C3"/>
    <w:rsid w:val="28F39AE8"/>
    <w:rsid w:val="2906A34F"/>
    <w:rsid w:val="291B70CF"/>
    <w:rsid w:val="292746B3"/>
    <w:rsid w:val="2956900E"/>
    <w:rsid w:val="2963CCA3"/>
    <w:rsid w:val="2965AEAC"/>
    <w:rsid w:val="2986F0DC"/>
    <w:rsid w:val="299ACC6A"/>
    <w:rsid w:val="29CD1B59"/>
    <w:rsid w:val="29D0C7A2"/>
    <w:rsid w:val="29D248F4"/>
    <w:rsid w:val="29E2917F"/>
    <w:rsid w:val="29E73C13"/>
    <w:rsid w:val="29EACFC1"/>
    <w:rsid w:val="2A084237"/>
    <w:rsid w:val="2A15A399"/>
    <w:rsid w:val="2A198554"/>
    <w:rsid w:val="2A206A94"/>
    <w:rsid w:val="2A47E14C"/>
    <w:rsid w:val="2A4CF2A1"/>
    <w:rsid w:val="2A5D7AE9"/>
    <w:rsid w:val="2A784D30"/>
    <w:rsid w:val="2A7DC1CD"/>
    <w:rsid w:val="2A88FCD4"/>
    <w:rsid w:val="2A99F74F"/>
    <w:rsid w:val="2AA1B6A9"/>
    <w:rsid w:val="2AB5F239"/>
    <w:rsid w:val="2ABCC099"/>
    <w:rsid w:val="2AD7869F"/>
    <w:rsid w:val="2ADD7D4A"/>
    <w:rsid w:val="2AEE9D0F"/>
    <w:rsid w:val="2AF4B92C"/>
    <w:rsid w:val="2B04A72E"/>
    <w:rsid w:val="2B15EAEE"/>
    <w:rsid w:val="2B2B6B9F"/>
    <w:rsid w:val="2B326BBF"/>
    <w:rsid w:val="2B39A5A8"/>
    <w:rsid w:val="2B5EC953"/>
    <w:rsid w:val="2B658A5E"/>
    <w:rsid w:val="2B78B6BC"/>
    <w:rsid w:val="2B8D6BE9"/>
    <w:rsid w:val="2B913BBC"/>
    <w:rsid w:val="2BAECD6F"/>
    <w:rsid w:val="2BAFAC3A"/>
    <w:rsid w:val="2BC34B5E"/>
    <w:rsid w:val="2BE5FFC3"/>
    <w:rsid w:val="2BE98BBF"/>
    <w:rsid w:val="2BF8158B"/>
    <w:rsid w:val="2BF958C3"/>
    <w:rsid w:val="2C1953B7"/>
    <w:rsid w:val="2C23B9EA"/>
    <w:rsid w:val="2C29592F"/>
    <w:rsid w:val="2C2BA660"/>
    <w:rsid w:val="2C3A2C9C"/>
    <w:rsid w:val="2C4DF307"/>
    <w:rsid w:val="2C5A6C73"/>
    <w:rsid w:val="2CAB41B8"/>
    <w:rsid w:val="2CB9B0BB"/>
    <w:rsid w:val="2CBF310E"/>
    <w:rsid w:val="2CDF617B"/>
    <w:rsid w:val="2CE809B7"/>
    <w:rsid w:val="2D239D1B"/>
    <w:rsid w:val="2D3A8168"/>
    <w:rsid w:val="2D4A1FC5"/>
    <w:rsid w:val="2D567020"/>
    <w:rsid w:val="2D5B11C6"/>
    <w:rsid w:val="2D5F1BC5"/>
    <w:rsid w:val="2D6A1539"/>
    <w:rsid w:val="2D8A26AF"/>
    <w:rsid w:val="2DB5E457"/>
    <w:rsid w:val="2DB95814"/>
    <w:rsid w:val="2DCE25E2"/>
    <w:rsid w:val="2E08FD94"/>
    <w:rsid w:val="2E09BD32"/>
    <w:rsid w:val="2E171A5E"/>
    <w:rsid w:val="2E19EBE9"/>
    <w:rsid w:val="2E3E9C41"/>
    <w:rsid w:val="2EAB9F9A"/>
    <w:rsid w:val="2EB73BCC"/>
    <w:rsid w:val="2EC0D9BD"/>
    <w:rsid w:val="2EC88E86"/>
    <w:rsid w:val="2ECC64B1"/>
    <w:rsid w:val="2ED44C2E"/>
    <w:rsid w:val="2EDD9827"/>
    <w:rsid w:val="2EE79F6E"/>
    <w:rsid w:val="2EE94F54"/>
    <w:rsid w:val="2F199ED8"/>
    <w:rsid w:val="2F1C158D"/>
    <w:rsid w:val="2F3281F8"/>
    <w:rsid w:val="2F365989"/>
    <w:rsid w:val="2F4D5148"/>
    <w:rsid w:val="2F5F452A"/>
    <w:rsid w:val="2F69BC50"/>
    <w:rsid w:val="2F8408A7"/>
    <w:rsid w:val="2F90C544"/>
    <w:rsid w:val="2F9E6284"/>
    <w:rsid w:val="2FA5E7FB"/>
    <w:rsid w:val="2FD9EC64"/>
    <w:rsid w:val="2FE8A2A8"/>
    <w:rsid w:val="300BEF2F"/>
    <w:rsid w:val="3016ECD2"/>
    <w:rsid w:val="301E6CD4"/>
    <w:rsid w:val="302C35BC"/>
    <w:rsid w:val="302CBABF"/>
    <w:rsid w:val="305DF2EF"/>
    <w:rsid w:val="3067F01B"/>
    <w:rsid w:val="30716D46"/>
    <w:rsid w:val="307CB6A4"/>
    <w:rsid w:val="308413C2"/>
    <w:rsid w:val="30A39EB2"/>
    <w:rsid w:val="30B2870C"/>
    <w:rsid w:val="30D2E902"/>
    <w:rsid w:val="30D7200A"/>
    <w:rsid w:val="30D7C67B"/>
    <w:rsid w:val="30E0C73E"/>
    <w:rsid w:val="30F955A4"/>
    <w:rsid w:val="310768A0"/>
    <w:rsid w:val="3123F832"/>
    <w:rsid w:val="3127C8B9"/>
    <w:rsid w:val="312FDD72"/>
    <w:rsid w:val="313DBAFF"/>
    <w:rsid w:val="31573CA1"/>
    <w:rsid w:val="315D45B5"/>
    <w:rsid w:val="3165A04B"/>
    <w:rsid w:val="31A99303"/>
    <w:rsid w:val="31D8ECC6"/>
    <w:rsid w:val="31DA8453"/>
    <w:rsid w:val="31E71B14"/>
    <w:rsid w:val="31EB892F"/>
    <w:rsid w:val="31F38F03"/>
    <w:rsid w:val="3209ACCD"/>
    <w:rsid w:val="321BC667"/>
    <w:rsid w:val="321E6F13"/>
    <w:rsid w:val="321F03DD"/>
    <w:rsid w:val="323AAE0D"/>
    <w:rsid w:val="325470A0"/>
    <w:rsid w:val="325D2842"/>
    <w:rsid w:val="326ED1AF"/>
    <w:rsid w:val="327A55F4"/>
    <w:rsid w:val="327EB686"/>
    <w:rsid w:val="329191A2"/>
    <w:rsid w:val="32A7AF76"/>
    <w:rsid w:val="32CE0CB6"/>
    <w:rsid w:val="32E5B6AD"/>
    <w:rsid w:val="32E99496"/>
    <w:rsid w:val="32F39087"/>
    <w:rsid w:val="32F5B231"/>
    <w:rsid w:val="330978A3"/>
    <w:rsid w:val="33208D78"/>
    <w:rsid w:val="33297A89"/>
    <w:rsid w:val="333A6196"/>
    <w:rsid w:val="33549367"/>
    <w:rsid w:val="335B23F8"/>
    <w:rsid w:val="33940946"/>
    <w:rsid w:val="339A9153"/>
    <w:rsid w:val="339F8912"/>
    <w:rsid w:val="33BE87C1"/>
    <w:rsid w:val="33CF38DA"/>
    <w:rsid w:val="33D643E7"/>
    <w:rsid w:val="33D6C5FB"/>
    <w:rsid w:val="33F05C39"/>
    <w:rsid w:val="33F8F5EB"/>
    <w:rsid w:val="33F9F745"/>
    <w:rsid w:val="3401228A"/>
    <w:rsid w:val="3405D971"/>
    <w:rsid w:val="34061B4D"/>
    <w:rsid w:val="3448884E"/>
    <w:rsid w:val="34494F0A"/>
    <w:rsid w:val="344ECAD7"/>
    <w:rsid w:val="344F3BC4"/>
    <w:rsid w:val="346D5E0E"/>
    <w:rsid w:val="34710ED3"/>
    <w:rsid w:val="347E236F"/>
    <w:rsid w:val="3483BDD0"/>
    <w:rsid w:val="349ADFAB"/>
    <w:rsid w:val="34B5B2B0"/>
    <w:rsid w:val="34BCD618"/>
    <w:rsid w:val="34CA5261"/>
    <w:rsid w:val="34CE57CF"/>
    <w:rsid w:val="34F9CED0"/>
    <w:rsid w:val="3508051D"/>
    <w:rsid w:val="35083DB9"/>
    <w:rsid w:val="3525FF56"/>
    <w:rsid w:val="35330EEF"/>
    <w:rsid w:val="353A8B43"/>
    <w:rsid w:val="353C9667"/>
    <w:rsid w:val="35429727"/>
    <w:rsid w:val="35762631"/>
    <w:rsid w:val="357D02F1"/>
    <w:rsid w:val="358A4ABF"/>
    <w:rsid w:val="358BE1FA"/>
    <w:rsid w:val="3596F2A5"/>
    <w:rsid w:val="359EECFA"/>
    <w:rsid w:val="35A26E48"/>
    <w:rsid w:val="35BE65F7"/>
    <w:rsid w:val="35CFC354"/>
    <w:rsid w:val="35EB71E8"/>
    <w:rsid w:val="35F2DF84"/>
    <w:rsid w:val="35F819AD"/>
    <w:rsid w:val="3611FA33"/>
    <w:rsid w:val="363C648D"/>
    <w:rsid w:val="364A45C2"/>
    <w:rsid w:val="364A56D9"/>
    <w:rsid w:val="3652E295"/>
    <w:rsid w:val="36582208"/>
    <w:rsid w:val="365F426D"/>
    <w:rsid w:val="3682F977"/>
    <w:rsid w:val="369379A0"/>
    <w:rsid w:val="3699D6A9"/>
    <w:rsid w:val="36AF6E92"/>
    <w:rsid w:val="36C9728C"/>
    <w:rsid w:val="372154E1"/>
    <w:rsid w:val="3742926D"/>
    <w:rsid w:val="37492BDC"/>
    <w:rsid w:val="376E864F"/>
    <w:rsid w:val="37732912"/>
    <w:rsid w:val="3795E086"/>
    <w:rsid w:val="37AA8D12"/>
    <w:rsid w:val="37ADD2D6"/>
    <w:rsid w:val="37BF3FC6"/>
    <w:rsid w:val="37C74B39"/>
    <w:rsid w:val="37CA4F52"/>
    <w:rsid w:val="37DABD1D"/>
    <w:rsid w:val="37DE31F4"/>
    <w:rsid w:val="38300877"/>
    <w:rsid w:val="38590B15"/>
    <w:rsid w:val="3864F454"/>
    <w:rsid w:val="38662C17"/>
    <w:rsid w:val="38704D3E"/>
    <w:rsid w:val="3878991F"/>
    <w:rsid w:val="388C3725"/>
    <w:rsid w:val="38995E4F"/>
    <w:rsid w:val="389D69EC"/>
    <w:rsid w:val="389E1467"/>
    <w:rsid w:val="38BD53D0"/>
    <w:rsid w:val="38D98FC3"/>
    <w:rsid w:val="38ED5EC2"/>
    <w:rsid w:val="38F1A7D4"/>
    <w:rsid w:val="38F7B33B"/>
    <w:rsid w:val="3929CA38"/>
    <w:rsid w:val="395F1EAF"/>
    <w:rsid w:val="397C7F6C"/>
    <w:rsid w:val="398F02A3"/>
    <w:rsid w:val="39A56E13"/>
    <w:rsid w:val="39BF4CB4"/>
    <w:rsid w:val="39D6D136"/>
    <w:rsid w:val="39DC6882"/>
    <w:rsid w:val="39E7502B"/>
    <w:rsid w:val="3A0EAD94"/>
    <w:rsid w:val="3A0EC496"/>
    <w:rsid w:val="3A0F89B4"/>
    <w:rsid w:val="3A11CC60"/>
    <w:rsid w:val="3A1D9044"/>
    <w:rsid w:val="3A39D8AB"/>
    <w:rsid w:val="3A45A241"/>
    <w:rsid w:val="3A6A0CAC"/>
    <w:rsid w:val="3A71C3F1"/>
    <w:rsid w:val="3A74F4B7"/>
    <w:rsid w:val="3A75DE47"/>
    <w:rsid w:val="3A767D3D"/>
    <w:rsid w:val="3A8599CF"/>
    <w:rsid w:val="3A90889B"/>
    <w:rsid w:val="3A92CE92"/>
    <w:rsid w:val="3AB085B7"/>
    <w:rsid w:val="3ABF287A"/>
    <w:rsid w:val="3ACFEC60"/>
    <w:rsid w:val="3AD4BC83"/>
    <w:rsid w:val="3B02AA44"/>
    <w:rsid w:val="3B041A07"/>
    <w:rsid w:val="3B0CADFF"/>
    <w:rsid w:val="3B189757"/>
    <w:rsid w:val="3B193F7A"/>
    <w:rsid w:val="3B1A6DD3"/>
    <w:rsid w:val="3B1DEE5F"/>
    <w:rsid w:val="3B266040"/>
    <w:rsid w:val="3B341FB9"/>
    <w:rsid w:val="3B4E31CD"/>
    <w:rsid w:val="3B51BB96"/>
    <w:rsid w:val="3B6F28CD"/>
    <w:rsid w:val="3B6FD4D2"/>
    <w:rsid w:val="3BA52320"/>
    <w:rsid w:val="3BAE29E0"/>
    <w:rsid w:val="3BB7F347"/>
    <w:rsid w:val="3BC8BC39"/>
    <w:rsid w:val="3BCE1233"/>
    <w:rsid w:val="3BD838FC"/>
    <w:rsid w:val="3BED9723"/>
    <w:rsid w:val="3BEE6DBF"/>
    <w:rsid w:val="3BF683DE"/>
    <w:rsid w:val="3C04DFF8"/>
    <w:rsid w:val="3C143F26"/>
    <w:rsid w:val="3C146C93"/>
    <w:rsid w:val="3C1FB4B6"/>
    <w:rsid w:val="3C3E87B8"/>
    <w:rsid w:val="3C415AA0"/>
    <w:rsid w:val="3C667733"/>
    <w:rsid w:val="3C89AFA3"/>
    <w:rsid w:val="3C9566AA"/>
    <w:rsid w:val="3C9DD3DF"/>
    <w:rsid w:val="3CD50A69"/>
    <w:rsid w:val="3CDE441D"/>
    <w:rsid w:val="3CDFF9A0"/>
    <w:rsid w:val="3CE33401"/>
    <w:rsid w:val="3CEDB581"/>
    <w:rsid w:val="3CFF9CAA"/>
    <w:rsid w:val="3D1809A1"/>
    <w:rsid w:val="3D344479"/>
    <w:rsid w:val="3D4820D4"/>
    <w:rsid w:val="3D636E55"/>
    <w:rsid w:val="3D63CCEF"/>
    <w:rsid w:val="3D68E726"/>
    <w:rsid w:val="3D6AE957"/>
    <w:rsid w:val="3D6B4BE6"/>
    <w:rsid w:val="3D6E2B3E"/>
    <w:rsid w:val="3DBA93C6"/>
    <w:rsid w:val="3DC0A7BB"/>
    <w:rsid w:val="3DC13E68"/>
    <w:rsid w:val="3DCF93BB"/>
    <w:rsid w:val="3DCFDDB9"/>
    <w:rsid w:val="3DE2893D"/>
    <w:rsid w:val="3DEF5CF2"/>
    <w:rsid w:val="3DFF9279"/>
    <w:rsid w:val="3E4424EF"/>
    <w:rsid w:val="3E77C364"/>
    <w:rsid w:val="3E941BFE"/>
    <w:rsid w:val="3EAB7469"/>
    <w:rsid w:val="3EC31FF9"/>
    <w:rsid w:val="3ED251B3"/>
    <w:rsid w:val="3EE02D0D"/>
    <w:rsid w:val="3EE459A6"/>
    <w:rsid w:val="3EF99D7A"/>
    <w:rsid w:val="3F01587A"/>
    <w:rsid w:val="3F03E482"/>
    <w:rsid w:val="3F03ECCB"/>
    <w:rsid w:val="3F3B6816"/>
    <w:rsid w:val="3F5B6F72"/>
    <w:rsid w:val="3F601805"/>
    <w:rsid w:val="3F70E40C"/>
    <w:rsid w:val="3F82C483"/>
    <w:rsid w:val="3F843D76"/>
    <w:rsid w:val="3F89361F"/>
    <w:rsid w:val="3F91451F"/>
    <w:rsid w:val="3F91D895"/>
    <w:rsid w:val="3FAAEBD1"/>
    <w:rsid w:val="3FAEC06B"/>
    <w:rsid w:val="3FB9ECB1"/>
    <w:rsid w:val="3FC97C61"/>
    <w:rsid w:val="3FDACE2A"/>
    <w:rsid w:val="3FEC22EC"/>
    <w:rsid w:val="3FF233DC"/>
    <w:rsid w:val="3FF7D121"/>
    <w:rsid w:val="40186FCA"/>
    <w:rsid w:val="401B78F3"/>
    <w:rsid w:val="401EE96D"/>
    <w:rsid w:val="4020FB0D"/>
    <w:rsid w:val="403000C4"/>
    <w:rsid w:val="40486072"/>
    <w:rsid w:val="405814BD"/>
    <w:rsid w:val="408322F8"/>
    <w:rsid w:val="4083815B"/>
    <w:rsid w:val="408ECE9C"/>
    <w:rsid w:val="4096017D"/>
    <w:rsid w:val="409B5748"/>
    <w:rsid w:val="409BCEFC"/>
    <w:rsid w:val="409FDC7D"/>
    <w:rsid w:val="40BD601A"/>
    <w:rsid w:val="40D99378"/>
    <w:rsid w:val="40E72BB3"/>
    <w:rsid w:val="40E8B109"/>
    <w:rsid w:val="40FD7DFF"/>
    <w:rsid w:val="41058281"/>
    <w:rsid w:val="411BDBC3"/>
    <w:rsid w:val="413846AC"/>
    <w:rsid w:val="416BAB44"/>
    <w:rsid w:val="41831D81"/>
    <w:rsid w:val="4189705E"/>
    <w:rsid w:val="419EC553"/>
    <w:rsid w:val="41A98103"/>
    <w:rsid w:val="41C6C1DE"/>
    <w:rsid w:val="41C6CA56"/>
    <w:rsid w:val="41C8B64B"/>
    <w:rsid w:val="41D16E8B"/>
    <w:rsid w:val="41E0E6B8"/>
    <w:rsid w:val="41F0B4DE"/>
    <w:rsid w:val="41F311CB"/>
    <w:rsid w:val="41F6AB91"/>
    <w:rsid w:val="41FD7D48"/>
    <w:rsid w:val="41FDB9F0"/>
    <w:rsid w:val="42177492"/>
    <w:rsid w:val="422038AA"/>
    <w:rsid w:val="422D0057"/>
    <w:rsid w:val="42397485"/>
    <w:rsid w:val="42509613"/>
    <w:rsid w:val="426E6D39"/>
    <w:rsid w:val="4279C593"/>
    <w:rsid w:val="42A05220"/>
    <w:rsid w:val="42A22106"/>
    <w:rsid w:val="42A396BF"/>
    <w:rsid w:val="42B5158B"/>
    <w:rsid w:val="42B779E8"/>
    <w:rsid w:val="42BF781A"/>
    <w:rsid w:val="42BFA981"/>
    <w:rsid w:val="42C2904C"/>
    <w:rsid w:val="42ED912C"/>
    <w:rsid w:val="43031FBC"/>
    <w:rsid w:val="43261337"/>
    <w:rsid w:val="432A7871"/>
    <w:rsid w:val="4351E3CF"/>
    <w:rsid w:val="4366CCA8"/>
    <w:rsid w:val="43A7F6B5"/>
    <w:rsid w:val="43BED23E"/>
    <w:rsid w:val="43CCC18B"/>
    <w:rsid w:val="43E52FEB"/>
    <w:rsid w:val="43F2F7D8"/>
    <w:rsid w:val="43FC4200"/>
    <w:rsid w:val="441BDCDC"/>
    <w:rsid w:val="4431BCAE"/>
    <w:rsid w:val="44321753"/>
    <w:rsid w:val="444E411A"/>
    <w:rsid w:val="4450C400"/>
    <w:rsid w:val="446C7D5B"/>
    <w:rsid w:val="4474114B"/>
    <w:rsid w:val="447B1CCE"/>
    <w:rsid w:val="448C6F47"/>
    <w:rsid w:val="449E287F"/>
    <w:rsid w:val="44C59896"/>
    <w:rsid w:val="44D137FC"/>
    <w:rsid w:val="44F1DDCB"/>
    <w:rsid w:val="44F320B4"/>
    <w:rsid w:val="44F602E7"/>
    <w:rsid w:val="44F65BE0"/>
    <w:rsid w:val="44F89CE5"/>
    <w:rsid w:val="45120A1D"/>
    <w:rsid w:val="452F0C23"/>
    <w:rsid w:val="45321E80"/>
    <w:rsid w:val="453B824C"/>
    <w:rsid w:val="4542EE87"/>
    <w:rsid w:val="454533A1"/>
    <w:rsid w:val="456E0DBA"/>
    <w:rsid w:val="45811A0E"/>
    <w:rsid w:val="45975664"/>
    <w:rsid w:val="45A12564"/>
    <w:rsid w:val="45BC1F29"/>
    <w:rsid w:val="45C7796A"/>
    <w:rsid w:val="45DE3434"/>
    <w:rsid w:val="45E28D5E"/>
    <w:rsid w:val="45EEB9CE"/>
    <w:rsid w:val="45F2685B"/>
    <w:rsid w:val="4612F2B9"/>
    <w:rsid w:val="461B0B87"/>
    <w:rsid w:val="4629C3DE"/>
    <w:rsid w:val="463C7E26"/>
    <w:rsid w:val="466276AD"/>
    <w:rsid w:val="4668A7AD"/>
    <w:rsid w:val="4673E15B"/>
    <w:rsid w:val="467BAAE9"/>
    <w:rsid w:val="4686980B"/>
    <w:rsid w:val="46B838A8"/>
    <w:rsid w:val="46C188F5"/>
    <w:rsid w:val="46CA8178"/>
    <w:rsid w:val="46D05918"/>
    <w:rsid w:val="46ECC497"/>
    <w:rsid w:val="46F7D288"/>
    <w:rsid w:val="4710F638"/>
    <w:rsid w:val="47229D36"/>
    <w:rsid w:val="4730CAB2"/>
    <w:rsid w:val="473C0C34"/>
    <w:rsid w:val="473CE33F"/>
    <w:rsid w:val="4742D1B1"/>
    <w:rsid w:val="475F1F9B"/>
    <w:rsid w:val="4763640F"/>
    <w:rsid w:val="4777929D"/>
    <w:rsid w:val="47783FA2"/>
    <w:rsid w:val="4810B4E7"/>
    <w:rsid w:val="48117607"/>
    <w:rsid w:val="481BA76E"/>
    <w:rsid w:val="482A1F23"/>
    <w:rsid w:val="4847D7AE"/>
    <w:rsid w:val="48502086"/>
    <w:rsid w:val="485CB4A4"/>
    <w:rsid w:val="485FF105"/>
    <w:rsid w:val="4868EAAA"/>
    <w:rsid w:val="487E580B"/>
    <w:rsid w:val="4882FCFE"/>
    <w:rsid w:val="489475B9"/>
    <w:rsid w:val="48960445"/>
    <w:rsid w:val="48A10635"/>
    <w:rsid w:val="48AC53FD"/>
    <w:rsid w:val="48B27D74"/>
    <w:rsid w:val="48E89344"/>
    <w:rsid w:val="48E9C27D"/>
    <w:rsid w:val="490213BA"/>
    <w:rsid w:val="492444B5"/>
    <w:rsid w:val="49247BD3"/>
    <w:rsid w:val="492645F8"/>
    <w:rsid w:val="493B7EF8"/>
    <w:rsid w:val="49488613"/>
    <w:rsid w:val="49527F30"/>
    <w:rsid w:val="495AAD0A"/>
    <w:rsid w:val="496059D3"/>
    <w:rsid w:val="496114A0"/>
    <w:rsid w:val="4964C0A0"/>
    <w:rsid w:val="4978C44F"/>
    <w:rsid w:val="497CCCD4"/>
    <w:rsid w:val="49D2D006"/>
    <w:rsid w:val="49D3AAF4"/>
    <w:rsid w:val="49EAF5E0"/>
    <w:rsid w:val="49F87F76"/>
    <w:rsid w:val="4A44C230"/>
    <w:rsid w:val="4A4A6704"/>
    <w:rsid w:val="4A4ECF3A"/>
    <w:rsid w:val="4A50A29A"/>
    <w:rsid w:val="4A55B03D"/>
    <w:rsid w:val="4A749726"/>
    <w:rsid w:val="4A82B632"/>
    <w:rsid w:val="4A884826"/>
    <w:rsid w:val="4A8EC4BF"/>
    <w:rsid w:val="4AA57DE7"/>
    <w:rsid w:val="4AAC947D"/>
    <w:rsid w:val="4AADAE50"/>
    <w:rsid w:val="4ABA9F9F"/>
    <w:rsid w:val="4ABB16B6"/>
    <w:rsid w:val="4AF7558F"/>
    <w:rsid w:val="4AF7F49A"/>
    <w:rsid w:val="4AF97996"/>
    <w:rsid w:val="4AFC68C5"/>
    <w:rsid w:val="4B17D0EB"/>
    <w:rsid w:val="4B2BF4FD"/>
    <w:rsid w:val="4B2EFBE9"/>
    <w:rsid w:val="4B3DE887"/>
    <w:rsid w:val="4B45D120"/>
    <w:rsid w:val="4B5DD7EC"/>
    <w:rsid w:val="4B7DC748"/>
    <w:rsid w:val="4B995E62"/>
    <w:rsid w:val="4B9C02C6"/>
    <w:rsid w:val="4BA7C932"/>
    <w:rsid w:val="4BAB8C17"/>
    <w:rsid w:val="4BB30301"/>
    <w:rsid w:val="4BBC1118"/>
    <w:rsid w:val="4BC1E9C5"/>
    <w:rsid w:val="4BC78A26"/>
    <w:rsid w:val="4BCC90FD"/>
    <w:rsid w:val="4BD5ADC5"/>
    <w:rsid w:val="4BD5BA3D"/>
    <w:rsid w:val="4BD8639A"/>
    <w:rsid w:val="4BE22C2D"/>
    <w:rsid w:val="4BE4DCB3"/>
    <w:rsid w:val="4BFFD959"/>
    <w:rsid w:val="4C08288C"/>
    <w:rsid w:val="4C4EB4BF"/>
    <w:rsid w:val="4C4FB0A1"/>
    <w:rsid w:val="4C517B81"/>
    <w:rsid w:val="4C5DFCE2"/>
    <w:rsid w:val="4C5E435A"/>
    <w:rsid w:val="4C5F004A"/>
    <w:rsid w:val="4C9BD4B1"/>
    <w:rsid w:val="4CA7DDE7"/>
    <w:rsid w:val="4CAE50FB"/>
    <w:rsid w:val="4CAF1E53"/>
    <w:rsid w:val="4CB2554C"/>
    <w:rsid w:val="4CCB08A5"/>
    <w:rsid w:val="4CD2E8A8"/>
    <w:rsid w:val="4D3F15D6"/>
    <w:rsid w:val="4D6F6CAF"/>
    <w:rsid w:val="4D8129D9"/>
    <w:rsid w:val="4D8E5521"/>
    <w:rsid w:val="4D93E346"/>
    <w:rsid w:val="4DA7D43C"/>
    <w:rsid w:val="4DA9F003"/>
    <w:rsid w:val="4DB95419"/>
    <w:rsid w:val="4DC0C96C"/>
    <w:rsid w:val="4DC1EEB8"/>
    <w:rsid w:val="4DD972C2"/>
    <w:rsid w:val="4DF0EACA"/>
    <w:rsid w:val="4DFE3ADA"/>
    <w:rsid w:val="4E1F2761"/>
    <w:rsid w:val="4E2BB8D7"/>
    <w:rsid w:val="4E33B76A"/>
    <w:rsid w:val="4E37EF52"/>
    <w:rsid w:val="4E3ECA8D"/>
    <w:rsid w:val="4E4F9351"/>
    <w:rsid w:val="4E648596"/>
    <w:rsid w:val="4E79B761"/>
    <w:rsid w:val="4E7BF2C7"/>
    <w:rsid w:val="4E7EB0BA"/>
    <w:rsid w:val="4E8AA0AA"/>
    <w:rsid w:val="4E923FC8"/>
    <w:rsid w:val="4E925DAD"/>
    <w:rsid w:val="4E9D41FE"/>
    <w:rsid w:val="4EA5A7A6"/>
    <w:rsid w:val="4EBE7533"/>
    <w:rsid w:val="4EC20C66"/>
    <w:rsid w:val="4EC23F40"/>
    <w:rsid w:val="4EC5E89C"/>
    <w:rsid w:val="4EEE02AB"/>
    <w:rsid w:val="4EF3E305"/>
    <w:rsid w:val="4F3BFBFD"/>
    <w:rsid w:val="4F56B568"/>
    <w:rsid w:val="4F5929BB"/>
    <w:rsid w:val="4F678946"/>
    <w:rsid w:val="4F6C9EC6"/>
    <w:rsid w:val="4F725CF0"/>
    <w:rsid w:val="4F82061A"/>
    <w:rsid w:val="4F92CD71"/>
    <w:rsid w:val="4F95CE2B"/>
    <w:rsid w:val="4FA2A75A"/>
    <w:rsid w:val="4FA40B79"/>
    <w:rsid w:val="4FBC5D4C"/>
    <w:rsid w:val="4FD98125"/>
    <w:rsid w:val="5010663A"/>
    <w:rsid w:val="50189CDE"/>
    <w:rsid w:val="5024F2EA"/>
    <w:rsid w:val="5026D747"/>
    <w:rsid w:val="5048DD77"/>
    <w:rsid w:val="504BDB68"/>
    <w:rsid w:val="505AA063"/>
    <w:rsid w:val="507BEF9C"/>
    <w:rsid w:val="507EBBAB"/>
    <w:rsid w:val="508D9358"/>
    <w:rsid w:val="508E2124"/>
    <w:rsid w:val="509049D7"/>
    <w:rsid w:val="50C06CE1"/>
    <w:rsid w:val="50C73D62"/>
    <w:rsid w:val="510154F2"/>
    <w:rsid w:val="5112170A"/>
    <w:rsid w:val="51345851"/>
    <w:rsid w:val="5150009A"/>
    <w:rsid w:val="515660A8"/>
    <w:rsid w:val="515CD870"/>
    <w:rsid w:val="515F03DF"/>
    <w:rsid w:val="51610B84"/>
    <w:rsid w:val="51773D42"/>
    <w:rsid w:val="51816658"/>
    <w:rsid w:val="5186AEB5"/>
    <w:rsid w:val="519BC32D"/>
    <w:rsid w:val="51A16520"/>
    <w:rsid w:val="51A31B3E"/>
    <w:rsid w:val="51A7ECDC"/>
    <w:rsid w:val="51A82DAF"/>
    <w:rsid w:val="51A84983"/>
    <w:rsid w:val="51AC0277"/>
    <w:rsid w:val="51AEA54F"/>
    <w:rsid w:val="51CA8C7C"/>
    <w:rsid w:val="51D1D0FB"/>
    <w:rsid w:val="51D85850"/>
    <w:rsid w:val="51E1EE9C"/>
    <w:rsid w:val="5208650C"/>
    <w:rsid w:val="52095664"/>
    <w:rsid w:val="521673AE"/>
    <w:rsid w:val="524A71DC"/>
    <w:rsid w:val="52551C31"/>
    <w:rsid w:val="526BE660"/>
    <w:rsid w:val="526D2CB4"/>
    <w:rsid w:val="52709006"/>
    <w:rsid w:val="52C589A0"/>
    <w:rsid w:val="52C9B663"/>
    <w:rsid w:val="52E9EF67"/>
    <w:rsid w:val="52ED4297"/>
    <w:rsid w:val="53005167"/>
    <w:rsid w:val="53099EFA"/>
    <w:rsid w:val="531B6EB8"/>
    <w:rsid w:val="5328ADD4"/>
    <w:rsid w:val="5346CABE"/>
    <w:rsid w:val="534930E5"/>
    <w:rsid w:val="53722E0E"/>
    <w:rsid w:val="53778583"/>
    <w:rsid w:val="53C329FE"/>
    <w:rsid w:val="53E76E71"/>
    <w:rsid w:val="53F1B07F"/>
    <w:rsid w:val="53F2575E"/>
    <w:rsid w:val="53F76402"/>
    <w:rsid w:val="5405CE28"/>
    <w:rsid w:val="54175B9C"/>
    <w:rsid w:val="542261B3"/>
    <w:rsid w:val="5435AAAF"/>
    <w:rsid w:val="546EB953"/>
    <w:rsid w:val="548AE034"/>
    <w:rsid w:val="54978E97"/>
    <w:rsid w:val="54B572E9"/>
    <w:rsid w:val="54B7B6E2"/>
    <w:rsid w:val="54CBA781"/>
    <w:rsid w:val="54E4002E"/>
    <w:rsid w:val="5517D41D"/>
    <w:rsid w:val="5526DFA1"/>
    <w:rsid w:val="552D931A"/>
    <w:rsid w:val="553F5210"/>
    <w:rsid w:val="55443D0F"/>
    <w:rsid w:val="557243F4"/>
    <w:rsid w:val="5579AD46"/>
    <w:rsid w:val="55812C76"/>
    <w:rsid w:val="558A96CB"/>
    <w:rsid w:val="559B54A8"/>
    <w:rsid w:val="55A392F6"/>
    <w:rsid w:val="55AFF82D"/>
    <w:rsid w:val="55B1D2B6"/>
    <w:rsid w:val="55B602E5"/>
    <w:rsid w:val="55B8261E"/>
    <w:rsid w:val="55B954E1"/>
    <w:rsid w:val="55B9B92A"/>
    <w:rsid w:val="55DA38C5"/>
    <w:rsid w:val="55E03C95"/>
    <w:rsid w:val="55E6BB1D"/>
    <w:rsid w:val="55E7C50A"/>
    <w:rsid w:val="5612DD10"/>
    <w:rsid w:val="5640BDF1"/>
    <w:rsid w:val="56539E86"/>
    <w:rsid w:val="5653E180"/>
    <w:rsid w:val="5657267F"/>
    <w:rsid w:val="56623F4B"/>
    <w:rsid w:val="5663793F"/>
    <w:rsid w:val="567C3C25"/>
    <w:rsid w:val="56AF99A4"/>
    <w:rsid w:val="56BA17E7"/>
    <w:rsid w:val="56C228DD"/>
    <w:rsid w:val="5705E2FC"/>
    <w:rsid w:val="57108722"/>
    <w:rsid w:val="571E2936"/>
    <w:rsid w:val="57415D46"/>
    <w:rsid w:val="575F91D3"/>
    <w:rsid w:val="5767A751"/>
    <w:rsid w:val="5774F56D"/>
    <w:rsid w:val="577851C7"/>
    <w:rsid w:val="57AF689B"/>
    <w:rsid w:val="57C64D3C"/>
    <w:rsid w:val="57E43F5E"/>
    <w:rsid w:val="57FC4369"/>
    <w:rsid w:val="58074E0B"/>
    <w:rsid w:val="584D54BC"/>
    <w:rsid w:val="58592447"/>
    <w:rsid w:val="58669E45"/>
    <w:rsid w:val="586AF21B"/>
    <w:rsid w:val="5883C5A4"/>
    <w:rsid w:val="58A140B3"/>
    <w:rsid w:val="58AAF9EF"/>
    <w:rsid w:val="58B4C818"/>
    <w:rsid w:val="58CA83F2"/>
    <w:rsid w:val="58CD71F9"/>
    <w:rsid w:val="58CE3C36"/>
    <w:rsid w:val="58D016D1"/>
    <w:rsid w:val="58DA9AD5"/>
    <w:rsid w:val="58EC626B"/>
    <w:rsid w:val="59157AF0"/>
    <w:rsid w:val="59412429"/>
    <w:rsid w:val="59433AD8"/>
    <w:rsid w:val="594F0B38"/>
    <w:rsid w:val="5950A115"/>
    <w:rsid w:val="59555FF6"/>
    <w:rsid w:val="595FF6FA"/>
    <w:rsid w:val="59658FD3"/>
    <w:rsid w:val="598567DD"/>
    <w:rsid w:val="598F2D36"/>
    <w:rsid w:val="5997A927"/>
    <w:rsid w:val="59AD0BEC"/>
    <w:rsid w:val="59AE4974"/>
    <w:rsid w:val="59AFDE97"/>
    <w:rsid w:val="59B7A47D"/>
    <w:rsid w:val="59BC5EFF"/>
    <w:rsid w:val="59C325ED"/>
    <w:rsid w:val="59E082F1"/>
    <w:rsid w:val="59E0CDAE"/>
    <w:rsid w:val="59EEFAA3"/>
    <w:rsid w:val="59FE0149"/>
    <w:rsid w:val="5A100240"/>
    <w:rsid w:val="5A430100"/>
    <w:rsid w:val="5A651B91"/>
    <w:rsid w:val="5A6C64E0"/>
    <w:rsid w:val="5A72BE66"/>
    <w:rsid w:val="5AC44F8E"/>
    <w:rsid w:val="5ACB1A44"/>
    <w:rsid w:val="5AD3502D"/>
    <w:rsid w:val="5AD610B7"/>
    <w:rsid w:val="5AD99109"/>
    <w:rsid w:val="5AF77581"/>
    <w:rsid w:val="5B008C53"/>
    <w:rsid w:val="5B086E83"/>
    <w:rsid w:val="5B28293B"/>
    <w:rsid w:val="5B28F365"/>
    <w:rsid w:val="5B2AA6EE"/>
    <w:rsid w:val="5B2AC76E"/>
    <w:rsid w:val="5B465FA6"/>
    <w:rsid w:val="5B4A4E7C"/>
    <w:rsid w:val="5B4ECFA8"/>
    <w:rsid w:val="5B651040"/>
    <w:rsid w:val="5B81EE26"/>
    <w:rsid w:val="5B992148"/>
    <w:rsid w:val="5BBCB292"/>
    <w:rsid w:val="5BC56645"/>
    <w:rsid w:val="5BC87897"/>
    <w:rsid w:val="5BCA1DEE"/>
    <w:rsid w:val="5BDB8890"/>
    <w:rsid w:val="5BF97C63"/>
    <w:rsid w:val="5C0C3E87"/>
    <w:rsid w:val="5C1ED68C"/>
    <w:rsid w:val="5C22AA35"/>
    <w:rsid w:val="5C2E0F11"/>
    <w:rsid w:val="5C32E84B"/>
    <w:rsid w:val="5C396348"/>
    <w:rsid w:val="5C3CFE5A"/>
    <w:rsid w:val="5C442B91"/>
    <w:rsid w:val="5C497EDB"/>
    <w:rsid w:val="5C4EBF3F"/>
    <w:rsid w:val="5C545A4E"/>
    <w:rsid w:val="5C5C2ED4"/>
    <w:rsid w:val="5C61B260"/>
    <w:rsid w:val="5C747430"/>
    <w:rsid w:val="5C768F2B"/>
    <w:rsid w:val="5C7A569D"/>
    <w:rsid w:val="5C7D9E88"/>
    <w:rsid w:val="5CAD37BD"/>
    <w:rsid w:val="5CE40146"/>
    <w:rsid w:val="5CF9D01E"/>
    <w:rsid w:val="5CFD21AB"/>
    <w:rsid w:val="5D02A084"/>
    <w:rsid w:val="5D05B6E8"/>
    <w:rsid w:val="5D162FFF"/>
    <w:rsid w:val="5D1D7D7F"/>
    <w:rsid w:val="5D405C40"/>
    <w:rsid w:val="5D4CE27E"/>
    <w:rsid w:val="5D55F1DA"/>
    <w:rsid w:val="5D77F28F"/>
    <w:rsid w:val="5D7D3CBE"/>
    <w:rsid w:val="5D8B8ED3"/>
    <w:rsid w:val="5D9804C1"/>
    <w:rsid w:val="5D991E6D"/>
    <w:rsid w:val="5DAC3CF6"/>
    <w:rsid w:val="5DAE5AA1"/>
    <w:rsid w:val="5DB3720C"/>
    <w:rsid w:val="5DBC9493"/>
    <w:rsid w:val="5DDD49DD"/>
    <w:rsid w:val="5DE7B910"/>
    <w:rsid w:val="5DFC3BA0"/>
    <w:rsid w:val="5E1EF69E"/>
    <w:rsid w:val="5E273DB8"/>
    <w:rsid w:val="5E5638EE"/>
    <w:rsid w:val="5E5CC8BA"/>
    <w:rsid w:val="5E8C1D6E"/>
    <w:rsid w:val="5E9FE8D5"/>
    <w:rsid w:val="5EA2437B"/>
    <w:rsid w:val="5EB480D1"/>
    <w:rsid w:val="5EBC21C0"/>
    <w:rsid w:val="5F00B9E4"/>
    <w:rsid w:val="5F032493"/>
    <w:rsid w:val="5F06250F"/>
    <w:rsid w:val="5F1750EC"/>
    <w:rsid w:val="5F23936D"/>
    <w:rsid w:val="5F4B84A8"/>
    <w:rsid w:val="5F6240B9"/>
    <w:rsid w:val="5F6A7D58"/>
    <w:rsid w:val="5F6F0DDC"/>
    <w:rsid w:val="5F70630F"/>
    <w:rsid w:val="5F7E0850"/>
    <w:rsid w:val="5F874DED"/>
    <w:rsid w:val="5F878DB0"/>
    <w:rsid w:val="5F9A79D1"/>
    <w:rsid w:val="5FACFB73"/>
    <w:rsid w:val="5FB2A332"/>
    <w:rsid w:val="5FC62C66"/>
    <w:rsid w:val="5FDBE8B3"/>
    <w:rsid w:val="5FDC80EC"/>
    <w:rsid w:val="5FEF3955"/>
    <w:rsid w:val="6010F740"/>
    <w:rsid w:val="601431ED"/>
    <w:rsid w:val="602396C3"/>
    <w:rsid w:val="6030A033"/>
    <w:rsid w:val="60336C43"/>
    <w:rsid w:val="603787AB"/>
    <w:rsid w:val="603A38A0"/>
    <w:rsid w:val="604C1891"/>
    <w:rsid w:val="605ABEA8"/>
    <w:rsid w:val="605B86DD"/>
    <w:rsid w:val="60785252"/>
    <w:rsid w:val="609398B9"/>
    <w:rsid w:val="609928EE"/>
    <w:rsid w:val="609CD417"/>
    <w:rsid w:val="60A7BDB6"/>
    <w:rsid w:val="60ACA046"/>
    <w:rsid w:val="60B095BF"/>
    <w:rsid w:val="60C8A75B"/>
    <w:rsid w:val="60F30EC8"/>
    <w:rsid w:val="60FE1D35"/>
    <w:rsid w:val="61148F03"/>
    <w:rsid w:val="6125B340"/>
    <w:rsid w:val="61334767"/>
    <w:rsid w:val="614205AE"/>
    <w:rsid w:val="614F2895"/>
    <w:rsid w:val="615095E3"/>
    <w:rsid w:val="6159009E"/>
    <w:rsid w:val="61739CD9"/>
    <w:rsid w:val="6173F5DA"/>
    <w:rsid w:val="618E7050"/>
    <w:rsid w:val="619AE67F"/>
    <w:rsid w:val="61B4A2A7"/>
    <w:rsid w:val="61BD7477"/>
    <w:rsid w:val="61CB2F46"/>
    <w:rsid w:val="61DC71B0"/>
    <w:rsid w:val="620E1618"/>
    <w:rsid w:val="624C67CA"/>
    <w:rsid w:val="627DF67A"/>
    <w:rsid w:val="628CCC73"/>
    <w:rsid w:val="6293A17E"/>
    <w:rsid w:val="629E6983"/>
    <w:rsid w:val="62A2588A"/>
    <w:rsid w:val="62B9AA32"/>
    <w:rsid w:val="62C22E18"/>
    <w:rsid w:val="62D743AF"/>
    <w:rsid w:val="62DE0817"/>
    <w:rsid w:val="62E28EB9"/>
    <w:rsid w:val="62F02AF3"/>
    <w:rsid w:val="62F8C7BB"/>
    <w:rsid w:val="62FBB7FA"/>
    <w:rsid w:val="630A76C7"/>
    <w:rsid w:val="6313BA6A"/>
    <w:rsid w:val="63300F3E"/>
    <w:rsid w:val="633CEB54"/>
    <w:rsid w:val="6348EA92"/>
    <w:rsid w:val="6355FF8F"/>
    <w:rsid w:val="6358312C"/>
    <w:rsid w:val="637F834A"/>
    <w:rsid w:val="63C491FD"/>
    <w:rsid w:val="63C8BB72"/>
    <w:rsid w:val="63D8C960"/>
    <w:rsid w:val="641CAB73"/>
    <w:rsid w:val="64235A98"/>
    <w:rsid w:val="6445386D"/>
    <w:rsid w:val="645CB239"/>
    <w:rsid w:val="6485179B"/>
    <w:rsid w:val="64870C6F"/>
    <w:rsid w:val="648E4A84"/>
    <w:rsid w:val="6497F2E6"/>
    <w:rsid w:val="649A2AA9"/>
    <w:rsid w:val="64A81B14"/>
    <w:rsid w:val="64B4DD07"/>
    <w:rsid w:val="64C3BBB0"/>
    <w:rsid w:val="64C876E2"/>
    <w:rsid w:val="64D4A153"/>
    <w:rsid w:val="64F1A371"/>
    <w:rsid w:val="64FFED09"/>
    <w:rsid w:val="650133C4"/>
    <w:rsid w:val="651AD4B1"/>
    <w:rsid w:val="65268202"/>
    <w:rsid w:val="65291BD3"/>
    <w:rsid w:val="652C62B6"/>
    <w:rsid w:val="65495826"/>
    <w:rsid w:val="654B939D"/>
    <w:rsid w:val="655EE509"/>
    <w:rsid w:val="65B72B56"/>
    <w:rsid w:val="65BCBE44"/>
    <w:rsid w:val="65D044C1"/>
    <w:rsid w:val="65E17E22"/>
    <w:rsid w:val="65FA003A"/>
    <w:rsid w:val="65FAFEAA"/>
    <w:rsid w:val="6600AC43"/>
    <w:rsid w:val="66206122"/>
    <w:rsid w:val="66280658"/>
    <w:rsid w:val="66287EFD"/>
    <w:rsid w:val="662D0E00"/>
    <w:rsid w:val="66320052"/>
    <w:rsid w:val="66335258"/>
    <w:rsid w:val="6636FA87"/>
    <w:rsid w:val="663776D8"/>
    <w:rsid w:val="663A512E"/>
    <w:rsid w:val="663D6B72"/>
    <w:rsid w:val="665CAAE8"/>
    <w:rsid w:val="665DD3E6"/>
    <w:rsid w:val="6682D246"/>
    <w:rsid w:val="6687AD2A"/>
    <w:rsid w:val="66A961A2"/>
    <w:rsid w:val="66AEDC46"/>
    <w:rsid w:val="66B9C871"/>
    <w:rsid w:val="66D9BAD6"/>
    <w:rsid w:val="66F23876"/>
    <w:rsid w:val="66F32425"/>
    <w:rsid w:val="671312C5"/>
    <w:rsid w:val="6718D4B7"/>
    <w:rsid w:val="671DCE4E"/>
    <w:rsid w:val="6724903C"/>
    <w:rsid w:val="6727FC8B"/>
    <w:rsid w:val="672D0614"/>
    <w:rsid w:val="67426F4F"/>
    <w:rsid w:val="67552938"/>
    <w:rsid w:val="6783A839"/>
    <w:rsid w:val="67910A06"/>
    <w:rsid w:val="67A2F096"/>
    <w:rsid w:val="67A7199D"/>
    <w:rsid w:val="67AC16F0"/>
    <w:rsid w:val="67B4BBC7"/>
    <w:rsid w:val="67BB4634"/>
    <w:rsid w:val="67BFBFE7"/>
    <w:rsid w:val="67E394AF"/>
    <w:rsid w:val="67ED7302"/>
    <w:rsid w:val="67F1C810"/>
    <w:rsid w:val="67F329FC"/>
    <w:rsid w:val="67F85382"/>
    <w:rsid w:val="67F9E7C1"/>
    <w:rsid w:val="681146C5"/>
    <w:rsid w:val="6813B0D5"/>
    <w:rsid w:val="682EC15C"/>
    <w:rsid w:val="6830B4F5"/>
    <w:rsid w:val="683ACA7D"/>
    <w:rsid w:val="68437460"/>
    <w:rsid w:val="686368D6"/>
    <w:rsid w:val="687691CD"/>
    <w:rsid w:val="689A5160"/>
    <w:rsid w:val="68BA831A"/>
    <w:rsid w:val="68C8A167"/>
    <w:rsid w:val="68E61D8F"/>
    <w:rsid w:val="68E718DD"/>
    <w:rsid w:val="68F7559B"/>
    <w:rsid w:val="691B3428"/>
    <w:rsid w:val="6938D57F"/>
    <w:rsid w:val="693B4978"/>
    <w:rsid w:val="693ED43E"/>
    <w:rsid w:val="6981B2F5"/>
    <w:rsid w:val="6987D180"/>
    <w:rsid w:val="698FA881"/>
    <w:rsid w:val="69912520"/>
    <w:rsid w:val="69AFDFFC"/>
    <w:rsid w:val="69E35B89"/>
    <w:rsid w:val="6A04D419"/>
    <w:rsid w:val="6A229D26"/>
    <w:rsid w:val="6A3A993E"/>
    <w:rsid w:val="6A54D236"/>
    <w:rsid w:val="6A565A74"/>
    <w:rsid w:val="6A602CAA"/>
    <w:rsid w:val="6A691091"/>
    <w:rsid w:val="6A739ACF"/>
    <w:rsid w:val="6A76ADE0"/>
    <w:rsid w:val="6A7EFE28"/>
    <w:rsid w:val="6A7F0C20"/>
    <w:rsid w:val="6A83255B"/>
    <w:rsid w:val="6A85C027"/>
    <w:rsid w:val="6A931BB2"/>
    <w:rsid w:val="6A93B6F4"/>
    <w:rsid w:val="6AB23938"/>
    <w:rsid w:val="6ABE08A5"/>
    <w:rsid w:val="6ACBC108"/>
    <w:rsid w:val="6ACF58B4"/>
    <w:rsid w:val="6AD26DE4"/>
    <w:rsid w:val="6AE031F4"/>
    <w:rsid w:val="6AE7A3EE"/>
    <w:rsid w:val="6AEBA995"/>
    <w:rsid w:val="6B0A2E97"/>
    <w:rsid w:val="6B11740C"/>
    <w:rsid w:val="6B14BB79"/>
    <w:rsid w:val="6B3C7342"/>
    <w:rsid w:val="6B46DC8B"/>
    <w:rsid w:val="6B5AF60F"/>
    <w:rsid w:val="6B62C571"/>
    <w:rsid w:val="6B762732"/>
    <w:rsid w:val="6B7B0C01"/>
    <w:rsid w:val="6B93D6F6"/>
    <w:rsid w:val="6BB521D9"/>
    <w:rsid w:val="6BC1B7E4"/>
    <w:rsid w:val="6BD51170"/>
    <w:rsid w:val="6BF277D0"/>
    <w:rsid w:val="6C0A06C1"/>
    <w:rsid w:val="6C2405AD"/>
    <w:rsid w:val="6C2894E0"/>
    <w:rsid w:val="6C2F5EF1"/>
    <w:rsid w:val="6C479805"/>
    <w:rsid w:val="6C515A06"/>
    <w:rsid w:val="6C522A6D"/>
    <w:rsid w:val="6C6FE235"/>
    <w:rsid w:val="6C820384"/>
    <w:rsid w:val="6C82E6FE"/>
    <w:rsid w:val="6C91210D"/>
    <w:rsid w:val="6C94663F"/>
    <w:rsid w:val="6CB96A66"/>
    <w:rsid w:val="6CC63842"/>
    <w:rsid w:val="6CC63A4F"/>
    <w:rsid w:val="6CCA8CA9"/>
    <w:rsid w:val="6CD0E75B"/>
    <w:rsid w:val="6CD59A85"/>
    <w:rsid w:val="6CDC56DD"/>
    <w:rsid w:val="6D11C055"/>
    <w:rsid w:val="6D17F16D"/>
    <w:rsid w:val="6D1F9365"/>
    <w:rsid w:val="6D236C5B"/>
    <w:rsid w:val="6D23AB2C"/>
    <w:rsid w:val="6D28EB96"/>
    <w:rsid w:val="6D37D716"/>
    <w:rsid w:val="6D4BB3F7"/>
    <w:rsid w:val="6D4E1444"/>
    <w:rsid w:val="6D55B2B8"/>
    <w:rsid w:val="6D56E0B0"/>
    <w:rsid w:val="6D6CBC8D"/>
    <w:rsid w:val="6D73BF61"/>
    <w:rsid w:val="6D886D85"/>
    <w:rsid w:val="6D952E3C"/>
    <w:rsid w:val="6D96E508"/>
    <w:rsid w:val="6D9D79E0"/>
    <w:rsid w:val="6DA02567"/>
    <w:rsid w:val="6DA5ABF1"/>
    <w:rsid w:val="6DA7778C"/>
    <w:rsid w:val="6DA91A78"/>
    <w:rsid w:val="6DB34396"/>
    <w:rsid w:val="6DB466E1"/>
    <w:rsid w:val="6DB6A777"/>
    <w:rsid w:val="6DE23C41"/>
    <w:rsid w:val="6DE9BC4E"/>
    <w:rsid w:val="6DF82DFB"/>
    <w:rsid w:val="6E131605"/>
    <w:rsid w:val="6E34F5E7"/>
    <w:rsid w:val="6E517EE2"/>
    <w:rsid w:val="6E5A079D"/>
    <w:rsid w:val="6E7348B4"/>
    <w:rsid w:val="6E91227C"/>
    <w:rsid w:val="6E958569"/>
    <w:rsid w:val="6E96DE38"/>
    <w:rsid w:val="6EAF077D"/>
    <w:rsid w:val="6EBCE90C"/>
    <w:rsid w:val="6EBE9EE8"/>
    <w:rsid w:val="6ECB942D"/>
    <w:rsid w:val="6ECD762B"/>
    <w:rsid w:val="6EF2C404"/>
    <w:rsid w:val="6F0E5896"/>
    <w:rsid w:val="6F11E56E"/>
    <w:rsid w:val="6F21BA6E"/>
    <w:rsid w:val="6F2AE3FD"/>
    <w:rsid w:val="6F2F0167"/>
    <w:rsid w:val="6F44F188"/>
    <w:rsid w:val="6F5D9ACE"/>
    <w:rsid w:val="6F84989E"/>
    <w:rsid w:val="6F95B789"/>
    <w:rsid w:val="6F9BEADD"/>
    <w:rsid w:val="6FA1F93C"/>
    <w:rsid w:val="6FABB631"/>
    <w:rsid w:val="6FBE2AF6"/>
    <w:rsid w:val="6FC6B262"/>
    <w:rsid w:val="6FCF2272"/>
    <w:rsid w:val="6FD159CE"/>
    <w:rsid w:val="6FE2D475"/>
    <w:rsid w:val="6FE75E7C"/>
    <w:rsid w:val="6FF6ACA7"/>
    <w:rsid w:val="700335D9"/>
    <w:rsid w:val="701109B2"/>
    <w:rsid w:val="701F8CAE"/>
    <w:rsid w:val="7024415B"/>
    <w:rsid w:val="7026F513"/>
    <w:rsid w:val="7029A0B3"/>
    <w:rsid w:val="702C213D"/>
    <w:rsid w:val="70445CBC"/>
    <w:rsid w:val="706BAAA9"/>
    <w:rsid w:val="708B4D79"/>
    <w:rsid w:val="709133E5"/>
    <w:rsid w:val="71185697"/>
    <w:rsid w:val="71208DE9"/>
    <w:rsid w:val="712549AC"/>
    <w:rsid w:val="712C3A71"/>
    <w:rsid w:val="7130C43F"/>
    <w:rsid w:val="713128F7"/>
    <w:rsid w:val="71558CFA"/>
    <w:rsid w:val="715A3430"/>
    <w:rsid w:val="715C70F0"/>
    <w:rsid w:val="715DBF42"/>
    <w:rsid w:val="715DFADA"/>
    <w:rsid w:val="7176B418"/>
    <w:rsid w:val="718248AE"/>
    <w:rsid w:val="71A0F37A"/>
    <w:rsid w:val="71A8A6CA"/>
    <w:rsid w:val="71AD5C11"/>
    <w:rsid w:val="71AF1214"/>
    <w:rsid w:val="71C399BD"/>
    <w:rsid w:val="71CC328C"/>
    <w:rsid w:val="71E620FA"/>
    <w:rsid w:val="72038E5E"/>
    <w:rsid w:val="720CA6D9"/>
    <w:rsid w:val="720FE8E6"/>
    <w:rsid w:val="7215F822"/>
    <w:rsid w:val="721E5AC9"/>
    <w:rsid w:val="72276BAE"/>
    <w:rsid w:val="722B0AD0"/>
    <w:rsid w:val="723B8CE6"/>
    <w:rsid w:val="7242891F"/>
    <w:rsid w:val="725C00D9"/>
    <w:rsid w:val="72622913"/>
    <w:rsid w:val="72632279"/>
    <w:rsid w:val="728F5098"/>
    <w:rsid w:val="72B41F73"/>
    <w:rsid w:val="72C6C14B"/>
    <w:rsid w:val="72CA5AF9"/>
    <w:rsid w:val="72D5C73D"/>
    <w:rsid w:val="72E5FE63"/>
    <w:rsid w:val="72E8CFD6"/>
    <w:rsid w:val="72EE7160"/>
    <w:rsid w:val="72F6A6DE"/>
    <w:rsid w:val="7301F467"/>
    <w:rsid w:val="73030338"/>
    <w:rsid w:val="730C4BAD"/>
    <w:rsid w:val="7316DB11"/>
    <w:rsid w:val="732DACBC"/>
    <w:rsid w:val="733C4704"/>
    <w:rsid w:val="733F6F50"/>
    <w:rsid w:val="734EB4A7"/>
    <w:rsid w:val="73764DE1"/>
    <w:rsid w:val="737C6AF8"/>
    <w:rsid w:val="737FC43D"/>
    <w:rsid w:val="739379B3"/>
    <w:rsid w:val="7394C092"/>
    <w:rsid w:val="73A5FF7C"/>
    <w:rsid w:val="73D3813E"/>
    <w:rsid w:val="73D6A27F"/>
    <w:rsid w:val="741710DA"/>
    <w:rsid w:val="741E8896"/>
    <w:rsid w:val="7462CBC3"/>
    <w:rsid w:val="74685540"/>
    <w:rsid w:val="74705A3E"/>
    <w:rsid w:val="749E38A1"/>
    <w:rsid w:val="74DAB402"/>
    <w:rsid w:val="74DF84EA"/>
    <w:rsid w:val="75178337"/>
    <w:rsid w:val="7554E6EE"/>
    <w:rsid w:val="75693E22"/>
    <w:rsid w:val="756E6D0F"/>
    <w:rsid w:val="75816AB0"/>
    <w:rsid w:val="75A4A5A9"/>
    <w:rsid w:val="75A9C8D0"/>
    <w:rsid w:val="75B139DC"/>
    <w:rsid w:val="75C01BB5"/>
    <w:rsid w:val="75C622BD"/>
    <w:rsid w:val="75D6A8F6"/>
    <w:rsid w:val="75ECD0BB"/>
    <w:rsid w:val="75F50ADC"/>
    <w:rsid w:val="760DA04D"/>
    <w:rsid w:val="7614129D"/>
    <w:rsid w:val="763312DC"/>
    <w:rsid w:val="7634B77C"/>
    <w:rsid w:val="763C4E9C"/>
    <w:rsid w:val="76445F52"/>
    <w:rsid w:val="7647843B"/>
    <w:rsid w:val="7656C386"/>
    <w:rsid w:val="765F2E29"/>
    <w:rsid w:val="766007C8"/>
    <w:rsid w:val="766057D8"/>
    <w:rsid w:val="766B9532"/>
    <w:rsid w:val="7670996B"/>
    <w:rsid w:val="76790A19"/>
    <w:rsid w:val="7680AC17"/>
    <w:rsid w:val="76833FD0"/>
    <w:rsid w:val="7684D008"/>
    <w:rsid w:val="768D590C"/>
    <w:rsid w:val="769E0B10"/>
    <w:rsid w:val="76A996BA"/>
    <w:rsid w:val="76B26B28"/>
    <w:rsid w:val="76B487D2"/>
    <w:rsid w:val="76B7C567"/>
    <w:rsid w:val="76DBECD9"/>
    <w:rsid w:val="7704EF9D"/>
    <w:rsid w:val="771FFA28"/>
    <w:rsid w:val="774F55DE"/>
    <w:rsid w:val="77600AD6"/>
    <w:rsid w:val="779A1B21"/>
    <w:rsid w:val="779B38A6"/>
    <w:rsid w:val="77B61D90"/>
    <w:rsid w:val="77C0F08F"/>
    <w:rsid w:val="77CF21D8"/>
    <w:rsid w:val="77DAB878"/>
    <w:rsid w:val="7803A1C8"/>
    <w:rsid w:val="781B3D2A"/>
    <w:rsid w:val="7827F5E3"/>
    <w:rsid w:val="7839FD7F"/>
    <w:rsid w:val="7844523A"/>
    <w:rsid w:val="784EC9EE"/>
    <w:rsid w:val="78567B6B"/>
    <w:rsid w:val="7858E4D2"/>
    <w:rsid w:val="786DD929"/>
    <w:rsid w:val="787ED98A"/>
    <w:rsid w:val="78A71BE7"/>
    <w:rsid w:val="78A94577"/>
    <w:rsid w:val="78B7AF04"/>
    <w:rsid w:val="78C8078D"/>
    <w:rsid w:val="78CC27B4"/>
    <w:rsid w:val="78CD64B4"/>
    <w:rsid w:val="78DAE288"/>
    <w:rsid w:val="78ED3A5A"/>
    <w:rsid w:val="78EE7B44"/>
    <w:rsid w:val="7902A65E"/>
    <w:rsid w:val="7908320F"/>
    <w:rsid w:val="79157E29"/>
    <w:rsid w:val="792018C6"/>
    <w:rsid w:val="792254CF"/>
    <w:rsid w:val="793BAE6C"/>
    <w:rsid w:val="7953AC80"/>
    <w:rsid w:val="79625C31"/>
    <w:rsid w:val="796F3EBC"/>
    <w:rsid w:val="7997746D"/>
    <w:rsid w:val="79B92DEE"/>
    <w:rsid w:val="79BC526C"/>
    <w:rsid w:val="79C7957F"/>
    <w:rsid w:val="79CA3080"/>
    <w:rsid w:val="79CADA0F"/>
    <w:rsid w:val="79CC9421"/>
    <w:rsid w:val="79CE3FE6"/>
    <w:rsid w:val="79D3FD0E"/>
    <w:rsid w:val="79D90244"/>
    <w:rsid w:val="79DAD295"/>
    <w:rsid w:val="79DC38CD"/>
    <w:rsid w:val="79E303FA"/>
    <w:rsid w:val="79FDA283"/>
    <w:rsid w:val="7A0789D7"/>
    <w:rsid w:val="7A4A20BF"/>
    <w:rsid w:val="7A548975"/>
    <w:rsid w:val="7A5E47E0"/>
    <w:rsid w:val="7A64E73C"/>
    <w:rsid w:val="7A784D37"/>
    <w:rsid w:val="7A84EF57"/>
    <w:rsid w:val="7A9A8831"/>
    <w:rsid w:val="7B152505"/>
    <w:rsid w:val="7B2C8CD5"/>
    <w:rsid w:val="7B2F48CA"/>
    <w:rsid w:val="7B827813"/>
    <w:rsid w:val="7B8884D1"/>
    <w:rsid w:val="7B89C731"/>
    <w:rsid w:val="7B93DE60"/>
    <w:rsid w:val="7BA518AF"/>
    <w:rsid w:val="7BAA5BB8"/>
    <w:rsid w:val="7BB1AB2B"/>
    <w:rsid w:val="7BCAE25E"/>
    <w:rsid w:val="7BD09528"/>
    <w:rsid w:val="7C0763B6"/>
    <w:rsid w:val="7C08A8CD"/>
    <w:rsid w:val="7C0F1DB2"/>
    <w:rsid w:val="7C0F95BA"/>
    <w:rsid w:val="7C0FC7D4"/>
    <w:rsid w:val="7C1C84BB"/>
    <w:rsid w:val="7C376D35"/>
    <w:rsid w:val="7C3D4572"/>
    <w:rsid w:val="7C460153"/>
    <w:rsid w:val="7C64585D"/>
    <w:rsid w:val="7C66ECE1"/>
    <w:rsid w:val="7C8DA6B7"/>
    <w:rsid w:val="7CA3B964"/>
    <w:rsid w:val="7CA9552E"/>
    <w:rsid w:val="7CB871A0"/>
    <w:rsid w:val="7CBFE230"/>
    <w:rsid w:val="7CC446BC"/>
    <w:rsid w:val="7CC91C0A"/>
    <w:rsid w:val="7CD49796"/>
    <w:rsid w:val="7CEBA185"/>
    <w:rsid w:val="7CF0279B"/>
    <w:rsid w:val="7D1FF663"/>
    <w:rsid w:val="7D2C509F"/>
    <w:rsid w:val="7D4FF309"/>
    <w:rsid w:val="7D540799"/>
    <w:rsid w:val="7D6013F0"/>
    <w:rsid w:val="7D6125CA"/>
    <w:rsid w:val="7D6E777D"/>
    <w:rsid w:val="7D7805A5"/>
    <w:rsid w:val="7D7CC511"/>
    <w:rsid w:val="7D8EBD86"/>
    <w:rsid w:val="7DB67349"/>
    <w:rsid w:val="7DBA40DB"/>
    <w:rsid w:val="7DD79737"/>
    <w:rsid w:val="7DDC019D"/>
    <w:rsid w:val="7DE00FF5"/>
    <w:rsid w:val="7DE8E92E"/>
    <w:rsid w:val="7DF5E8CA"/>
    <w:rsid w:val="7DFCBF8E"/>
    <w:rsid w:val="7DFDC537"/>
    <w:rsid w:val="7E16A6C9"/>
    <w:rsid w:val="7E1C6A14"/>
    <w:rsid w:val="7E1E3DD0"/>
    <w:rsid w:val="7E26CDB8"/>
    <w:rsid w:val="7E317697"/>
    <w:rsid w:val="7E419EC0"/>
    <w:rsid w:val="7E600FB1"/>
    <w:rsid w:val="7E635379"/>
    <w:rsid w:val="7E658F69"/>
    <w:rsid w:val="7E737159"/>
    <w:rsid w:val="7E775919"/>
    <w:rsid w:val="7E8292B7"/>
    <w:rsid w:val="7E8F575D"/>
    <w:rsid w:val="7E9D9593"/>
    <w:rsid w:val="7EC5557E"/>
    <w:rsid w:val="7EFF2881"/>
    <w:rsid w:val="7F05128C"/>
    <w:rsid w:val="7F2AC990"/>
    <w:rsid w:val="7F343892"/>
    <w:rsid w:val="7F35249E"/>
    <w:rsid w:val="7F369FD5"/>
    <w:rsid w:val="7F692E4A"/>
    <w:rsid w:val="7F74D82F"/>
    <w:rsid w:val="7F7E8B75"/>
    <w:rsid w:val="7F8C0557"/>
    <w:rsid w:val="7FA175E6"/>
    <w:rsid w:val="7FCC8952"/>
    <w:rsid w:val="7FF1248C"/>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EA84A"/>
  <w15:docId w15:val="{B24134C4-C2DA-4006-9318-FA2F40D1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CE8"/>
    <w:rPr>
      <w:rFonts w:ascii="Cambria" w:hAnsi="Cambria"/>
      <w:lang w:eastAsia="en-US"/>
    </w:rPr>
  </w:style>
  <w:style w:type="paragraph" w:styleId="Heading1">
    <w:name w:val="heading 1"/>
    <w:next w:val="DJCSbody"/>
    <w:link w:val="Heading1Char"/>
    <w:uiPriority w:val="1"/>
    <w:qFormat/>
    <w:rsid w:val="00BE6A62"/>
    <w:pPr>
      <w:keepNext/>
      <w:keepLines/>
      <w:numPr>
        <w:numId w:val="96"/>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1"/>
    <w:qFormat/>
    <w:rsid w:val="00BE6A62"/>
    <w:pPr>
      <w:keepNext/>
      <w:keepLines/>
      <w:numPr>
        <w:ilvl w:val="1"/>
        <w:numId w:val="96"/>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1"/>
    <w:unhideWhenUsed/>
    <w:qFormat/>
    <w:rsid w:val="00BE6A62"/>
    <w:pPr>
      <w:keepNext/>
      <w:keepLines/>
      <w:numPr>
        <w:ilvl w:val="2"/>
        <w:numId w:val="96"/>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CSbody"/>
    <w:link w:val="Heading4Char"/>
    <w:uiPriority w:val="1"/>
    <w:unhideWhenUsed/>
    <w:qFormat/>
    <w:rsid w:val="00BE6A62"/>
    <w:pPr>
      <w:keepNext/>
      <w:keepLines/>
      <w:spacing w:before="240" w:after="120" w:line="240" w:lineRule="atLeast"/>
      <w:ind w:left="851"/>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E6A62"/>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BE6A62"/>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BE6A62"/>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BE6A62"/>
    <w:rPr>
      <w:rFonts w:ascii="Arial" w:eastAsia="MS Mincho" w:hAnsi="Arial" w:cstheme="majorBidi"/>
      <w:b/>
      <w:bCs/>
      <w:color w:val="16145F" w:themeColor="accent3"/>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35669D"/>
    <w:pPr>
      <w:spacing w:after="120" w:line="380" w:lineRule="atLeast"/>
    </w:pPr>
    <w:rPr>
      <w:rFonts w:ascii="Arial" w:hAnsi="Arial"/>
      <w:color w:val="FFFFFF" w:themeColor="background1"/>
      <w:sz w:val="32"/>
      <w:szCs w:val="30"/>
    </w:rPr>
  </w:style>
  <w:style w:type="paragraph" w:styleId="FootnoteText">
    <w:name w:val="footnote text"/>
    <w:aliases w:val="AR 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35669D"/>
    <w:pPr>
      <w:keepLines/>
      <w:spacing w:after="240" w:line="580" w:lineRule="atLeast"/>
    </w:pPr>
    <w:rPr>
      <w:rFonts w:ascii="Arial" w:hAnsi="Arial"/>
      <w:b/>
      <w:bCs/>
      <w:color w:val="FFFFFF" w:themeColor="background1"/>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CSTOCheadingreportChar">
    <w:name w:val="DJCS TOC heading report Char"/>
    <w:link w:val="DJCS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A45777"/>
    <w:pPr>
      <w:spacing w:before="120" w:after="120" w:line="250" w:lineRule="atLeast"/>
      <w:ind w:left="851"/>
      <w:jc w:val="both"/>
    </w:pPr>
    <w:rPr>
      <w:rFonts w:ascii="Arial" w:eastAsia="Times" w:hAnsi="Arial"/>
      <w:sz w:val="22"/>
      <w:lang w:eastAsia="en-US"/>
    </w:rPr>
  </w:style>
  <w:style w:type="paragraph" w:customStyle="1" w:styleId="DJCSlist-bulletlevel1">
    <w:name w:val="DJCS list - bullet level 1"/>
    <w:basedOn w:val="DJCSbody"/>
    <w:qFormat/>
    <w:rsid w:val="00E476DA"/>
    <w:pPr>
      <w:numPr>
        <w:numId w:val="19"/>
      </w:numPr>
      <w:spacing w:after="40"/>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8"/>
      </w:numPr>
      <w:spacing w:after="40"/>
    </w:pPr>
  </w:style>
  <w:style w:type="paragraph" w:customStyle="1" w:styleId="DJCSbodyafterbullets">
    <w:name w:val="DJCS body after bullets"/>
    <w:basedOn w:val="DJCSbody"/>
    <w:uiPriority w:val="11"/>
    <w:rsid w:val="00BE6A62"/>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6"/>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aliases w:val="AR 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style>
  <w:style w:type="table" w:customStyle="1" w:styleId="DJRReporttablestyleNavy">
    <w:name w:val="DJR Report table style Navy"/>
    <w:basedOn w:val="TableNormal"/>
    <w:uiPriority w:val="99"/>
    <w:rsid w:val="00BE6A62"/>
    <w:pPr>
      <w:spacing w:before="80" w:after="60"/>
    </w:pPr>
    <w:rPr>
      <w:rFonts w:ascii="Arial" w:hAnsi="Arial"/>
    </w:rPr>
    <w:tblPr/>
    <w:tblStylePr w:type="firstRow">
      <w:rPr>
        <w:rFonts w:ascii="Arial" w:hAnsi="Arial"/>
        <w:b/>
        <w:sz w:val="22"/>
      </w:r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216CE8"/>
    <w:pPr>
      <w:spacing w:before="160" w:after="120"/>
      <w:ind w:left="851"/>
    </w:pPr>
    <w:rPr>
      <w:rFonts w:ascii="Arial" w:hAnsi="Arial"/>
      <w:b/>
      <w:color w:val="16145F" w:themeColor="accent3"/>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216CE8"/>
    <w:pPr>
      <w:spacing w:before="60" w:after="60"/>
    </w:pPr>
    <w:rPr>
      <w:i/>
      <w:vanish/>
      <w:color w:val="00B0F0"/>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A45777"/>
    <w:rPr>
      <w:rFonts w:ascii="Arial" w:eastAsia="Times" w:hAnsi="Arial"/>
      <w:sz w:val="22"/>
      <w:lang w:eastAsia="en-US"/>
    </w:rPr>
  </w:style>
  <w:style w:type="character" w:customStyle="1" w:styleId="DJCSguidancetextChar">
    <w:name w:val="DJCS guidance text Char"/>
    <w:basedOn w:val="DJCSbodyChar"/>
    <w:link w:val="DJCSguidancetext"/>
    <w:rsid w:val="00216CE8"/>
    <w:rPr>
      <w:rFonts w:ascii="Arial" w:eastAsia="Times" w:hAnsi="Arial"/>
      <w:i/>
      <w:vanish/>
      <w:color w:val="00B0F0"/>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character" w:styleId="CommentReference">
    <w:name w:val="annotation reference"/>
    <w:basedOn w:val="DefaultParagraphFont"/>
    <w:uiPriority w:val="99"/>
    <w:unhideWhenUsed/>
    <w:rsid w:val="00263278"/>
    <w:rPr>
      <w:sz w:val="16"/>
      <w:szCs w:val="16"/>
    </w:rPr>
  </w:style>
  <w:style w:type="paragraph" w:styleId="CommentText">
    <w:name w:val="annotation text"/>
    <w:basedOn w:val="Normal"/>
    <w:link w:val="CommentTextChar"/>
    <w:uiPriority w:val="99"/>
    <w:unhideWhenUsed/>
    <w:rsid w:val="004E5ECD"/>
    <w:rPr>
      <w:rFonts w:asciiTheme="minorHAnsi" w:hAnsiTheme="minorHAnsi"/>
      <w:lang w:eastAsia="en-AU"/>
    </w:rPr>
  </w:style>
  <w:style w:type="character" w:customStyle="1" w:styleId="CommentTextChar">
    <w:name w:val="Comment Text Char"/>
    <w:basedOn w:val="DefaultParagraphFont"/>
    <w:link w:val="CommentText"/>
    <w:uiPriority w:val="99"/>
    <w:rsid w:val="00263278"/>
    <w:rPr>
      <w:rFonts w:asciiTheme="minorHAnsi" w:hAnsiTheme="minorHAnsi"/>
    </w:rPr>
  </w:style>
  <w:style w:type="paragraph" w:customStyle="1" w:styleId="Bullet1">
    <w:name w:val="Bullet 1"/>
    <w:basedOn w:val="ListParagraph"/>
    <w:qFormat/>
    <w:rsid w:val="00263278"/>
    <w:pPr>
      <w:numPr>
        <w:numId w:val="17"/>
      </w:numPr>
      <w:spacing w:after="120" w:line="280" w:lineRule="atLeast"/>
      <w:ind w:left="680" w:hanging="680"/>
      <w:jc w:val="both"/>
    </w:pPr>
    <w:rPr>
      <w:rFonts w:asciiTheme="minorHAnsi" w:eastAsia="Courier New" w:hAnsiTheme="minorHAnsi" w:cstheme="minorHAnsi"/>
      <w:sz w:val="22"/>
      <w:szCs w:val="22"/>
    </w:rPr>
  </w:style>
  <w:style w:type="paragraph" w:styleId="ListParagraph">
    <w:name w:val="List Paragraph"/>
    <w:basedOn w:val="Normal"/>
    <w:uiPriority w:val="72"/>
    <w:qFormat/>
    <w:rsid w:val="00263278"/>
    <w:pPr>
      <w:ind w:left="720"/>
      <w:contextualSpacing/>
    </w:pPr>
  </w:style>
  <w:style w:type="paragraph" w:customStyle="1" w:styleId="DJCSbullet1">
    <w:name w:val="DJCS bullet 1"/>
    <w:basedOn w:val="DJCSbody"/>
    <w:qFormat/>
    <w:rsid w:val="00263278"/>
    <w:pPr>
      <w:spacing w:after="40"/>
      <w:ind w:left="284" w:hanging="284"/>
    </w:pPr>
  </w:style>
  <w:style w:type="paragraph" w:customStyle="1" w:styleId="DJCSbullet2">
    <w:name w:val="DJCS bullet 2"/>
    <w:basedOn w:val="DJCSbody"/>
    <w:uiPriority w:val="2"/>
    <w:rsid w:val="00263278"/>
    <w:pPr>
      <w:spacing w:after="40"/>
      <w:ind w:left="567" w:hanging="283"/>
    </w:pPr>
  </w:style>
  <w:style w:type="character" w:styleId="FootnoteReference">
    <w:name w:val="footnote reference"/>
    <w:aliases w:val="(NECG) Footnote Reference"/>
    <w:basedOn w:val="DefaultParagraphFont"/>
    <w:uiPriority w:val="99"/>
    <w:unhideWhenUsed/>
    <w:rsid w:val="00263278"/>
    <w:rPr>
      <w:vertAlign w:val="superscript"/>
    </w:rPr>
  </w:style>
  <w:style w:type="paragraph" w:customStyle="1" w:styleId="Body">
    <w:name w:val="Body"/>
    <w:link w:val="BodyChar"/>
    <w:qFormat/>
    <w:rsid w:val="00263278"/>
    <w:pPr>
      <w:spacing w:after="120" w:line="280" w:lineRule="atLeast"/>
      <w:jc w:val="both"/>
    </w:pPr>
    <w:rPr>
      <w:rFonts w:asciiTheme="minorHAnsi" w:eastAsia="Lucida Grande" w:hAnsiTheme="minorHAnsi" w:cstheme="minorHAnsi"/>
      <w:sz w:val="22"/>
      <w:szCs w:val="22"/>
      <w:lang w:eastAsia="en-US"/>
    </w:rPr>
  </w:style>
  <w:style w:type="character" w:customStyle="1" w:styleId="BodyChar">
    <w:name w:val="Body Char"/>
    <w:basedOn w:val="DefaultParagraphFont"/>
    <w:link w:val="Body"/>
    <w:rsid w:val="00263278"/>
    <w:rPr>
      <w:rFonts w:asciiTheme="minorHAnsi" w:eastAsia="Lucida Grande" w:hAnsiTheme="minorHAnsi" w:cstheme="minorHAnsi"/>
      <w:sz w:val="22"/>
      <w:szCs w:val="22"/>
      <w:lang w:eastAsia="en-US"/>
    </w:rPr>
  </w:style>
  <w:style w:type="paragraph" w:customStyle="1" w:styleId="BodyTextkeepwithnext">
    <w:name w:val="Body Textkeepwithnext"/>
    <w:basedOn w:val="Body"/>
    <w:qFormat/>
    <w:rsid w:val="00263278"/>
    <w:pPr>
      <w:keepNext/>
    </w:pPr>
  </w:style>
  <w:style w:type="paragraph" w:customStyle="1" w:styleId="Tabletext">
    <w:name w:val="Table text"/>
    <w:uiPriority w:val="3"/>
    <w:qFormat/>
    <w:rsid w:val="00F13901"/>
    <w:pPr>
      <w:spacing w:before="80" w:after="60"/>
    </w:pPr>
    <w:rPr>
      <w:rFonts w:ascii="Arial" w:eastAsia="Cambria Math" w:hAnsi="Arial" w:cs="Cambria Math"/>
      <w:lang w:eastAsia="en-US"/>
    </w:rPr>
  </w:style>
  <w:style w:type="paragraph" w:customStyle="1" w:styleId="TableHeading2">
    <w:name w:val="TableHeading2"/>
    <w:basedOn w:val="Normal"/>
    <w:qFormat/>
    <w:rsid w:val="00F13901"/>
    <w:pPr>
      <w:spacing w:before="80" w:after="80"/>
    </w:pPr>
    <w:rPr>
      <w:rFonts w:asciiTheme="minorHAnsi" w:eastAsia="Lucida Grande" w:hAnsiTheme="minorHAnsi" w:cstheme="minorHAnsi"/>
      <w:b/>
      <w:bCs/>
    </w:rPr>
  </w:style>
  <w:style w:type="paragraph" w:customStyle="1" w:styleId="DJCSbulletafternumbers1">
    <w:name w:val="DJCS bullet after numbers 1"/>
    <w:basedOn w:val="DJCSbody"/>
    <w:uiPriority w:val="4"/>
    <w:rsid w:val="00F13901"/>
    <w:pPr>
      <w:ind w:left="624" w:hanging="227"/>
    </w:pPr>
  </w:style>
  <w:style w:type="paragraph" w:customStyle="1" w:styleId="DJCSnumberdigitindent">
    <w:name w:val="DJCS number digit indent"/>
    <w:basedOn w:val="Normal"/>
    <w:uiPriority w:val="3"/>
    <w:rsid w:val="00F13901"/>
    <w:pPr>
      <w:tabs>
        <w:tab w:val="num" w:pos="794"/>
      </w:tabs>
      <w:spacing w:after="120" w:line="250" w:lineRule="atLeast"/>
      <w:ind w:left="794" w:hanging="397"/>
    </w:pPr>
    <w:rPr>
      <w:rFonts w:ascii="Arial" w:eastAsia="Times" w:hAnsi="Arial"/>
      <w:sz w:val="22"/>
    </w:rPr>
  </w:style>
  <w:style w:type="paragraph" w:customStyle="1" w:styleId="DJCSbulletafternumbers2">
    <w:name w:val="DJCS bullet after numbers 2"/>
    <w:basedOn w:val="DJCSbody"/>
    <w:rsid w:val="00F13901"/>
    <w:pPr>
      <w:ind w:left="964" w:hanging="284"/>
    </w:pPr>
  </w:style>
  <w:style w:type="character" w:styleId="Mention">
    <w:name w:val="Mention"/>
    <w:basedOn w:val="DefaultParagraphFont"/>
    <w:uiPriority w:val="99"/>
    <w:unhideWhenUsed/>
    <w:rsid w:val="001816E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F4828"/>
    <w:rPr>
      <w:rFonts w:ascii="Cambria" w:hAnsi="Cambria"/>
      <w:b/>
      <w:bCs/>
      <w:lang w:eastAsia="en-US"/>
    </w:rPr>
  </w:style>
  <w:style w:type="character" w:customStyle="1" w:styleId="CommentSubjectChar">
    <w:name w:val="Comment Subject Char"/>
    <w:basedOn w:val="CommentTextChar"/>
    <w:link w:val="CommentSubject"/>
    <w:uiPriority w:val="99"/>
    <w:semiHidden/>
    <w:rsid w:val="003F4828"/>
    <w:rPr>
      <w:rFonts w:ascii="Cambria" w:hAnsi="Cambria"/>
      <w:b/>
      <w:bCs/>
      <w:lang w:eastAsia="en-US"/>
    </w:rPr>
  </w:style>
  <w:style w:type="paragraph" w:customStyle="1" w:styleId="DJCStablecolheadwhite">
    <w:name w:val="DJCS table col head white"/>
    <w:basedOn w:val="Normal"/>
    <w:uiPriority w:val="11"/>
    <w:qFormat/>
    <w:rsid w:val="00D619F2"/>
    <w:pPr>
      <w:spacing w:before="80" w:after="60"/>
    </w:pPr>
    <w:rPr>
      <w:rFonts w:ascii="Arial" w:hAnsi="Arial"/>
      <w:b/>
      <w:color w:val="FFFFFF" w:themeColor="background1"/>
      <w:sz w:val="22"/>
    </w:rPr>
  </w:style>
  <w:style w:type="character" w:styleId="UnresolvedMention">
    <w:name w:val="Unresolved Mention"/>
    <w:basedOn w:val="DefaultParagraphFont"/>
    <w:uiPriority w:val="99"/>
    <w:unhideWhenUsed/>
    <w:rsid w:val="00463659"/>
    <w:rPr>
      <w:color w:val="605E5C"/>
      <w:shd w:val="clear" w:color="auto" w:fill="E1DFDD"/>
    </w:rPr>
  </w:style>
  <w:style w:type="paragraph" w:styleId="Revision">
    <w:name w:val="Revision"/>
    <w:hidden/>
    <w:uiPriority w:val="71"/>
    <w:semiHidden/>
    <w:rsid w:val="005772BD"/>
    <w:rPr>
      <w:rFonts w:ascii="Cambria" w:hAnsi="Cambria"/>
      <w:lang w:eastAsia="en-US"/>
    </w:rPr>
  </w:style>
  <w:style w:type="paragraph" w:customStyle="1" w:styleId="DJRbullet2">
    <w:name w:val="DJR bullet 2"/>
    <w:basedOn w:val="DJCSbody"/>
    <w:uiPriority w:val="2"/>
    <w:qFormat/>
    <w:rsid w:val="00121367"/>
    <w:pPr>
      <w:spacing w:after="40"/>
      <w:ind w:left="567" w:hanging="283"/>
    </w:pPr>
  </w:style>
  <w:style w:type="paragraph" w:customStyle="1" w:styleId="AmendHeading1s">
    <w:name w:val="Amend. Heading 1s"/>
    <w:basedOn w:val="Normal"/>
    <w:next w:val="Normal"/>
    <w:rsid w:val="00121367"/>
    <w:pPr>
      <w:overflowPunct w:val="0"/>
      <w:autoSpaceDE w:val="0"/>
      <w:autoSpaceDN w:val="0"/>
      <w:adjustRightInd w:val="0"/>
      <w:spacing w:before="120"/>
      <w:textAlignment w:val="baseline"/>
    </w:pPr>
    <w:rPr>
      <w:rFonts w:ascii="Times New Roman" w:hAnsi="Times New Roman"/>
      <w:b/>
      <w:sz w:val="24"/>
    </w:rPr>
  </w:style>
  <w:style w:type="paragraph" w:customStyle="1" w:styleId="xmsonormal">
    <w:name w:val="x_msonormal"/>
    <w:basedOn w:val="Normal"/>
    <w:rsid w:val="00996667"/>
    <w:pPr>
      <w:spacing w:before="100" w:beforeAutospacing="1" w:after="100" w:afterAutospacing="1"/>
    </w:pPr>
    <w:rPr>
      <w:rFonts w:ascii="Times New Roman" w:hAnsi="Times New Roman"/>
      <w:sz w:val="24"/>
      <w:szCs w:val="24"/>
      <w:lang w:eastAsia="en-AU"/>
    </w:rPr>
  </w:style>
  <w:style w:type="paragraph" w:customStyle="1" w:styleId="Tablebullet2">
    <w:name w:val="Table bullet 2"/>
    <w:basedOn w:val="Normal"/>
    <w:uiPriority w:val="11"/>
    <w:rsid w:val="00D04E9B"/>
    <w:pPr>
      <w:tabs>
        <w:tab w:val="num" w:pos="227"/>
      </w:tabs>
      <w:spacing w:before="80" w:after="60"/>
      <w:ind w:left="454" w:hanging="227"/>
    </w:pPr>
    <w:rPr>
      <w:rFonts w:ascii="Arial" w:eastAsia="Cambria Math" w:hAnsi="Arial" w:cs="Cambria Math"/>
    </w:rPr>
  </w:style>
  <w:style w:type="paragraph" w:customStyle="1" w:styleId="Tablebullet1">
    <w:name w:val="Table bullet 1"/>
    <w:basedOn w:val="Normal"/>
    <w:uiPriority w:val="3"/>
    <w:qFormat/>
    <w:rsid w:val="00D04E9B"/>
    <w:pPr>
      <w:spacing w:before="80" w:after="60"/>
      <w:ind w:left="227" w:hanging="227"/>
    </w:pPr>
    <w:rPr>
      <w:rFonts w:ascii="Arial" w:eastAsia="Cambria Math" w:hAnsi="Arial" w:cs="Cambria Math"/>
      <w:lang w:eastAsia="en-AU"/>
    </w:rPr>
  </w:style>
  <w:style w:type="paragraph" w:customStyle="1" w:styleId="DJRbody">
    <w:name w:val="DJR body"/>
    <w:qFormat/>
    <w:rsid w:val="00C57E02"/>
    <w:pPr>
      <w:spacing w:after="120" w:line="270" w:lineRule="atLeast"/>
    </w:pPr>
    <w:rPr>
      <w:rFonts w:ascii="Arial" w:eastAsia="Times" w:hAnsi="Arial"/>
      <w:sz w:val="22"/>
      <w:lang w:eastAsia="en-US"/>
    </w:rPr>
  </w:style>
  <w:style w:type="paragraph" w:customStyle="1" w:styleId="DJRbullet1">
    <w:name w:val="DJR bullet 1"/>
    <w:basedOn w:val="DJRbody"/>
    <w:qFormat/>
    <w:rsid w:val="00C57E02"/>
    <w:pPr>
      <w:spacing w:after="40"/>
      <w:ind w:left="284" w:hanging="284"/>
    </w:pPr>
  </w:style>
  <w:style w:type="paragraph" w:styleId="NormalWeb">
    <w:name w:val="Normal (Web)"/>
    <w:basedOn w:val="Normal"/>
    <w:uiPriority w:val="99"/>
    <w:semiHidden/>
    <w:unhideWhenUsed/>
    <w:rsid w:val="00127E93"/>
    <w:pPr>
      <w:spacing w:before="100" w:beforeAutospacing="1" w:after="100" w:afterAutospacing="1"/>
    </w:pPr>
    <w:rPr>
      <w:rFonts w:ascii="Times New Roman" w:hAnsi="Times New Roman"/>
      <w:sz w:val="24"/>
      <w:szCs w:val="24"/>
      <w:lang w:eastAsia="en-AU"/>
    </w:rPr>
  </w:style>
  <w:style w:type="paragraph" w:styleId="Bibliography">
    <w:name w:val="Bibliography"/>
    <w:basedOn w:val="Normal"/>
    <w:next w:val="Normal"/>
    <w:uiPriority w:val="70"/>
    <w:unhideWhenUsed/>
    <w:rsid w:val="00AA027A"/>
  </w:style>
  <w:style w:type="table" w:styleId="PlainTable1">
    <w:name w:val="Plain Table 1"/>
    <w:basedOn w:val="TableNormal"/>
    <w:uiPriority w:val="41"/>
    <w:rsid w:val="005110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rsid w:val="00810D4B"/>
    <w:tblPr>
      <w:tblStyleRowBandSize w:val="1"/>
      <w:tblStyleColBandSize w:val="1"/>
      <w:tblBorders>
        <w:top w:val="single" w:sz="4" w:space="0" w:color="00529B" w:themeColor="accent2"/>
        <w:left w:val="single" w:sz="4" w:space="0" w:color="00529B" w:themeColor="accent2"/>
        <w:bottom w:val="single" w:sz="4" w:space="0" w:color="00529B" w:themeColor="accent2"/>
        <w:right w:val="single" w:sz="4" w:space="0" w:color="00529B" w:themeColor="accent2"/>
      </w:tblBorders>
    </w:tblPr>
    <w:tblStylePr w:type="firstRow">
      <w:rPr>
        <w:b/>
        <w:bCs/>
        <w:color w:val="FFFFFF" w:themeColor="background1"/>
      </w:rPr>
      <w:tblPr/>
      <w:tcPr>
        <w:shd w:val="clear" w:color="auto" w:fill="00529B" w:themeFill="accent2"/>
      </w:tcPr>
    </w:tblStylePr>
    <w:tblStylePr w:type="lastRow">
      <w:rPr>
        <w:b/>
        <w:bCs/>
      </w:rPr>
      <w:tblPr/>
      <w:tcPr>
        <w:tcBorders>
          <w:top w:val="double" w:sz="4" w:space="0" w:color="0052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9B" w:themeColor="accent2"/>
          <w:right w:val="single" w:sz="4" w:space="0" w:color="00529B" w:themeColor="accent2"/>
        </w:tcBorders>
      </w:tcPr>
    </w:tblStylePr>
    <w:tblStylePr w:type="band1Horz">
      <w:tblPr/>
      <w:tcPr>
        <w:tcBorders>
          <w:top w:val="single" w:sz="4" w:space="0" w:color="00529B" w:themeColor="accent2"/>
          <w:bottom w:val="single" w:sz="4" w:space="0" w:color="0052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9B" w:themeColor="accent2"/>
          <w:left w:val="nil"/>
        </w:tcBorders>
      </w:tcPr>
    </w:tblStylePr>
    <w:tblStylePr w:type="swCell">
      <w:tblPr/>
      <w:tcPr>
        <w:tcBorders>
          <w:top w:val="double" w:sz="4" w:space="0" w:color="00529B" w:themeColor="accent2"/>
          <w:right w:val="nil"/>
        </w:tcBorders>
      </w:tcPr>
    </w:tblStylePr>
  </w:style>
  <w:style w:type="table" w:styleId="TableGridLight">
    <w:name w:val="Grid Table Light"/>
    <w:basedOn w:val="TableNormal"/>
    <w:uiPriority w:val="40"/>
    <w:rsid w:val="00D35D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6D10EB"/>
    <w:tblPr>
      <w:tblStyleRowBandSize w:val="1"/>
      <w:tblStyleColBandSize w:val="1"/>
      <w:tblBorders>
        <w:top w:val="single" w:sz="4" w:space="0" w:color="16145F" w:themeColor="accent3"/>
        <w:left w:val="single" w:sz="4" w:space="0" w:color="16145F" w:themeColor="accent3"/>
        <w:bottom w:val="single" w:sz="4" w:space="0" w:color="16145F" w:themeColor="accent3"/>
        <w:right w:val="single" w:sz="4" w:space="0" w:color="16145F" w:themeColor="accent3"/>
      </w:tblBorders>
    </w:tblPr>
    <w:tblStylePr w:type="firstRow">
      <w:rPr>
        <w:b/>
        <w:bCs/>
        <w:color w:val="FFFFFF" w:themeColor="background1"/>
      </w:rPr>
      <w:tblPr/>
      <w:tcPr>
        <w:shd w:val="clear" w:color="auto" w:fill="16145F" w:themeFill="accent3"/>
      </w:tcPr>
    </w:tblStylePr>
    <w:tblStylePr w:type="lastRow">
      <w:rPr>
        <w:b/>
        <w:bCs/>
      </w:rPr>
      <w:tblPr/>
      <w:tcPr>
        <w:tcBorders>
          <w:top w:val="double" w:sz="4" w:space="0" w:color="16145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145F" w:themeColor="accent3"/>
          <w:right w:val="single" w:sz="4" w:space="0" w:color="16145F" w:themeColor="accent3"/>
        </w:tcBorders>
      </w:tcPr>
    </w:tblStylePr>
    <w:tblStylePr w:type="band1Horz">
      <w:tblPr/>
      <w:tcPr>
        <w:tcBorders>
          <w:top w:val="single" w:sz="4" w:space="0" w:color="16145F" w:themeColor="accent3"/>
          <w:bottom w:val="single" w:sz="4" w:space="0" w:color="1614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145F" w:themeColor="accent3"/>
          <w:left w:val="nil"/>
        </w:tcBorders>
      </w:tcPr>
    </w:tblStylePr>
    <w:tblStylePr w:type="swCell">
      <w:tblPr/>
      <w:tcPr>
        <w:tcBorders>
          <w:top w:val="double" w:sz="4" w:space="0" w:color="16145F" w:themeColor="accent3"/>
          <w:right w:val="nil"/>
        </w:tcBorders>
      </w:tcPr>
    </w:tblStylePr>
  </w:style>
  <w:style w:type="paragraph" w:customStyle="1" w:styleId="pf0">
    <w:name w:val="pf0"/>
    <w:basedOn w:val="Normal"/>
    <w:rsid w:val="007A419A"/>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7A419A"/>
    <w:rPr>
      <w:rFonts w:ascii="Segoe UI" w:hAnsi="Segoe UI" w:cs="Segoe UI" w:hint="default"/>
      <w:sz w:val="18"/>
      <w:szCs w:val="18"/>
      <w:shd w:val="clear" w:color="auto" w:fill="FFFF00"/>
    </w:rPr>
  </w:style>
  <w:style w:type="paragraph" w:styleId="ListBullet">
    <w:name w:val="List Bullet"/>
    <w:basedOn w:val="Normal"/>
    <w:uiPriority w:val="99"/>
    <w:unhideWhenUsed/>
    <w:rsid w:val="00AF374A"/>
    <w:pPr>
      <w:numPr>
        <w:numId w:val="168"/>
      </w:numPr>
      <w:contextualSpacing/>
    </w:pPr>
  </w:style>
  <w:style w:type="table" w:customStyle="1" w:styleId="TableGridLight1">
    <w:name w:val="Table Grid Light1"/>
    <w:basedOn w:val="TableNormal"/>
    <w:next w:val="TableGridLight"/>
    <w:uiPriority w:val="40"/>
    <w:rsid w:val="00FF4C0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798">
      <w:bodyDiv w:val="1"/>
      <w:marLeft w:val="0"/>
      <w:marRight w:val="0"/>
      <w:marTop w:val="0"/>
      <w:marBottom w:val="0"/>
      <w:divBdr>
        <w:top w:val="none" w:sz="0" w:space="0" w:color="auto"/>
        <w:left w:val="none" w:sz="0" w:space="0" w:color="auto"/>
        <w:bottom w:val="none" w:sz="0" w:space="0" w:color="auto"/>
        <w:right w:val="none" w:sz="0" w:space="0" w:color="auto"/>
      </w:divBdr>
    </w:div>
    <w:div w:id="22946177">
      <w:bodyDiv w:val="1"/>
      <w:marLeft w:val="0"/>
      <w:marRight w:val="0"/>
      <w:marTop w:val="0"/>
      <w:marBottom w:val="0"/>
      <w:divBdr>
        <w:top w:val="none" w:sz="0" w:space="0" w:color="auto"/>
        <w:left w:val="none" w:sz="0" w:space="0" w:color="auto"/>
        <w:bottom w:val="none" w:sz="0" w:space="0" w:color="auto"/>
        <w:right w:val="none" w:sz="0" w:space="0" w:color="auto"/>
      </w:divBdr>
    </w:div>
    <w:div w:id="42560113">
      <w:bodyDiv w:val="1"/>
      <w:marLeft w:val="0"/>
      <w:marRight w:val="0"/>
      <w:marTop w:val="0"/>
      <w:marBottom w:val="0"/>
      <w:divBdr>
        <w:top w:val="none" w:sz="0" w:space="0" w:color="auto"/>
        <w:left w:val="none" w:sz="0" w:space="0" w:color="auto"/>
        <w:bottom w:val="none" w:sz="0" w:space="0" w:color="auto"/>
        <w:right w:val="none" w:sz="0" w:space="0" w:color="auto"/>
      </w:divBdr>
    </w:div>
    <w:div w:id="65224881">
      <w:bodyDiv w:val="1"/>
      <w:marLeft w:val="0"/>
      <w:marRight w:val="0"/>
      <w:marTop w:val="0"/>
      <w:marBottom w:val="0"/>
      <w:divBdr>
        <w:top w:val="none" w:sz="0" w:space="0" w:color="auto"/>
        <w:left w:val="none" w:sz="0" w:space="0" w:color="auto"/>
        <w:bottom w:val="none" w:sz="0" w:space="0" w:color="auto"/>
        <w:right w:val="none" w:sz="0" w:space="0" w:color="auto"/>
      </w:divBdr>
    </w:div>
    <w:div w:id="67651350">
      <w:bodyDiv w:val="1"/>
      <w:marLeft w:val="0"/>
      <w:marRight w:val="0"/>
      <w:marTop w:val="0"/>
      <w:marBottom w:val="0"/>
      <w:divBdr>
        <w:top w:val="none" w:sz="0" w:space="0" w:color="auto"/>
        <w:left w:val="none" w:sz="0" w:space="0" w:color="auto"/>
        <w:bottom w:val="none" w:sz="0" w:space="0" w:color="auto"/>
        <w:right w:val="none" w:sz="0" w:space="0" w:color="auto"/>
      </w:divBdr>
    </w:div>
    <w:div w:id="73860613">
      <w:bodyDiv w:val="1"/>
      <w:marLeft w:val="0"/>
      <w:marRight w:val="0"/>
      <w:marTop w:val="0"/>
      <w:marBottom w:val="0"/>
      <w:divBdr>
        <w:top w:val="none" w:sz="0" w:space="0" w:color="auto"/>
        <w:left w:val="none" w:sz="0" w:space="0" w:color="auto"/>
        <w:bottom w:val="none" w:sz="0" w:space="0" w:color="auto"/>
        <w:right w:val="none" w:sz="0" w:space="0" w:color="auto"/>
      </w:divBdr>
    </w:div>
    <w:div w:id="79184255">
      <w:bodyDiv w:val="1"/>
      <w:marLeft w:val="0"/>
      <w:marRight w:val="0"/>
      <w:marTop w:val="0"/>
      <w:marBottom w:val="0"/>
      <w:divBdr>
        <w:top w:val="none" w:sz="0" w:space="0" w:color="auto"/>
        <w:left w:val="none" w:sz="0" w:space="0" w:color="auto"/>
        <w:bottom w:val="none" w:sz="0" w:space="0" w:color="auto"/>
        <w:right w:val="none" w:sz="0" w:space="0" w:color="auto"/>
      </w:divBdr>
    </w:div>
    <w:div w:id="83428833">
      <w:bodyDiv w:val="1"/>
      <w:marLeft w:val="0"/>
      <w:marRight w:val="0"/>
      <w:marTop w:val="0"/>
      <w:marBottom w:val="0"/>
      <w:divBdr>
        <w:top w:val="none" w:sz="0" w:space="0" w:color="auto"/>
        <w:left w:val="none" w:sz="0" w:space="0" w:color="auto"/>
        <w:bottom w:val="none" w:sz="0" w:space="0" w:color="auto"/>
        <w:right w:val="none" w:sz="0" w:space="0" w:color="auto"/>
      </w:divBdr>
    </w:div>
    <w:div w:id="120542229">
      <w:bodyDiv w:val="1"/>
      <w:marLeft w:val="0"/>
      <w:marRight w:val="0"/>
      <w:marTop w:val="0"/>
      <w:marBottom w:val="0"/>
      <w:divBdr>
        <w:top w:val="none" w:sz="0" w:space="0" w:color="auto"/>
        <w:left w:val="none" w:sz="0" w:space="0" w:color="auto"/>
        <w:bottom w:val="none" w:sz="0" w:space="0" w:color="auto"/>
        <w:right w:val="none" w:sz="0" w:space="0" w:color="auto"/>
      </w:divBdr>
    </w:div>
    <w:div w:id="141197077">
      <w:bodyDiv w:val="1"/>
      <w:marLeft w:val="0"/>
      <w:marRight w:val="0"/>
      <w:marTop w:val="0"/>
      <w:marBottom w:val="0"/>
      <w:divBdr>
        <w:top w:val="none" w:sz="0" w:space="0" w:color="auto"/>
        <w:left w:val="none" w:sz="0" w:space="0" w:color="auto"/>
        <w:bottom w:val="none" w:sz="0" w:space="0" w:color="auto"/>
        <w:right w:val="none" w:sz="0" w:space="0" w:color="auto"/>
      </w:divBdr>
    </w:div>
    <w:div w:id="188222314">
      <w:bodyDiv w:val="1"/>
      <w:marLeft w:val="0"/>
      <w:marRight w:val="0"/>
      <w:marTop w:val="0"/>
      <w:marBottom w:val="0"/>
      <w:divBdr>
        <w:top w:val="none" w:sz="0" w:space="0" w:color="auto"/>
        <w:left w:val="none" w:sz="0" w:space="0" w:color="auto"/>
        <w:bottom w:val="none" w:sz="0" w:space="0" w:color="auto"/>
        <w:right w:val="none" w:sz="0" w:space="0" w:color="auto"/>
      </w:divBdr>
    </w:div>
    <w:div w:id="218127295">
      <w:bodyDiv w:val="1"/>
      <w:marLeft w:val="0"/>
      <w:marRight w:val="0"/>
      <w:marTop w:val="0"/>
      <w:marBottom w:val="0"/>
      <w:divBdr>
        <w:top w:val="none" w:sz="0" w:space="0" w:color="auto"/>
        <w:left w:val="none" w:sz="0" w:space="0" w:color="auto"/>
        <w:bottom w:val="none" w:sz="0" w:space="0" w:color="auto"/>
        <w:right w:val="none" w:sz="0" w:space="0" w:color="auto"/>
      </w:divBdr>
    </w:div>
    <w:div w:id="219679259">
      <w:bodyDiv w:val="1"/>
      <w:marLeft w:val="0"/>
      <w:marRight w:val="0"/>
      <w:marTop w:val="0"/>
      <w:marBottom w:val="0"/>
      <w:divBdr>
        <w:top w:val="none" w:sz="0" w:space="0" w:color="auto"/>
        <w:left w:val="none" w:sz="0" w:space="0" w:color="auto"/>
        <w:bottom w:val="none" w:sz="0" w:space="0" w:color="auto"/>
        <w:right w:val="none" w:sz="0" w:space="0" w:color="auto"/>
      </w:divBdr>
    </w:div>
    <w:div w:id="226116111">
      <w:bodyDiv w:val="1"/>
      <w:marLeft w:val="0"/>
      <w:marRight w:val="0"/>
      <w:marTop w:val="0"/>
      <w:marBottom w:val="0"/>
      <w:divBdr>
        <w:top w:val="none" w:sz="0" w:space="0" w:color="auto"/>
        <w:left w:val="none" w:sz="0" w:space="0" w:color="auto"/>
        <w:bottom w:val="none" w:sz="0" w:space="0" w:color="auto"/>
        <w:right w:val="none" w:sz="0" w:space="0" w:color="auto"/>
      </w:divBdr>
    </w:div>
    <w:div w:id="246501287">
      <w:bodyDiv w:val="1"/>
      <w:marLeft w:val="0"/>
      <w:marRight w:val="0"/>
      <w:marTop w:val="0"/>
      <w:marBottom w:val="0"/>
      <w:divBdr>
        <w:top w:val="none" w:sz="0" w:space="0" w:color="auto"/>
        <w:left w:val="none" w:sz="0" w:space="0" w:color="auto"/>
        <w:bottom w:val="none" w:sz="0" w:space="0" w:color="auto"/>
        <w:right w:val="none" w:sz="0" w:space="0" w:color="auto"/>
      </w:divBdr>
    </w:div>
    <w:div w:id="258413786">
      <w:bodyDiv w:val="1"/>
      <w:marLeft w:val="0"/>
      <w:marRight w:val="0"/>
      <w:marTop w:val="0"/>
      <w:marBottom w:val="0"/>
      <w:divBdr>
        <w:top w:val="none" w:sz="0" w:space="0" w:color="auto"/>
        <w:left w:val="none" w:sz="0" w:space="0" w:color="auto"/>
        <w:bottom w:val="none" w:sz="0" w:space="0" w:color="auto"/>
        <w:right w:val="none" w:sz="0" w:space="0" w:color="auto"/>
      </w:divBdr>
    </w:div>
    <w:div w:id="263996893">
      <w:bodyDiv w:val="1"/>
      <w:marLeft w:val="0"/>
      <w:marRight w:val="0"/>
      <w:marTop w:val="0"/>
      <w:marBottom w:val="0"/>
      <w:divBdr>
        <w:top w:val="none" w:sz="0" w:space="0" w:color="auto"/>
        <w:left w:val="none" w:sz="0" w:space="0" w:color="auto"/>
        <w:bottom w:val="none" w:sz="0" w:space="0" w:color="auto"/>
        <w:right w:val="none" w:sz="0" w:space="0" w:color="auto"/>
      </w:divBdr>
    </w:div>
    <w:div w:id="270554426">
      <w:bodyDiv w:val="1"/>
      <w:marLeft w:val="0"/>
      <w:marRight w:val="0"/>
      <w:marTop w:val="0"/>
      <w:marBottom w:val="0"/>
      <w:divBdr>
        <w:top w:val="none" w:sz="0" w:space="0" w:color="auto"/>
        <w:left w:val="none" w:sz="0" w:space="0" w:color="auto"/>
        <w:bottom w:val="none" w:sz="0" w:space="0" w:color="auto"/>
        <w:right w:val="none" w:sz="0" w:space="0" w:color="auto"/>
      </w:divBdr>
    </w:div>
    <w:div w:id="273439898">
      <w:bodyDiv w:val="1"/>
      <w:marLeft w:val="0"/>
      <w:marRight w:val="0"/>
      <w:marTop w:val="0"/>
      <w:marBottom w:val="0"/>
      <w:divBdr>
        <w:top w:val="none" w:sz="0" w:space="0" w:color="auto"/>
        <w:left w:val="none" w:sz="0" w:space="0" w:color="auto"/>
        <w:bottom w:val="none" w:sz="0" w:space="0" w:color="auto"/>
        <w:right w:val="none" w:sz="0" w:space="0" w:color="auto"/>
      </w:divBdr>
    </w:div>
    <w:div w:id="276303882">
      <w:bodyDiv w:val="1"/>
      <w:marLeft w:val="0"/>
      <w:marRight w:val="0"/>
      <w:marTop w:val="0"/>
      <w:marBottom w:val="0"/>
      <w:divBdr>
        <w:top w:val="none" w:sz="0" w:space="0" w:color="auto"/>
        <w:left w:val="none" w:sz="0" w:space="0" w:color="auto"/>
        <w:bottom w:val="none" w:sz="0" w:space="0" w:color="auto"/>
        <w:right w:val="none" w:sz="0" w:space="0" w:color="auto"/>
      </w:divBdr>
    </w:div>
    <w:div w:id="278604575">
      <w:bodyDiv w:val="1"/>
      <w:marLeft w:val="0"/>
      <w:marRight w:val="0"/>
      <w:marTop w:val="0"/>
      <w:marBottom w:val="0"/>
      <w:divBdr>
        <w:top w:val="none" w:sz="0" w:space="0" w:color="auto"/>
        <w:left w:val="none" w:sz="0" w:space="0" w:color="auto"/>
        <w:bottom w:val="none" w:sz="0" w:space="0" w:color="auto"/>
        <w:right w:val="none" w:sz="0" w:space="0" w:color="auto"/>
      </w:divBdr>
    </w:div>
    <w:div w:id="292442741">
      <w:bodyDiv w:val="1"/>
      <w:marLeft w:val="0"/>
      <w:marRight w:val="0"/>
      <w:marTop w:val="0"/>
      <w:marBottom w:val="0"/>
      <w:divBdr>
        <w:top w:val="none" w:sz="0" w:space="0" w:color="auto"/>
        <w:left w:val="none" w:sz="0" w:space="0" w:color="auto"/>
        <w:bottom w:val="none" w:sz="0" w:space="0" w:color="auto"/>
        <w:right w:val="none" w:sz="0" w:space="0" w:color="auto"/>
      </w:divBdr>
    </w:div>
    <w:div w:id="294142725">
      <w:bodyDiv w:val="1"/>
      <w:marLeft w:val="0"/>
      <w:marRight w:val="0"/>
      <w:marTop w:val="0"/>
      <w:marBottom w:val="0"/>
      <w:divBdr>
        <w:top w:val="none" w:sz="0" w:space="0" w:color="auto"/>
        <w:left w:val="none" w:sz="0" w:space="0" w:color="auto"/>
        <w:bottom w:val="none" w:sz="0" w:space="0" w:color="auto"/>
        <w:right w:val="none" w:sz="0" w:space="0" w:color="auto"/>
      </w:divBdr>
      <w:divsChild>
        <w:div w:id="2038922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9461414">
      <w:bodyDiv w:val="1"/>
      <w:marLeft w:val="0"/>
      <w:marRight w:val="0"/>
      <w:marTop w:val="0"/>
      <w:marBottom w:val="0"/>
      <w:divBdr>
        <w:top w:val="none" w:sz="0" w:space="0" w:color="auto"/>
        <w:left w:val="none" w:sz="0" w:space="0" w:color="auto"/>
        <w:bottom w:val="none" w:sz="0" w:space="0" w:color="auto"/>
        <w:right w:val="none" w:sz="0" w:space="0" w:color="auto"/>
      </w:divBdr>
    </w:div>
    <w:div w:id="303782145">
      <w:bodyDiv w:val="1"/>
      <w:marLeft w:val="0"/>
      <w:marRight w:val="0"/>
      <w:marTop w:val="0"/>
      <w:marBottom w:val="0"/>
      <w:divBdr>
        <w:top w:val="none" w:sz="0" w:space="0" w:color="auto"/>
        <w:left w:val="none" w:sz="0" w:space="0" w:color="auto"/>
        <w:bottom w:val="none" w:sz="0" w:space="0" w:color="auto"/>
        <w:right w:val="none" w:sz="0" w:space="0" w:color="auto"/>
      </w:divBdr>
    </w:div>
    <w:div w:id="324020997">
      <w:bodyDiv w:val="1"/>
      <w:marLeft w:val="0"/>
      <w:marRight w:val="0"/>
      <w:marTop w:val="0"/>
      <w:marBottom w:val="0"/>
      <w:divBdr>
        <w:top w:val="none" w:sz="0" w:space="0" w:color="auto"/>
        <w:left w:val="none" w:sz="0" w:space="0" w:color="auto"/>
        <w:bottom w:val="none" w:sz="0" w:space="0" w:color="auto"/>
        <w:right w:val="none" w:sz="0" w:space="0" w:color="auto"/>
      </w:divBdr>
    </w:div>
    <w:div w:id="325018797">
      <w:bodyDiv w:val="1"/>
      <w:marLeft w:val="0"/>
      <w:marRight w:val="0"/>
      <w:marTop w:val="0"/>
      <w:marBottom w:val="0"/>
      <w:divBdr>
        <w:top w:val="none" w:sz="0" w:space="0" w:color="auto"/>
        <w:left w:val="none" w:sz="0" w:space="0" w:color="auto"/>
        <w:bottom w:val="none" w:sz="0" w:space="0" w:color="auto"/>
        <w:right w:val="none" w:sz="0" w:space="0" w:color="auto"/>
      </w:divBdr>
    </w:div>
    <w:div w:id="366685828">
      <w:bodyDiv w:val="1"/>
      <w:marLeft w:val="0"/>
      <w:marRight w:val="0"/>
      <w:marTop w:val="0"/>
      <w:marBottom w:val="0"/>
      <w:divBdr>
        <w:top w:val="none" w:sz="0" w:space="0" w:color="auto"/>
        <w:left w:val="none" w:sz="0" w:space="0" w:color="auto"/>
        <w:bottom w:val="none" w:sz="0" w:space="0" w:color="auto"/>
        <w:right w:val="none" w:sz="0" w:space="0" w:color="auto"/>
      </w:divBdr>
    </w:div>
    <w:div w:id="378012595">
      <w:bodyDiv w:val="1"/>
      <w:marLeft w:val="0"/>
      <w:marRight w:val="0"/>
      <w:marTop w:val="0"/>
      <w:marBottom w:val="0"/>
      <w:divBdr>
        <w:top w:val="none" w:sz="0" w:space="0" w:color="auto"/>
        <w:left w:val="none" w:sz="0" w:space="0" w:color="auto"/>
        <w:bottom w:val="none" w:sz="0" w:space="0" w:color="auto"/>
        <w:right w:val="none" w:sz="0" w:space="0" w:color="auto"/>
      </w:divBdr>
    </w:div>
    <w:div w:id="383456019">
      <w:bodyDiv w:val="1"/>
      <w:marLeft w:val="0"/>
      <w:marRight w:val="0"/>
      <w:marTop w:val="0"/>
      <w:marBottom w:val="0"/>
      <w:divBdr>
        <w:top w:val="none" w:sz="0" w:space="0" w:color="auto"/>
        <w:left w:val="none" w:sz="0" w:space="0" w:color="auto"/>
        <w:bottom w:val="none" w:sz="0" w:space="0" w:color="auto"/>
        <w:right w:val="none" w:sz="0" w:space="0" w:color="auto"/>
      </w:divBdr>
    </w:div>
    <w:div w:id="399207526">
      <w:bodyDiv w:val="1"/>
      <w:marLeft w:val="0"/>
      <w:marRight w:val="0"/>
      <w:marTop w:val="0"/>
      <w:marBottom w:val="0"/>
      <w:divBdr>
        <w:top w:val="none" w:sz="0" w:space="0" w:color="auto"/>
        <w:left w:val="none" w:sz="0" w:space="0" w:color="auto"/>
        <w:bottom w:val="none" w:sz="0" w:space="0" w:color="auto"/>
        <w:right w:val="none" w:sz="0" w:space="0" w:color="auto"/>
      </w:divBdr>
    </w:div>
    <w:div w:id="405230135">
      <w:bodyDiv w:val="1"/>
      <w:marLeft w:val="0"/>
      <w:marRight w:val="0"/>
      <w:marTop w:val="0"/>
      <w:marBottom w:val="0"/>
      <w:divBdr>
        <w:top w:val="none" w:sz="0" w:space="0" w:color="auto"/>
        <w:left w:val="none" w:sz="0" w:space="0" w:color="auto"/>
        <w:bottom w:val="none" w:sz="0" w:space="0" w:color="auto"/>
        <w:right w:val="none" w:sz="0" w:space="0" w:color="auto"/>
      </w:divBdr>
    </w:div>
    <w:div w:id="420413465">
      <w:bodyDiv w:val="1"/>
      <w:marLeft w:val="0"/>
      <w:marRight w:val="0"/>
      <w:marTop w:val="0"/>
      <w:marBottom w:val="0"/>
      <w:divBdr>
        <w:top w:val="none" w:sz="0" w:space="0" w:color="auto"/>
        <w:left w:val="none" w:sz="0" w:space="0" w:color="auto"/>
        <w:bottom w:val="none" w:sz="0" w:space="0" w:color="auto"/>
        <w:right w:val="none" w:sz="0" w:space="0" w:color="auto"/>
      </w:divBdr>
    </w:div>
    <w:div w:id="448938916">
      <w:bodyDiv w:val="1"/>
      <w:marLeft w:val="0"/>
      <w:marRight w:val="0"/>
      <w:marTop w:val="0"/>
      <w:marBottom w:val="0"/>
      <w:divBdr>
        <w:top w:val="none" w:sz="0" w:space="0" w:color="auto"/>
        <w:left w:val="none" w:sz="0" w:space="0" w:color="auto"/>
        <w:bottom w:val="none" w:sz="0" w:space="0" w:color="auto"/>
        <w:right w:val="none" w:sz="0" w:space="0" w:color="auto"/>
      </w:divBdr>
    </w:div>
    <w:div w:id="454299838">
      <w:bodyDiv w:val="1"/>
      <w:marLeft w:val="0"/>
      <w:marRight w:val="0"/>
      <w:marTop w:val="0"/>
      <w:marBottom w:val="0"/>
      <w:divBdr>
        <w:top w:val="none" w:sz="0" w:space="0" w:color="auto"/>
        <w:left w:val="none" w:sz="0" w:space="0" w:color="auto"/>
        <w:bottom w:val="none" w:sz="0" w:space="0" w:color="auto"/>
        <w:right w:val="none" w:sz="0" w:space="0" w:color="auto"/>
      </w:divBdr>
    </w:div>
    <w:div w:id="478812650">
      <w:bodyDiv w:val="1"/>
      <w:marLeft w:val="0"/>
      <w:marRight w:val="0"/>
      <w:marTop w:val="0"/>
      <w:marBottom w:val="0"/>
      <w:divBdr>
        <w:top w:val="none" w:sz="0" w:space="0" w:color="auto"/>
        <w:left w:val="none" w:sz="0" w:space="0" w:color="auto"/>
        <w:bottom w:val="none" w:sz="0" w:space="0" w:color="auto"/>
        <w:right w:val="none" w:sz="0" w:space="0" w:color="auto"/>
      </w:divBdr>
    </w:div>
    <w:div w:id="482161764">
      <w:bodyDiv w:val="1"/>
      <w:marLeft w:val="0"/>
      <w:marRight w:val="0"/>
      <w:marTop w:val="0"/>
      <w:marBottom w:val="0"/>
      <w:divBdr>
        <w:top w:val="none" w:sz="0" w:space="0" w:color="auto"/>
        <w:left w:val="none" w:sz="0" w:space="0" w:color="auto"/>
        <w:bottom w:val="none" w:sz="0" w:space="0" w:color="auto"/>
        <w:right w:val="none" w:sz="0" w:space="0" w:color="auto"/>
      </w:divBdr>
      <w:divsChild>
        <w:div w:id="1599942920">
          <w:marLeft w:val="-225"/>
          <w:marRight w:val="-225"/>
          <w:marTop w:val="0"/>
          <w:marBottom w:val="0"/>
          <w:divBdr>
            <w:top w:val="none" w:sz="0" w:space="0" w:color="auto"/>
            <w:left w:val="none" w:sz="0" w:space="0" w:color="auto"/>
            <w:bottom w:val="none" w:sz="0" w:space="0" w:color="auto"/>
            <w:right w:val="none" w:sz="0" w:space="0" w:color="auto"/>
          </w:divBdr>
          <w:divsChild>
            <w:div w:id="3382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39668">
      <w:bodyDiv w:val="1"/>
      <w:marLeft w:val="0"/>
      <w:marRight w:val="0"/>
      <w:marTop w:val="0"/>
      <w:marBottom w:val="0"/>
      <w:divBdr>
        <w:top w:val="none" w:sz="0" w:space="0" w:color="auto"/>
        <w:left w:val="none" w:sz="0" w:space="0" w:color="auto"/>
        <w:bottom w:val="none" w:sz="0" w:space="0" w:color="auto"/>
        <w:right w:val="none" w:sz="0" w:space="0" w:color="auto"/>
      </w:divBdr>
    </w:div>
    <w:div w:id="511184806">
      <w:bodyDiv w:val="1"/>
      <w:marLeft w:val="0"/>
      <w:marRight w:val="0"/>
      <w:marTop w:val="0"/>
      <w:marBottom w:val="0"/>
      <w:divBdr>
        <w:top w:val="none" w:sz="0" w:space="0" w:color="auto"/>
        <w:left w:val="none" w:sz="0" w:space="0" w:color="auto"/>
        <w:bottom w:val="none" w:sz="0" w:space="0" w:color="auto"/>
        <w:right w:val="none" w:sz="0" w:space="0" w:color="auto"/>
      </w:divBdr>
    </w:div>
    <w:div w:id="529490292">
      <w:bodyDiv w:val="1"/>
      <w:marLeft w:val="0"/>
      <w:marRight w:val="0"/>
      <w:marTop w:val="0"/>
      <w:marBottom w:val="0"/>
      <w:divBdr>
        <w:top w:val="none" w:sz="0" w:space="0" w:color="auto"/>
        <w:left w:val="none" w:sz="0" w:space="0" w:color="auto"/>
        <w:bottom w:val="none" w:sz="0" w:space="0" w:color="auto"/>
        <w:right w:val="none" w:sz="0" w:space="0" w:color="auto"/>
      </w:divBdr>
    </w:div>
    <w:div w:id="542904059">
      <w:bodyDiv w:val="1"/>
      <w:marLeft w:val="0"/>
      <w:marRight w:val="0"/>
      <w:marTop w:val="0"/>
      <w:marBottom w:val="0"/>
      <w:divBdr>
        <w:top w:val="none" w:sz="0" w:space="0" w:color="auto"/>
        <w:left w:val="none" w:sz="0" w:space="0" w:color="auto"/>
        <w:bottom w:val="none" w:sz="0" w:space="0" w:color="auto"/>
        <w:right w:val="none" w:sz="0" w:space="0" w:color="auto"/>
      </w:divBdr>
    </w:div>
    <w:div w:id="563487483">
      <w:bodyDiv w:val="1"/>
      <w:marLeft w:val="0"/>
      <w:marRight w:val="0"/>
      <w:marTop w:val="0"/>
      <w:marBottom w:val="0"/>
      <w:divBdr>
        <w:top w:val="none" w:sz="0" w:space="0" w:color="auto"/>
        <w:left w:val="none" w:sz="0" w:space="0" w:color="auto"/>
        <w:bottom w:val="none" w:sz="0" w:space="0" w:color="auto"/>
        <w:right w:val="none" w:sz="0" w:space="0" w:color="auto"/>
      </w:divBdr>
    </w:div>
    <w:div w:id="563568743">
      <w:bodyDiv w:val="1"/>
      <w:marLeft w:val="0"/>
      <w:marRight w:val="0"/>
      <w:marTop w:val="0"/>
      <w:marBottom w:val="0"/>
      <w:divBdr>
        <w:top w:val="none" w:sz="0" w:space="0" w:color="auto"/>
        <w:left w:val="none" w:sz="0" w:space="0" w:color="auto"/>
        <w:bottom w:val="none" w:sz="0" w:space="0" w:color="auto"/>
        <w:right w:val="none" w:sz="0" w:space="0" w:color="auto"/>
      </w:divBdr>
    </w:div>
    <w:div w:id="582102061">
      <w:bodyDiv w:val="1"/>
      <w:marLeft w:val="0"/>
      <w:marRight w:val="0"/>
      <w:marTop w:val="0"/>
      <w:marBottom w:val="0"/>
      <w:divBdr>
        <w:top w:val="none" w:sz="0" w:space="0" w:color="auto"/>
        <w:left w:val="none" w:sz="0" w:space="0" w:color="auto"/>
        <w:bottom w:val="none" w:sz="0" w:space="0" w:color="auto"/>
        <w:right w:val="none" w:sz="0" w:space="0" w:color="auto"/>
      </w:divBdr>
    </w:div>
    <w:div w:id="593634412">
      <w:bodyDiv w:val="1"/>
      <w:marLeft w:val="0"/>
      <w:marRight w:val="0"/>
      <w:marTop w:val="0"/>
      <w:marBottom w:val="0"/>
      <w:divBdr>
        <w:top w:val="none" w:sz="0" w:space="0" w:color="auto"/>
        <w:left w:val="none" w:sz="0" w:space="0" w:color="auto"/>
        <w:bottom w:val="none" w:sz="0" w:space="0" w:color="auto"/>
        <w:right w:val="none" w:sz="0" w:space="0" w:color="auto"/>
      </w:divBdr>
    </w:div>
    <w:div w:id="595096484">
      <w:bodyDiv w:val="1"/>
      <w:marLeft w:val="0"/>
      <w:marRight w:val="0"/>
      <w:marTop w:val="0"/>
      <w:marBottom w:val="0"/>
      <w:divBdr>
        <w:top w:val="none" w:sz="0" w:space="0" w:color="auto"/>
        <w:left w:val="none" w:sz="0" w:space="0" w:color="auto"/>
        <w:bottom w:val="none" w:sz="0" w:space="0" w:color="auto"/>
        <w:right w:val="none" w:sz="0" w:space="0" w:color="auto"/>
      </w:divBdr>
    </w:div>
    <w:div w:id="602805853">
      <w:bodyDiv w:val="1"/>
      <w:marLeft w:val="0"/>
      <w:marRight w:val="0"/>
      <w:marTop w:val="0"/>
      <w:marBottom w:val="0"/>
      <w:divBdr>
        <w:top w:val="none" w:sz="0" w:space="0" w:color="auto"/>
        <w:left w:val="none" w:sz="0" w:space="0" w:color="auto"/>
        <w:bottom w:val="none" w:sz="0" w:space="0" w:color="auto"/>
        <w:right w:val="none" w:sz="0" w:space="0" w:color="auto"/>
      </w:divBdr>
    </w:div>
    <w:div w:id="606696178">
      <w:bodyDiv w:val="1"/>
      <w:marLeft w:val="0"/>
      <w:marRight w:val="0"/>
      <w:marTop w:val="0"/>
      <w:marBottom w:val="0"/>
      <w:divBdr>
        <w:top w:val="none" w:sz="0" w:space="0" w:color="auto"/>
        <w:left w:val="none" w:sz="0" w:space="0" w:color="auto"/>
        <w:bottom w:val="none" w:sz="0" w:space="0" w:color="auto"/>
        <w:right w:val="none" w:sz="0" w:space="0" w:color="auto"/>
      </w:divBdr>
    </w:div>
    <w:div w:id="607548106">
      <w:bodyDiv w:val="1"/>
      <w:marLeft w:val="0"/>
      <w:marRight w:val="0"/>
      <w:marTop w:val="0"/>
      <w:marBottom w:val="0"/>
      <w:divBdr>
        <w:top w:val="none" w:sz="0" w:space="0" w:color="auto"/>
        <w:left w:val="none" w:sz="0" w:space="0" w:color="auto"/>
        <w:bottom w:val="none" w:sz="0" w:space="0" w:color="auto"/>
        <w:right w:val="none" w:sz="0" w:space="0" w:color="auto"/>
      </w:divBdr>
    </w:div>
    <w:div w:id="613102422">
      <w:bodyDiv w:val="1"/>
      <w:marLeft w:val="0"/>
      <w:marRight w:val="0"/>
      <w:marTop w:val="0"/>
      <w:marBottom w:val="0"/>
      <w:divBdr>
        <w:top w:val="none" w:sz="0" w:space="0" w:color="auto"/>
        <w:left w:val="none" w:sz="0" w:space="0" w:color="auto"/>
        <w:bottom w:val="none" w:sz="0" w:space="0" w:color="auto"/>
        <w:right w:val="none" w:sz="0" w:space="0" w:color="auto"/>
      </w:divBdr>
    </w:div>
    <w:div w:id="635451762">
      <w:bodyDiv w:val="1"/>
      <w:marLeft w:val="0"/>
      <w:marRight w:val="0"/>
      <w:marTop w:val="0"/>
      <w:marBottom w:val="0"/>
      <w:divBdr>
        <w:top w:val="none" w:sz="0" w:space="0" w:color="auto"/>
        <w:left w:val="none" w:sz="0" w:space="0" w:color="auto"/>
        <w:bottom w:val="none" w:sz="0" w:space="0" w:color="auto"/>
        <w:right w:val="none" w:sz="0" w:space="0" w:color="auto"/>
      </w:divBdr>
    </w:div>
    <w:div w:id="651176309">
      <w:bodyDiv w:val="1"/>
      <w:marLeft w:val="0"/>
      <w:marRight w:val="0"/>
      <w:marTop w:val="0"/>
      <w:marBottom w:val="0"/>
      <w:divBdr>
        <w:top w:val="none" w:sz="0" w:space="0" w:color="auto"/>
        <w:left w:val="none" w:sz="0" w:space="0" w:color="auto"/>
        <w:bottom w:val="none" w:sz="0" w:space="0" w:color="auto"/>
        <w:right w:val="none" w:sz="0" w:space="0" w:color="auto"/>
      </w:divBdr>
    </w:div>
    <w:div w:id="685520875">
      <w:bodyDiv w:val="1"/>
      <w:marLeft w:val="0"/>
      <w:marRight w:val="0"/>
      <w:marTop w:val="0"/>
      <w:marBottom w:val="0"/>
      <w:divBdr>
        <w:top w:val="none" w:sz="0" w:space="0" w:color="auto"/>
        <w:left w:val="none" w:sz="0" w:space="0" w:color="auto"/>
        <w:bottom w:val="none" w:sz="0" w:space="0" w:color="auto"/>
        <w:right w:val="none" w:sz="0" w:space="0" w:color="auto"/>
      </w:divBdr>
    </w:div>
    <w:div w:id="703557733">
      <w:bodyDiv w:val="1"/>
      <w:marLeft w:val="0"/>
      <w:marRight w:val="0"/>
      <w:marTop w:val="0"/>
      <w:marBottom w:val="0"/>
      <w:divBdr>
        <w:top w:val="none" w:sz="0" w:space="0" w:color="auto"/>
        <w:left w:val="none" w:sz="0" w:space="0" w:color="auto"/>
        <w:bottom w:val="none" w:sz="0" w:space="0" w:color="auto"/>
        <w:right w:val="none" w:sz="0" w:space="0" w:color="auto"/>
      </w:divBdr>
    </w:div>
    <w:div w:id="709232029">
      <w:bodyDiv w:val="1"/>
      <w:marLeft w:val="0"/>
      <w:marRight w:val="0"/>
      <w:marTop w:val="0"/>
      <w:marBottom w:val="0"/>
      <w:divBdr>
        <w:top w:val="none" w:sz="0" w:space="0" w:color="auto"/>
        <w:left w:val="none" w:sz="0" w:space="0" w:color="auto"/>
        <w:bottom w:val="none" w:sz="0" w:space="0" w:color="auto"/>
        <w:right w:val="none" w:sz="0" w:space="0" w:color="auto"/>
      </w:divBdr>
    </w:div>
    <w:div w:id="716708672">
      <w:bodyDiv w:val="1"/>
      <w:marLeft w:val="0"/>
      <w:marRight w:val="0"/>
      <w:marTop w:val="0"/>
      <w:marBottom w:val="0"/>
      <w:divBdr>
        <w:top w:val="none" w:sz="0" w:space="0" w:color="auto"/>
        <w:left w:val="none" w:sz="0" w:space="0" w:color="auto"/>
        <w:bottom w:val="none" w:sz="0" w:space="0" w:color="auto"/>
        <w:right w:val="none" w:sz="0" w:space="0" w:color="auto"/>
      </w:divBdr>
      <w:divsChild>
        <w:div w:id="714042494">
          <w:marLeft w:val="0"/>
          <w:marRight w:val="0"/>
          <w:marTop w:val="0"/>
          <w:marBottom w:val="0"/>
          <w:divBdr>
            <w:top w:val="none" w:sz="0" w:space="0" w:color="auto"/>
            <w:left w:val="none" w:sz="0" w:space="0" w:color="auto"/>
            <w:bottom w:val="none" w:sz="0" w:space="0" w:color="auto"/>
            <w:right w:val="none" w:sz="0" w:space="0" w:color="auto"/>
          </w:divBdr>
        </w:div>
        <w:div w:id="1185632687">
          <w:marLeft w:val="0"/>
          <w:marRight w:val="0"/>
          <w:marTop w:val="0"/>
          <w:marBottom w:val="0"/>
          <w:divBdr>
            <w:top w:val="none" w:sz="0" w:space="0" w:color="auto"/>
            <w:left w:val="none" w:sz="0" w:space="0" w:color="auto"/>
            <w:bottom w:val="none" w:sz="0" w:space="0" w:color="auto"/>
            <w:right w:val="none" w:sz="0" w:space="0" w:color="auto"/>
          </w:divBdr>
        </w:div>
        <w:div w:id="1253977082">
          <w:marLeft w:val="0"/>
          <w:marRight w:val="0"/>
          <w:marTop w:val="0"/>
          <w:marBottom w:val="0"/>
          <w:divBdr>
            <w:top w:val="none" w:sz="0" w:space="0" w:color="auto"/>
            <w:left w:val="none" w:sz="0" w:space="0" w:color="auto"/>
            <w:bottom w:val="none" w:sz="0" w:space="0" w:color="auto"/>
            <w:right w:val="none" w:sz="0" w:space="0" w:color="auto"/>
          </w:divBdr>
        </w:div>
      </w:divsChild>
    </w:div>
    <w:div w:id="721905263">
      <w:bodyDiv w:val="1"/>
      <w:marLeft w:val="0"/>
      <w:marRight w:val="0"/>
      <w:marTop w:val="0"/>
      <w:marBottom w:val="0"/>
      <w:divBdr>
        <w:top w:val="none" w:sz="0" w:space="0" w:color="auto"/>
        <w:left w:val="none" w:sz="0" w:space="0" w:color="auto"/>
        <w:bottom w:val="none" w:sz="0" w:space="0" w:color="auto"/>
        <w:right w:val="none" w:sz="0" w:space="0" w:color="auto"/>
      </w:divBdr>
    </w:div>
    <w:div w:id="741485985">
      <w:bodyDiv w:val="1"/>
      <w:marLeft w:val="0"/>
      <w:marRight w:val="0"/>
      <w:marTop w:val="0"/>
      <w:marBottom w:val="0"/>
      <w:divBdr>
        <w:top w:val="none" w:sz="0" w:space="0" w:color="auto"/>
        <w:left w:val="none" w:sz="0" w:space="0" w:color="auto"/>
        <w:bottom w:val="none" w:sz="0" w:space="0" w:color="auto"/>
        <w:right w:val="none" w:sz="0" w:space="0" w:color="auto"/>
      </w:divBdr>
    </w:div>
    <w:div w:id="742604790">
      <w:bodyDiv w:val="1"/>
      <w:marLeft w:val="0"/>
      <w:marRight w:val="0"/>
      <w:marTop w:val="0"/>
      <w:marBottom w:val="0"/>
      <w:divBdr>
        <w:top w:val="none" w:sz="0" w:space="0" w:color="auto"/>
        <w:left w:val="none" w:sz="0" w:space="0" w:color="auto"/>
        <w:bottom w:val="none" w:sz="0" w:space="0" w:color="auto"/>
        <w:right w:val="none" w:sz="0" w:space="0" w:color="auto"/>
      </w:divBdr>
    </w:div>
    <w:div w:id="757748712">
      <w:bodyDiv w:val="1"/>
      <w:marLeft w:val="0"/>
      <w:marRight w:val="0"/>
      <w:marTop w:val="0"/>
      <w:marBottom w:val="0"/>
      <w:divBdr>
        <w:top w:val="none" w:sz="0" w:space="0" w:color="auto"/>
        <w:left w:val="none" w:sz="0" w:space="0" w:color="auto"/>
        <w:bottom w:val="none" w:sz="0" w:space="0" w:color="auto"/>
        <w:right w:val="none" w:sz="0" w:space="0" w:color="auto"/>
      </w:divBdr>
    </w:div>
    <w:div w:id="761530833">
      <w:bodyDiv w:val="1"/>
      <w:marLeft w:val="0"/>
      <w:marRight w:val="0"/>
      <w:marTop w:val="0"/>
      <w:marBottom w:val="0"/>
      <w:divBdr>
        <w:top w:val="none" w:sz="0" w:space="0" w:color="auto"/>
        <w:left w:val="none" w:sz="0" w:space="0" w:color="auto"/>
        <w:bottom w:val="none" w:sz="0" w:space="0" w:color="auto"/>
        <w:right w:val="none" w:sz="0" w:space="0" w:color="auto"/>
      </w:divBdr>
    </w:div>
    <w:div w:id="765150948">
      <w:bodyDiv w:val="1"/>
      <w:marLeft w:val="0"/>
      <w:marRight w:val="0"/>
      <w:marTop w:val="0"/>
      <w:marBottom w:val="0"/>
      <w:divBdr>
        <w:top w:val="none" w:sz="0" w:space="0" w:color="auto"/>
        <w:left w:val="none" w:sz="0" w:space="0" w:color="auto"/>
        <w:bottom w:val="none" w:sz="0" w:space="0" w:color="auto"/>
        <w:right w:val="none" w:sz="0" w:space="0" w:color="auto"/>
      </w:divBdr>
    </w:div>
    <w:div w:id="780494755">
      <w:bodyDiv w:val="1"/>
      <w:marLeft w:val="0"/>
      <w:marRight w:val="0"/>
      <w:marTop w:val="0"/>
      <w:marBottom w:val="0"/>
      <w:divBdr>
        <w:top w:val="none" w:sz="0" w:space="0" w:color="auto"/>
        <w:left w:val="none" w:sz="0" w:space="0" w:color="auto"/>
        <w:bottom w:val="none" w:sz="0" w:space="0" w:color="auto"/>
        <w:right w:val="none" w:sz="0" w:space="0" w:color="auto"/>
      </w:divBdr>
    </w:div>
    <w:div w:id="780538702">
      <w:bodyDiv w:val="1"/>
      <w:marLeft w:val="0"/>
      <w:marRight w:val="0"/>
      <w:marTop w:val="0"/>
      <w:marBottom w:val="0"/>
      <w:divBdr>
        <w:top w:val="none" w:sz="0" w:space="0" w:color="auto"/>
        <w:left w:val="none" w:sz="0" w:space="0" w:color="auto"/>
        <w:bottom w:val="none" w:sz="0" w:space="0" w:color="auto"/>
        <w:right w:val="none" w:sz="0" w:space="0" w:color="auto"/>
      </w:divBdr>
    </w:div>
    <w:div w:id="783232364">
      <w:bodyDiv w:val="1"/>
      <w:marLeft w:val="0"/>
      <w:marRight w:val="0"/>
      <w:marTop w:val="0"/>
      <w:marBottom w:val="0"/>
      <w:divBdr>
        <w:top w:val="none" w:sz="0" w:space="0" w:color="auto"/>
        <w:left w:val="none" w:sz="0" w:space="0" w:color="auto"/>
        <w:bottom w:val="none" w:sz="0" w:space="0" w:color="auto"/>
        <w:right w:val="none" w:sz="0" w:space="0" w:color="auto"/>
      </w:divBdr>
    </w:div>
    <w:div w:id="797184293">
      <w:bodyDiv w:val="1"/>
      <w:marLeft w:val="0"/>
      <w:marRight w:val="0"/>
      <w:marTop w:val="0"/>
      <w:marBottom w:val="0"/>
      <w:divBdr>
        <w:top w:val="none" w:sz="0" w:space="0" w:color="auto"/>
        <w:left w:val="none" w:sz="0" w:space="0" w:color="auto"/>
        <w:bottom w:val="none" w:sz="0" w:space="0" w:color="auto"/>
        <w:right w:val="none" w:sz="0" w:space="0" w:color="auto"/>
      </w:divBdr>
    </w:div>
    <w:div w:id="797601488">
      <w:bodyDiv w:val="1"/>
      <w:marLeft w:val="0"/>
      <w:marRight w:val="0"/>
      <w:marTop w:val="0"/>
      <w:marBottom w:val="0"/>
      <w:divBdr>
        <w:top w:val="none" w:sz="0" w:space="0" w:color="auto"/>
        <w:left w:val="none" w:sz="0" w:space="0" w:color="auto"/>
        <w:bottom w:val="none" w:sz="0" w:space="0" w:color="auto"/>
        <w:right w:val="none" w:sz="0" w:space="0" w:color="auto"/>
      </w:divBdr>
      <w:divsChild>
        <w:div w:id="1490949573">
          <w:marLeft w:val="0"/>
          <w:marRight w:val="0"/>
          <w:marTop w:val="0"/>
          <w:marBottom w:val="0"/>
          <w:divBdr>
            <w:top w:val="none" w:sz="0" w:space="0" w:color="auto"/>
            <w:left w:val="none" w:sz="0" w:space="0" w:color="auto"/>
            <w:bottom w:val="none" w:sz="0" w:space="0" w:color="auto"/>
            <w:right w:val="none" w:sz="0" w:space="0" w:color="auto"/>
          </w:divBdr>
          <w:divsChild>
            <w:div w:id="1968048544">
              <w:marLeft w:val="0"/>
              <w:marRight w:val="0"/>
              <w:marTop w:val="0"/>
              <w:marBottom w:val="0"/>
              <w:divBdr>
                <w:top w:val="none" w:sz="0" w:space="0" w:color="auto"/>
                <w:left w:val="none" w:sz="0" w:space="0" w:color="auto"/>
                <w:bottom w:val="none" w:sz="0" w:space="0" w:color="auto"/>
                <w:right w:val="none" w:sz="0" w:space="0" w:color="auto"/>
              </w:divBdr>
              <w:divsChild>
                <w:div w:id="1127892146">
                  <w:marLeft w:val="0"/>
                  <w:marRight w:val="0"/>
                  <w:marTop w:val="0"/>
                  <w:marBottom w:val="0"/>
                  <w:divBdr>
                    <w:top w:val="none" w:sz="0" w:space="0" w:color="auto"/>
                    <w:left w:val="none" w:sz="0" w:space="0" w:color="auto"/>
                    <w:bottom w:val="none" w:sz="0" w:space="0" w:color="auto"/>
                    <w:right w:val="none" w:sz="0" w:space="0" w:color="auto"/>
                  </w:divBdr>
                  <w:divsChild>
                    <w:div w:id="327948765">
                      <w:marLeft w:val="0"/>
                      <w:marRight w:val="0"/>
                      <w:marTop w:val="0"/>
                      <w:marBottom w:val="0"/>
                      <w:divBdr>
                        <w:top w:val="none" w:sz="0" w:space="0" w:color="auto"/>
                        <w:left w:val="none" w:sz="0" w:space="0" w:color="auto"/>
                        <w:bottom w:val="none" w:sz="0" w:space="0" w:color="auto"/>
                        <w:right w:val="none" w:sz="0" w:space="0" w:color="auto"/>
                      </w:divBdr>
                      <w:divsChild>
                        <w:div w:id="1336541658">
                          <w:marLeft w:val="0"/>
                          <w:marRight w:val="0"/>
                          <w:marTop w:val="0"/>
                          <w:marBottom w:val="0"/>
                          <w:divBdr>
                            <w:top w:val="none" w:sz="0" w:space="0" w:color="auto"/>
                            <w:left w:val="none" w:sz="0" w:space="0" w:color="auto"/>
                            <w:bottom w:val="none" w:sz="0" w:space="0" w:color="auto"/>
                            <w:right w:val="none" w:sz="0" w:space="0" w:color="auto"/>
                          </w:divBdr>
                          <w:divsChild>
                            <w:div w:id="874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770453">
      <w:bodyDiv w:val="1"/>
      <w:marLeft w:val="0"/>
      <w:marRight w:val="0"/>
      <w:marTop w:val="0"/>
      <w:marBottom w:val="0"/>
      <w:divBdr>
        <w:top w:val="none" w:sz="0" w:space="0" w:color="auto"/>
        <w:left w:val="none" w:sz="0" w:space="0" w:color="auto"/>
        <w:bottom w:val="none" w:sz="0" w:space="0" w:color="auto"/>
        <w:right w:val="none" w:sz="0" w:space="0" w:color="auto"/>
      </w:divBdr>
    </w:div>
    <w:div w:id="812135088">
      <w:bodyDiv w:val="1"/>
      <w:marLeft w:val="0"/>
      <w:marRight w:val="0"/>
      <w:marTop w:val="0"/>
      <w:marBottom w:val="0"/>
      <w:divBdr>
        <w:top w:val="none" w:sz="0" w:space="0" w:color="auto"/>
        <w:left w:val="none" w:sz="0" w:space="0" w:color="auto"/>
        <w:bottom w:val="none" w:sz="0" w:space="0" w:color="auto"/>
        <w:right w:val="none" w:sz="0" w:space="0" w:color="auto"/>
      </w:divBdr>
    </w:div>
    <w:div w:id="829254543">
      <w:bodyDiv w:val="1"/>
      <w:marLeft w:val="0"/>
      <w:marRight w:val="0"/>
      <w:marTop w:val="0"/>
      <w:marBottom w:val="0"/>
      <w:divBdr>
        <w:top w:val="none" w:sz="0" w:space="0" w:color="auto"/>
        <w:left w:val="none" w:sz="0" w:space="0" w:color="auto"/>
        <w:bottom w:val="none" w:sz="0" w:space="0" w:color="auto"/>
        <w:right w:val="none" w:sz="0" w:space="0" w:color="auto"/>
      </w:divBdr>
    </w:div>
    <w:div w:id="831991313">
      <w:bodyDiv w:val="1"/>
      <w:marLeft w:val="0"/>
      <w:marRight w:val="0"/>
      <w:marTop w:val="0"/>
      <w:marBottom w:val="0"/>
      <w:divBdr>
        <w:top w:val="none" w:sz="0" w:space="0" w:color="auto"/>
        <w:left w:val="none" w:sz="0" w:space="0" w:color="auto"/>
        <w:bottom w:val="none" w:sz="0" w:space="0" w:color="auto"/>
        <w:right w:val="none" w:sz="0" w:space="0" w:color="auto"/>
      </w:divBdr>
    </w:div>
    <w:div w:id="839006170">
      <w:bodyDiv w:val="1"/>
      <w:marLeft w:val="0"/>
      <w:marRight w:val="0"/>
      <w:marTop w:val="0"/>
      <w:marBottom w:val="0"/>
      <w:divBdr>
        <w:top w:val="none" w:sz="0" w:space="0" w:color="auto"/>
        <w:left w:val="none" w:sz="0" w:space="0" w:color="auto"/>
        <w:bottom w:val="none" w:sz="0" w:space="0" w:color="auto"/>
        <w:right w:val="none" w:sz="0" w:space="0" w:color="auto"/>
      </w:divBdr>
    </w:div>
    <w:div w:id="840975409">
      <w:bodyDiv w:val="1"/>
      <w:marLeft w:val="0"/>
      <w:marRight w:val="0"/>
      <w:marTop w:val="0"/>
      <w:marBottom w:val="0"/>
      <w:divBdr>
        <w:top w:val="none" w:sz="0" w:space="0" w:color="auto"/>
        <w:left w:val="none" w:sz="0" w:space="0" w:color="auto"/>
        <w:bottom w:val="none" w:sz="0" w:space="0" w:color="auto"/>
        <w:right w:val="none" w:sz="0" w:space="0" w:color="auto"/>
      </w:divBdr>
    </w:div>
    <w:div w:id="846863616">
      <w:bodyDiv w:val="1"/>
      <w:marLeft w:val="0"/>
      <w:marRight w:val="0"/>
      <w:marTop w:val="0"/>
      <w:marBottom w:val="0"/>
      <w:divBdr>
        <w:top w:val="none" w:sz="0" w:space="0" w:color="auto"/>
        <w:left w:val="none" w:sz="0" w:space="0" w:color="auto"/>
        <w:bottom w:val="none" w:sz="0" w:space="0" w:color="auto"/>
        <w:right w:val="none" w:sz="0" w:space="0" w:color="auto"/>
      </w:divBdr>
    </w:div>
    <w:div w:id="850417983">
      <w:bodyDiv w:val="1"/>
      <w:marLeft w:val="0"/>
      <w:marRight w:val="0"/>
      <w:marTop w:val="0"/>
      <w:marBottom w:val="0"/>
      <w:divBdr>
        <w:top w:val="none" w:sz="0" w:space="0" w:color="auto"/>
        <w:left w:val="none" w:sz="0" w:space="0" w:color="auto"/>
        <w:bottom w:val="none" w:sz="0" w:space="0" w:color="auto"/>
        <w:right w:val="none" w:sz="0" w:space="0" w:color="auto"/>
      </w:divBdr>
    </w:div>
    <w:div w:id="899169515">
      <w:bodyDiv w:val="1"/>
      <w:marLeft w:val="0"/>
      <w:marRight w:val="0"/>
      <w:marTop w:val="0"/>
      <w:marBottom w:val="0"/>
      <w:divBdr>
        <w:top w:val="none" w:sz="0" w:space="0" w:color="auto"/>
        <w:left w:val="none" w:sz="0" w:space="0" w:color="auto"/>
        <w:bottom w:val="none" w:sz="0" w:space="0" w:color="auto"/>
        <w:right w:val="none" w:sz="0" w:space="0" w:color="auto"/>
      </w:divBdr>
    </w:div>
    <w:div w:id="928348307">
      <w:bodyDiv w:val="1"/>
      <w:marLeft w:val="0"/>
      <w:marRight w:val="0"/>
      <w:marTop w:val="0"/>
      <w:marBottom w:val="0"/>
      <w:divBdr>
        <w:top w:val="none" w:sz="0" w:space="0" w:color="auto"/>
        <w:left w:val="none" w:sz="0" w:space="0" w:color="auto"/>
        <w:bottom w:val="none" w:sz="0" w:space="0" w:color="auto"/>
        <w:right w:val="none" w:sz="0" w:space="0" w:color="auto"/>
      </w:divBdr>
    </w:div>
    <w:div w:id="939026682">
      <w:bodyDiv w:val="1"/>
      <w:marLeft w:val="0"/>
      <w:marRight w:val="0"/>
      <w:marTop w:val="0"/>
      <w:marBottom w:val="0"/>
      <w:divBdr>
        <w:top w:val="none" w:sz="0" w:space="0" w:color="auto"/>
        <w:left w:val="none" w:sz="0" w:space="0" w:color="auto"/>
        <w:bottom w:val="none" w:sz="0" w:space="0" w:color="auto"/>
        <w:right w:val="none" w:sz="0" w:space="0" w:color="auto"/>
      </w:divBdr>
    </w:div>
    <w:div w:id="941451917">
      <w:bodyDiv w:val="1"/>
      <w:marLeft w:val="0"/>
      <w:marRight w:val="0"/>
      <w:marTop w:val="0"/>
      <w:marBottom w:val="0"/>
      <w:divBdr>
        <w:top w:val="none" w:sz="0" w:space="0" w:color="auto"/>
        <w:left w:val="none" w:sz="0" w:space="0" w:color="auto"/>
        <w:bottom w:val="none" w:sz="0" w:space="0" w:color="auto"/>
        <w:right w:val="none" w:sz="0" w:space="0" w:color="auto"/>
      </w:divBdr>
    </w:div>
    <w:div w:id="953291597">
      <w:bodyDiv w:val="1"/>
      <w:marLeft w:val="0"/>
      <w:marRight w:val="0"/>
      <w:marTop w:val="0"/>
      <w:marBottom w:val="0"/>
      <w:divBdr>
        <w:top w:val="none" w:sz="0" w:space="0" w:color="auto"/>
        <w:left w:val="none" w:sz="0" w:space="0" w:color="auto"/>
        <w:bottom w:val="none" w:sz="0" w:space="0" w:color="auto"/>
        <w:right w:val="none" w:sz="0" w:space="0" w:color="auto"/>
      </w:divBdr>
    </w:div>
    <w:div w:id="974217963">
      <w:bodyDiv w:val="1"/>
      <w:marLeft w:val="0"/>
      <w:marRight w:val="0"/>
      <w:marTop w:val="0"/>
      <w:marBottom w:val="0"/>
      <w:divBdr>
        <w:top w:val="none" w:sz="0" w:space="0" w:color="auto"/>
        <w:left w:val="none" w:sz="0" w:space="0" w:color="auto"/>
        <w:bottom w:val="none" w:sz="0" w:space="0" w:color="auto"/>
        <w:right w:val="none" w:sz="0" w:space="0" w:color="auto"/>
      </w:divBdr>
      <w:divsChild>
        <w:div w:id="1039013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684556">
      <w:bodyDiv w:val="1"/>
      <w:marLeft w:val="0"/>
      <w:marRight w:val="0"/>
      <w:marTop w:val="0"/>
      <w:marBottom w:val="0"/>
      <w:divBdr>
        <w:top w:val="none" w:sz="0" w:space="0" w:color="auto"/>
        <w:left w:val="none" w:sz="0" w:space="0" w:color="auto"/>
        <w:bottom w:val="none" w:sz="0" w:space="0" w:color="auto"/>
        <w:right w:val="none" w:sz="0" w:space="0" w:color="auto"/>
      </w:divBdr>
      <w:divsChild>
        <w:div w:id="1145855566">
          <w:marLeft w:val="274"/>
          <w:marRight w:val="0"/>
          <w:marTop w:val="0"/>
          <w:marBottom w:val="0"/>
          <w:divBdr>
            <w:top w:val="none" w:sz="0" w:space="0" w:color="auto"/>
            <w:left w:val="none" w:sz="0" w:space="0" w:color="auto"/>
            <w:bottom w:val="none" w:sz="0" w:space="0" w:color="auto"/>
            <w:right w:val="none" w:sz="0" w:space="0" w:color="auto"/>
          </w:divBdr>
        </w:div>
        <w:div w:id="1366756141">
          <w:marLeft w:val="274"/>
          <w:marRight w:val="0"/>
          <w:marTop w:val="0"/>
          <w:marBottom w:val="0"/>
          <w:divBdr>
            <w:top w:val="none" w:sz="0" w:space="0" w:color="auto"/>
            <w:left w:val="none" w:sz="0" w:space="0" w:color="auto"/>
            <w:bottom w:val="none" w:sz="0" w:space="0" w:color="auto"/>
            <w:right w:val="none" w:sz="0" w:space="0" w:color="auto"/>
          </w:divBdr>
        </w:div>
      </w:divsChild>
    </w:div>
    <w:div w:id="1017927425">
      <w:bodyDiv w:val="1"/>
      <w:marLeft w:val="0"/>
      <w:marRight w:val="0"/>
      <w:marTop w:val="0"/>
      <w:marBottom w:val="0"/>
      <w:divBdr>
        <w:top w:val="none" w:sz="0" w:space="0" w:color="auto"/>
        <w:left w:val="none" w:sz="0" w:space="0" w:color="auto"/>
        <w:bottom w:val="none" w:sz="0" w:space="0" w:color="auto"/>
        <w:right w:val="none" w:sz="0" w:space="0" w:color="auto"/>
      </w:divBdr>
    </w:div>
    <w:div w:id="1023361367">
      <w:bodyDiv w:val="1"/>
      <w:marLeft w:val="0"/>
      <w:marRight w:val="0"/>
      <w:marTop w:val="0"/>
      <w:marBottom w:val="0"/>
      <w:divBdr>
        <w:top w:val="none" w:sz="0" w:space="0" w:color="auto"/>
        <w:left w:val="none" w:sz="0" w:space="0" w:color="auto"/>
        <w:bottom w:val="none" w:sz="0" w:space="0" w:color="auto"/>
        <w:right w:val="none" w:sz="0" w:space="0" w:color="auto"/>
      </w:divBdr>
    </w:div>
    <w:div w:id="1023871249">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520684">
      <w:bodyDiv w:val="1"/>
      <w:marLeft w:val="0"/>
      <w:marRight w:val="0"/>
      <w:marTop w:val="0"/>
      <w:marBottom w:val="0"/>
      <w:divBdr>
        <w:top w:val="none" w:sz="0" w:space="0" w:color="auto"/>
        <w:left w:val="none" w:sz="0" w:space="0" w:color="auto"/>
        <w:bottom w:val="none" w:sz="0" w:space="0" w:color="auto"/>
        <w:right w:val="none" w:sz="0" w:space="0" w:color="auto"/>
      </w:divBdr>
      <w:divsChild>
        <w:div w:id="1949461156">
          <w:marLeft w:val="0"/>
          <w:marRight w:val="0"/>
          <w:marTop w:val="0"/>
          <w:marBottom w:val="0"/>
          <w:divBdr>
            <w:top w:val="none" w:sz="0" w:space="0" w:color="auto"/>
            <w:left w:val="none" w:sz="0" w:space="0" w:color="auto"/>
            <w:bottom w:val="none" w:sz="0" w:space="0" w:color="auto"/>
            <w:right w:val="none" w:sz="0" w:space="0" w:color="auto"/>
          </w:divBdr>
          <w:divsChild>
            <w:div w:id="457576739">
              <w:marLeft w:val="0"/>
              <w:marRight w:val="0"/>
              <w:marTop w:val="0"/>
              <w:marBottom w:val="0"/>
              <w:divBdr>
                <w:top w:val="none" w:sz="0" w:space="0" w:color="auto"/>
                <w:left w:val="none" w:sz="0" w:space="0" w:color="auto"/>
                <w:bottom w:val="none" w:sz="0" w:space="0" w:color="auto"/>
                <w:right w:val="none" w:sz="0" w:space="0" w:color="auto"/>
              </w:divBdr>
              <w:divsChild>
                <w:div w:id="132602046">
                  <w:marLeft w:val="0"/>
                  <w:marRight w:val="0"/>
                  <w:marTop w:val="0"/>
                  <w:marBottom w:val="0"/>
                  <w:divBdr>
                    <w:top w:val="none" w:sz="0" w:space="0" w:color="auto"/>
                    <w:left w:val="none" w:sz="0" w:space="0" w:color="auto"/>
                    <w:bottom w:val="none" w:sz="0" w:space="0" w:color="auto"/>
                    <w:right w:val="none" w:sz="0" w:space="0" w:color="auto"/>
                  </w:divBdr>
                  <w:divsChild>
                    <w:div w:id="961765429">
                      <w:marLeft w:val="0"/>
                      <w:marRight w:val="0"/>
                      <w:marTop w:val="0"/>
                      <w:marBottom w:val="0"/>
                      <w:divBdr>
                        <w:top w:val="none" w:sz="0" w:space="0" w:color="auto"/>
                        <w:left w:val="none" w:sz="0" w:space="0" w:color="auto"/>
                        <w:bottom w:val="none" w:sz="0" w:space="0" w:color="auto"/>
                        <w:right w:val="none" w:sz="0" w:space="0" w:color="auto"/>
                      </w:divBdr>
                      <w:divsChild>
                        <w:div w:id="498737719">
                          <w:marLeft w:val="0"/>
                          <w:marRight w:val="0"/>
                          <w:marTop w:val="0"/>
                          <w:marBottom w:val="0"/>
                          <w:divBdr>
                            <w:top w:val="none" w:sz="0" w:space="0" w:color="auto"/>
                            <w:left w:val="none" w:sz="0" w:space="0" w:color="auto"/>
                            <w:bottom w:val="none" w:sz="0" w:space="0" w:color="auto"/>
                            <w:right w:val="none" w:sz="0" w:space="0" w:color="auto"/>
                          </w:divBdr>
                          <w:divsChild>
                            <w:div w:id="5064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5387">
      <w:bodyDiv w:val="1"/>
      <w:marLeft w:val="0"/>
      <w:marRight w:val="0"/>
      <w:marTop w:val="0"/>
      <w:marBottom w:val="0"/>
      <w:divBdr>
        <w:top w:val="none" w:sz="0" w:space="0" w:color="auto"/>
        <w:left w:val="none" w:sz="0" w:space="0" w:color="auto"/>
        <w:bottom w:val="none" w:sz="0" w:space="0" w:color="auto"/>
        <w:right w:val="none" w:sz="0" w:space="0" w:color="auto"/>
      </w:divBdr>
    </w:div>
    <w:div w:id="105732079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75782646">
      <w:bodyDiv w:val="1"/>
      <w:marLeft w:val="0"/>
      <w:marRight w:val="0"/>
      <w:marTop w:val="0"/>
      <w:marBottom w:val="0"/>
      <w:divBdr>
        <w:top w:val="none" w:sz="0" w:space="0" w:color="auto"/>
        <w:left w:val="none" w:sz="0" w:space="0" w:color="auto"/>
        <w:bottom w:val="none" w:sz="0" w:space="0" w:color="auto"/>
        <w:right w:val="none" w:sz="0" w:space="0" w:color="auto"/>
      </w:divBdr>
      <w:divsChild>
        <w:div w:id="1958637180">
          <w:marLeft w:val="-225"/>
          <w:marRight w:val="-225"/>
          <w:marTop w:val="0"/>
          <w:marBottom w:val="0"/>
          <w:divBdr>
            <w:top w:val="none" w:sz="0" w:space="0" w:color="auto"/>
            <w:left w:val="none" w:sz="0" w:space="0" w:color="auto"/>
            <w:bottom w:val="none" w:sz="0" w:space="0" w:color="auto"/>
            <w:right w:val="none" w:sz="0" w:space="0" w:color="auto"/>
          </w:divBdr>
          <w:divsChild>
            <w:div w:id="17214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2707">
      <w:bodyDiv w:val="1"/>
      <w:marLeft w:val="0"/>
      <w:marRight w:val="0"/>
      <w:marTop w:val="0"/>
      <w:marBottom w:val="0"/>
      <w:divBdr>
        <w:top w:val="none" w:sz="0" w:space="0" w:color="auto"/>
        <w:left w:val="none" w:sz="0" w:space="0" w:color="auto"/>
        <w:bottom w:val="none" w:sz="0" w:space="0" w:color="auto"/>
        <w:right w:val="none" w:sz="0" w:space="0" w:color="auto"/>
      </w:divBdr>
    </w:div>
    <w:div w:id="1117067369">
      <w:bodyDiv w:val="1"/>
      <w:marLeft w:val="0"/>
      <w:marRight w:val="0"/>
      <w:marTop w:val="0"/>
      <w:marBottom w:val="0"/>
      <w:divBdr>
        <w:top w:val="none" w:sz="0" w:space="0" w:color="auto"/>
        <w:left w:val="none" w:sz="0" w:space="0" w:color="auto"/>
        <w:bottom w:val="none" w:sz="0" w:space="0" w:color="auto"/>
        <w:right w:val="none" w:sz="0" w:space="0" w:color="auto"/>
      </w:divBdr>
    </w:div>
    <w:div w:id="1131826992">
      <w:bodyDiv w:val="1"/>
      <w:marLeft w:val="0"/>
      <w:marRight w:val="0"/>
      <w:marTop w:val="0"/>
      <w:marBottom w:val="0"/>
      <w:divBdr>
        <w:top w:val="none" w:sz="0" w:space="0" w:color="auto"/>
        <w:left w:val="none" w:sz="0" w:space="0" w:color="auto"/>
        <w:bottom w:val="none" w:sz="0" w:space="0" w:color="auto"/>
        <w:right w:val="none" w:sz="0" w:space="0" w:color="auto"/>
      </w:divBdr>
    </w:div>
    <w:div w:id="1132288719">
      <w:bodyDiv w:val="1"/>
      <w:marLeft w:val="0"/>
      <w:marRight w:val="0"/>
      <w:marTop w:val="0"/>
      <w:marBottom w:val="0"/>
      <w:divBdr>
        <w:top w:val="none" w:sz="0" w:space="0" w:color="auto"/>
        <w:left w:val="none" w:sz="0" w:space="0" w:color="auto"/>
        <w:bottom w:val="none" w:sz="0" w:space="0" w:color="auto"/>
        <w:right w:val="none" w:sz="0" w:space="0" w:color="auto"/>
      </w:divBdr>
    </w:div>
    <w:div w:id="1141532984">
      <w:bodyDiv w:val="1"/>
      <w:marLeft w:val="0"/>
      <w:marRight w:val="0"/>
      <w:marTop w:val="0"/>
      <w:marBottom w:val="0"/>
      <w:divBdr>
        <w:top w:val="none" w:sz="0" w:space="0" w:color="auto"/>
        <w:left w:val="none" w:sz="0" w:space="0" w:color="auto"/>
        <w:bottom w:val="none" w:sz="0" w:space="0" w:color="auto"/>
        <w:right w:val="none" w:sz="0" w:space="0" w:color="auto"/>
      </w:divBdr>
    </w:div>
    <w:div w:id="1152407551">
      <w:bodyDiv w:val="1"/>
      <w:marLeft w:val="0"/>
      <w:marRight w:val="0"/>
      <w:marTop w:val="0"/>
      <w:marBottom w:val="0"/>
      <w:divBdr>
        <w:top w:val="none" w:sz="0" w:space="0" w:color="auto"/>
        <w:left w:val="none" w:sz="0" w:space="0" w:color="auto"/>
        <w:bottom w:val="none" w:sz="0" w:space="0" w:color="auto"/>
        <w:right w:val="none" w:sz="0" w:space="0" w:color="auto"/>
      </w:divBdr>
      <w:divsChild>
        <w:div w:id="1974747119">
          <w:marLeft w:val="274"/>
          <w:marRight w:val="0"/>
          <w:marTop w:val="0"/>
          <w:marBottom w:val="0"/>
          <w:divBdr>
            <w:top w:val="none" w:sz="0" w:space="0" w:color="auto"/>
            <w:left w:val="none" w:sz="0" w:space="0" w:color="auto"/>
            <w:bottom w:val="none" w:sz="0" w:space="0" w:color="auto"/>
            <w:right w:val="none" w:sz="0" w:space="0" w:color="auto"/>
          </w:divBdr>
        </w:div>
      </w:divsChild>
    </w:div>
    <w:div w:id="1160198298">
      <w:bodyDiv w:val="1"/>
      <w:marLeft w:val="0"/>
      <w:marRight w:val="0"/>
      <w:marTop w:val="0"/>
      <w:marBottom w:val="0"/>
      <w:divBdr>
        <w:top w:val="none" w:sz="0" w:space="0" w:color="auto"/>
        <w:left w:val="none" w:sz="0" w:space="0" w:color="auto"/>
        <w:bottom w:val="none" w:sz="0" w:space="0" w:color="auto"/>
        <w:right w:val="none" w:sz="0" w:space="0" w:color="auto"/>
      </w:divBdr>
    </w:div>
    <w:div w:id="1162770046">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sChild>
        <w:div w:id="1824736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9929421">
      <w:bodyDiv w:val="1"/>
      <w:marLeft w:val="0"/>
      <w:marRight w:val="0"/>
      <w:marTop w:val="0"/>
      <w:marBottom w:val="0"/>
      <w:divBdr>
        <w:top w:val="none" w:sz="0" w:space="0" w:color="auto"/>
        <w:left w:val="none" w:sz="0" w:space="0" w:color="auto"/>
        <w:bottom w:val="none" w:sz="0" w:space="0" w:color="auto"/>
        <w:right w:val="none" w:sz="0" w:space="0" w:color="auto"/>
      </w:divBdr>
    </w:div>
    <w:div w:id="1217280064">
      <w:bodyDiv w:val="1"/>
      <w:marLeft w:val="0"/>
      <w:marRight w:val="0"/>
      <w:marTop w:val="0"/>
      <w:marBottom w:val="0"/>
      <w:divBdr>
        <w:top w:val="none" w:sz="0" w:space="0" w:color="auto"/>
        <w:left w:val="none" w:sz="0" w:space="0" w:color="auto"/>
        <w:bottom w:val="none" w:sz="0" w:space="0" w:color="auto"/>
        <w:right w:val="none" w:sz="0" w:space="0" w:color="auto"/>
      </w:divBdr>
    </w:div>
    <w:div w:id="1225792535">
      <w:bodyDiv w:val="1"/>
      <w:marLeft w:val="0"/>
      <w:marRight w:val="0"/>
      <w:marTop w:val="0"/>
      <w:marBottom w:val="0"/>
      <w:divBdr>
        <w:top w:val="none" w:sz="0" w:space="0" w:color="auto"/>
        <w:left w:val="none" w:sz="0" w:space="0" w:color="auto"/>
        <w:bottom w:val="none" w:sz="0" w:space="0" w:color="auto"/>
        <w:right w:val="none" w:sz="0" w:space="0" w:color="auto"/>
      </w:divBdr>
    </w:div>
    <w:div w:id="1236741133">
      <w:bodyDiv w:val="1"/>
      <w:marLeft w:val="0"/>
      <w:marRight w:val="0"/>
      <w:marTop w:val="0"/>
      <w:marBottom w:val="0"/>
      <w:divBdr>
        <w:top w:val="none" w:sz="0" w:space="0" w:color="auto"/>
        <w:left w:val="none" w:sz="0" w:space="0" w:color="auto"/>
        <w:bottom w:val="none" w:sz="0" w:space="0" w:color="auto"/>
        <w:right w:val="none" w:sz="0" w:space="0" w:color="auto"/>
      </w:divBdr>
      <w:divsChild>
        <w:div w:id="759790389">
          <w:marLeft w:val="274"/>
          <w:marRight w:val="0"/>
          <w:marTop w:val="0"/>
          <w:marBottom w:val="0"/>
          <w:divBdr>
            <w:top w:val="none" w:sz="0" w:space="0" w:color="auto"/>
            <w:left w:val="none" w:sz="0" w:space="0" w:color="auto"/>
            <w:bottom w:val="none" w:sz="0" w:space="0" w:color="auto"/>
            <w:right w:val="none" w:sz="0" w:space="0" w:color="auto"/>
          </w:divBdr>
        </w:div>
      </w:divsChild>
    </w:div>
    <w:div w:id="1238635382">
      <w:bodyDiv w:val="1"/>
      <w:marLeft w:val="0"/>
      <w:marRight w:val="0"/>
      <w:marTop w:val="0"/>
      <w:marBottom w:val="0"/>
      <w:divBdr>
        <w:top w:val="none" w:sz="0" w:space="0" w:color="auto"/>
        <w:left w:val="none" w:sz="0" w:space="0" w:color="auto"/>
        <w:bottom w:val="none" w:sz="0" w:space="0" w:color="auto"/>
        <w:right w:val="none" w:sz="0" w:space="0" w:color="auto"/>
      </w:divBdr>
    </w:div>
    <w:div w:id="1260337081">
      <w:bodyDiv w:val="1"/>
      <w:marLeft w:val="0"/>
      <w:marRight w:val="0"/>
      <w:marTop w:val="0"/>
      <w:marBottom w:val="0"/>
      <w:divBdr>
        <w:top w:val="none" w:sz="0" w:space="0" w:color="auto"/>
        <w:left w:val="none" w:sz="0" w:space="0" w:color="auto"/>
        <w:bottom w:val="none" w:sz="0" w:space="0" w:color="auto"/>
        <w:right w:val="none" w:sz="0" w:space="0" w:color="auto"/>
      </w:divBdr>
      <w:divsChild>
        <w:div w:id="1115834635">
          <w:marLeft w:val="274"/>
          <w:marRight w:val="0"/>
          <w:marTop w:val="0"/>
          <w:marBottom w:val="0"/>
          <w:divBdr>
            <w:top w:val="none" w:sz="0" w:space="0" w:color="auto"/>
            <w:left w:val="none" w:sz="0" w:space="0" w:color="auto"/>
            <w:bottom w:val="none" w:sz="0" w:space="0" w:color="auto"/>
            <w:right w:val="none" w:sz="0" w:space="0" w:color="auto"/>
          </w:divBdr>
        </w:div>
      </w:divsChild>
    </w:div>
    <w:div w:id="1269851109">
      <w:bodyDiv w:val="1"/>
      <w:marLeft w:val="0"/>
      <w:marRight w:val="0"/>
      <w:marTop w:val="0"/>
      <w:marBottom w:val="0"/>
      <w:divBdr>
        <w:top w:val="none" w:sz="0" w:space="0" w:color="auto"/>
        <w:left w:val="none" w:sz="0" w:space="0" w:color="auto"/>
        <w:bottom w:val="none" w:sz="0" w:space="0" w:color="auto"/>
        <w:right w:val="none" w:sz="0" w:space="0" w:color="auto"/>
      </w:divBdr>
    </w:div>
    <w:div w:id="1269973281">
      <w:bodyDiv w:val="1"/>
      <w:marLeft w:val="0"/>
      <w:marRight w:val="0"/>
      <w:marTop w:val="0"/>
      <w:marBottom w:val="0"/>
      <w:divBdr>
        <w:top w:val="none" w:sz="0" w:space="0" w:color="auto"/>
        <w:left w:val="none" w:sz="0" w:space="0" w:color="auto"/>
        <w:bottom w:val="none" w:sz="0" w:space="0" w:color="auto"/>
        <w:right w:val="none" w:sz="0" w:space="0" w:color="auto"/>
      </w:divBdr>
      <w:divsChild>
        <w:div w:id="114461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730344">
      <w:bodyDiv w:val="1"/>
      <w:marLeft w:val="0"/>
      <w:marRight w:val="0"/>
      <w:marTop w:val="0"/>
      <w:marBottom w:val="0"/>
      <w:divBdr>
        <w:top w:val="none" w:sz="0" w:space="0" w:color="auto"/>
        <w:left w:val="none" w:sz="0" w:space="0" w:color="auto"/>
        <w:bottom w:val="none" w:sz="0" w:space="0" w:color="auto"/>
        <w:right w:val="none" w:sz="0" w:space="0" w:color="auto"/>
      </w:divBdr>
    </w:div>
    <w:div w:id="1306545203">
      <w:bodyDiv w:val="1"/>
      <w:marLeft w:val="0"/>
      <w:marRight w:val="0"/>
      <w:marTop w:val="0"/>
      <w:marBottom w:val="0"/>
      <w:divBdr>
        <w:top w:val="none" w:sz="0" w:space="0" w:color="auto"/>
        <w:left w:val="none" w:sz="0" w:space="0" w:color="auto"/>
        <w:bottom w:val="none" w:sz="0" w:space="0" w:color="auto"/>
        <w:right w:val="none" w:sz="0" w:space="0" w:color="auto"/>
      </w:divBdr>
    </w:div>
    <w:div w:id="1311205393">
      <w:bodyDiv w:val="1"/>
      <w:marLeft w:val="0"/>
      <w:marRight w:val="0"/>
      <w:marTop w:val="0"/>
      <w:marBottom w:val="0"/>
      <w:divBdr>
        <w:top w:val="none" w:sz="0" w:space="0" w:color="auto"/>
        <w:left w:val="none" w:sz="0" w:space="0" w:color="auto"/>
        <w:bottom w:val="none" w:sz="0" w:space="0" w:color="auto"/>
        <w:right w:val="none" w:sz="0" w:space="0" w:color="auto"/>
      </w:divBdr>
    </w:div>
    <w:div w:id="1313605416">
      <w:bodyDiv w:val="1"/>
      <w:marLeft w:val="0"/>
      <w:marRight w:val="0"/>
      <w:marTop w:val="0"/>
      <w:marBottom w:val="0"/>
      <w:divBdr>
        <w:top w:val="none" w:sz="0" w:space="0" w:color="auto"/>
        <w:left w:val="none" w:sz="0" w:space="0" w:color="auto"/>
        <w:bottom w:val="none" w:sz="0" w:space="0" w:color="auto"/>
        <w:right w:val="none" w:sz="0" w:space="0" w:color="auto"/>
      </w:divBdr>
    </w:div>
    <w:div w:id="1318651544">
      <w:bodyDiv w:val="1"/>
      <w:marLeft w:val="0"/>
      <w:marRight w:val="0"/>
      <w:marTop w:val="0"/>
      <w:marBottom w:val="0"/>
      <w:divBdr>
        <w:top w:val="none" w:sz="0" w:space="0" w:color="auto"/>
        <w:left w:val="none" w:sz="0" w:space="0" w:color="auto"/>
        <w:bottom w:val="none" w:sz="0" w:space="0" w:color="auto"/>
        <w:right w:val="none" w:sz="0" w:space="0" w:color="auto"/>
      </w:divBdr>
    </w:div>
    <w:div w:id="1384524651">
      <w:bodyDiv w:val="1"/>
      <w:marLeft w:val="0"/>
      <w:marRight w:val="0"/>
      <w:marTop w:val="0"/>
      <w:marBottom w:val="0"/>
      <w:divBdr>
        <w:top w:val="none" w:sz="0" w:space="0" w:color="auto"/>
        <w:left w:val="none" w:sz="0" w:space="0" w:color="auto"/>
        <w:bottom w:val="none" w:sz="0" w:space="0" w:color="auto"/>
        <w:right w:val="none" w:sz="0" w:space="0" w:color="auto"/>
      </w:divBdr>
    </w:div>
    <w:div w:id="1391921268">
      <w:bodyDiv w:val="1"/>
      <w:marLeft w:val="0"/>
      <w:marRight w:val="0"/>
      <w:marTop w:val="0"/>
      <w:marBottom w:val="0"/>
      <w:divBdr>
        <w:top w:val="none" w:sz="0" w:space="0" w:color="auto"/>
        <w:left w:val="none" w:sz="0" w:space="0" w:color="auto"/>
        <w:bottom w:val="none" w:sz="0" w:space="0" w:color="auto"/>
        <w:right w:val="none" w:sz="0" w:space="0" w:color="auto"/>
      </w:divBdr>
    </w:div>
    <w:div w:id="1402168486">
      <w:bodyDiv w:val="1"/>
      <w:marLeft w:val="0"/>
      <w:marRight w:val="0"/>
      <w:marTop w:val="0"/>
      <w:marBottom w:val="0"/>
      <w:divBdr>
        <w:top w:val="none" w:sz="0" w:space="0" w:color="auto"/>
        <w:left w:val="none" w:sz="0" w:space="0" w:color="auto"/>
        <w:bottom w:val="none" w:sz="0" w:space="0" w:color="auto"/>
        <w:right w:val="none" w:sz="0" w:space="0" w:color="auto"/>
      </w:divBdr>
    </w:div>
    <w:div w:id="1436439459">
      <w:bodyDiv w:val="1"/>
      <w:marLeft w:val="0"/>
      <w:marRight w:val="0"/>
      <w:marTop w:val="0"/>
      <w:marBottom w:val="0"/>
      <w:divBdr>
        <w:top w:val="none" w:sz="0" w:space="0" w:color="auto"/>
        <w:left w:val="none" w:sz="0" w:space="0" w:color="auto"/>
        <w:bottom w:val="none" w:sz="0" w:space="0" w:color="auto"/>
        <w:right w:val="none" w:sz="0" w:space="0" w:color="auto"/>
      </w:divBdr>
    </w:div>
    <w:div w:id="1438481090">
      <w:bodyDiv w:val="1"/>
      <w:marLeft w:val="0"/>
      <w:marRight w:val="0"/>
      <w:marTop w:val="0"/>
      <w:marBottom w:val="0"/>
      <w:divBdr>
        <w:top w:val="none" w:sz="0" w:space="0" w:color="auto"/>
        <w:left w:val="none" w:sz="0" w:space="0" w:color="auto"/>
        <w:bottom w:val="none" w:sz="0" w:space="0" w:color="auto"/>
        <w:right w:val="none" w:sz="0" w:space="0" w:color="auto"/>
      </w:divBdr>
    </w:div>
    <w:div w:id="1439372765">
      <w:bodyDiv w:val="1"/>
      <w:marLeft w:val="0"/>
      <w:marRight w:val="0"/>
      <w:marTop w:val="0"/>
      <w:marBottom w:val="0"/>
      <w:divBdr>
        <w:top w:val="none" w:sz="0" w:space="0" w:color="auto"/>
        <w:left w:val="none" w:sz="0" w:space="0" w:color="auto"/>
        <w:bottom w:val="none" w:sz="0" w:space="0" w:color="auto"/>
        <w:right w:val="none" w:sz="0" w:space="0" w:color="auto"/>
      </w:divBdr>
    </w:div>
    <w:div w:id="1443457988">
      <w:bodyDiv w:val="1"/>
      <w:marLeft w:val="0"/>
      <w:marRight w:val="0"/>
      <w:marTop w:val="0"/>
      <w:marBottom w:val="0"/>
      <w:divBdr>
        <w:top w:val="none" w:sz="0" w:space="0" w:color="auto"/>
        <w:left w:val="none" w:sz="0" w:space="0" w:color="auto"/>
        <w:bottom w:val="none" w:sz="0" w:space="0" w:color="auto"/>
        <w:right w:val="none" w:sz="0" w:space="0" w:color="auto"/>
      </w:divBdr>
    </w:div>
    <w:div w:id="1443497301">
      <w:bodyDiv w:val="1"/>
      <w:marLeft w:val="0"/>
      <w:marRight w:val="0"/>
      <w:marTop w:val="0"/>
      <w:marBottom w:val="0"/>
      <w:divBdr>
        <w:top w:val="none" w:sz="0" w:space="0" w:color="auto"/>
        <w:left w:val="none" w:sz="0" w:space="0" w:color="auto"/>
        <w:bottom w:val="none" w:sz="0" w:space="0" w:color="auto"/>
        <w:right w:val="none" w:sz="0" w:space="0" w:color="auto"/>
      </w:divBdr>
    </w:div>
    <w:div w:id="1444960320">
      <w:bodyDiv w:val="1"/>
      <w:marLeft w:val="0"/>
      <w:marRight w:val="0"/>
      <w:marTop w:val="0"/>
      <w:marBottom w:val="0"/>
      <w:divBdr>
        <w:top w:val="none" w:sz="0" w:space="0" w:color="auto"/>
        <w:left w:val="none" w:sz="0" w:space="0" w:color="auto"/>
        <w:bottom w:val="none" w:sz="0" w:space="0" w:color="auto"/>
        <w:right w:val="none" w:sz="0" w:space="0" w:color="auto"/>
      </w:divBdr>
    </w:div>
    <w:div w:id="1451977288">
      <w:bodyDiv w:val="1"/>
      <w:marLeft w:val="0"/>
      <w:marRight w:val="0"/>
      <w:marTop w:val="0"/>
      <w:marBottom w:val="0"/>
      <w:divBdr>
        <w:top w:val="none" w:sz="0" w:space="0" w:color="auto"/>
        <w:left w:val="none" w:sz="0" w:space="0" w:color="auto"/>
        <w:bottom w:val="none" w:sz="0" w:space="0" w:color="auto"/>
        <w:right w:val="none" w:sz="0" w:space="0" w:color="auto"/>
      </w:divBdr>
    </w:div>
    <w:div w:id="1466503401">
      <w:bodyDiv w:val="1"/>
      <w:marLeft w:val="0"/>
      <w:marRight w:val="0"/>
      <w:marTop w:val="0"/>
      <w:marBottom w:val="0"/>
      <w:divBdr>
        <w:top w:val="none" w:sz="0" w:space="0" w:color="auto"/>
        <w:left w:val="none" w:sz="0" w:space="0" w:color="auto"/>
        <w:bottom w:val="none" w:sz="0" w:space="0" w:color="auto"/>
        <w:right w:val="none" w:sz="0" w:space="0" w:color="auto"/>
      </w:divBdr>
    </w:div>
    <w:div w:id="1470824533">
      <w:bodyDiv w:val="1"/>
      <w:marLeft w:val="0"/>
      <w:marRight w:val="0"/>
      <w:marTop w:val="0"/>
      <w:marBottom w:val="0"/>
      <w:divBdr>
        <w:top w:val="none" w:sz="0" w:space="0" w:color="auto"/>
        <w:left w:val="none" w:sz="0" w:space="0" w:color="auto"/>
        <w:bottom w:val="none" w:sz="0" w:space="0" w:color="auto"/>
        <w:right w:val="none" w:sz="0" w:space="0" w:color="auto"/>
      </w:divBdr>
    </w:div>
    <w:div w:id="1502813026">
      <w:bodyDiv w:val="1"/>
      <w:marLeft w:val="0"/>
      <w:marRight w:val="0"/>
      <w:marTop w:val="0"/>
      <w:marBottom w:val="0"/>
      <w:divBdr>
        <w:top w:val="none" w:sz="0" w:space="0" w:color="auto"/>
        <w:left w:val="none" w:sz="0" w:space="0" w:color="auto"/>
        <w:bottom w:val="none" w:sz="0" w:space="0" w:color="auto"/>
        <w:right w:val="none" w:sz="0" w:space="0" w:color="auto"/>
      </w:divBdr>
    </w:div>
    <w:div w:id="1513184498">
      <w:bodyDiv w:val="1"/>
      <w:marLeft w:val="0"/>
      <w:marRight w:val="0"/>
      <w:marTop w:val="0"/>
      <w:marBottom w:val="0"/>
      <w:divBdr>
        <w:top w:val="none" w:sz="0" w:space="0" w:color="auto"/>
        <w:left w:val="none" w:sz="0" w:space="0" w:color="auto"/>
        <w:bottom w:val="none" w:sz="0" w:space="0" w:color="auto"/>
        <w:right w:val="none" w:sz="0" w:space="0" w:color="auto"/>
      </w:divBdr>
    </w:div>
    <w:div w:id="1519464215">
      <w:bodyDiv w:val="1"/>
      <w:marLeft w:val="0"/>
      <w:marRight w:val="0"/>
      <w:marTop w:val="0"/>
      <w:marBottom w:val="0"/>
      <w:divBdr>
        <w:top w:val="none" w:sz="0" w:space="0" w:color="auto"/>
        <w:left w:val="none" w:sz="0" w:space="0" w:color="auto"/>
        <w:bottom w:val="none" w:sz="0" w:space="0" w:color="auto"/>
        <w:right w:val="none" w:sz="0" w:space="0" w:color="auto"/>
      </w:divBdr>
    </w:div>
    <w:div w:id="1546596162">
      <w:bodyDiv w:val="1"/>
      <w:marLeft w:val="0"/>
      <w:marRight w:val="0"/>
      <w:marTop w:val="0"/>
      <w:marBottom w:val="0"/>
      <w:divBdr>
        <w:top w:val="none" w:sz="0" w:space="0" w:color="auto"/>
        <w:left w:val="none" w:sz="0" w:space="0" w:color="auto"/>
        <w:bottom w:val="none" w:sz="0" w:space="0" w:color="auto"/>
        <w:right w:val="none" w:sz="0" w:space="0" w:color="auto"/>
      </w:divBdr>
      <w:divsChild>
        <w:div w:id="260383531">
          <w:marLeft w:val="0"/>
          <w:marRight w:val="0"/>
          <w:marTop w:val="0"/>
          <w:marBottom w:val="0"/>
          <w:divBdr>
            <w:top w:val="none" w:sz="0" w:space="0" w:color="auto"/>
            <w:left w:val="none" w:sz="0" w:space="0" w:color="auto"/>
            <w:bottom w:val="none" w:sz="0" w:space="0" w:color="auto"/>
            <w:right w:val="none" w:sz="0" w:space="0" w:color="auto"/>
          </w:divBdr>
        </w:div>
        <w:div w:id="907422936">
          <w:marLeft w:val="0"/>
          <w:marRight w:val="0"/>
          <w:marTop w:val="0"/>
          <w:marBottom w:val="0"/>
          <w:divBdr>
            <w:top w:val="none" w:sz="0" w:space="0" w:color="auto"/>
            <w:left w:val="none" w:sz="0" w:space="0" w:color="auto"/>
            <w:bottom w:val="none" w:sz="0" w:space="0" w:color="auto"/>
            <w:right w:val="none" w:sz="0" w:space="0" w:color="auto"/>
          </w:divBdr>
        </w:div>
        <w:div w:id="2025589886">
          <w:marLeft w:val="0"/>
          <w:marRight w:val="0"/>
          <w:marTop w:val="0"/>
          <w:marBottom w:val="0"/>
          <w:divBdr>
            <w:top w:val="none" w:sz="0" w:space="0" w:color="auto"/>
            <w:left w:val="none" w:sz="0" w:space="0" w:color="auto"/>
            <w:bottom w:val="none" w:sz="0" w:space="0" w:color="auto"/>
            <w:right w:val="none" w:sz="0" w:space="0" w:color="auto"/>
          </w:divBdr>
        </w:div>
      </w:divsChild>
    </w:div>
    <w:div w:id="1599873019">
      <w:bodyDiv w:val="1"/>
      <w:marLeft w:val="0"/>
      <w:marRight w:val="0"/>
      <w:marTop w:val="0"/>
      <w:marBottom w:val="0"/>
      <w:divBdr>
        <w:top w:val="none" w:sz="0" w:space="0" w:color="auto"/>
        <w:left w:val="none" w:sz="0" w:space="0" w:color="auto"/>
        <w:bottom w:val="none" w:sz="0" w:space="0" w:color="auto"/>
        <w:right w:val="none" w:sz="0" w:space="0" w:color="auto"/>
      </w:divBdr>
    </w:div>
    <w:div w:id="1605767956">
      <w:bodyDiv w:val="1"/>
      <w:marLeft w:val="0"/>
      <w:marRight w:val="0"/>
      <w:marTop w:val="0"/>
      <w:marBottom w:val="0"/>
      <w:divBdr>
        <w:top w:val="none" w:sz="0" w:space="0" w:color="auto"/>
        <w:left w:val="none" w:sz="0" w:space="0" w:color="auto"/>
        <w:bottom w:val="none" w:sz="0" w:space="0" w:color="auto"/>
        <w:right w:val="none" w:sz="0" w:space="0" w:color="auto"/>
      </w:divBdr>
    </w:div>
    <w:div w:id="1619216303">
      <w:bodyDiv w:val="1"/>
      <w:marLeft w:val="0"/>
      <w:marRight w:val="0"/>
      <w:marTop w:val="0"/>
      <w:marBottom w:val="0"/>
      <w:divBdr>
        <w:top w:val="none" w:sz="0" w:space="0" w:color="auto"/>
        <w:left w:val="none" w:sz="0" w:space="0" w:color="auto"/>
        <w:bottom w:val="none" w:sz="0" w:space="0" w:color="auto"/>
        <w:right w:val="none" w:sz="0" w:space="0" w:color="auto"/>
      </w:divBdr>
    </w:div>
    <w:div w:id="1627463105">
      <w:bodyDiv w:val="1"/>
      <w:marLeft w:val="0"/>
      <w:marRight w:val="0"/>
      <w:marTop w:val="0"/>
      <w:marBottom w:val="0"/>
      <w:divBdr>
        <w:top w:val="none" w:sz="0" w:space="0" w:color="auto"/>
        <w:left w:val="none" w:sz="0" w:space="0" w:color="auto"/>
        <w:bottom w:val="none" w:sz="0" w:space="0" w:color="auto"/>
        <w:right w:val="none" w:sz="0" w:space="0" w:color="auto"/>
      </w:divBdr>
    </w:div>
    <w:div w:id="1629780273">
      <w:bodyDiv w:val="1"/>
      <w:marLeft w:val="0"/>
      <w:marRight w:val="0"/>
      <w:marTop w:val="0"/>
      <w:marBottom w:val="0"/>
      <w:divBdr>
        <w:top w:val="none" w:sz="0" w:space="0" w:color="auto"/>
        <w:left w:val="none" w:sz="0" w:space="0" w:color="auto"/>
        <w:bottom w:val="none" w:sz="0" w:space="0" w:color="auto"/>
        <w:right w:val="none" w:sz="0" w:space="0" w:color="auto"/>
      </w:divBdr>
    </w:div>
    <w:div w:id="1659535347">
      <w:bodyDiv w:val="1"/>
      <w:marLeft w:val="0"/>
      <w:marRight w:val="0"/>
      <w:marTop w:val="0"/>
      <w:marBottom w:val="0"/>
      <w:divBdr>
        <w:top w:val="none" w:sz="0" w:space="0" w:color="auto"/>
        <w:left w:val="none" w:sz="0" w:space="0" w:color="auto"/>
        <w:bottom w:val="none" w:sz="0" w:space="0" w:color="auto"/>
        <w:right w:val="none" w:sz="0" w:space="0" w:color="auto"/>
      </w:divBdr>
    </w:div>
    <w:div w:id="1670596762">
      <w:bodyDiv w:val="1"/>
      <w:marLeft w:val="0"/>
      <w:marRight w:val="0"/>
      <w:marTop w:val="0"/>
      <w:marBottom w:val="0"/>
      <w:divBdr>
        <w:top w:val="none" w:sz="0" w:space="0" w:color="auto"/>
        <w:left w:val="none" w:sz="0" w:space="0" w:color="auto"/>
        <w:bottom w:val="none" w:sz="0" w:space="0" w:color="auto"/>
        <w:right w:val="none" w:sz="0" w:space="0" w:color="auto"/>
      </w:divBdr>
      <w:divsChild>
        <w:div w:id="2070806614">
          <w:marLeft w:val="0"/>
          <w:marRight w:val="0"/>
          <w:marTop w:val="0"/>
          <w:marBottom w:val="0"/>
          <w:divBdr>
            <w:top w:val="none" w:sz="0" w:space="0" w:color="auto"/>
            <w:left w:val="none" w:sz="0" w:space="0" w:color="auto"/>
            <w:bottom w:val="none" w:sz="0" w:space="0" w:color="auto"/>
            <w:right w:val="none" w:sz="0" w:space="0" w:color="auto"/>
          </w:divBdr>
          <w:divsChild>
            <w:div w:id="1411199910">
              <w:marLeft w:val="0"/>
              <w:marRight w:val="0"/>
              <w:marTop w:val="0"/>
              <w:marBottom w:val="0"/>
              <w:divBdr>
                <w:top w:val="none" w:sz="0" w:space="0" w:color="auto"/>
                <w:left w:val="none" w:sz="0" w:space="0" w:color="auto"/>
                <w:bottom w:val="none" w:sz="0" w:space="0" w:color="auto"/>
                <w:right w:val="none" w:sz="0" w:space="0" w:color="auto"/>
              </w:divBdr>
              <w:divsChild>
                <w:div w:id="731739033">
                  <w:marLeft w:val="0"/>
                  <w:marRight w:val="0"/>
                  <w:marTop w:val="0"/>
                  <w:marBottom w:val="0"/>
                  <w:divBdr>
                    <w:top w:val="none" w:sz="0" w:space="0" w:color="auto"/>
                    <w:left w:val="none" w:sz="0" w:space="0" w:color="auto"/>
                    <w:bottom w:val="none" w:sz="0" w:space="0" w:color="auto"/>
                    <w:right w:val="none" w:sz="0" w:space="0" w:color="auto"/>
                  </w:divBdr>
                  <w:divsChild>
                    <w:div w:id="442194895">
                      <w:marLeft w:val="0"/>
                      <w:marRight w:val="0"/>
                      <w:marTop w:val="0"/>
                      <w:marBottom w:val="0"/>
                      <w:divBdr>
                        <w:top w:val="none" w:sz="0" w:space="0" w:color="auto"/>
                        <w:left w:val="none" w:sz="0" w:space="0" w:color="auto"/>
                        <w:bottom w:val="none" w:sz="0" w:space="0" w:color="auto"/>
                        <w:right w:val="none" w:sz="0" w:space="0" w:color="auto"/>
                      </w:divBdr>
                      <w:divsChild>
                        <w:div w:id="527989019">
                          <w:marLeft w:val="0"/>
                          <w:marRight w:val="0"/>
                          <w:marTop w:val="0"/>
                          <w:marBottom w:val="0"/>
                          <w:divBdr>
                            <w:top w:val="none" w:sz="0" w:space="0" w:color="auto"/>
                            <w:left w:val="none" w:sz="0" w:space="0" w:color="auto"/>
                            <w:bottom w:val="none" w:sz="0" w:space="0" w:color="auto"/>
                            <w:right w:val="none" w:sz="0" w:space="0" w:color="auto"/>
                          </w:divBdr>
                          <w:divsChild>
                            <w:div w:id="5486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755240">
      <w:bodyDiv w:val="1"/>
      <w:marLeft w:val="0"/>
      <w:marRight w:val="0"/>
      <w:marTop w:val="0"/>
      <w:marBottom w:val="0"/>
      <w:divBdr>
        <w:top w:val="none" w:sz="0" w:space="0" w:color="auto"/>
        <w:left w:val="none" w:sz="0" w:space="0" w:color="auto"/>
        <w:bottom w:val="none" w:sz="0" w:space="0" w:color="auto"/>
        <w:right w:val="none" w:sz="0" w:space="0" w:color="auto"/>
      </w:divBdr>
    </w:div>
    <w:div w:id="1675184451">
      <w:bodyDiv w:val="1"/>
      <w:marLeft w:val="0"/>
      <w:marRight w:val="0"/>
      <w:marTop w:val="0"/>
      <w:marBottom w:val="0"/>
      <w:divBdr>
        <w:top w:val="none" w:sz="0" w:space="0" w:color="auto"/>
        <w:left w:val="none" w:sz="0" w:space="0" w:color="auto"/>
        <w:bottom w:val="none" w:sz="0" w:space="0" w:color="auto"/>
        <w:right w:val="none" w:sz="0" w:space="0" w:color="auto"/>
      </w:divBdr>
    </w:div>
    <w:div w:id="1707097363">
      <w:bodyDiv w:val="1"/>
      <w:marLeft w:val="0"/>
      <w:marRight w:val="0"/>
      <w:marTop w:val="0"/>
      <w:marBottom w:val="0"/>
      <w:divBdr>
        <w:top w:val="none" w:sz="0" w:space="0" w:color="auto"/>
        <w:left w:val="none" w:sz="0" w:space="0" w:color="auto"/>
        <w:bottom w:val="none" w:sz="0" w:space="0" w:color="auto"/>
        <w:right w:val="none" w:sz="0" w:space="0" w:color="auto"/>
      </w:divBdr>
    </w:div>
    <w:div w:id="1714304065">
      <w:bodyDiv w:val="1"/>
      <w:marLeft w:val="0"/>
      <w:marRight w:val="0"/>
      <w:marTop w:val="0"/>
      <w:marBottom w:val="0"/>
      <w:divBdr>
        <w:top w:val="none" w:sz="0" w:space="0" w:color="auto"/>
        <w:left w:val="none" w:sz="0" w:space="0" w:color="auto"/>
        <w:bottom w:val="none" w:sz="0" w:space="0" w:color="auto"/>
        <w:right w:val="none" w:sz="0" w:space="0" w:color="auto"/>
      </w:divBdr>
    </w:div>
    <w:div w:id="1739092003">
      <w:bodyDiv w:val="1"/>
      <w:marLeft w:val="0"/>
      <w:marRight w:val="0"/>
      <w:marTop w:val="0"/>
      <w:marBottom w:val="0"/>
      <w:divBdr>
        <w:top w:val="none" w:sz="0" w:space="0" w:color="auto"/>
        <w:left w:val="none" w:sz="0" w:space="0" w:color="auto"/>
        <w:bottom w:val="none" w:sz="0" w:space="0" w:color="auto"/>
        <w:right w:val="none" w:sz="0" w:space="0" w:color="auto"/>
      </w:divBdr>
    </w:div>
    <w:div w:id="1750157646">
      <w:bodyDiv w:val="1"/>
      <w:marLeft w:val="0"/>
      <w:marRight w:val="0"/>
      <w:marTop w:val="0"/>
      <w:marBottom w:val="0"/>
      <w:divBdr>
        <w:top w:val="none" w:sz="0" w:space="0" w:color="auto"/>
        <w:left w:val="none" w:sz="0" w:space="0" w:color="auto"/>
        <w:bottom w:val="none" w:sz="0" w:space="0" w:color="auto"/>
        <w:right w:val="none" w:sz="0" w:space="0" w:color="auto"/>
      </w:divBdr>
      <w:divsChild>
        <w:div w:id="2143113705">
          <w:marLeft w:val="274"/>
          <w:marRight w:val="0"/>
          <w:marTop w:val="0"/>
          <w:marBottom w:val="0"/>
          <w:divBdr>
            <w:top w:val="none" w:sz="0" w:space="0" w:color="auto"/>
            <w:left w:val="none" w:sz="0" w:space="0" w:color="auto"/>
            <w:bottom w:val="none" w:sz="0" w:space="0" w:color="auto"/>
            <w:right w:val="none" w:sz="0" w:space="0" w:color="auto"/>
          </w:divBdr>
        </w:div>
      </w:divsChild>
    </w:div>
    <w:div w:id="1764760236">
      <w:bodyDiv w:val="1"/>
      <w:marLeft w:val="0"/>
      <w:marRight w:val="0"/>
      <w:marTop w:val="0"/>
      <w:marBottom w:val="0"/>
      <w:divBdr>
        <w:top w:val="none" w:sz="0" w:space="0" w:color="auto"/>
        <w:left w:val="none" w:sz="0" w:space="0" w:color="auto"/>
        <w:bottom w:val="none" w:sz="0" w:space="0" w:color="auto"/>
        <w:right w:val="none" w:sz="0" w:space="0" w:color="auto"/>
      </w:divBdr>
      <w:divsChild>
        <w:div w:id="93745880">
          <w:marLeft w:val="274"/>
          <w:marRight w:val="0"/>
          <w:marTop w:val="0"/>
          <w:marBottom w:val="0"/>
          <w:divBdr>
            <w:top w:val="none" w:sz="0" w:space="0" w:color="auto"/>
            <w:left w:val="none" w:sz="0" w:space="0" w:color="auto"/>
            <w:bottom w:val="none" w:sz="0" w:space="0" w:color="auto"/>
            <w:right w:val="none" w:sz="0" w:space="0" w:color="auto"/>
          </w:divBdr>
        </w:div>
      </w:divsChild>
    </w:div>
    <w:div w:id="1767194897">
      <w:bodyDiv w:val="1"/>
      <w:marLeft w:val="0"/>
      <w:marRight w:val="0"/>
      <w:marTop w:val="0"/>
      <w:marBottom w:val="0"/>
      <w:divBdr>
        <w:top w:val="none" w:sz="0" w:space="0" w:color="auto"/>
        <w:left w:val="none" w:sz="0" w:space="0" w:color="auto"/>
        <w:bottom w:val="none" w:sz="0" w:space="0" w:color="auto"/>
        <w:right w:val="none" w:sz="0" w:space="0" w:color="auto"/>
      </w:divBdr>
    </w:div>
    <w:div w:id="1777678659">
      <w:bodyDiv w:val="1"/>
      <w:marLeft w:val="0"/>
      <w:marRight w:val="0"/>
      <w:marTop w:val="0"/>
      <w:marBottom w:val="0"/>
      <w:divBdr>
        <w:top w:val="none" w:sz="0" w:space="0" w:color="auto"/>
        <w:left w:val="none" w:sz="0" w:space="0" w:color="auto"/>
        <w:bottom w:val="none" w:sz="0" w:space="0" w:color="auto"/>
        <w:right w:val="none" w:sz="0" w:space="0" w:color="auto"/>
      </w:divBdr>
    </w:div>
    <w:div w:id="1786461437">
      <w:bodyDiv w:val="1"/>
      <w:marLeft w:val="0"/>
      <w:marRight w:val="0"/>
      <w:marTop w:val="0"/>
      <w:marBottom w:val="0"/>
      <w:divBdr>
        <w:top w:val="none" w:sz="0" w:space="0" w:color="auto"/>
        <w:left w:val="none" w:sz="0" w:space="0" w:color="auto"/>
        <w:bottom w:val="none" w:sz="0" w:space="0" w:color="auto"/>
        <w:right w:val="none" w:sz="0" w:space="0" w:color="auto"/>
      </w:divBdr>
    </w:div>
    <w:div w:id="1798252033">
      <w:bodyDiv w:val="1"/>
      <w:marLeft w:val="0"/>
      <w:marRight w:val="0"/>
      <w:marTop w:val="0"/>
      <w:marBottom w:val="0"/>
      <w:divBdr>
        <w:top w:val="none" w:sz="0" w:space="0" w:color="auto"/>
        <w:left w:val="none" w:sz="0" w:space="0" w:color="auto"/>
        <w:bottom w:val="none" w:sz="0" w:space="0" w:color="auto"/>
        <w:right w:val="none" w:sz="0" w:space="0" w:color="auto"/>
      </w:divBdr>
      <w:divsChild>
        <w:div w:id="744302097">
          <w:marLeft w:val="0"/>
          <w:marRight w:val="0"/>
          <w:marTop w:val="0"/>
          <w:marBottom w:val="0"/>
          <w:divBdr>
            <w:top w:val="none" w:sz="0" w:space="0" w:color="auto"/>
            <w:left w:val="none" w:sz="0" w:space="0" w:color="auto"/>
            <w:bottom w:val="none" w:sz="0" w:space="0" w:color="auto"/>
            <w:right w:val="none" w:sz="0" w:space="0" w:color="auto"/>
          </w:divBdr>
          <w:divsChild>
            <w:div w:id="394398718">
              <w:marLeft w:val="0"/>
              <w:marRight w:val="0"/>
              <w:marTop w:val="0"/>
              <w:marBottom w:val="0"/>
              <w:divBdr>
                <w:top w:val="none" w:sz="0" w:space="0" w:color="auto"/>
                <w:left w:val="none" w:sz="0" w:space="0" w:color="auto"/>
                <w:bottom w:val="none" w:sz="0" w:space="0" w:color="auto"/>
                <w:right w:val="none" w:sz="0" w:space="0" w:color="auto"/>
              </w:divBdr>
              <w:divsChild>
                <w:div w:id="680931859">
                  <w:marLeft w:val="0"/>
                  <w:marRight w:val="0"/>
                  <w:marTop w:val="0"/>
                  <w:marBottom w:val="0"/>
                  <w:divBdr>
                    <w:top w:val="none" w:sz="0" w:space="0" w:color="auto"/>
                    <w:left w:val="none" w:sz="0" w:space="0" w:color="auto"/>
                    <w:bottom w:val="none" w:sz="0" w:space="0" w:color="auto"/>
                    <w:right w:val="none" w:sz="0" w:space="0" w:color="auto"/>
                  </w:divBdr>
                  <w:divsChild>
                    <w:div w:id="1872910163">
                      <w:marLeft w:val="0"/>
                      <w:marRight w:val="0"/>
                      <w:marTop w:val="0"/>
                      <w:marBottom w:val="0"/>
                      <w:divBdr>
                        <w:top w:val="none" w:sz="0" w:space="0" w:color="auto"/>
                        <w:left w:val="none" w:sz="0" w:space="0" w:color="auto"/>
                        <w:bottom w:val="none" w:sz="0" w:space="0" w:color="auto"/>
                        <w:right w:val="none" w:sz="0" w:space="0" w:color="auto"/>
                      </w:divBdr>
                      <w:divsChild>
                        <w:div w:id="1591965310">
                          <w:marLeft w:val="0"/>
                          <w:marRight w:val="0"/>
                          <w:marTop w:val="0"/>
                          <w:marBottom w:val="0"/>
                          <w:divBdr>
                            <w:top w:val="none" w:sz="0" w:space="0" w:color="auto"/>
                            <w:left w:val="none" w:sz="0" w:space="0" w:color="auto"/>
                            <w:bottom w:val="none" w:sz="0" w:space="0" w:color="auto"/>
                            <w:right w:val="none" w:sz="0" w:space="0" w:color="auto"/>
                          </w:divBdr>
                          <w:divsChild>
                            <w:div w:id="14932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6117977">
      <w:bodyDiv w:val="1"/>
      <w:marLeft w:val="0"/>
      <w:marRight w:val="0"/>
      <w:marTop w:val="0"/>
      <w:marBottom w:val="0"/>
      <w:divBdr>
        <w:top w:val="none" w:sz="0" w:space="0" w:color="auto"/>
        <w:left w:val="none" w:sz="0" w:space="0" w:color="auto"/>
        <w:bottom w:val="none" w:sz="0" w:space="0" w:color="auto"/>
        <w:right w:val="none" w:sz="0" w:space="0" w:color="auto"/>
      </w:divBdr>
    </w:div>
    <w:div w:id="1807233240">
      <w:bodyDiv w:val="1"/>
      <w:marLeft w:val="0"/>
      <w:marRight w:val="0"/>
      <w:marTop w:val="0"/>
      <w:marBottom w:val="0"/>
      <w:divBdr>
        <w:top w:val="none" w:sz="0" w:space="0" w:color="auto"/>
        <w:left w:val="none" w:sz="0" w:space="0" w:color="auto"/>
        <w:bottom w:val="none" w:sz="0" w:space="0" w:color="auto"/>
        <w:right w:val="none" w:sz="0" w:space="0" w:color="auto"/>
      </w:divBdr>
    </w:div>
    <w:div w:id="1807236667">
      <w:bodyDiv w:val="1"/>
      <w:marLeft w:val="0"/>
      <w:marRight w:val="0"/>
      <w:marTop w:val="0"/>
      <w:marBottom w:val="0"/>
      <w:divBdr>
        <w:top w:val="none" w:sz="0" w:space="0" w:color="auto"/>
        <w:left w:val="none" w:sz="0" w:space="0" w:color="auto"/>
        <w:bottom w:val="none" w:sz="0" w:space="0" w:color="auto"/>
        <w:right w:val="none" w:sz="0" w:space="0" w:color="auto"/>
      </w:divBdr>
    </w:div>
    <w:div w:id="1809127663">
      <w:bodyDiv w:val="1"/>
      <w:marLeft w:val="0"/>
      <w:marRight w:val="0"/>
      <w:marTop w:val="0"/>
      <w:marBottom w:val="0"/>
      <w:divBdr>
        <w:top w:val="none" w:sz="0" w:space="0" w:color="auto"/>
        <w:left w:val="none" w:sz="0" w:space="0" w:color="auto"/>
        <w:bottom w:val="none" w:sz="0" w:space="0" w:color="auto"/>
        <w:right w:val="none" w:sz="0" w:space="0" w:color="auto"/>
      </w:divBdr>
    </w:div>
    <w:div w:id="1812744783">
      <w:bodyDiv w:val="1"/>
      <w:marLeft w:val="0"/>
      <w:marRight w:val="0"/>
      <w:marTop w:val="0"/>
      <w:marBottom w:val="0"/>
      <w:divBdr>
        <w:top w:val="none" w:sz="0" w:space="0" w:color="auto"/>
        <w:left w:val="none" w:sz="0" w:space="0" w:color="auto"/>
        <w:bottom w:val="none" w:sz="0" w:space="0" w:color="auto"/>
        <w:right w:val="none" w:sz="0" w:space="0" w:color="auto"/>
      </w:divBdr>
    </w:div>
    <w:div w:id="1816678413">
      <w:bodyDiv w:val="1"/>
      <w:marLeft w:val="0"/>
      <w:marRight w:val="0"/>
      <w:marTop w:val="0"/>
      <w:marBottom w:val="0"/>
      <w:divBdr>
        <w:top w:val="none" w:sz="0" w:space="0" w:color="auto"/>
        <w:left w:val="none" w:sz="0" w:space="0" w:color="auto"/>
        <w:bottom w:val="none" w:sz="0" w:space="0" w:color="auto"/>
        <w:right w:val="none" w:sz="0" w:space="0" w:color="auto"/>
      </w:divBdr>
    </w:div>
    <w:div w:id="1833639516">
      <w:bodyDiv w:val="1"/>
      <w:marLeft w:val="0"/>
      <w:marRight w:val="0"/>
      <w:marTop w:val="0"/>
      <w:marBottom w:val="0"/>
      <w:divBdr>
        <w:top w:val="none" w:sz="0" w:space="0" w:color="auto"/>
        <w:left w:val="none" w:sz="0" w:space="0" w:color="auto"/>
        <w:bottom w:val="none" w:sz="0" w:space="0" w:color="auto"/>
        <w:right w:val="none" w:sz="0" w:space="0" w:color="auto"/>
      </w:divBdr>
    </w:div>
    <w:div w:id="1837458802">
      <w:bodyDiv w:val="1"/>
      <w:marLeft w:val="0"/>
      <w:marRight w:val="0"/>
      <w:marTop w:val="0"/>
      <w:marBottom w:val="0"/>
      <w:divBdr>
        <w:top w:val="none" w:sz="0" w:space="0" w:color="auto"/>
        <w:left w:val="none" w:sz="0" w:space="0" w:color="auto"/>
        <w:bottom w:val="none" w:sz="0" w:space="0" w:color="auto"/>
        <w:right w:val="none" w:sz="0" w:space="0" w:color="auto"/>
      </w:divBdr>
    </w:div>
    <w:div w:id="1843934371">
      <w:bodyDiv w:val="1"/>
      <w:marLeft w:val="0"/>
      <w:marRight w:val="0"/>
      <w:marTop w:val="0"/>
      <w:marBottom w:val="0"/>
      <w:divBdr>
        <w:top w:val="none" w:sz="0" w:space="0" w:color="auto"/>
        <w:left w:val="none" w:sz="0" w:space="0" w:color="auto"/>
        <w:bottom w:val="none" w:sz="0" w:space="0" w:color="auto"/>
        <w:right w:val="none" w:sz="0" w:space="0" w:color="auto"/>
      </w:divBdr>
      <w:divsChild>
        <w:div w:id="92626363">
          <w:marLeft w:val="0"/>
          <w:marRight w:val="0"/>
          <w:marTop w:val="0"/>
          <w:marBottom w:val="0"/>
          <w:divBdr>
            <w:top w:val="none" w:sz="0" w:space="0" w:color="auto"/>
            <w:left w:val="none" w:sz="0" w:space="0" w:color="auto"/>
            <w:bottom w:val="none" w:sz="0" w:space="0" w:color="auto"/>
            <w:right w:val="none" w:sz="0" w:space="0" w:color="auto"/>
          </w:divBdr>
        </w:div>
        <w:div w:id="114296151">
          <w:marLeft w:val="0"/>
          <w:marRight w:val="0"/>
          <w:marTop w:val="0"/>
          <w:marBottom w:val="0"/>
          <w:divBdr>
            <w:top w:val="none" w:sz="0" w:space="0" w:color="auto"/>
            <w:left w:val="none" w:sz="0" w:space="0" w:color="auto"/>
            <w:bottom w:val="none" w:sz="0" w:space="0" w:color="auto"/>
            <w:right w:val="none" w:sz="0" w:space="0" w:color="auto"/>
          </w:divBdr>
        </w:div>
        <w:div w:id="241380185">
          <w:marLeft w:val="0"/>
          <w:marRight w:val="0"/>
          <w:marTop w:val="0"/>
          <w:marBottom w:val="0"/>
          <w:divBdr>
            <w:top w:val="none" w:sz="0" w:space="0" w:color="auto"/>
            <w:left w:val="none" w:sz="0" w:space="0" w:color="auto"/>
            <w:bottom w:val="none" w:sz="0" w:space="0" w:color="auto"/>
            <w:right w:val="none" w:sz="0" w:space="0" w:color="auto"/>
          </w:divBdr>
        </w:div>
        <w:div w:id="373123276">
          <w:marLeft w:val="0"/>
          <w:marRight w:val="0"/>
          <w:marTop w:val="0"/>
          <w:marBottom w:val="0"/>
          <w:divBdr>
            <w:top w:val="none" w:sz="0" w:space="0" w:color="auto"/>
            <w:left w:val="none" w:sz="0" w:space="0" w:color="auto"/>
            <w:bottom w:val="none" w:sz="0" w:space="0" w:color="auto"/>
            <w:right w:val="none" w:sz="0" w:space="0" w:color="auto"/>
          </w:divBdr>
        </w:div>
        <w:div w:id="591666057">
          <w:marLeft w:val="0"/>
          <w:marRight w:val="0"/>
          <w:marTop w:val="0"/>
          <w:marBottom w:val="0"/>
          <w:divBdr>
            <w:top w:val="none" w:sz="0" w:space="0" w:color="auto"/>
            <w:left w:val="none" w:sz="0" w:space="0" w:color="auto"/>
            <w:bottom w:val="none" w:sz="0" w:space="0" w:color="auto"/>
            <w:right w:val="none" w:sz="0" w:space="0" w:color="auto"/>
          </w:divBdr>
        </w:div>
        <w:div w:id="617562868">
          <w:marLeft w:val="0"/>
          <w:marRight w:val="0"/>
          <w:marTop w:val="0"/>
          <w:marBottom w:val="0"/>
          <w:divBdr>
            <w:top w:val="none" w:sz="0" w:space="0" w:color="auto"/>
            <w:left w:val="none" w:sz="0" w:space="0" w:color="auto"/>
            <w:bottom w:val="none" w:sz="0" w:space="0" w:color="auto"/>
            <w:right w:val="none" w:sz="0" w:space="0" w:color="auto"/>
          </w:divBdr>
          <w:divsChild>
            <w:div w:id="47992607">
              <w:marLeft w:val="0"/>
              <w:marRight w:val="0"/>
              <w:marTop w:val="0"/>
              <w:marBottom w:val="0"/>
              <w:divBdr>
                <w:top w:val="none" w:sz="0" w:space="0" w:color="auto"/>
                <w:left w:val="none" w:sz="0" w:space="0" w:color="auto"/>
                <w:bottom w:val="none" w:sz="0" w:space="0" w:color="auto"/>
                <w:right w:val="none" w:sz="0" w:space="0" w:color="auto"/>
              </w:divBdr>
            </w:div>
            <w:div w:id="334304877">
              <w:marLeft w:val="0"/>
              <w:marRight w:val="0"/>
              <w:marTop w:val="0"/>
              <w:marBottom w:val="0"/>
              <w:divBdr>
                <w:top w:val="none" w:sz="0" w:space="0" w:color="auto"/>
                <w:left w:val="none" w:sz="0" w:space="0" w:color="auto"/>
                <w:bottom w:val="none" w:sz="0" w:space="0" w:color="auto"/>
                <w:right w:val="none" w:sz="0" w:space="0" w:color="auto"/>
              </w:divBdr>
            </w:div>
            <w:div w:id="414202920">
              <w:marLeft w:val="0"/>
              <w:marRight w:val="0"/>
              <w:marTop w:val="0"/>
              <w:marBottom w:val="0"/>
              <w:divBdr>
                <w:top w:val="none" w:sz="0" w:space="0" w:color="auto"/>
                <w:left w:val="none" w:sz="0" w:space="0" w:color="auto"/>
                <w:bottom w:val="none" w:sz="0" w:space="0" w:color="auto"/>
                <w:right w:val="none" w:sz="0" w:space="0" w:color="auto"/>
              </w:divBdr>
            </w:div>
            <w:div w:id="583302787">
              <w:marLeft w:val="0"/>
              <w:marRight w:val="0"/>
              <w:marTop w:val="0"/>
              <w:marBottom w:val="0"/>
              <w:divBdr>
                <w:top w:val="none" w:sz="0" w:space="0" w:color="auto"/>
                <w:left w:val="none" w:sz="0" w:space="0" w:color="auto"/>
                <w:bottom w:val="none" w:sz="0" w:space="0" w:color="auto"/>
                <w:right w:val="none" w:sz="0" w:space="0" w:color="auto"/>
              </w:divBdr>
            </w:div>
            <w:div w:id="663708244">
              <w:marLeft w:val="0"/>
              <w:marRight w:val="0"/>
              <w:marTop w:val="0"/>
              <w:marBottom w:val="0"/>
              <w:divBdr>
                <w:top w:val="none" w:sz="0" w:space="0" w:color="auto"/>
                <w:left w:val="none" w:sz="0" w:space="0" w:color="auto"/>
                <w:bottom w:val="none" w:sz="0" w:space="0" w:color="auto"/>
                <w:right w:val="none" w:sz="0" w:space="0" w:color="auto"/>
              </w:divBdr>
            </w:div>
            <w:div w:id="771047694">
              <w:marLeft w:val="0"/>
              <w:marRight w:val="0"/>
              <w:marTop w:val="0"/>
              <w:marBottom w:val="0"/>
              <w:divBdr>
                <w:top w:val="none" w:sz="0" w:space="0" w:color="auto"/>
                <w:left w:val="none" w:sz="0" w:space="0" w:color="auto"/>
                <w:bottom w:val="none" w:sz="0" w:space="0" w:color="auto"/>
                <w:right w:val="none" w:sz="0" w:space="0" w:color="auto"/>
              </w:divBdr>
            </w:div>
            <w:div w:id="900596724">
              <w:marLeft w:val="0"/>
              <w:marRight w:val="0"/>
              <w:marTop w:val="0"/>
              <w:marBottom w:val="0"/>
              <w:divBdr>
                <w:top w:val="none" w:sz="0" w:space="0" w:color="auto"/>
                <w:left w:val="none" w:sz="0" w:space="0" w:color="auto"/>
                <w:bottom w:val="none" w:sz="0" w:space="0" w:color="auto"/>
                <w:right w:val="none" w:sz="0" w:space="0" w:color="auto"/>
              </w:divBdr>
            </w:div>
            <w:div w:id="977565364">
              <w:marLeft w:val="0"/>
              <w:marRight w:val="0"/>
              <w:marTop w:val="0"/>
              <w:marBottom w:val="0"/>
              <w:divBdr>
                <w:top w:val="none" w:sz="0" w:space="0" w:color="auto"/>
                <w:left w:val="none" w:sz="0" w:space="0" w:color="auto"/>
                <w:bottom w:val="none" w:sz="0" w:space="0" w:color="auto"/>
                <w:right w:val="none" w:sz="0" w:space="0" w:color="auto"/>
              </w:divBdr>
            </w:div>
            <w:div w:id="978146459">
              <w:marLeft w:val="0"/>
              <w:marRight w:val="0"/>
              <w:marTop w:val="0"/>
              <w:marBottom w:val="0"/>
              <w:divBdr>
                <w:top w:val="none" w:sz="0" w:space="0" w:color="auto"/>
                <w:left w:val="none" w:sz="0" w:space="0" w:color="auto"/>
                <w:bottom w:val="none" w:sz="0" w:space="0" w:color="auto"/>
                <w:right w:val="none" w:sz="0" w:space="0" w:color="auto"/>
              </w:divBdr>
            </w:div>
            <w:div w:id="1036153103">
              <w:marLeft w:val="0"/>
              <w:marRight w:val="0"/>
              <w:marTop w:val="0"/>
              <w:marBottom w:val="0"/>
              <w:divBdr>
                <w:top w:val="none" w:sz="0" w:space="0" w:color="auto"/>
                <w:left w:val="none" w:sz="0" w:space="0" w:color="auto"/>
                <w:bottom w:val="none" w:sz="0" w:space="0" w:color="auto"/>
                <w:right w:val="none" w:sz="0" w:space="0" w:color="auto"/>
              </w:divBdr>
            </w:div>
            <w:div w:id="1158226129">
              <w:marLeft w:val="0"/>
              <w:marRight w:val="0"/>
              <w:marTop w:val="0"/>
              <w:marBottom w:val="0"/>
              <w:divBdr>
                <w:top w:val="none" w:sz="0" w:space="0" w:color="auto"/>
                <w:left w:val="none" w:sz="0" w:space="0" w:color="auto"/>
                <w:bottom w:val="none" w:sz="0" w:space="0" w:color="auto"/>
                <w:right w:val="none" w:sz="0" w:space="0" w:color="auto"/>
              </w:divBdr>
            </w:div>
            <w:div w:id="1179151604">
              <w:marLeft w:val="0"/>
              <w:marRight w:val="0"/>
              <w:marTop w:val="0"/>
              <w:marBottom w:val="0"/>
              <w:divBdr>
                <w:top w:val="none" w:sz="0" w:space="0" w:color="auto"/>
                <w:left w:val="none" w:sz="0" w:space="0" w:color="auto"/>
                <w:bottom w:val="none" w:sz="0" w:space="0" w:color="auto"/>
                <w:right w:val="none" w:sz="0" w:space="0" w:color="auto"/>
              </w:divBdr>
            </w:div>
            <w:div w:id="1192954314">
              <w:marLeft w:val="0"/>
              <w:marRight w:val="0"/>
              <w:marTop w:val="0"/>
              <w:marBottom w:val="0"/>
              <w:divBdr>
                <w:top w:val="none" w:sz="0" w:space="0" w:color="auto"/>
                <w:left w:val="none" w:sz="0" w:space="0" w:color="auto"/>
                <w:bottom w:val="none" w:sz="0" w:space="0" w:color="auto"/>
                <w:right w:val="none" w:sz="0" w:space="0" w:color="auto"/>
              </w:divBdr>
            </w:div>
            <w:div w:id="1333026930">
              <w:marLeft w:val="0"/>
              <w:marRight w:val="0"/>
              <w:marTop w:val="0"/>
              <w:marBottom w:val="0"/>
              <w:divBdr>
                <w:top w:val="none" w:sz="0" w:space="0" w:color="auto"/>
                <w:left w:val="none" w:sz="0" w:space="0" w:color="auto"/>
                <w:bottom w:val="none" w:sz="0" w:space="0" w:color="auto"/>
                <w:right w:val="none" w:sz="0" w:space="0" w:color="auto"/>
              </w:divBdr>
            </w:div>
            <w:div w:id="1549801584">
              <w:marLeft w:val="0"/>
              <w:marRight w:val="0"/>
              <w:marTop w:val="0"/>
              <w:marBottom w:val="0"/>
              <w:divBdr>
                <w:top w:val="none" w:sz="0" w:space="0" w:color="auto"/>
                <w:left w:val="none" w:sz="0" w:space="0" w:color="auto"/>
                <w:bottom w:val="none" w:sz="0" w:space="0" w:color="auto"/>
                <w:right w:val="none" w:sz="0" w:space="0" w:color="auto"/>
              </w:divBdr>
            </w:div>
            <w:div w:id="1689133981">
              <w:marLeft w:val="0"/>
              <w:marRight w:val="0"/>
              <w:marTop w:val="0"/>
              <w:marBottom w:val="0"/>
              <w:divBdr>
                <w:top w:val="none" w:sz="0" w:space="0" w:color="auto"/>
                <w:left w:val="none" w:sz="0" w:space="0" w:color="auto"/>
                <w:bottom w:val="none" w:sz="0" w:space="0" w:color="auto"/>
                <w:right w:val="none" w:sz="0" w:space="0" w:color="auto"/>
              </w:divBdr>
            </w:div>
            <w:div w:id="1704282804">
              <w:marLeft w:val="0"/>
              <w:marRight w:val="0"/>
              <w:marTop w:val="0"/>
              <w:marBottom w:val="0"/>
              <w:divBdr>
                <w:top w:val="none" w:sz="0" w:space="0" w:color="auto"/>
                <w:left w:val="none" w:sz="0" w:space="0" w:color="auto"/>
                <w:bottom w:val="none" w:sz="0" w:space="0" w:color="auto"/>
                <w:right w:val="none" w:sz="0" w:space="0" w:color="auto"/>
              </w:divBdr>
            </w:div>
            <w:div w:id="1724255818">
              <w:marLeft w:val="0"/>
              <w:marRight w:val="0"/>
              <w:marTop w:val="0"/>
              <w:marBottom w:val="0"/>
              <w:divBdr>
                <w:top w:val="none" w:sz="0" w:space="0" w:color="auto"/>
                <w:left w:val="none" w:sz="0" w:space="0" w:color="auto"/>
                <w:bottom w:val="none" w:sz="0" w:space="0" w:color="auto"/>
                <w:right w:val="none" w:sz="0" w:space="0" w:color="auto"/>
              </w:divBdr>
            </w:div>
            <w:div w:id="1863860537">
              <w:marLeft w:val="0"/>
              <w:marRight w:val="0"/>
              <w:marTop w:val="0"/>
              <w:marBottom w:val="0"/>
              <w:divBdr>
                <w:top w:val="none" w:sz="0" w:space="0" w:color="auto"/>
                <w:left w:val="none" w:sz="0" w:space="0" w:color="auto"/>
                <w:bottom w:val="none" w:sz="0" w:space="0" w:color="auto"/>
                <w:right w:val="none" w:sz="0" w:space="0" w:color="auto"/>
              </w:divBdr>
            </w:div>
            <w:div w:id="2120946834">
              <w:marLeft w:val="0"/>
              <w:marRight w:val="0"/>
              <w:marTop w:val="0"/>
              <w:marBottom w:val="0"/>
              <w:divBdr>
                <w:top w:val="none" w:sz="0" w:space="0" w:color="auto"/>
                <w:left w:val="none" w:sz="0" w:space="0" w:color="auto"/>
                <w:bottom w:val="none" w:sz="0" w:space="0" w:color="auto"/>
                <w:right w:val="none" w:sz="0" w:space="0" w:color="auto"/>
              </w:divBdr>
            </w:div>
          </w:divsChild>
        </w:div>
        <w:div w:id="694235672">
          <w:marLeft w:val="0"/>
          <w:marRight w:val="0"/>
          <w:marTop w:val="0"/>
          <w:marBottom w:val="0"/>
          <w:divBdr>
            <w:top w:val="none" w:sz="0" w:space="0" w:color="auto"/>
            <w:left w:val="none" w:sz="0" w:space="0" w:color="auto"/>
            <w:bottom w:val="none" w:sz="0" w:space="0" w:color="auto"/>
            <w:right w:val="none" w:sz="0" w:space="0" w:color="auto"/>
          </w:divBdr>
        </w:div>
        <w:div w:id="730084003">
          <w:marLeft w:val="0"/>
          <w:marRight w:val="0"/>
          <w:marTop w:val="0"/>
          <w:marBottom w:val="0"/>
          <w:divBdr>
            <w:top w:val="none" w:sz="0" w:space="0" w:color="auto"/>
            <w:left w:val="none" w:sz="0" w:space="0" w:color="auto"/>
            <w:bottom w:val="none" w:sz="0" w:space="0" w:color="auto"/>
            <w:right w:val="none" w:sz="0" w:space="0" w:color="auto"/>
          </w:divBdr>
        </w:div>
        <w:div w:id="1049572458">
          <w:marLeft w:val="0"/>
          <w:marRight w:val="0"/>
          <w:marTop w:val="0"/>
          <w:marBottom w:val="0"/>
          <w:divBdr>
            <w:top w:val="none" w:sz="0" w:space="0" w:color="auto"/>
            <w:left w:val="none" w:sz="0" w:space="0" w:color="auto"/>
            <w:bottom w:val="none" w:sz="0" w:space="0" w:color="auto"/>
            <w:right w:val="none" w:sz="0" w:space="0" w:color="auto"/>
          </w:divBdr>
        </w:div>
        <w:div w:id="1521778273">
          <w:marLeft w:val="0"/>
          <w:marRight w:val="0"/>
          <w:marTop w:val="0"/>
          <w:marBottom w:val="0"/>
          <w:divBdr>
            <w:top w:val="none" w:sz="0" w:space="0" w:color="auto"/>
            <w:left w:val="none" w:sz="0" w:space="0" w:color="auto"/>
            <w:bottom w:val="none" w:sz="0" w:space="0" w:color="auto"/>
            <w:right w:val="none" w:sz="0" w:space="0" w:color="auto"/>
          </w:divBdr>
          <w:divsChild>
            <w:div w:id="140192223">
              <w:marLeft w:val="0"/>
              <w:marRight w:val="0"/>
              <w:marTop w:val="0"/>
              <w:marBottom w:val="0"/>
              <w:divBdr>
                <w:top w:val="none" w:sz="0" w:space="0" w:color="auto"/>
                <w:left w:val="none" w:sz="0" w:space="0" w:color="auto"/>
                <w:bottom w:val="none" w:sz="0" w:space="0" w:color="auto"/>
                <w:right w:val="none" w:sz="0" w:space="0" w:color="auto"/>
              </w:divBdr>
            </w:div>
            <w:div w:id="330261163">
              <w:marLeft w:val="0"/>
              <w:marRight w:val="0"/>
              <w:marTop w:val="0"/>
              <w:marBottom w:val="0"/>
              <w:divBdr>
                <w:top w:val="none" w:sz="0" w:space="0" w:color="auto"/>
                <w:left w:val="none" w:sz="0" w:space="0" w:color="auto"/>
                <w:bottom w:val="none" w:sz="0" w:space="0" w:color="auto"/>
                <w:right w:val="none" w:sz="0" w:space="0" w:color="auto"/>
              </w:divBdr>
            </w:div>
            <w:div w:id="568468593">
              <w:marLeft w:val="0"/>
              <w:marRight w:val="0"/>
              <w:marTop w:val="0"/>
              <w:marBottom w:val="0"/>
              <w:divBdr>
                <w:top w:val="none" w:sz="0" w:space="0" w:color="auto"/>
                <w:left w:val="none" w:sz="0" w:space="0" w:color="auto"/>
                <w:bottom w:val="none" w:sz="0" w:space="0" w:color="auto"/>
                <w:right w:val="none" w:sz="0" w:space="0" w:color="auto"/>
              </w:divBdr>
            </w:div>
            <w:div w:id="774136373">
              <w:marLeft w:val="0"/>
              <w:marRight w:val="0"/>
              <w:marTop w:val="0"/>
              <w:marBottom w:val="0"/>
              <w:divBdr>
                <w:top w:val="none" w:sz="0" w:space="0" w:color="auto"/>
                <w:left w:val="none" w:sz="0" w:space="0" w:color="auto"/>
                <w:bottom w:val="none" w:sz="0" w:space="0" w:color="auto"/>
                <w:right w:val="none" w:sz="0" w:space="0" w:color="auto"/>
              </w:divBdr>
            </w:div>
            <w:div w:id="927538542">
              <w:marLeft w:val="0"/>
              <w:marRight w:val="0"/>
              <w:marTop w:val="0"/>
              <w:marBottom w:val="0"/>
              <w:divBdr>
                <w:top w:val="none" w:sz="0" w:space="0" w:color="auto"/>
                <w:left w:val="none" w:sz="0" w:space="0" w:color="auto"/>
                <w:bottom w:val="none" w:sz="0" w:space="0" w:color="auto"/>
                <w:right w:val="none" w:sz="0" w:space="0" w:color="auto"/>
              </w:divBdr>
            </w:div>
            <w:div w:id="1412893643">
              <w:marLeft w:val="0"/>
              <w:marRight w:val="0"/>
              <w:marTop w:val="0"/>
              <w:marBottom w:val="0"/>
              <w:divBdr>
                <w:top w:val="none" w:sz="0" w:space="0" w:color="auto"/>
                <w:left w:val="none" w:sz="0" w:space="0" w:color="auto"/>
                <w:bottom w:val="none" w:sz="0" w:space="0" w:color="auto"/>
                <w:right w:val="none" w:sz="0" w:space="0" w:color="auto"/>
              </w:divBdr>
            </w:div>
            <w:div w:id="1435243764">
              <w:marLeft w:val="0"/>
              <w:marRight w:val="0"/>
              <w:marTop w:val="0"/>
              <w:marBottom w:val="0"/>
              <w:divBdr>
                <w:top w:val="none" w:sz="0" w:space="0" w:color="auto"/>
                <w:left w:val="none" w:sz="0" w:space="0" w:color="auto"/>
                <w:bottom w:val="none" w:sz="0" w:space="0" w:color="auto"/>
                <w:right w:val="none" w:sz="0" w:space="0" w:color="auto"/>
              </w:divBdr>
            </w:div>
            <w:div w:id="1484808443">
              <w:marLeft w:val="0"/>
              <w:marRight w:val="0"/>
              <w:marTop w:val="0"/>
              <w:marBottom w:val="0"/>
              <w:divBdr>
                <w:top w:val="none" w:sz="0" w:space="0" w:color="auto"/>
                <w:left w:val="none" w:sz="0" w:space="0" w:color="auto"/>
                <w:bottom w:val="none" w:sz="0" w:space="0" w:color="auto"/>
                <w:right w:val="none" w:sz="0" w:space="0" w:color="auto"/>
              </w:divBdr>
            </w:div>
            <w:div w:id="1588877274">
              <w:marLeft w:val="0"/>
              <w:marRight w:val="0"/>
              <w:marTop w:val="0"/>
              <w:marBottom w:val="0"/>
              <w:divBdr>
                <w:top w:val="none" w:sz="0" w:space="0" w:color="auto"/>
                <w:left w:val="none" w:sz="0" w:space="0" w:color="auto"/>
                <w:bottom w:val="none" w:sz="0" w:space="0" w:color="auto"/>
                <w:right w:val="none" w:sz="0" w:space="0" w:color="auto"/>
              </w:divBdr>
            </w:div>
            <w:div w:id="1780298530">
              <w:marLeft w:val="0"/>
              <w:marRight w:val="0"/>
              <w:marTop w:val="0"/>
              <w:marBottom w:val="0"/>
              <w:divBdr>
                <w:top w:val="none" w:sz="0" w:space="0" w:color="auto"/>
                <w:left w:val="none" w:sz="0" w:space="0" w:color="auto"/>
                <w:bottom w:val="none" w:sz="0" w:space="0" w:color="auto"/>
                <w:right w:val="none" w:sz="0" w:space="0" w:color="auto"/>
              </w:divBdr>
            </w:div>
            <w:div w:id="1840920502">
              <w:marLeft w:val="0"/>
              <w:marRight w:val="0"/>
              <w:marTop w:val="0"/>
              <w:marBottom w:val="0"/>
              <w:divBdr>
                <w:top w:val="none" w:sz="0" w:space="0" w:color="auto"/>
                <w:left w:val="none" w:sz="0" w:space="0" w:color="auto"/>
                <w:bottom w:val="none" w:sz="0" w:space="0" w:color="auto"/>
                <w:right w:val="none" w:sz="0" w:space="0" w:color="auto"/>
              </w:divBdr>
            </w:div>
            <w:div w:id="2106344869">
              <w:marLeft w:val="0"/>
              <w:marRight w:val="0"/>
              <w:marTop w:val="0"/>
              <w:marBottom w:val="0"/>
              <w:divBdr>
                <w:top w:val="none" w:sz="0" w:space="0" w:color="auto"/>
                <w:left w:val="none" w:sz="0" w:space="0" w:color="auto"/>
                <w:bottom w:val="none" w:sz="0" w:space="0" w:color="auto"/>
                <w:right w:val="none" w:sz="0" w:space="0" w:color="auto"/>
              </w:divBdr>
            </w:div>
          </w:divsChild>
        </w:div>
        <w:div w:id="1555266452">
          <w:marLeft w:val="0"/>
          <w:marRight w:val="0"/>
          <w:marTop w:val="0"/>
          <w:marBottom w:val="0"/>
          <w:divBdr>
            <w:top w:val="none" w:sz="0" w:space="0" w:color="auto"/>
            <w:left w:val="none" w:sz="0" w:space="0" w:color="auto"/>
            <w:bottom w:val="none" w:sz="0" w:space="0" w:color="auto"/>
            <w:right w:val="none" w:sz="0" w:space="0" w:color="auto"/>
          </w:divBdr>
        </w:div>
        <w:div w:id="1594700945">
          <w:marLeft w:val="0"/>
          <w:marRight w:val="0"/>
          <w:marTop w:val="0"/>
          <w:marBottom w:val="0"/>
          <w:divBdr>
            <w:top w:val="none" w:sz="0" w:space="0" w:color="auto"/>
            <w:left w:val="none" w:sz="0" w:space="0" w:color="auto"/>
            <w:bottom w:val="none" w:sz="0" w:space="0" w:color="auto"/>
            <w:right w:val="none" w:sz="0" w:space="0" w:color="auto"/>
          </w:divBdr>
        </w:div>
        <w:div w:id="1641037326">
          <w:marLeft w:val="0"/>
          <w:marRight w:val="0"/>
          <w:marTop w:val="0"/>
          <w:marBottom w:val="0"/>
          <w:divBdr>
            <w:top w:val="none" w:sz="0" w:space="0" w:color="auto"/>
            <w:left w:val="none" w:sz="0" w:space="0" w:color="auto"/>
            <w:bottom w:val="none" w:sz="0" w:space="0" w:color="auto"/>
            <w:right w:val="none" w:sz="0" w:space="0" w:color="auto"/>
          </w:divBdr>
        </w:div>
        <w:div w:id="1683584877">
          <w:marLeft w:val="0"/>
          <w:marRight w:val="0"/>
          <w:marTop w:val="0"/>
          <w:marBottom w:val="0"/>
          <w:divBdr>
            <w:top w:val="none" w:sz="0" w:space="0" w:color="auto"/>
            <w:left w:val="none" w:sz="0" w:space="0" w:color="auto"/>
            <w:bottom w:val="none" w:sz="0" w:space="0" w:color="auto"/>
            <w:right w:val="none" w:sz="0" w:space="0" w:color="auto"/>
          </w:divBdr>
        </w:div>
        <w:div w:id="1874078293">
          <w:marLeft w:val="0"/>
          <w:marRight w:val="0"/>
          <w:marTop w:val="0"/>
          <w:marBottom w:val="0"/>
          <w:divBdr>
            <w:top w:val="none" w:sz="0" w:space="0" w:color="auto"/>
            <w:left w:val="none" w:sz="0" w:space="0" w:color="auto"/>
            <w:bottom w:val="none" w:sz="0" w:space="0" w:color="auto"/>
            <w:right w:val="none" w:sz="0" w:space="0" w:color="auto"/>
          </w:divBdr>
        </w:div>
        <w:div w:id="2006131945">
          <w:marLeft w:val="0"/>
          <w:marRight w:val="0"/>
          <w:marTop w:val="0"/>
          <w:marBottom w:val="0"/>
          <w:divBdr>
            <w:top w:val="none" w:sz="0" w:space="0" w:color="auto"/>
            <w:left w:val="none" w:sz="0" w:space="0" w:color="auto"/>
            <w:bottom w:val="none" w:sz="0" w:space="0" w:color="auto"/>
            <w:right w:val="none" w:sz="0" w:space="0" w:color="auto"/>
          </w:divBdr>
        </w:div>
      </w:divsChild>
    </w:div>
    <w:div w:id="1849129353">
      <w:bodyDiv w:val="1"/>
      <w:marLeft w:val="0"/>
      <w:marRight w:val="0"/>
      <w:marTop w:val="0"/>
      <w:marBottom w:val="0"/>
      <w:divBdr>
        <w:top w:val="none" w:sz="0" w:space="0" w:color="auto"/>
        <w:left w:val="none" w:sz="0" w:space="0" w:color="auto"/>
        <w:bottom w:val="none" w:sz="0" w:space="0" w:color="auto"/>
        <w:right w:val="none" w:sz="0" w:space="0" w:color="auto"/>
      </w:divBdr>
    </w:div>
    <w:div w:id="1849324639">
      <w:bodyDiv w:val="1"/>
      <w:marLeft w:val="0"/>
      <w:marRight w:val="0"/>
      <w:marTop w:val="0"/>
      <w:marBottom w:val="0"/>
      <w:divBdr>
        <w:top w:val="none" w:sz="0" w:space="0" w:color="auto"/>
        <w:left w:val="none" w:sz="0" w:space="0" w:color="auto"/>
        <w:bottom w:val="none" w:sz="0" w:space="0" w:color="auto"/>
        <w:right w:val="none" w:sz="0" w:space="0" w:color="auto"/>
      </w:divBdr>
    </w:div>
    <w:div w:id="1874034404">
      <w:bodyDiv w:val="1"/>
      <w:marLeft w:val="0"/>
      <w:marRight w:val="0"/>
      <w:marTop w:val="0"/>
      <w:marBottom w:val="0"/>
      <w:divBdr>
        <w:top w:val="none" w:sz="0" w:space="0" w:color="auto"/>
        <w:left w:val="none" w:sz="0" w:space="0" w:color="auto"/>
        <w:bottom w:val="none" w:sz="0" w:space="0" w:color="auto"/>
        <w:right w:val="none" w:sz="0" w:space="0" w:color="auto"/>
      </w:divBdr>
    </w:div>
    <w:div w:id="1881163637">
      <w:bodyDiv w:val="1"/>
      <w:marLeft w:val="0"/>
      <w:marRight w:val="0"/>
      <w:marTop w:val="0"/>
      <w:marBottom w:val="0"/>
      <w:divBdr>
        <w:top w:val="none" w:sz="0" w:space="0" w:color="auto"/>
        <w:left w:val="none" w:sz="0" w:space="0" w:color="auto"/>
        <w:bottom w:val="none" w:sz="0" w:space="0" w:color="auto"/>
        <w:right w:val="none" w:sz="0" w:space="0" w:color="auto"/>
      </w:divBdr>
    </w:div>
    <w:div w:id="1883445084">
      <w:bodyDiv w:val="1"/>
      <w:marLeft w:val="0"/>
      <w:marRight w:val="0"/>
      <w:marTop w:val="0"/>
      <w:marBottom w:val="0"/>
      <w:divBdr>
        <w:top w:val="none" w:sz="0" w:space="0" w:color="auto"/>
        <w:left w:val="none" w:sz="0" w:space="0" w:color="auto"/>
        <w:bottom w:val="none" w:sz="0" w:space="0" w:color="auto"/>
        <w:right w:val="none" w:sz="0" w:space="0" w:color="auto"/>
      </w:divBdr>
    </w:div>
    <w:div w:id="1903060942">
      <w:bodyDiv w:val="1"/>
      <w:marLeft w:val="0"/>
      <w:marRight w:val="0"/>
      <w:marTop w:val="0"/>
      <w:marBottom w:val="0"/>
      <w:divBdr>
        <w:top w:val="none" w:sz="0" w:space="0" w:color="auto"/>
        <w:left w:val="none" w:sz="0" w:space="0" w:color="auto"/>
        <w:bottom w:val="none" w:sz="0" w:space="0" w:color="auto"/>
        <w:right w:val="none" w:sz="0" w:space="0" w:color="auto"/>
      </w:divBdr>
    </w:div>
    <w:div w:id="1905138943">
      <w:bodyDiv w:val="1"/>
      <w:marLeft w:val="0"/>
      <w:marRight w:val="0"/>
      <w:marTop w:val="0"/>
      <w:marBottom w:val="0"/>
      <w:divBdr>
        <w:top w:val="none" w:sz="0" w:space="0" w:color="auto"/>
        <w:left w:val="none" w:sz="0" w:space="0" w:color="auto"/>
        <w:bottom w:val="none" w:sz="0" w:space="0" w:color="auto"/>
        <w:right w:val="none" w:sz="0" w:space="0" w:color="auto"/>
      </w:divBdr>
    </w:div>
    <w:div w:id="1927957441">
      <w:bodyDiv w:val="1"/>
      <w:marLeft w:val="0"/>
      <w:marRight w:val="0"/>
      <w:marTop w:val="0"/>
      <w:marBottom w:val="0"/>
      <w:divBdr>
        <w:top w:val="none" w:sz="0" w:space="0" w:color="auto"/>
        <w:left w:val="none" w:sz="0" w:space="0" w:color="auto"/>
        <w:bottom w:val="none" w:sz="0" w:space="0" w:color="auto"/>
        <w:right w:val="none" w:sz="0" w:space="0" w:color="auto"/>
      </w:divBdr>
    </w:div>
    <w:div w:id="1934392030">
      <w:bodyDiv w:val="1"/>
      <w:marLeft w:val="0"/>
      <w:marRight w:val="0"/>
      <w:marTop w:val="0"/>
      <w:marBottom w:val="0"/>
      <w:divBdr>
        <w:top w:val="none" w:sz="0" w:space="0" w:color="auto"/>
        <w:left w:val="none" w:sz="0" w:space="0" w:color="auto"/>
        <w:bottom w:val="none" w:sz="0" w:space="0" w:color="auto"/>
        <w:right w:val="none" w:sz="0" w:space="0" w:color="auto"/>
      </w:divBdr>
    </w:div>
    <w:div w:id="1937521226">
      <w:bodyDiv w:val="1"/>
      <w:marLeft w:val="0"/>
      <w:marRight w:val="0"/>
      <w:marTop w:val="0"/>
      <w:marBottom w:val="0"/>
      <w:divBdr>
        <w:top w:val="none" w:sz="0" w:space="0" w:color="auto"/>
        <w:left w:val="none" w:sz="0" w:space="0" w:color="auto"/>
        <w:bottom w:val="none" w:sz="0" w:space="0" w:color="auto"/>
        <w:right w:val="none" w:sz="0" w:space="0" w:color="auto"/>
      </w:divBdr>
    </w:div>
    <w:div w:id="1948344751">
      <w:bodyDiv w:val="1"/>
      <w:marLeft w:val="0"/>
      <w:marRight w:val="0"/>
      <w:marTop w:val="0"/>
      <w:marBottom w:val="0"/>
      <w:divBdr>
        <w:top w:val="none" w:sz="0" w:space="0" w:color="auto"/>
        <w:left w:val="none" w:sz="0" w:space="0" w:color="auto"/>
        <w:bottom w:val="none" w:sz="0" w:space="0" w:color="auto"/>
        <w:right w:val="none" w:sz="0" w:space="0" w:color="auto"/>
      </w:divBdr>
    </w:div>
    <w:div w:id="1957905770">
      <w:bodyDiv w:val="1"/>
      <w:marLeft w:val="0"/>
      <w:marRight w:val="0"/>
      <w:marTop w:val="0"/>
      <w:marBottom w:val="0"/>
      <w:divBdr>
        <w:top w:val="none" w:sz="0" w:space="0" w:color="auto"/>
        <w:left w:val="none" w:sz="0" w:space="0" w:color="auto"/>
        <w:bottom w:val="none" w:sz="0" w:space="0" w:color="auto"/>
        <w:right w:val="none" w:sz="0" w:space="0" w:color="auto"/>
      </w:divBdr>
    </w:div>
    <w:div w:id="1959558999">
      <w:bodyDiv w:val="1"/>
      <w:marLeft w:val="0"/>
      <w:marRight w:val="0"/>
      <w:marTop w:val="0"/>
      <w:marBottom w:val="0"/>
      <w:divBdr>
        <w:top w:val="none" w:sz="0" w:space="0" w:color="auto"/>
        <w:left w:val="none" w:sz="0" w:space="0" w:color="auto"/>
        <w:bottom w:val="none" w:sz="0" w:space="0" w:color="auto"/>
        <w:right w:val="none" w:sz="0" w:space="0" w:color="auto"/>
      </w:divBdr>
    </w:div>
    <w:div w:id="1968311439">
      <w:bodyDiv w:val="1"/>
      <w:marLeft w:val="0"/>
      <w:marRight w:val="0"/>
      <w:marTop w:val="0"/>
      <w:marBottom w:val="0"/>
      <w:divBdr>
        <w:top w:val="none" w:sz="0" w:space="0" w:color="auto"/>
        <w:left w:val="none" w:sz="0" w:space="0" w:color="auto"/>
        <w:bottom w:val="none" w:sz="0" w:space="0" w:color="auto"/>
        <w:right w:val="none" w:sz="0" w:space="0" w:color="auto"/>
      </w:divBdr>
    </w:div>
    <w:div w:id="1990818174">
      <w:bodyDiv w:val="1"/>
      <w:marLeft w:val="0"/>
      <w:marRight w:val="0"/>
      <w:marTop w:val="0"/>
      <w:marBottom w:val="0"/>
      <w:divBdr>
        <w:top w:val="none" w:sz="0" w:space="0" w:color="auto"/>
        <w:left w:val="none" w:sz="0" w:space="0" w:color="auto"/>
        <w:bottom w:val="none" w:sz="0" w:space="0" w:color="auto"/>
        <w:right w:val="none" w:sz="0" w:space="0" w:color="auto"/>
      </w:divBdr>
    </w:div>
    <w:div w:id="201144462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53311296">
      <w:bodyDiv w:val="1"/>
      <w:marLeft w:val="0"/>
      <w:marRight w:val="0"/>
      <w:marTop w:val="0"/>
      <w:marBottom w:val="0"/>
      <w:divBdr>
        <w:top w:val="none" w:sz="0" w:space="0" w:color="auto"/>
        <w:left w:val="none" w:sz="0" w:space="0" w:color="auto"/>
        <w:bottom w:val="none" w:sz="0" w:space="0" w:color="auto"/>
        <w:right w:val="none" w:sz="0" w:space="0" w:color="auto"/>
      </w:divBdr>
    </w:div>
    <w:div w:id="2059695201">
      <w:bodyDiv w:val="1"/>
      <w:marLeft w:val="0"/>
      <w:marRight w:val="0"/>
      <w:marTop w:val="0"/>
      <w:marBottom w:val="0"/>
      <w:divBdr>
        <w:top w:val="none" w:sz="0" w:space="0" w:color="auto"/>
        <w:left w:val="none" w:sz="0" w:space="0" w:color="auto"/>
        <w:bottom w:val="none" w:sz="0" w:space="0" w:color="auto"/>
        <w:right w:val="none" w:sz="0" w:space="0" w:color="auto"/>
      </w:divBdr>
    </w:div>
    <w:div w:id="2098403481">
      <w:bodyDiv w:val="1"/>
      <w:marLeft w:val="0"/>
      <w:marRight w:val="0"/>
      <w:marTop w:val="0"/>
      <w:marBottom w:val="0"/>
      <w:divBdr>
        <w:top w:val="none" w:sz="0" w:space="0" w:color="auto"/>
        <w:left w:val="none" w:sz="0" w:space="0" w:color="auto"/>
        <w:bottom w:val="none" w:sz="0" w:space="0" w:color="auto"/>
        <w:right w:val="none" w:sz="0" w:space="0" w:color="auto"/>
      </w:divBdr>
      <w:divsChild>
        <w:div w:id="209264569">
          <w:marLeft w:val="274"/>
          <w:marRight w:val="0"/>
          <w:marTop w:val="0"/>
          <w:marBottom w:val="0"/>
          <w:divBdr>
            <w:top w:val="none" w:sz="0" w:space="0" w:color="auto"/>
            <w:left w:val="none" w:sz="0" w:space="0" w:color="auto"/>
            <w:bottom w:val="none" w:sz="0" w:space="0" w:color="auto"/>
            <w:right w:val="none" w:sz="0" w:space="0" w:color="auto"/>
          </w:divBdr>
        </w:div>
      </w:divsChild>
    </w:div>
    <w:div w:id="2119908386">
      <w:bodyDiv w:val="1"/>
      <w:marLeft w:val="0"/>
      <w:marRight w:val="0"/>
      <w:marTop w:val="0"/>
      <w:marBottom w:val="0"/>
      <w:divBdr>
        <w:top w:val="none" w:sz="0" w:space="0" w:color="auto"/>
        <w:left w:val="none" w:sz="0" w:space="0" w:color="auto"/>
        <w:bottom w:val="none" w:sz="0" w:space="0" w:color="auto"/>
        <w:right w:val="none" w:sz="0" w:space="0" w:color="auto"/>
      </w:divBdr>
      <w:divsChild>
        <w:div w:id="56056120">
          <w:marLeft w:val="0"/>
          <w:marRight w:val="0"/>
          <w:marTop w:val="0"/>
          <w:marBottom w:val="0"/>
          <w:divBdr>
            <w:top w:val="none" w:sz="0" w:space="0" w:color="auto"/>
            <w:left w:val="none" w:sz="0" w:space="0" w:color="auto"/>
            <w:bottom w:val="none" w:sz="0" w:space="0" w:color="auto"/>
            <w:right w:val="none" w:sz="0" w:space="0" w:color="auto"/>
          </w:divBdr>
        </w:div>
        <w:div w:id="332727446">
          <w:marLeft w:val="0"/>
          <w:marRight w:val="0"/>
          <w:marTop w:val="0"/>
          <w:marBottom w:val="0"/>
          <w:divBdr>
            <w:top w:val="none" w:sz="0" w:space="0" w:color="auto"/>
            <w:left w:val="none" w:sz="0" w:space="0" w:color="auto"/>
            <w:bottom w:val="none" w:sz="0" w:space="0" w:color="auto"/>
            <w:right w:val="none" w:sz="0" w:space="0" w:color="auto"/>
          </w:divBdr>
        </w:div>
        <w:div w:id="408892654">
          <w:marLeft w:val="0"/>
          <w:marRight w:val="0"/>
          <w:marTop w:val="0"/>
          <w:marBottom w:val="0"/>
          <w:divBdr>
            <w:top w:val="none" w:sz="0" w:space="0" w:color="auto"/>
            <w:left w:val="none" w:sz="0" w:space="0" w:color="auto"/>
            <w:bottom w:val="none" w:sz="0" w:space="0" w:color="auto"/>
            <w:right w:val="none" w:sz="0" w:space="0" w:color="auto"/>
          </w:divBdr>
        </w:div>
        <w:div w:id="817459021">
          <w:marLeft w:val="0"/>
          <w:marRight w:val="0"/>
          <w:marTop w:val="0"/>
          <w:marBottom w:val="0"/>
          <w:divBdr>
            <w:top w:val="none" w:sz="0" w:space="0" w:color="auto"/>
            <w:left w:val="none" w:sz="0" w:space="0" w:color="auto"/>
            <w:bottom w:val="none" w:sz="0" w:space="0" w:color="auto"/>
            <w:right w:val="none" w:sz="0" w:space="0" w:color="auto"/>
          </w:divBdr>
          <w:divsChild>
            <w:div w:id="181554764">
              <w:marLeft w:val="0"/>
              <w:marRight w:val="0"/>
              <w:marTop w:val="0"/>
              <w:marBottom w:val="0"/>
              <w:divBdr>
                <w:top w:val="none" w:sz="0" w:space="0" w:color="auto"/>
                <w:left w:val="none" w:sz="0" w:space="0" w:color="auto"/>
                <w:bottom w:val="none" w:sz="0" w:space="0" w:color="auto"/>
                <w:right w:val="none" w:sz="0" w:space="0" w:color="auto"/>
              </w:divBdr>
            </w:div>
            <w:div w:id="264122413">
              <w:marLeft w:val="0"/>
              <w:marRight w:val="0"/>
              <w:marTop w:val="0"/>
              <w:marBottom w:val="0"/>
              <w:divBdr>
                <w:top w:val="none" w:sz="0" w:space="0" w:color="auto"/>
                <w:left w:val="none" w:sz="0" w:space="0" w:color="auto"/>
                <w:bottom w:val="none" w:sz="0" w:space="0" w:color="auto"/>
                <w:right w:val="none" w:sz="0" w:space="0" w:color="auto"/>
              </w:divBdr>
            </w:div>
            <w:div w:id="368191044">
              <w:marLeft w:val="0"/>
              <w:marRight w:val="0"/>
              <w:marTop w:val="0"/>
              <w:marBottom w:val="0"/>
              <w:divBdr>
                <w:top w:val="none" w:sz="0" w:space="0" w:color="auto"/>
                <w:left w:val="none" w:sz="0" w:space="0" w:color="auto"/>
                <w:bottom w:val="none" w:sz="0" w:space="0" w:color="auto"/>
                <w:right w:val="none" w:sz="0" w:space="0" w:color="auto"/>
              </w:divBdr>
            </w:div>
            <w:div w:id="676544154">
              <w:marLeft w:val="0"/>
              <w:marRight w:val="0"/>
              <w:marTop w:val="0"/>
              <w:marBottom w:val="0"/>
              <w:divBdr>
                <w:top w:val="none" w:sz="0" w:space="0" w:color="auto"/>
                <w:left w:val="none" w:sz="0" w:space="0" w:color="auto"/>
                <w:bottom w:val="none" w:sz="0" w:space="0" w:color="auto"/>
                <w:right w:val="none" w:sz="0" w:space="0" w:color="auto"/>
              </w:divBdr>
            </w:div>
            <w:div w:id="947733271">
              <w:marLeft w:val="0"/>
              <w:marRight w:val="0"/>
              <w:marTop w:val="0"/>
              <w:marBottom w:val="0"/>
              <w:divBdr>
                <w:top w:val="none" w:sz="0" w:space="0" w:color="auto"/>
                <w:left w:val="none" w:sz="0" w:space="0" w:color="auto"/>
                <w:bottom w:val="none" w:sz="0" w:space="0" w:color="auto"/>
                <w:right w:val="none" w:sz="0" w:space="0" w:color="auto"/>
              </w:divBdr>
            </w:div>
            <w:div w:id="960186945">
              <w:marLeft w:val="0"/>
              <w:marRight w:val="0"/>
              <w:marTop w:val="0"/>
              <w:marBottom w:val="0"/>
              <w:divBdr>
                <w:top w:val="none" w:sz="0" w:space="0" w:color="auto"/>
                <w:left w:val="none" w:sz="0" w:space="0" w:color="auto"/>
                <w:bottom w:val="none" w:sz="0" w:space="0" w:color="auto"/>
                <w:right w:val="none" w:sz="0" w:space="0" w:color="auto"/>
              </w:divBdr>
            </w:div>
            <w:div w:id="1109620254">
              <w:marLeft w:val="0"/>
              <w:marRight w:val="0"/>
              <w:marTop w:val="0"/>
              <w:marBottom w:val="0"/>
              <w:divBdr>
                <w:top w:val="none" w:sz="0" w:space="0" w:color="auto"/>
                <w:left w:val="none" w:sz="0" w:space="0" w:color="auto"/>
                <w:bottom w:val="none" w:sz="0" w:space="0" w:color="auto"/>
                <w:right w:val="none" w:sz="0" w:space="0" w:color="auto"/>
              </w:divBdr>
            </w:div>
            <w:div w:id="1241519741">
              <w:marLeft w:val="0"/>
              <w:marRight w:val="0"/>
              <w:marTop w:val="0"/>
              <w:marBottom w:val="0"/>
              <w:divBdr>
                <w:top w:val="none" w:sz="0" w:space="0" w:color="auto"/>
                <w:left w:val="none" w:sz="0" w:space="0" w:color="auto"/>
                <w:bottom w:val="none" w:sz="0" w:space="0" w:color="auto"/>
                <w:right w:val="none" w:sz="0" w:space="0" w:color="auto"/>
              </w:divBdr>
            </w:div>
            <w:div w:id="1340276827">
              <w:marLeft w:val="0"/>
              <w:marRight w:val="0"/>
              <w:marTop w:val="0"/>
              <w:marBottom w:val="0"/>
              <w:divBdr>
                <w:top w:val="none" w:sz="0" w:space="0" w:color="auto"/>
                <w:left w:val="none" w:sz="0" w:space="0" w:color="auto"/>
                <w:bottom w:val="none" w:sz="0" w:space="0" w:color="auto"/>
                <w:right w:val="none" w:sz="0" w:space="0" w:color="auto"/>
              </w:divBdr>
            </w:div>
            <w:div w:id="1642419383">
              <w:marLeft w:val="0"/>
              <w:marRight w:val="0"/>
              <w:marTop w:val="0"/>
              <w:marBottom w:val="0"/>
              <w:divBdr>
                <w:top w:val="none" w:sz="0" w:space="0" w:color="auto"/>
                <w:left w:val="none" w:sz="0" w:space="0" w:color="auto"/>
                <w:bottom w:val="none" w:sz="0" w:space="0" w:color="auto"/>
                <w:right w:val="none" w:sz="0" w:space="0" w:color="auto"/>
              </w:divBdr>
            </w:div>
            <w:div w:id="1801532005">
              <w:marLeft w:val="0"/>
              <w:marRight w:val="0"/>
              <w:marTop w:val="0"/>
              <w:marBottom w:val="0"/>
              <w:divBdr>
                <w:top w:val="none" w:sz="0" w:space="0" w:color="auto"/>
                <w:left w:val="none" w:sz="0" w:space="0" w:color="auto"/>
                <w:bottom w:val="none" w:sz="0" w:space="0" w:color="auto"/>
                <w:right w:val="none" w:sz="0" w:space="0" w:color="auto"/>
              </w:divBdr>
            </w:div>
            <w:div w:id="1848712152">
              <w:marLeft w:val="0"/>
              <w:marRight w:val="0"/>
              <w:marTop w:val="0"/>
              <w:marBottom w:val="0"/>
              <w:divBdr>
                <w:top w:val="none" w:sz="0" w:space="0" w:color="auto"/>
                <w:left w:val="none" w:sz="0" w:space="0" w:color="auto"/>
                <w:bottom w:val="none" w:sz="0" w:space="0" w:color="auto"/>
                <w:right w:val="none" w:sz="0" w:space="0" w:color="auto"/>
              </w:divBdr>
            </w:div>
          </w:divsChild>
        </w:div>
        <w:div w:id="944653075">
          <w:marLeft w:val="0"/>
          <w:marRight w:val="0"/>
          <w:marTop w:val="0"/>
          <w:marBottom w:val="0"/>
          <w:divBdr>
            <w:top w:val="none" w:sz="0" w:space="0" w:color="auto"/>
            <w:left w:val="none" w:sz="0" w:space="0" w:color="auto"/>
            <w:bottom w:val="none" w:sz="0" w:space="0" w:color="auto"/>
            <w:right w:val="none" w:sz="0" w:space="0" w:color="auto"/>
          </w:divBdr>
        </w:div>
        <w:div w:id="1213732222">
          <w:marLeft w:val="0"/>
          <w:marRight w:val="0"/>
          <w:marTop w:val="0"/>
          <w:marBottom w:val="0"/>
          <w:divBdr>
            <w:top w:val="none" w:sz="0" w:space="0" w:color="auto"/>
            <w:left w:val="none" w:sz="0" w:space="0" w:color="auto"/>
            <w:bottom w:val="none" w:sz="0" w:space="0" w:color="auto"/>
            <w:right w:val="none" w:sz="0" w:space="0" w:color="auto"/>
          </w:divBdr>
        </w:div>
        <w:div w:id="1397706973">
          <w:marLeft w:val="0"/>
          <w:marRight w:val="0"/>
          <w:marTop w:val="0"/>
          <w:marBottom w:val="0"/>
          <w:divBdr>
            <w:top w:val="none" w:sz="0" w:space="0" w:color="auto"/>
            <w:left w:val="none" w:sz="0" w:space="0" w:color="auto"/>
            <w:bottom w:val="none" w:sz="0" w:space="0" w:color="auto"/>
            <w:right w:val="none" w:sz="0" w:space="0" w:color="auto"/>
          </w:divBdr>
        </w:div>
        <w:div w:id="1429352491">
          <w:marLeft w:val="0"/>
          <w:marRight w:val="0"/>
          <w:marTop w:val="0"/>
          <w:marBottom w:val="0"/>
          <w:divBdr>
            <w:top w:val="none" w:sz="0" w:space="0" w:color="auto"/>
            <w:left w:val="none" w:sz="0" w:space="0" w:color="auto"/>
            <w:bottom w:val="none" w:sz="0" w:space="0" w:color="auto"/>
            <w:right w:val="none" w:sz="0" w:space="0" w:color="auto"/>
          </w:divBdr>
        </w:div>
        <w:div w:id="1658340717">
          <w:marLeft w:val="0"/>
          <w:marRight w:val="0"/>
          <w:marTop w:val="0"/>
          <w:marBottom w:val="0"/>
          <w:divBdr>
            <w:top w:val="none" w:sz="0" w:space="0" w:color="auto"/>
            <w:left w:val="none" w:sz="0" w:space="0" w:color="auto"/>
            <w:bottom w:val="none" w:sz="0" w:space="0" w:color="auto"/>
            <w:right w:val="none" w:sz="0" w:space="0" w:color="auto"/>
          </w:divBdr>
        </w:div>
        <w:div w:id="1757626835">
          <w:marLeft w:val="0"/>
          <w:marRight w:val="0"/>
          <w:marTop w:val="0"/>
          <w:marBottom w:val="0"/>
          <w:divBdr>
            <w:top w:val="none" w:sz="0" w:space="0" w:color="auto"/>
            <w:left w:val="none" w:sz="0" w:space="0" w:color="auto"/>
            <w:bottom w:val="none" w:sz="0" w:space="0" w:color="auto"/>
            <w:right w:val="none" w:sz="0" w:space="0" w:color="auto"/>
          </w:divBdr>
        </w:div>
        <w:div w:id="1865290599">
          <w:marLeft w:val="0"/>
          <w:marRight w:val="0"/>
          <w:marTop w:val="0"/>
          <w:marBottom w:val="0"/>
          <w:divBdr>
            <w:top w:val="none" w:sz="0" w:space="0" w:color="auto"/>
            <w:left w:val="none" w:sz="0" w:space="0" w:color="auto"/>
            <w:bottom w:val="none" w:sz="0" w:space="0" w:color="auto"/>
            <w:right w:val="none" w:sz="0" w:space="0" w:color="auto"/>
          </w:divBdr>
        </w:div>
        <w:div w:id="1865358968">
          <w:marLeft w:val="0"/>
          <w:marRight w:val="0"/>
          <w:marTop w:val="0"/>
          <w:marBottom w:val="0"/>
          <w:divBdr>
            <w:top w:val="none" w:sz="0" w:space="0" w:color="auto"/>
            <w:left w:val="none" w:sz="0" w:space="0" w:color="auto"/>
            <w:bottom w:val="none" w:sz="0" w:space="0" w:color="auto"/>
            <w:right w:val="none" w:sz="0" w:space="0" w:color="auto"/>
          </w:divBdr>
        </w:div>
        <w:div w:id="1892885280">
          <w:marLeft w:val="0"/>
          <w:marRight w:val="0"/>
          <w:marTop w:val="0"/>
          <w:marBottom w:val="0"/>
          <w:divBdr>
            <w:top w:val="none" w:sz="0" w:space="0" w:color="auto"/>
            <w:left w:val="none" w:sz="0" w:space="0" w:color="auto"/>
            <w:bottom w:val="none" w:sz="0" w:space="0" w:color="auto"/>
            <w:right w:val="none" w:sz="0" w:space="0" w:color="auto"/>
          </w:divBdr>
        </w:div>
        <w:div w:id="2039890961">
          <w:marLeft w:val="0"/>
          <w:marRight w:val="0"/>
          <w:marTop w:val="0"/>
          <w:marBottom w:val="0"/>
          <w:divBdr>
            <w:top w:val="none" w:sz="0" w:space="0" w:color="auto"/>
            <w:left w:val="none" w:sz="0" w:space="0" w:color="auto"/>
            <w:bottom w:val="none" w:sz="0" w:space="0" w:color="auto"/>
            <w:right w:val="none" w:sz="0" w:space="0" w:color="auto"/>
          </w:divBdr>
          <w:divsChild>
            <w:div w:id="48843143">
              <w:marLeft w:val="0"/>
              <w:marRight w:val="0"/>
              <w:marTop w:val="0"/>
              <w:marBottom w:val="0"/>
              <w:divBdr>
                <w:top w:val="none" w:sz="0" w:space="0" w:color="auto"/>
                <w:left w:val="none" w:sz="0" w:space="0" w:color="auto"/>
                <w:bottom w:val="none" w:sz="0" w:space="0" w:color="auto"/>
                <w:right w:val="none" w:sz="0" w:space="0" w:color="auto"/>
              </w:divBdr>
            </w:div>
            <w:div w:id="59407929">
              <w:marLeft w:val="0"/>
              <w:marRight w:val="0"/>
              <w:marTop w:val="0"/>
              <w:marBottom w:val="0"/>
              <w:divBdr>
                <w:top w:val="none" w:sz="0" w:space="0" w:color="auto"/>
                <w:left w:val="none" w:sz="0" w:space="0" w:color="auto"/>
                <w:bottom w:val="none" w:sz="0" w:space="0" w:color="auto"/>
                <w:right w:val="none" w:sz="0" w:space="0" w:color="auto"/>
              </w:divBdr>
            </w:div>
            <w:div w:id="207688527">
              <w:marLeft w:val="0"/>
              <w:marRight w:val="0"/>
              <w:marTop w:val="0"/>
              <w:marBottom w:val="0"/>
              <w:divBdr>
                <w:top w:val="none" w:sz="0" w:space="0" w:color="auto"/>
                <w:left w:val="none" w:sz="0" w:space="0" w:color="auto"/>
                <w:bottom w:val="none" w:sz="0" w:space="0" w:color="auto"/>
                <w:right w:val="none" w:sz="0" w:space="0" w:color="auto"/>
              </w:divBdr>
            </w:div>
            <w:div w:id="213125867">
              <w:marLeft w:val="0"/>
              <w:marRight w:val="0"/>
              <w:marTop w:val="0"/>
              <w:marBottom w:val="0"/>
              <w:divBdr>
                <w:top w:val="none" w:sz="0" w:space="0" w:color="auto"/>
                <w:left w:val="none" w:sz="0" w:space="0" w:color="auto"/>
                <w:bottom w:val="none" w:sz="0" w:space="0" w:color="auto"/>
                <w:right w:val="none" w:sz="0" w:space="0" w:color="auto"/>
              </w:divBdr>
            </w:div>
            <w:div w:id="236985060">
              <w:marLeft w:val="0"/>
              <w:marRight w:val="0"/>
              <w:marTop w:val="0"/>
              <w:marBottom w:val="0"/>
              <w:divBdr>
                <w:top w:val="none" w:sz="0" w:space="0" w:color="auto"/>
                <w:left w:val="none" w:sz="0" w:space="0" w:color="auto"/>
                <w:bottom w:val="none" w:sz="0" w:space="0" w:color="auto"/>
                <w:right w:val="none" w:sz="0" w:space="0" w:color="auto"/>
              </w:divBdr>
            </w:div>
            <w:div w:id="305012270">
              <w:marLeft w:val="0"/>
              <w:marRight w:val="0"/>
              <w:marTop w:val="0"/>
              <w:marBottom w:val="0"/>
              <w:divBdr>
                <w:top w:val="none" w:sz="0" w:space="0" w:color="auto"/>
                <w:left w:val="none" w:sz="0" w:space="0" w:color="auto"/>
                <w:bottom w:val="none" w:sz="0" w:space="0" w:color="auto"/>
                <w:right w:val="none" w:sz="0" w:space="0" w:color="auto"/>
              </w:divBdr>
            </w:div>
            <w:div w:id="645739539">
              <w:marLeft w:val="0"/>
              <w:marRight w:val="0"/>
              <w:marTop w:val="0"/>
              <w:marBottom w:val="0"/>
              <w:divBdr>
                <w:top w:val="none" w:sz="0" w:space="0" w:color="auto"/>
                <w:left w:val="none" w:sz="0" w:space="0" w:color="auto"/>
                <w:bottom w:val="none" w:sz="0" w:space="0" w:color="auto"/>
                <w:right w:val="none" w:sz="0" w:space="0" w:color="auto"/>
              </w:divBdr>
            </w:div>
            <w:div w:id="742486992">
              <w:marLeft w:val="0"/>
              <w:marRight w:val="0"/>
              <w:marTop w:val="0"/>
              <w:marBottom w:val="0"/>
              <w:divBdr>
                <w:top w:val="none" w:sz="0" w:space="0" w:color="auto"/>
                <w:left w:val="none" w:sz="0" w:space="0" w:color="auto"/>
                <w:bottom w:val="none" w:sz="0" w:space="0" w:color="auto"/>
                <w:right w:val="none" w:sz="0" w:space="0" w:color="auto"/>
              </w:divBdr>
            </w:div>
            <w:div w:id="881479618">
              <w:marLeft w:val="0"/>
              <w:marRight w:val="0"/>
              <w:marTop w:val="0"/>
              <w:marBottom w:val="0"/>
              <w:divBdr>
                <w:top w:val="none" w:sz="0" w:space="0" w:color="auto"/>
                <w:left w:val="none" w:sz="0" w:space="0" w:color="auto"/>
                <w:bottom w:val="none" w:sz="0" w:space="0" w:color="auto"/>
                <w:right w:val="none" w:sz="0" w:space="0" w:color="auto"/>
              </w:divBdr>
            </w:div>
            <w:div w:id="976490498">
              <w:marLeft w:val="0"/>
              <w:marRight w:val="0"/>
              <w:marTop w:val="0"/>
              <w:marBottom w:val="0"/>
              <w:divBdr>
                <w:top w:val="none" w:sz="0" w:space="0" w:color="auto"/>
                <w:left w:val="none" w:sz="0" w:space="0" w:color="auto"/>
                <w:bottom w:val="none" w:sz="0" w:space="0" w:color="auto"/>
                <w:right w:val="none" w:sz="0" w:space="0" w:color="auto"/>
              </w:divBdr>
            </w:div>
            <w:div w:id="1168860564">
              <w:marLeft w:val="0"/>
              <w:marRight w:val="0"/>
              <w:marTop w:val="0"/>
              <w:marBottom w:val="0"/>
              <w:divBdr>
                <w:top w:val="none" w:sz="0" w:space="0" w:color="auto"/>
                <w:left w:val="none" w:sz="0" w:space="0" w:color="auto"/>
                <w:bottom w:val="none" w:sz="0" w:space="0" w:color="auto"/>
                <w:right w:val="none" w:sz="0" w:space="0" w:color="auto"/>
              </w:divBdr>
            </w:div>
            <w:div w:id="1273708994">
              <w:marLeft w:val="0"/>
              <w:marRight w:val="0"/>
              <w:marTop w:val="0"/>
              <w:marBottom w:val="0"/>
              <w:divBdr>
                <w:top w:val="none" w:sz="0" w:space="0" w:color="auto"/>
                <w:left w:val="none" w:sz="0" w:space="0" w:color="auto"/>
                <w:bottom w:val="none" w:sz="0" w:space="0" w:color="auto"/>
                <w:right w:val="none" w:sz="0" w:space="0" w:color="auto"/>
              </w:divBdr>
            </w:div>
            <w:div w:id="1329478616">
              <w:marLeft w:val="0"/>
              <w:marRight w:val="0"/>
              <w:marTop w:val="0"/>
              <w:marBottom w:val="0"/>
              <w:divBdr>
                <w:top w:val="none" w:sz="0" w:space="0" w:color="auto"/>
                <w:left w:val="none" w:sz="0" w:space="0" w:color="auto"/>
                <w:bottom w:val="none" w:sz="0" w:space="0" w:color="auto"/>
                <w:right w:val="none" w:sz="0" w:space="0" w:color="auto"/>
              </w:divBdr>
            </w:div>
            <w:div w:id="1343242403">
              <w:marLeft w:val="0"/>
              <w:marRight w:val="0"/>
              <w:marTop w:val="0"/>
              <w:marBottom w:val="0"/>
              <w:divBdr>
                <w:top w:val="none" w:sz="0" w:space="0" w:color="auto"/>
                <w:left w:val="none" w:sz="0" w:space="0" w:color="auto"/>
                <w:bottom w:val="none" w:sz="0" w:space="0" w:color="auto"/>
                <w:right w:val="none" w:sz="0" w:space="0" w:color="auto"/>
              </w:divBdr>
            </w:div>
            <w:div w:id="1465082039">
              <w:marLeft w:val="0"/>
              <w:marRight w:val="0"/>
              <w:marTop w:val="0"/>
              <w:marBottom w:val="0"/>
              <w:divBdr>
                <w:top w:val="none" w:sz="0" w:space="0" w:color="auto"/>
                <w:left w:val="none" w:sz="0" w:space="0" w:color="auto"/>
                <w:bottom w:val="none" w:sz="0" w:space="0" w:color="auto"/>
                <w:right w:val="none" w:sz="0" w:space="0" w:color="auto"/>
              </w:divBdr>
            </w:div>
            <w:div w:id="1488132218">
              <w:marLeft w:val="0"/>
              <w:marRight w:val="0"/>
              <w:marTop w:val="0"/>
              <w:marBottom w:val="0"/>
              <w:divBdr>
                <w:top w:val="none" w:sz="0" w:space="0" w:color="auto"/>
                <w:left w:val="none" w:sz="0" w:space="0" w:color="auto"/>
                <w:bottom w:val="none" w:sz="0" w:space="0" w:color="auto"/>
                <w:right w:val="none" w:sz="0" w:space="0" w:color="auto"/>
              </w:divBdr>
            </w:div>
            <w:div w:id="1604070637">
              <w:marLeft w:val="0"/>
              <w:marRight w:val="0"/>
              <w:marTop w:val="0"/>
              <w:marBottom w:val="0"/>
              <w:divBdr>
                <w:top w:val="none" w:sz="0" w:space="0" w:color="auto"/>
                <w:left w:val="none" w:sz="0" w:space="0" w:color="auto"/>
                <w:bottom w:val="none" w:sz="0" w:space="0" w:color="auto"/>
                <w:right w:val="none" w:sz="0" w:space="0" w:color="auto"/>
              </w:divBdr>
            </w:div>
            <w:div w:id="1731540370">
              <w:marLeft w:val="0"/>
              <w:marRight w:val="0"/>
              <w:marTop w:val="0"/>
              <w:marBottom w:val="0"/>
              <w:divBdr>
                <w:top w:val="none" w:sz="0" w:space="0" w:color="auto"/>
                <w:left w:val="none" w:sz="0" w:space="0" w:color="auto"/>
                <w:bottom w:val="none" w:sz="0" w:space="0" w:color="auto"/>
                <w:right w:val="none" w:sz="0" w:space="0" w:color="auto"/>
              </w:divBdr>
            </w:div>
            <w:div w:id="1837303060">
              <w:marLeft w:val="0"/>
              <w:marRight w:val="0"/>
              <w:marTop w:val="0"/>
              <w:marBottom w:val="0"/>
              <w:divBdr>
                <w:top w:val="none" w:sz="0" w:space="0" w:color="auto"/>
                <w:left w:val="none" w:sz="0" w:space="0" w:color="auto"/>
                <w:bottom w:val="none" w:sz="0" w:space="0" w:color="auto"/>
                <w:right w:val="none" w:sz="0" w:space="0" w:color="auto"/>
              </w:divBdr>
            </w:div>
            <w:div w:id="2138717955">
              <w:marLeft w:val="0"/>
              <w:marRight w:val="0"/>
              <w:marTop w:val="0"/>
              <w:marBottom w:val="0"/>
              <w:divBdr>
                <w:top w:val="none" w:sz="0" w:space="0" w:color="auto"/>
                <w:left w:val="none" w:sz="0" w:space="0" w:color="auto"/>
                <w:bottom w:val="none" w:sz="0" w:space="0" w:color="auto"/>
                <w:right w:val="none" w:sz="0" w:space="0" w:color="auto"/>
              </w:divBdr>
            </w:div>
          </w:divsChild>
        </w:div>
        <w:div w:id="2052145472">
          <w:marLeft w:val="0"/>
          <w:marRight w:val="0"/>
          <w:marTop w:val="0"/>
          <w:marBottom w:val="0"/>
          <w:divBdr>
            <w:top w:val="none" w:sz="0" w:space="0" w:color="auto"/>
            <w:left w:val="none" w:sz="0" w:space="0" w:color="auto"/>
            <w:bottom w:val="none" w:sz="0" w:space="0" w:color="auto"/>
            <w:right w:val="none" w:sz="0" w:space="0" w:color="auto"/>
          </w:divBdr>
        </w:div>
        <w:div w:id="2058359415">
          <w:marLeft w:val="0"/>
          <w:marRight w:val="0"/>
          <w:marTop w:val="0"/>
          <w:marBottom w:val="0"/>
          <w:divBdr>
            <w:top w:val="none" w:sz="0" w:space="0" w:color="auto"/>
            <w:left w:val="none" w:sz="0" w:space="0" w:color="auto"/>
            <w:bottom w:val="none" w:sz="0" w:space="0" w:color="auto"/>
            <w:right w:val="none" w:sz="0" w:space="0" w:color="auto"/>
          </w:divBdr>
        </w:div>
      </w:divsChild>
    </w:div>
    <w:div w:id="2142530856">
      <w:bodyDiv w:val="1"/>
      <w:marLeft w:val="0"/>
      <w:marRight w:val="0"/>
      <w:marTop w:val="0"/>
      <w:marBottom w:val="0"/>
      <w:divBdr>
        <w:top w:val="none" w:sz="0" w:space="0" w:color="auto"/>
        <w:left w:val="none" w:sz="0" w:space="0" w:color="auto"/>
        <w:bottom w:val="none" w:sz="0" w:space="0" w:color="auto"/>
        <w:right w:val="none" w:sz="0" w:space="0" w:color="auto"/>
      </w:divBdr>
    </w:div>
    <w:div w:id="21471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3.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svg"/><Relationship Id="rId29" Type="http://schemas.openxmlformats.org/officeDocument/2006/relationships/hyperlink" Target="https://www.apra.gov.au/sites/default/files/2024-12/4.%20Mortgages%20Health%20Check%20-%20April%202024%20-%20Attachment_Redact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svg"/><Relationship Id="rId32" Type="http://schemas.openxmlformats.org/officeDocument/2006/relationships/image" Target="media/image13.emf"/><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https://www.housing.qld.gov.au/__data/assets/pdf_file/0030/86367/annual-report-2024-25.pdf"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svg"/><Relationship Id="rId27" Type="http://schemas.openxmlformats.org/officeDocument/2006/relationships/hyperlink" Target="https://www.esc.vic.gov.au/local-government/rate-capping-outcomes-reports/local-council-outcomes-report-2025" TargetMode="External"/><Relationship Id="rId30" Type="http://schemas.openxmlformats.org/officeDocument/2006/relationships/hyperlink" Target="https://www.gtlaw.com.au/insights/asic-report-815-hardship,-not-as-hard-to-get-help-but-lenders-still-need-to-do-more?utm_source=chatgpt.com"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dffh.vic.gov.au/publications/rental-report" TargetMode="External"/><Relationship Id="rId18" Type="http://schemas.openxmlformats.org/officeDocument/2006/relationships/hyperlink" Target="https://www.rentingcommissioner.vic.gov.au/the-rental-sector/research/renting-in-victoria-2024-snapshot" TargetMode="External"/><Relationship Id="rId26" Type="http://schemas.openxmlformats.org/officeDocument/2006/relationships/hyperlink" Target="https://www.realestate.com.au/news/the-best-time-of-year-to-nab-a-rental-according-to-the-property-data/" TargetMode="External"/><Relationship Id="rId39" Type="http://schemas.openxmlformats.org/officeDocument/2006/relationships/hyperlink" Target="https://www.fairgofinance.com.au/rental-bond-loans-vic/" TargetMode="External"/><Relationship Id="rId21" Type="http://schemas.openxmlformats.org/officeDocument/2006/relationships/hyperlink" Target="https://www.consumer.vic.gov.au/housing/renting/rent-bond-bills-and-condition-reports/bond" TargetMode="External"/><Relationship Id="rId34" Type="http://schemas.openxmlformats.org/officeDocument/2006/relationships/hyperlink" Target="https://www.anikalegal.com/blog/broken-bonds/" TargetMode="External"/><Relationship Id="rId42" Type="http://schemas.openxmlformats.org/officeDocument/2006/relationships/hyperlink" Target="https://taxombudsman.gov.au/wp-content/uploads/2021/07/Final-Report-Investigation-and-Exploration-of-Undisputed-Tax-Debts-in-Australia_1.pdf" TargetMode="External"/><Relationship Id="rId47" Type="http://schemas.openxmlformats.org/officeDocument/2006/relationships/hyperlink" Target="https://www.commbank.com.au/personal-loans.html" TargetMode="External"/><Relationship Id="rId50" Type="http://schemas.openxmlformats.org/officeDocument/2006/relationships/hyperlink" Target="https://www.fairgofinance.com.au/rental-bond-loans-vic/" TargetMode="External"/><Relationship Id="rId55" Type="http://schemas.openxmlformats.org/officeDocument/2006/relationships/hyperlink" Target="https://www.esc.vic.gov.au/local-government/rate-capping-outcomes-reports/local-council-outcomes-report-2025" TargetMode="External"/><Relationship Id="rId7" Type="http://schemas.openxmlformats.org/officeDocument/2006/relationships/hyperlink" Target="https://www.rba.gov.au/publications/bulletin/2023/mar/renters-rent-inflation-and-renter-stress.html" TargetMode="External"/><Relationship Id="rId2" Type="http://schemas.openxmlformats.org/officeDocument/2006/relationships/hyperlink" Target="https://www.parliament.vic.gov.au/4addce/globalassets/tabled-paper-documents/tabled-paper-9879/rtba-annual-report-2024-25.pdf" TargetMode="External"/><Relationship Id="rId16" Type="http://schemas.openxmlformats.org/officeDocument/2006/relationships/hyperlink" Target="https://www.rentingcommissioner.vic.gov.au/the-rental-sector/research/renting-in-victoria-2024-snapshot" TargetMode="External"/><Relationship Id="rId29" Type="http://schemas.openxmlformats.org/officeDocument/2006/relationships/hyperlink" Target="https://www.consumer.vic.gov.au/housing/renting/rent-bond-bills-and-condition-reports/bond/bond-claims-and-refunds" TargetMode="External"/><Relationship Id="rId11" Type="http://schemas.openxmlformats.org/officeDocument/2006/relationships/hyperlink" Target="https://www.rentingcommissioner.vic.gov.au/the-rental-sector/research/renting-in-victoria-2024-snapshot" TargetMode="External"/><Relationship Id="rId24" Type="http://schemas.openxmlformats.org/officeDocument/2006/relationships/hyperlink" Target="https://content.legislation.vic.gov.au/sites/default/files/2025-11/97-109aa111-authorised.pdf" TargetMode="External"/><Relationship Id="rId32" Type="http://schemas.openxmlformats.org/officeDocument/2006/relationships/hyperlink" Target="https://www.premier.vic.gov.au/sites/default/files/2025-09/250913-Resolving-Rental-Disputes-Fast-Fair-And-For-Free.pdf" TargetMode="External"/><Relationship Id="rId37" Type="http://schemas.openxmlformats.org/officeDocument/2006/relationships/hyperlink" Target="https://www.latitudefinancial.com.au/credit-cards/low-rate/" TargetMode="External"/><Relationship Id="rId40" Type="http://schemas.openxmlformats.org/officeDocument/2006/relationships/hyperlink" Target="https://www.esc.vic.gov.au/local-government/rate-capping-outcomes-reports/local-council-outcomes-report-2025" TargetMode="External"/><Relationship Id="rId45" Type="http://schemas.openxmlformats.org/officeDocument/2006/relationships/hyperlink" Target="https://www.jacarandafinance.com.au/general/average-australian-household-debt-statistics/" TargetMode="External"/><Relationship Id="rId53" Type="http://schemas.openxmlformats.org/officeDocument/2006/relationships/hyperlink" Target="https://pursuit.unimelb.edu.au/articles/is-rent-for-life-becoming-the-new-norm-for-families" TargetMode="External"/><Relationship Id="rId5" Type="http://schemas.openxmlformats.org/officeDocument/2006/relationships/hyperlink" Target="https://grattan.edu.au/report/renting-in-retirement-why-rent-assistance-needs-to-rise/" TargetMode="External"/><Relationship Id="rId19" Type="http://schemas.openxmlformats.org/officeDocument/2006/relationships/hyperlink" Target="https://www.parliament.vic.gov.au/4addce/globalassets/tabled-paper-documents/tabled-paper-9879/rtba-annual-report-2024-25.pdf" TargetMode="External"/><Relationship Id="rId4" Type="http://schemas.openxmlformats.org/officeDocument/2006/relationships/hyperlink" Target="https://grattan.edu.au/wp-content/uploads/2018/03/901-Housing-affordability.pdf" TargetMode="External"/><Relationship Id="rId9" Type="http://schemas.openxmlformats.org/officeDocument/2006/relationships/hyperlink" Target="https://www.abc.net.au/news/2025-05-13/rental-bonds-victoria-investor-selloff/105283014" TargetMode="External"/><Relationship Id="rId14" Type="http://schemas.openxmlformats.org/officeDocument/2006/relationships/hyperlink" Target="https://www.dffh.vic.gov.au/publications/rental-report" TargetMode="External"/><Relationship Id="rId22" Type="http://schemas.openxmlformats.org/officeDocument/2006/relationships/hyperlink" Target="https://www.consumer.vic.gov.au/housing/renting/rent-bond-bills-and-condition-reports/bond/bond-amounts-and-paying-a-bond" TargetMode="External"/><Relationship Id="rId27" Type="http://schemas.openxmlformats.org/officeDocument/2006/relationships/hyperlink" Target="https://www.consumer.vic.gov.au/housing/renting/rent-bond-bills-and-condition-reports/bond/bond-claims-and-refunds" TargetMode="External"/><Relationship Id="rId30" Type="http://schemas.openxmlformats.org/officeDocument/2006/relationships/hyperlink" Target="https://www.canstar.com.au/savings-accounts/best-savings-account-interest-rates/" TargetMode="External"/><Relationship Id="rId35" Type="http://schemas.openxmlformats.org/officeDocument/2006/relationships/hyperlink" Target="https://www.indebted.co/blog/guides/navigating-the-debt-collection-software-tipping-point/" TargetMode="External"/><Relationship Id="rId43" Type="http://schemas.openxmlformats.org/officeDocument/2006/relationships/hyperlink" Target="https://www.jgwentworth.com/resources/how-much-do-debt-collectors-pay-for-debt" TargetMode="External"/><Relationship Id="rId48" Type="http://schemas.openxmlformats.org/officeDocument/2006/relationships/hyperlink" Target="https://www.latitudefinancial.com.au/credit-cards/low-rate/" TargetMode="External"/><Relationship Id="rId56" Type="http://schemas.openxmlformats.org/officeDocument/2006/relationships/hyperlink" Target="https://kpmgaust.sharepoint.com/sites/AU-DGSPortableBondsRIS/Shared%20Documents/General/4.%20Workpapers/Iterations%20of%20the%20RIS/%3chttps:/www.consumer.vic.gov.au/about-us/statutory-bodies-and-committees/residential-tenancies-bond-authority%3e" TargetMode="External"/><Relationship Id="rId8" Type="http://schemas.openxmlformats.org/officeDocument/2006/relationships/hyperlink" Target="https://www.dffh.vic.gov.au/publications/rental-report" TargetMode="External"/><Relationship Id="rId51" Type="http://schemas.openxmlformats.org/officeDocument/2006/relationships/hyperlink" Target="https://www.money.com.au/credit-cards/research-insights/credit-card-statistics" TargetMode="External"/><Relationship Id="rId3" Type="http://schemas.openxmlformats.org/officeDocument/2006/relationships/hyperlink" Target="https://static.pbo.vic.gov.au/files/PBO_Submission-to-inquiry-into-rental-and-housing-affordability-crisis-in-Victoria.pdf" TargetMode="External"/><Relationship Id="rId12" Type="http://schemas.openxmlformats.org/officeDocument/2006/relationships/hyperlink" Target="https://www.consumer.vic.gov.au/latest-news/no-price-no-ad-putting-a-stop-to-rental-bidding" TargetMode="External"/><Relationship Id="rId17" Type="http://schemas.openxmlformats.org/officeDocument/2006/relationships/hyperlink" Target="https://kpmgaust-my.sharepoint.com/personal/atriado_kpmg_com_au/Documents/Attachments/%3chttps:/www.consumer.vic.gov.au/about-us/statutory-bodies-and-committees/residential-tenancies-bond-authority%3e" TargetMode="External"/><Relationship Id="rId25" Type="http://schemas.openxmlformats.org/officeDocument/2006/relationships/hyperlink" Target="https://www.ahuri.edu.au/sites/default/files/migration/documents/AHURI-Final-Report-344-Post-pandemic-landlordrenter-relationships-in-Australia.pdf" TargetMode="External"/><Relationship Id="rId33" Type="http://schemas.openxmlformats.org/officeDocument/2006/relationships/hyperlink" Target="https://www.vcat.vic.gov.au/news/annual-report" TargetMode="External"/><Relationship Id="rId38" Type="http://schemas.openxmlformats.org/officeDocument/2006/relationships/hyperlink" Target="https://cityfinance.com.au/our-costs/" TargetMode="External"/><Relationship Id="rId46" Type="http://schemas.openxmlformats.org/officeDocument/2006/relationships/hyperlink" Target="https://www.abs.gov.au/statistics/people/population/national-state-and-territory-population/latest-release" TargetMode="External"/><Relationship Id="rId20" Type="http://schemas.openxmlformats.org/officeDocument/2006/relationships/hyperlink" Target="https://www.parliament.vic.gov.au/parliamentary-activity/hansard/hansard-details/HANSARD-974425065-33168" TargetMode="External"/><Relationship Id="rId41" Type="http://schemas.openxmlformats.org/officeDocument/2006/relationships/hyperlink" Target="https://www.thefaircapital.com/post/reducing-stress-a-benefits-of-outsourcing-debt-collection" TargetMode="External"/><Relationship Id="rId54" Type="http://schemas.openxmlformats.org/officeDocument/2006/relationships/hyperlink" Target="https://www.consumer.vic.gov.au/library/publications/about-us/rtba/202324-residential-tenancies-bond-authority.pdf" TargetMode="External"/><Relationship Id="rId1" Type="http://schemas.openxmlformats.org/officeDocument/2006/relationships/hyperlink" Target="https://www.dffh.vic.gov.au/publications/rental-report" TargetMode="External"/><Relationship Id="rId6" Type="http://schemas.openxmlformats.org/officeDocument/2006/relationships/hyperlink" Target="https://www.housingdata.gov.au/visualisation/home-ownership/home-ownership-by-age-group" TargetMode="External"/><Relationship Id="rId15" Type="http://schemas.openxmlformats.org/officeDocument/2006/relationships/hyperlink" Target="https://www.abs.gov.au/census/find-census-data/quickstats/2021/SOS20" TargetMode="External"/><Relationship Id="rId23" Type="http://schemas.openxmlformats.org/officeDocument/2006/relationships/hyperlink" Target="https://content.legislation.vic.gov.au/sites/default/files/2025-11/97-109aa111-authorised.pdf" TargetMode="External"/><Relationship Id="rId28" Type="http://schemas.openxmlformats.org/officeDocument/2006/relationships/hyperlink" Target="https://www.ahuri.edu.au/sites/default/files/documents/2023-07/AHURI-Final-Report-404-Transitions-into-home-ownership-a-quantitative-assessment.pdf" TargetMode="External"/><Relationship Id="rId36" Type="http://schemas.openxmlformats.org/officeDocument/2006/relationships/hyperlink" Target="https://www.commbank.com.au/personal-loans.html" TargetMode="External"/><Relationship Id="rId49" Type="http://schemas.openxmlformats.org/officeDocument/2006/relationships/hyperlink" Target="https://cityfinance.com.au/our-costs/" TargetMode="External"/><Relationship Id="rId57" Type="http://schemas.openxmlformats.org/officeDocument/2006/relationships/hyperlink" Target="https://www.dtf.vic.gov.au/wage-inflation-and-discount-rates" TargetMode="External"/><Relationship Id="rId10" Type="http://schemas.openxmlformats.org/officeDocument/2006/relationships/hyperlink" Target="https://www.dffh.vic.gov.au/publications/rental-report" TargetMode="External"/><Relationship Id="rId31" Type="http://schemas.openxmlformats.org/officeDocument/2006/relationships/hyperlink" Target="https://www.parliament.vic.gov.au/4addce/globalassets/tabled-paper-documents/tabled-paper-9879/rtba-annual-report-2024-25.pdf" TargetMode="External"/><Relationship Id="rId44" Type="http://schemas.openxmlformats.org/officeDocument/2006/relationships/hyperlink" Target="https://oia.pmc.gov.au/sites/default/files/2023-12/small-business.pdf" TargetMode="External"/><Relationship Id="rId52" Type="http://schemas.openxmlformats.org/officeDocument/2006/relationships/hyperlink" Target="https://www.roymorgan.com/findings/9337-general-insurance-policy-switching-october-2023"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5048082-e052-44c2-9313-1529a8e2ac53" xsi:nil="true"/>
    <Notes xmlns="c5048082-e052-44c2-9313-1529a8e2ac53" xsi:nil="true"/>
    <Status xmlns="c5048082-e052-44c2-9313-1529a8e2ac53" xsi:nil="true"/>
    <Requiredbydate xmlns="c5048082-e052-44c2-9313-1529a8e2ac53" xsi:nil="true"/>
    <TaxCatchAll xmlns="97580cac-1a46-464e-a749-263d0beaf9ec" xsi:nil="true"/>
    <WorkCategory xmlns="c5048082-e052-44c2-9313-1529a8e2ac53" xsi:nil="true"/>
    <_Flow_SignoffStatus xmlns="c5048082-e052-44c2-9313-1529a8e2ac53" xsi:nil="true"/>
    <DocumentType xmlns="c5048082-e052-44c2-9313-1529a8e2ac53" xsi:nil="true"/>
    <lcf76f155ced4ddcb4097134ff3c332f xmlns="c5048082-e052-44c2-9313-1529a8e2ac53">
      <Terms xmlns="http://schemas.microsoft.com/office/infopath/2007/PartnerControls"/>
    </lcf76f155ced4ddcb4097134ff3c332f>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b:Source>
    <b:Tag>SGS24</b:Tag>
    <b:SourceType>DocumentFromInternetSite</b:SourceType>
    <b:Guid>{EECC16D7-0193-46CE-A52B-B1A932A77D5D}</b:Guid>
    <b:Title>Renting in Victoria: 2024 Snapshot Technical Report</b:Title>
    <b:Year>2024</b:Year>
    <b:Month>December</b:Month>
    <b:Author>
      <b:Author>
        <b:Corporate>SGS Economics and Planning Pty Ltd 2024 </b:Corporate>
      </b:Author>
    </b:Author>
    <b:InternetSiteTitle>Renting Commissioner</b:InternetSiteTitle>
    <b:URL>https://files.rentingcommissioner.vic.gov.au/2025-04/Renting%20in%20Victoria%20Snapshot%202024%20-%20Technical%20paper.pdf</b:URL>
    <b:RefOrder>1</b:RefOrder>
  </b:Source>
</b:Sourc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43F7B-E773-42BD-AEE6-765578D9C878}">
  <ds:schemaRefs>
    <ds:schemaRef ds:uri="http://schemas.microsoft.com/office/2006/metadata/properties"/>
    <ds:schemaRef ds:uri="http://schemas.microsoft.com/office/infopath/2007/PartnerControls"/>
    <ds:schemaRef ds:uri="819b386d-50bf-46e4-84ce-1e7bab8d2c49"/>
  </ds:schemaRefs>
</ds:datastoreItem>
</file>

<file path=customXml/itemProps2.xml><?xml version="1.0" encoding="utf-8"?>
<ds:datastoreItem xmlns:ds="http://schemas.openxmlformats.org/officeDocument/2006/customXml" ds:itemID="{88D05E7D-C431-41D5-B49D-E61C1D05AFCF}">
  <ds:schemaRefs>
    <ds:schemaRef ds:uri="http://schemas.openxmlformats.org/officeDocument/2006/bibliography"/>
  </ds:schemaRefs>
</ds:datastoreItem>
</file>

<file path=customXml/itemProps3.xml><?xml version="1.0" encoding="utf-8"?>
<ds:datastoreItem xmlns:ds="http://schemas.openxmlformats.org/officeDocument/2006/customXml" ds:itemID="{7537391C-13CD-4C2C-BA1B-4ADD68B1BB73}">
  <ds:schemaRefs>
    <ds:schemaRef ds:uri="http://www.w3.org/2001/XMLSchema"/>
  </ds:schemaRefs>
</ds:datastoreItem>
</file>

<file path=customXml/itemProps4.xml><?xml version="1.0" encoding="utf-8"?>
<ds:datastoreItem xmlns:ds="http://schemas.openxmlformats.org/officeDocument/2006/customXml" ds:itemID="{FD931BE8-2A0B-4476-A0F8-590B39A4E5C7}">
  <ds:schemaRefs>
    <ds:schemaRef ds:uri="http://schemas.microsoft.com/sharepoint/v3/contenttype/forms"/>
  </ds:schemaRefs>
</ds:datastoreItem>
</file>

<file path=customXml/itemProps5.xml><?xml version="1.0" encoding="utf-8"?>
<ds:datastoreItem xmlns:ds="http://schemas.openxmlformats.org/officeDocument/2006/customXml" ds:itemID="{E7921A61-59B3-4C87-BC84-B4B70A39DC1A}"/>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75</Pages>
  <Words>31722</Words>
  <Characters>162421</Characters>
  <Application>Microsoft Office Word</Application>
  <DocSecurity>0</DocSecurity>
  <Lines>3691</Lines>
  <Paragraphs>2206</Paragraphs>
  <ScaleCrop>false</ScaleCrop>
  <HeadingPairs>
    <vt:vector size="2" baseType="variant">
      <vt:variant>
        <vt:lpstr>Title</vt:lpstr>
      </vt:variant>
      <vt:variant>
        <vt:i4>1</vt:i4>
      </vt:variant>
    </vt:vector>
  </HeadingPairs>
  <TitlesOfParts>
    <vt:vector size="1" baseType="lpstr">
      <vt:lpstr>Attachment B Regulatory Impact Statement.docx</vt:lpstr>
    </vt:vector>
  </TitlesOfParts>
  <Manager/>
  <Company/>
  <LinksUpToDate>false</LinksUpToDate>
  <CharactersWithSpaces>191937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Regulatory Impact Statement.docx</dc:title>
  <dc:subject/>
  <dc:creator>Rathbun, Lucy</dc:creator>
  <cp:keywords/>
  <dc:description/>
  <cp:lastModifiedBy>Melanie L Heyward (DGS)</cp:lastModifiedBy>
  <cp:revision>2</cp:revision>
  <cp:lastPrinted>2026-03-13T17:37:00Z</cp:lastPrinted>
  <dcterms:created xsi:type="dcterms:W3CDTF">2026-03-18T04:31:00Z</dcterms:created>
  <dcterms:modified xsi:type="dcterms:W3CDTF">2026-03-18T04:31:00Z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_AGOMOActionTaxHTField">
    <vt:lpwstr/>
  </property>
  <property fmtid="{D5CDD505-2E9C-101B-9397-08002B2CF9AE}" pid="3" name="E2_PolicyToPrepareTaxHTField">
    <vt:lpwstr/>
  </property>
  <property fmtid="{D5CDD505-2E9C-101B-9397-08002B2CF9AE}" pid="4" name="E2_ReplyBy">
    <vt:lpwstr/>
  </property>
  <property fmtid="{D5CDD505-2E9C-101B-9397-08002B2CF9AE}" pid="5" name="MSIP_Label_7158ebbd-6c5e-441f-bfc9-4eb8c11e3978_Name">
    <vt:lpwstr>7158ebbd-6c5e-441f-bfc9-4eb8c11e3978</vt:lpwstr>
  </property>
  <property fmtid="{D5CDD505-2E9C-101B-9397-08002B2CF9AE}" pid="6" name="E2_Committee">
    <vt:lpwstr/>
  </property>
  <property fmtid="{D5CDD505-2E9C-101B-9397-08002B2CF9AE}" pid="7" name="E2_LegislativeAssemblyElectorate">
    <vt:lpwstr/>
  </property>
  <property fmtid="{D5CDD505-2E9C-101B-9397-08002B2CF9AE}" pid="8" name="E2_Status">
    <vt:lpwstr/>
  </property>
  <property fmtid="{D5CDD505-2E9C-101B-9397-08002B2CF9AE}" pid="9" name="MediaServiceImageTags">
    <vt:lpwstr/>
  </property>
  <property fmtid="{D5CDD505-2E9C-101B-9397-08002B2CF9AE}" pid="10" name="MSIP_Label_7158ebbd-6c5e-441f-bfc9-4eb8c11e3978_Method">
    <vt:lpwstr>Privileged</vt:lpwstr>
  </property>
  <property fmtid="{D5CDD505-2E9C-101B-9397-08002B2CF9AE}" pid="11" name="MSIP_Label_7158ebbd-6c5e-441f-bfc9-4eb8c11e3978_SiteId">
    <vt:lpwstr>722ea0be-3e1c-4b11-ad6f-9401d6856e24</vt:lpwstr>
  </property>
  <property fmtid="{D5CDD505-2E9C-101B-9397-08002B2CF9AE}" pid="12" name="E2_BriefingRecipient">
    <vt:lpwstr/>
  </property>
  <property fmtid="{D5CDD505-2E9C-101B-9397-08002B2CF9AE}" pid="13" name="E2_StatusTaxHTField">
    <vt:lpwstr/>
  </property>
  <property fmtid="{D5CDD505-2E9C-101B-9397-08002B2CF9AE}" pid="14" name="E2_AllocateToTaxHTField">
    <vt:lpwstr/>
  </property>
  <property fmtid="{D5CDD505-2E9C-101B-9397-08002B2CF9AE}" pid="15" name="E2_SecurityClassificationTaxHTField">
    <vt:lpwstr/>
  </property>
  <property fmtid="{D5CDD505-2E9C-101B-9397-08002B2CF9AE}" pid="16" name="E2_GovernmentPortfolio">
    <vt:lpwstr/>
  </property>
  <property fmtid="{D5CDD505-2E9C-101B-9397-08002B2CF9AE}" pid="17" name="E2_LegislativeCouncilRegionTaxHTField">
    <vt:lpwstr/>
  </property>
  <property fmtid="{D5CDD505-2E9C-101B-9397-08002B2CF9AE}" pid="18" name="E2_LegislativeCouncilRegion">
    <vt:lpwstr/>
  </property>
  <property fmtid="{D5CDD505-2E9C-101B-9397-08002B2CF9AE}" pid="19" name="MSIP_Label_7158ebbd-6c5e-441f-bfc9-4eb8c11e3978_ActionId">
    <vt:lpwstr>12342b7c-6cb7-4753-8247-57064b44f8b6</vt:lpwstr>
  </property>
  <property fmtid="{D5CDD505-2E9C-101B-9397-08002B2CF9AE}" pid="20" name="E2_AGOMOAction">
    <vt:lpwstr/>
  </property>
  <property fmtid="{D5CDD505-2E9C-101B-9397-08002B2CF9AE}" pid="21" name="E2_GovernmentPortfolioTaxHTField">
    <vt:lpwstr/>
  </property>
  <property fmtid="{D5CDD505-2E9C-101B-9397-08002B2CF9AE}" pid="22" name="E2_LegislativeAssemblyElectorateTaxHTField">
    <vt:lpwstr/>
  </property>
  <property fmtid="{D5CDD505-2E9C-101B-9397-08002B2CF9AE}" pid="23" name="E2_DeptActionRequired">
    <vt:lpwstr/>
  </property>
  <property fmtid="{D5CDD505-2E9C-101B-9397-08002B2CF9AE}" pid="24" name="MSIP_Label_7158ebbd-6c5e-441f-bfc9-4eb8c11e3978_Enabled">
    <vt:lpwstr>true</vt:lpwstr>
  </property>
  <property fmtid="{D5CDD505-2E9C-101B-9397-08002B2CF9AE}" pid="25" name="E2_DeptActionRequiredTaxHTField">
    <vt:lpwstr/>
  </property>
  <property fmtid="{D5CDD505-2E9C-101B-9397-08002B2CF9AE}" pid="26" name="E2_Department">
    <vt:lpwstr/>
  </property>
  <property fmtid="{D5CDD505-2E9C-101B-9397-08002B2CF9AE}" pid="27" name="Language">
    <vt:lpwstr>English</vt:lpwstr>
  </property>
  <property fmtid="{D5CDD505-2E9C-101B-9397-08002B2CF9AE}" pid="28" name="E2_InitiatedByTaxHTField">
    <vt:lpwstr/>
  </property>
  <property fmtid="{D5CDD505-2E9C-101B-9397-08002B2CF9AE}" pid="29" name="E2_AllocateTo">
    <vt:lpwstr/>
  </property>
  <property fmtid="{D5CDD505-2E9C-101B-9397-08002B2CF9AE}" pid="30" name="ClassificationContentMarkingFooterShapeIds">
    <vt:lpwstr>3c9febcc,5e448e06,1eddd1b0,52395082,b8cf2e3,427a1cad,11731d6d,2f6ba2f1,65afad49</vt:lpwstr>
  </property>
  <property fmtid="{D5CDD505-2E9C-101B-9397-08002B2CF9AE}" pid="31" name="E2_ReplyByTaxHTField">
    <vt:lpwstr/>
  </property>
  <property fmtid="{D5CDD505-2E9C-101B-9397-08002B2CF9AE}" pid="32" name="E2_SecurityClassification">
    <vt:lpwstr/>
  </property>
  <property fmtid="{D5CDD505-2E9C-101B-9397-08002B2CF9AE}" pid="33" name="E2_AskedBy">
    <vt:lpwstr/>
  </property>
  <property fmtid="{D5CDD505-2E9C-101B-9397-08002B2CF9AE}" pid="34" name="E2_BriefingRecipientTaxHTField">
    <vt:lpwstr/>
  </property>
  <property fmtid="{D5CDD505-2E9C-101B-9397-08002B2CF9AE}" pid="35" name="ClassificationContentMarkingFooterFontProps">
    <vt:lpwstr>#000000,11,Calibri</vt:lpwstr>
  </property>
  <property fmtid="{D5CDD505-2E9C-101B-9397-08002B2CF9AE}" pid="36" name="E2_PolicyToPrepare">
    <vt:lpwstr/>
  </property>
  <property fmtid="{D5CDD505-2E9C-101B-9397-08002B2CF9AE}" pid="37" name="E2_HouseTaxHTField">
    <vt:lpwstr/>
  </property>
  <property fmtid="{D5CDD505-2E9C-101B-9397-08002B2CF9AE}" pid="38" name="TaxCatchAll">
    <vt:lpwstr/>
  </property>
  <property fmtid="{D5CDD505-2E9C-101B-9397-08002B2CF9AE}" pid="39" name="MSIP_Label_7158ebbd-6c5e-441f-bfc9-4eb8c11e3978_SetDate">
    <vt:lpwstr>2025-02-16T22:15:34Z</vt:lpwstr>
  </property>
  <property fmtid="{D5CDD505-2E9C-101B-9397-08002B2CF9AE}" pid="40" name="E2_House">
    <vt:lpwstr/>
  </property>
  <property fmtid="{D5CDD505-2E9C-101B-9397-08002B2CF9AE}" pid="41" name="E2_Portfolio">
    <vt:lpwstr/>
  </property>
  <property fmtid="{D5CDD505-2E9C-101B-9397-08002B2CF9AE}" pid="42" name="E2_SCBToPrepareTaxHTField">
    <vt:lpwstr/>
  </property>
  <property fmtid="{D5CDD505-2E9C-101B-9397-08002B2CF9AE}" pid="43" name="E2_DepartmentTaxHTField">
    <vt:lpwstr/>
  </property>
  <property fmtid="{D5CDD505-2E9C-101B-9397-08002B2CF9AE}" pid="44" name="E2_InitiatedBy">
    <vt:lpwstr/>
  </property>
  <property fmtid="{D5CDD505-2E9C-101B-9397-08002B2CF9AE}" pid="45" name="E2_CommitteeTaxHTField">
    <vt:lpwstr/>
  </property>
  <property fmtid="{D5CDD505-2E9C-101B-9397-08002B2CF9AE}" pid="46" name="MSIP_Label_7158ebbd-6c5e-441f-bfc9-4eb8c11e3978_ContentBits">
    <vt:lpwstr>2</vt:lpwstr>
  </property>
  <property fmtid="{D5CDD505-2E9C-101B-9397-08002B2CF9AE}" pid="47" name="_dlc_DocIdItemGuid">
    <vt:lpwstr>0bdeab69-85d9-44ea-9024-157aa3dd58b5</vt:lpwstr>
  </property>
  <property fmtid="{D5CDD505-2E9C-101B-9397-08002B2CF9AE}" pid="48" name="E2_SCBToPrepare">
    <vt:lpwstr/>
  </property>
  <property fmtid="{D5CDD505-2E9C-101B-9397-08002B2CF9AE}" pid="49" name="E2_AskedByTaxHTField">
    <vt:lpwstr/>
  </property>
  <property fmtid="{D5CDD505-2E9C-101B-9397-08002B2CF9AE}" pid="50" name="E2_PortfolioTaxHTField">
    <vt:lpwstr/>
  </property>
  <property fmtid="{D5CDD505-2E9C-101B-9397-08002B2CF9AE}" pid="51" name="ClassificationContentMarkingFooterText">
    <vt:lpwstr>OFFICIAL</vt:lpwstr>
  </property>
  <property fmtid="{D5CDD505-2E9C-101B-9397-08002B2CF9AE}" pid="52" name="docLang">
    <vt:lpwstr>en</vt:lpwstr>
  </property>
  <property fmtid="{D5CDD505-2E9C-101B-9397-08002B2CF9AE}" pid="53" name="ContentTypeId">
    <vt:lpwstr>0x01010072AF1AD5AF15524C920CB3BE3D72725D</vt:lpwstr>
  </property>
  <property fmtid="{D5CDD505-2E9C-101B-9397-08002B2CF9AE}" pid="54" name="ABCDocumentReference">
    <vt:lpwstr/>
  </property>
  <property fmtid="{D5CDD505-2E9C-101B-9397-08002B2CF9AE}" pid="55" name="_docset_NoMedatataSyncRequired">
    <vt:lpwstr>True</vt:lpwstr>
  </property>
</Properties>
</file>