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theme/theme1.xml" ContentType="application/vnd.openxmlformats-officedocument.theme+xml"/>
  <Override PartName="/word/diagrams/colors1.xml" ContentType="application/vnd.openxmlformats-officedocument.drawingml.diagramColors+xml"/>
  <Override PartName="/word/diagrams/drawing1.xml" ContentType="application/vnd.ms-office.drawingml.diagramDrawing+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7923968" w:displacedByCustomXml="next"/>
    <w:sdt>
      <w:sdtPr>
        <w:rPr>
          <w:b/>
          <w:bCs/>
          <w:color w:val="075D5F" w:themeColor="accent1"/>
          <w:sz w:val="28"/>
          <w:szCs w:val="28"/>
        </w:rPr>
        <w:id w:val="-782420418"/>
        <w:docPartObj>
          <w:docPartGallery w:val="Cover Pages"/>
          <w:docPartUnique/>
        </w:docPartObj>
      </w:sdtPr>
      <w:sdtEndPr>
        <w:rPr>
          <w:b w:val="0"/>
          <w:bCs w:val="0"/>
          <w:color w:val="000000" w:themeColor="text1"/>
          <w:sz w:val="20"/>
          <w:szCs w:val="20"/>
        </w:rPr>
      </w:sdtEndPr>
      <w:sdtContent>
        <w:p w14:paraId="58ECB1F6" w14:textId="15A86B92" w:rsidR="004E2640" w:rsidRPr="00FF5BD8" w:rsidRDefault="00FA3B7D" w:rsidP="00D055D1">
          <w:pPr>
            <w:ind w:left="567"/>
            <w:rPr>
              <w:b/>
              <w:bCs/>
              <w:color w:val="075D5F" w:themeColor="accent1"/>
              <w:sz w:val="28"/>
              <w:szCs w:val="28"/>
            </w:rPr>
          </w:pPr>
          <w:r>
            <w:rPr>
              <w:b/>
              <w:bCs/>
              <w:color w:val="075D5F" w:themeColor="accent1"/>
              <w:sz w:val="28"/>
              <w:szCs w:val="28"/>
            </w:rPr>
            <w:t>April</w:t>
          </w:r>
          <w:r w:rsidRPr="00FF5BD8">
            <w:rPr>
              <w:b/>
              <w:bCs/>
              <w:color w:val="075D5F" w:themeColor="accent1"/>
              <w:sz w:val="28"/>
              <w:szCs w:val="28"/>
            </w:rPr>
            <w:t xml:space="preserve"> 202</w:t>
          </w:r>
          <w:r>
            <w:rPr>
              <w:b/>
              <w:bCs/>
              <w:color w:val="075D5F" w:themeColor="accent1"/>
              <w:sz w:val="28"/>
              <w:szCs w:val="28"/>
            </w:rPr>
            <w:t>6</w:t>
          </w:r>
        </w:p>
        <w:p w14:paraId="0B74210F" w14:textId="60A2B49B" w:rsidR="004E2640" w:rsidRPr="001D699F" w:rsidRDefault="004E2640">
          <w:pPr>
            <w:pStyle w:val="LightDocumentType"/>
          </w:pPr>
        </w:p>
        <w:p w14:paraId="0124E524" w14:textId="0E751A33" w:rsidR="004E2640" w:rsidRPr="007136BF" w:rsidRDefault="005D1A3A">
          <w:pPr>
            <w:pStyle w:val="LightReportTite"/>
          </w:pPr>
          <w:r>
            <w:rPr>
              <w:noProof/>
            </w:rPr>
            <w:drawing>
              <wp:anchor distT="0" distB="0" distL="114300" distR="114300" simplePos="0" relativeHeight="251658240" behindDoc="1" locked="0" layoutInCell="1" allowOverlap="1" wp14:anchorId="0AF9946B" wp14:editId="23BF909C">
                <wp:simplePos x="0" y="0"/>
                <wp:positionH relativeFrom="page">
                  <wp:align>center</wp:align>
                </wp:positionH>
                <wp:positionV relativeFrom="page">
                  <wp:align>center</wp:align>
                </wp:positionV>
                <wp:extent cx="7056000" cy="10188000"/>
                <wp:effectExtent l="266700" t="266700" r="259715" b="270510"/>
                <wp:wrapNone/>
                <wp:docPr id="19007975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00754" name="Picture 8">
                          <a:extLst>
                            <a:ext uri="{C183D7F6-B498-43B3-948B-1728B52AA6E4}">
                              <adec:decorative xmlns:adec="http://schemas.microsoft.com/office/drawing/2017/decorative" val="1"/>
                            </a:ext>
                          </a:extLst>
                        </pic:cNvPr>
                        <pic:cNvPicPr/>
                      </pic:nvPicPr>
                      <pic:blipFill rotWithShape="1">
                        <a:blip r:embed="rId9">
                          <a:extLst>
                            <a:ext uri="{28A0092B-C50C-407E-A947-70E740481C1C}">
                              <a14:useLocalDpi xmlns:a14="http://schemas.microsoft.com/office/drawing/2010/main" val="0"/>
                            </a:ext>
                          </a:extLst>
                        </a:blip>
                        <a:srcRect/>
                        <a:stretch/>
                      </pic:blipFill>
                      <pic:spPr>
                        <a:xfrm>
                          <a:off x="0" y="0"/>
                          <a:ext cx="7056000" cy="10188000"/>
                        </a:xfrm>
                        <a:prstGeom prst="rect">
                          <a:avLst/>
                        </a:prstGeom>
                        <a:ln w="252000">
                          <a:solidFill>
                            <a:srgbClr val="E0E5E5"/>
                          </a:solidFill>
                          <a:miter lim="800000"/>
                        </a:ln>
                      </pic:spPr>
                    </pic:pic>
                  </a:graphicData>
                </a:graphic>
                <wp14:sizeRelH relativeFrom="margin">
                  <wp14:pctWidth>0</wp14:pctWidth>
                </wp14:sizeRelH>
                <wp14:sizeRelV relativeFrom="margin">
                  <wp14:pctHeight>0</wp14:pctHeight>
                </wp14:sizeRelV>
              </wp:anchor>
            </w:drawing>
          </w:r>
          <w:r w:rsidR="004E2640">
            <w:rPr>
              <w:noProof/>
            </w:rPr>
            <w:drawing>
              <wp:anchor distT="0" distB="0" distL="114300" distR="114300" simplePos="0" relativeHeight="251658241" behindDoc="1" locked="0" layoutInCell="1" allowOverlap="1" wp14:anchorId="071B6BF2" wp14:editId="4208CA07">
                <wp:simplePos x="0" y="0"/>
                <wp:positionH relativeFrom="page">
                  <wp:posOffset>2099310</wp:posOffset>
                </wp:positionH>
                <wp:positionV relativeFrom="page">
                  <wp:align>top</wp:align>
                </wp:positionV>
                <wp:extent cx="5061600" cy="10692000"/>
                <wp:effectExtent l="0" t="0" r="5715" b="0"/>
                <wp:wrapNone/>
                <wp:docPr id="168287943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0164" name="Picture 6">
                          <a:extLst>
                            <a:ext uri="{C183D7F6-B498-43B3-948B-1728B52AA6E4}">
                              <adec:decorative xmlns:adec="http://schemas.microsoft.com/office/drawing/2017/decorative" val="1"/>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061600" cy="10692000"/>
                        </a:xfrm>
                        <a:prstGeom prst="rect">
                          <a:avLst/>
                        </a:prstGeom>
                      </pic:spPr>
                    </pic:pic>
                  </a:graphicData>
                </a:graphic>
                <wp14:sizeRelH relativeFrom="margin">
                  <wp14:pctWidth>0</wp14:pctWidth>
                </wp14:sizeRelH>
                <wp14:sizeRelV relativeFrom="margin">
                  <wp14:pctHeight>0</wp14:pctHeight>
                </wp14:sizeRelV>
              </wp:anchor>
            </w:drawing>
          </w:r>
          <w:r w:rsidR="002F6832">
            <w:t>Road Management Regulations 2026</w:t>
          </w:r>
        </w:p>
        <w:p w14:paraId="7F773B64" w14:textId="62C80E1D" w:rsidR="004E2640" w:rsidRDefault="004E2640">
          <w:pPr>
            <w:pStyle w:val="LightReportSubtitle"/>
          </w:pPr>
          <w:r>
            <w:rPr>
              <w:noProof/>
            </w:rPr>
            <w:drawing>
              <wp:anchor distT="0" distB="0" distL="114300" distR="114300" simplePos="0" relativeHeight="251658242" behindDoc="1" locked="0" layoutInCell="1" allowOverlap="1" wp14:anchorId="663B4156" wp14:editId="0A46756F">
                <wp:simplePos x="0" y="0"/>
                <wp:positionH relativeFrom="column">
                  <wp:posOffset>399080</wp:posOffset>
                </wp:positionH>
                <wp:positionV relativeFrom="paragraph">
                  <wp:posOffset>110766</wp:posOffset>
                </wp:positionV>
                <wp:extent cx="134620" cy="186690"/>
                <wp:effectExtent l="0" t="0" r="0" b="3810"/>
                <wp:wrapNone/>
                <wp:docPr id="1171483658"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6311" name="Picture 1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34620" cy="186690"/>
                        </a:xfrm>
                        <a:prstGeom prst="rect">
                          <a:avLst/>
                        </a:prstGeom>
                      </pic:spPr>
                    </pic:pic>
                  </a:graphicData>
                </a:graphic>
                <wp14:sizeRelH relativeFrom="margin">
                  <wp14:pctWidth>0</wp14:pctWidth>
                </wp14:sizeRelH>
                <wp14:sizeRelV relativeFrom="margin">
                  <wp14:pctHeight>0</wp14:pctHeight>
                </wp14:sizeRelV>
              </wp:anchor>
            </w:drawing>
          </w:r>
          <w:r w:rsidR="002F6832">
            <w:t>Regulatory Impact Statement</w:t>
          </w:r>
        </w:p>
        <w:p w14:paraId="38C101A5" w14:textId="77777777" w:rsidR="004E2640" w:rsidRDefault="004E2640">
          <w:r>
            <w:br w:type="page"/>
          </w:r>
        </w:p>
      </w:sdtContent>
    </w:sdt>
    <w:p w14:paraId="5F68F101" w14:textId="77777777" w:rsidR="005209F0" w:rsidRDefault="005209F0" w:rsidP="005209F0">
      <w:pPr>
        <w:pStyle w:val="TOCHeading"/>
      </w:pPr>
      <w:r>
        <w:lastRenderedPageBreak/>
        <w:t>Contents</w:t>
      </w:r>
    </w:p>
    <w:p w14:paraId="4019EEBF" w14:textId="677BFF77" w:rsidR="00F170D0" w:rsidRDefault="00F7790A">
      <w:pPr>
        <w:pStyle w:val="TOC1"/>
        <w:rPr>
          <w:rFonts w:eastAsiaTheme="minorEastAsia"/>
          <w:b w:val="0"/>
          <w:noProof/>
          <w:color w:val="auto"/>
          <w:kern w:val="2"/>
          <w:sz w:val="24"/>
          <w:szCs w:val="24"/>
          <w:lang w:eastAsia="en-AU"/>
          <w14:ligatures w14:val="standardContextual"/>
        </w:rPr>
      </w:pPr>
      <w:r>
        <w:fldChar w:fldCharType="begin"/>
      </w:r>
      <w:r>
        <w:instrText xml:space="preserve"> TOC \h \z \t "Heading 1,1,Heading 2,2,Heading 3,3,Heading 1 - Numbered,4,Heading 3 - Numbered,6,Heading 2 - Numbered,5" </w:instrText>
      </w:r>
      <w:r>
        <w:fldChar w:fldCharType="separate"/>
      </w:r>
      <w:hyperlink w:anchor="_Toc226448264" w:history="1">
        <w:r w:rsidR="00F170D0" w:rsidRPr="00EA335B">
          <w:rPr>
            <w:rStyle w:val="Hyperlink"/>
            <w:noProof/>
          </w:rPr>
          <w:t>Key terms</w:t>
        </w:r>
        <w:r w:rsidR="00F170D0">
          <w:rPr>
            <w:noProof/>
            <w:webHidden/>
          </w:rPr>
          <w:tab/>
        </w:r>
        <w:r w:rsidR="00F170D0">
          <w:rPr>
            <w:noProof/>
            <w:webHidden/>
          </w:rPr>
          <w:fldChar w:fldCharType="begin"/>
        </w:r>
        <w:r w:rsidR="00F170D0">
          <w:rPr>
            <w:noProof/>
            <w:webHidden/>
          </w:rPr>
          <w:instrText xml:space="preserve"> PAGEREF _Toc226448264 \h </w:instrText>
        </w:r>
        <w:r w:rsidR="00F170D0">
          <w:rPr>
            <w:noProof/>
            <w:webHidden/>
          </w:rPr>
        </w:r>
        <w:r w:rsidR="00F170D0">
          <w:rPr>
            <w:noProof/>
            <w:webHidden/>
          </w:rPr>
          <w:fldChar w:fldCharType="separate"/>
        </w:r>
        <w:r w:rsidR="00F170D0">
          <w:rPr>
            <w:noProof/>
            <w:webHidden/>
          </w:rPr>
          <w:t>5</w:t>
        </w:r>
        <w:r w:rsidR="00F170D0">
          <w:rPr>
            <w:noProof/>
            <w:webHidden/>
          </w:rPr>
          <w:fldChar w:fldCharType="end"/>
        </w:r>
      </w:hyperlink>
    </w:p>
    <w:p w14:paraId="3DE8E6E9" w14:textId="12375269" w:rsidR="00F170D0" w:rsidRDefault="00F170D0">
      <w:pPr>
        <w:pStyle w:val="TOC1"/>
        <w:rPr>
          <w:rFonts w:eastAsiaTheme="minorEastAsia"/>
          <w:b w:val="0"/>
          <w:noProof/>
          <w:color w:val="auto"/>
          <w:kern w:val="2"/>
          <w:sz w:val="24"/>
          <w:szCs w:val="24"/>
          <w:lang w:eastAsia="en-AU"/>
          <w14:ligatures w14:val="standardContextual"/>
        </w:rPr>
      </w:pPr>
      <w:hyperlink w:anchor="_Toc226448265" w:history="1">
        <w:r w:rsidRPr="00EA335B">
          <w:rPr>
            <w:rStyle w:val="Hyperlink"/>
            <w:noProof/>
          </w:rPr>
          <w:t>Executive summary</w:t>
        </w:r>
        <w:r>
          <w:rPr>
            <w:noProof/>
            <w:webHidden/>
          </w:rPr>
          <w:tab/>
        </w:r>
        <w:r>
          <w:rPr>
            <w:noProof/>
            <w:webHidden/>
          </w:rPr>
          <w:fldChar w:fldCharType="begin"/>
        </w:r>
        <w:r>
          <w:rPr>
            <w:noProof/>
            <w:webHidden/>
          </w:rPr>
          <w:instrText xml:space="preserve"> PAGEREF _Toc226448265 \h </w:instrText>
        </w:r>
        <w:r>
          <w:rPr>
            <w:noProof/>
            <w:webHidden/>
          </w:rPr>
        </w:r>
        <w:r>
          <w:rPr>
            <w:noProof/>
            <w:webHidden/>
          </w:rPr>
          <w:fldChar w:fldCharType="separate"/>
        </w:r>
        <w:r>
          <w:rPr>
            <w:noProof/>
            <w:webHidden/>
          </w:rPr>
          <w:t>8</w:t>
        </w:r>
        <w:r>
          <w:rPr>
            <w:noProof/>
            <w:webHidden/>
          </w:rPr>
          <w:fldChar w:fldCharType="end"/>
        </w:r>
      </w:hyperlink>
    </w:p>
    <w:p w14:paraId="2AEF4419" w14:textId="7F4E418B" w:rsidR="00F170D0" w:rsidRDefault="00F170D0">
      <w:pPr>
        <w:pStyle w:val="TOC4"/>
        <w:rPr>
          <w:rFonts w:eastAsiaTheme="minorEastAsia"/>
          <w:b w:val="0"/>
          <w:noProof/>
          <w:color w:val="auto"/>
          <w:kern w:val="2"/>
          <w:sz w:val="24"/>
          <w:szCs w:val="24"/>
          <w:lang w:eastAsia="en-AU"/>
          <w14:ligatures w14:val="standardContextual"/>
        </w:rPr>
      </w:pPr>
      <w:hyperlink w:anchor="_Toc226448266" w:history="1">
        <w:r w:rsidRPr="00EA335B">
          <w:rPr>
            <w:rStyle w:val="Hyperlink"/>
            <w:noProof/>
          </w:rPr>
          <w:t>1.</w:t>
        </w:r>
        <w:r>
          <w:rPr>
            <w:rFonts w:eastAsiaTheme="minorEastAsia"/>
            <w:b w:val="0"/>
            <w:noProof/>
            <w:color w:val="auto"/>
            <w:kern w:val="2"/>
            <w:sz w:val="24"/>
            <w:szCs w:val="24"/>
            <w:lang w:eastAsia="en-AU"/>
            <w14:ligatures w14:val="standardContextual"/>
          </w:rPr>
          <w:tab/>
        </w:r>
        <w:r w:rsidRPr="00EA335B">
          <w:rPr>
            <w:rStyle w:val="Hyperlink"/>
            <w:noProof/>
          </w:rPr>
          <w:t>Introduction</w:t>
        </w:r>
        <w:r>
          <w:rPr>
            <w:noProof/>
            <w:webHidden/>
          </w:rPr>
          <w:tab/>
        </w:r>
        <w:r>
          <w:rPr>
            <w:noProof/>
            <w:webHidden/>
          </w:rPr>
          <w:fldChar w:fldCharType="begin"/>
        </w:r>
        <w:r>
          <w:rPr>
            <w:noProof/>
            <w:webHidden/>
          </w:rPr>
          <w:instrText xml:space="preserve"> PAGEREF _Toc226448266 \h </w:instrText>
        </w:r>
        <w:r>
          <w:rPr>
            <w:noProof/>
            <w:webHidden/>
          </w:rPr>
        </w:r>
        <w:r>
          <w:rPr>
            <w:noProof/>
            <w:webHidden/>
          </w:rPr>
          <w:fldChar w:fldCharType="separate"/>
        </w:r>
        <w:r>
          <w:rPr>
            <w:noProof/>
            <w:webHidden/>
          </w:rPr>
          <w:t>19</w:t>
        </w:r>
        <w:r>
          <w:rPr>
            <w:noProof/>
            <w:webHidden/>
          </w:rPr>
          <w:fldChar w:fldCharType="end"/>
        </w:r>
      </w:hyperlink>
    </w:p>
    <w:p w14:paraId="3814498D" w14:textId="34C23880" w:rsidR="00F170D0" w:rsidRDefault="00F170D0">
      <w:pPr>
        <w:pStyle w:val="TOC5"/>
        <w:rPr>
          <w:rFonts w:eastAsiaTheme="minorEastAsia"/>
          <w:noProof/>
          <w:color w:val="auto"/>
          <w:kern w:val="2"/>
          <w:sz w:val="24"/>
          <w:szCs w:val="24"/>
          <w:lang w:eastAsia="en-AU"/>
          <w14:ligatures w14:val="standardContextual"/>
        </w:rPr>
      </w:pPr>
      <w:hyperlink w:anchor="_Toc226448267" w:history="1">
        <w:r w:rsidRPr="00EA335B">
          <w:rPr>
            <w:rStyle w:val="Hyperlink"/>
            <w:noProof/>
          </w:rPr>
          <w:t>1.1.</w:t>
        </w:r>
        <w:r>
          <w:rPr>
            <w:rFonts w:eastAsiaTheme="minorEastAsia"/>
            <w:noProof/>
            <w:color w:val="auto"/>
            <w:kern w:val="2"/>
            <w:sz w:val="24"/>
            <w:szCs w:val="24"/>
            <w:lang w:eastAsia="en-AU"/>
            <w14:ligatures w14:val="standardContextual"/>
          </w:rPr>
          <w:tab/>
        </w:r>
        <w:r w:rsidRPr="00EA335B">
          <w:rPr>
            <w:rStyle w:val="Hyperlink"/>
            <w:noProof/>
          </w:rPr>
          <w:t>The road network, roles and responsibilities</w:t>
        </w:r>
        <w:r>
          <w:rPr>
            <w:noProof/>
            <w:webHidden/>
          </w:rPr>
          <w:tab/>
        </w:r>
        <w:r>
          <w:rPr>
            <w:noProof/>
            <w:webHidden/>
          </w:rPr>
          <w:fldChar w:fldCharType="begin"/>
        </w:r>
        <w:r>
          <w:rPr>
            <w:noProof/>
            <w:webHidden/>
          </w:rPr>
          <w:instrText xml:space="preserve"> PAGEREF _Toc226448267 \h </w:instrText>
        </w:r>
        <w:r>
          <w:rPr>
            <w:noProof/>
            <w:webHidden/>
          </w:rPr>
        </w:r>
        <w:r>
          <w:rPr>
            <w:noProof/>
            <w:webHidden/>
          </w:rPr>
          <w:fldChar w:fldCharType="separate"/>
        </w:r>
        <w:r>
          <w:rPr>
            <w:noProof/>
            <w:webHidden/>
          </w:rPr>
          <w:t>19</w:t>
        </w:r>
        <w:r>
          <w:rPr>
            <w:noProof/>
            <w:webHidden/>
          </w:rPr>
          <w:fldChar w:fldCharType="end"/>
        </w:r>
      </w:hyperlink>
    </w:p>
    <w:p w14:paraId="7D567139" w14:textId="4D5E4B50" w:rsidR="00F170D0" w:rsidRDefault="00F170D0">
      <w:pPr>
        <w:pStyle w:val="TOC5"/>
        <w:rPr>
          <w:rFonts w:eastAsiaTheme="minorEastAsia"/>
          <w:noProof/>
          <w:color w:val="auto"/>
          <w:kern w:val="2"/>
          <w:sz w:val="24"/>
          <w:szCs w:val="24"/>
          <w:lang w:eastAsia="en-AU"/>
          <w14:ligatures w14:val="standardContextual"/>
        </w:rPr>
      </w:pPr>
      <w:hyperlink w:anchor="_Toc226448268" w:history="1">
        <w:r w:rsidRPr="00EA335B">
          <w:rPr>
            <w:rStyle w:val="Hyperlink"/>
            <w:noProof/>
          </w:rPr>
          <w:t>1.2.</w:t>
        </w:r>
        <w:r>
          <w:rPr>
            <w:rFonts w:eastAsiaTheme="minorEastAsia"/>
            <w:noProof/>
            <w:color w:val="auto"/>
            <w:kern w:val="2"/>
            <w:sz w:val="24"/>
            <w:szCs w:val="24"/>
            <w:lang w:eastAsia="en-AU"/>
            <w14:ligatures w14:val="standardContextual"/>
          </w:rPr>
          <w:tab/>
        </w:r>
        <w:r w:rsidRPr="00EA335B">
          <w:rPr>
            <w:rStyle w:val="Hyperlink"/>
            <w:noProof/>
          </w:rPr>
          <w:t>Purpose of this document</w:t>
        </w:r>
        <w:r>
          <w:rPr>
            <w:noProof/>
            <w:webHidden/>
          </w:rPr>
          <w:tab/>
        </w:r>
        <w:r>
          <w:rPr>
            <w:noProof/>
            <w:webHidden/>
          </w:rPr>
          <w:fldChar w:fldCharType="begin"/>
        </w:r>
        <w:r>
          <w:rPr>
            <w:noProof/>
            <w:webHidden/>
          </w:rPr>
          <w:instrText xml:space="preserve"> PAGEREF _Toc226448268 \h </w:instrText>
        </w:r>
        <w:r>
          <w:rPr>
            <w:noProof/>
            <w:webHidden/>
          </w:rPr>
        </w:r>
        <w:r>
          <w:rPr>
            <w:noProof/>
            <w:webHidden/>
          </w:rPr>
          <w:fldChar w:fldCharType="separate"/>
        </w:r>
        <w:r>
          <w:rPr>
            <w:noProof/>
            <w:webHidden/>
          </w:rPr>
          <w:t>20</w:t>
        </w:r>
        <w:r>
          <w:rPr>
            <w:noProof/>
            <w:webHidden/>
          </w:rPr>
          <w:fldChar w:fldCharType="end"/>
        </w:r>
      </w:hyperlink>
    </w:p>
    <w:p w14:paraId="78429116" w14:textId="76273C27" w:rsidR="00F170D0" w:rsidRDefault="00F170D0">
      <w:pPr>
        <w:pStyle w:val="TOC6"/>
        <w:rPr>
          <w:rFonts w:eastAsiaTheme="minorEastAsia"/>
          <w:kern w:val="2"/>
          <w:sz w:val="24"/>
          <w:szCs w:val="24"/>
          <w:lang w:eastAsia="en-AU"/>
          <w14:ligatures w14:val="standardContextual"/>
        </w:rPr>
      </w:pPr>
      <w:hyperlink w:anchor="_Toc226448269" w:history="1">
        <w:r w:rsidRPr="00EA335B">
          <w:rPr>
            <w:rStyle w:val="Hyperlink"/>
          </w:rPr>
          <w:t>1.2.1.</w:t>
        </w:r>
        <w:r>
          <w:rPr>
            <w:rFonts w:eastAsiaTheme="minorEastAsia"/>
            <w:kern w:val="2"/>
            <w:sz w:val="24"/>
            <w:szCs w:val="24"/>
            <w:lang w:eastAsia="en-AU"/>
            <w14:ligatures w14:val="standardContextual"/>
          </w:rPr>
          <w:tab/>
        </w:r>
        <w:r w:rsidRPr="00EA335B">
          <w:rPr>
            <w:rStyle w:val="Hyperlink"/>
          </w:rPr>
          <w:t>This RIS</w:t>
        </w:r>
        <w:r>
          <w:rPr>
            <w:webHidden/>
          </w:rPr>
          <w:tab/>
        </w:r>
        <w:r>
          <w:rPr>
            <w:webHidden/>
          </w:rPr>
          <w:fldChar w:fldCharType="begin"/>
        </w:r>
        <w:r>
          <w:rPr>
            <w:webHidden/>
          </w:rPr>
          <w:instrText xml:space="preserve"> PAGEREF _Toc226448269 \h </w:instrText>
        </w:r>
        <w:r>
          <w:rPr>
            <w:webHidden/>
          </w:rPr>
        </w:r>
        <w:r>
          <w:rPr>
            <w:webHidden/>
          </w:rPr>
          <w:fldChar w:fldCharType="separate"/>
        </w:r>
        <w:r>
          <w:rPr>
            <w:webHidden/>
          </w:rPr>
          <w:t>20</w:t>
        </w:r>
        <w:r>
          <w:rPr>
            <w:webHidden/>
          </w:rPr>
          <w:fldChar w:fldCharType="end"/>
        </w:r>
      </w:hyperlink>
    </w:p>
    <w:p w14:paraId="2CC50316" w14:textId="3D34A139" w:rsidR="00F170D0" w:rsidRDefault="00F170D0">
      <w:pPr>
        <w:pStyle w:val="TOC4"/>
        <w:rPr>
          <w:rFonts w:eastAsiaTheme="minorEastAsia"/>
          <w:b w:val="0"/>
          <w:noProof/>
          <w:color w:val="auto"/>
          <w:kern w:val="2"/>
          <w:sz w:val="24"/>
          <w:szCs w:val="24"/>
          <w:lang w:eastAsia="en-AU"/>
          <w14:ligatures w14:val="standardContextual"/>
        </w:rPr>
      </w:pPr>
      <w:hyperlink w:anchor="_Toc226448270" w:history="1">
        <w:r w:rsidRPr="00EA335B">
          <w:rPr>
            <w:rStyle w:val="Hyperlink"/>
            <w:noProof/>
          </w:rPr>
          <w:t>2.</w:t>
        </w:r>
        <w:r>
          <w:rPr>
            <w:rFonts w:eastAsiaTheme="minorEastAsia"/>
            <w:b w:val="0"/>
            <w:noProof/>
            <w:color w:val="auto"/>
            <w:kern w:val="2"/>
            <w:sz w:val="24"/>
            <w:szCs w:val="24"/>
            <w:lang w:eastAsia="en-AU"/>
            <w14:ligatures w14:val="standardContextual"/>
          </w:rPr>
          <w:tab/>
        </w:r>
        <w:r w:rsidRPr="00EA335B">
          <w:rPr>
            <w:rStyle w:val="Hyperlink"/>
            <w:noProof/>
          </w:rPr>
          <w:t>Background</w:t>
        </w:r>
        <w:r>
          <w:rPr>
            <w:noProof/>
            <w:webHidden/>
          </w:rPr>
          <w:tab/>
        </w:r>
        <w:r>
          <w:rPr>
            <w:noProof/>
            <w:webHidden/>
          </w:rPr>
          <w:fldChar w:fldCharType="begin"/>
        </w:r>
        <w:r>
          <w:rPr>
            <w:noProof/>
            <w:webHidden/>
          </w:rPr>
          <w:instrText xml:space="preserve"> PAGEREF _Toc226448270 \h </w:instrText>
        </w:r>
        <w:r>
          <w:rPr>
            <w:noProof/>
            <w:webHidden/>
          </w:rPr>
        </w:r>
        <w:r>
          <w:rPr>
            <w:noProof/>
            <w:webHidden/>
          </w:rPr>
          <w:fldChar w:fldCharType="separate"/>
        </w:r>
        <w:r>
          <w:rPr>
            <w:noProof/>
            <w:webHidden/>
          </w:rPr>
          <w:t>21</w:t>
        </w:r>
        <w:r>
          <w:rPr>
            <w:noProof/>
            <w:webHidden/>
          </w:rPr>
          <w:fldChar w:fldCharType="end"/>
        </w:r>
      </w:hyperlink>
    </w:p>
    <w:p w14:paraId="1D1433D8" w14:textId="28B794F8" w:rsidR="00F170D0" w:rsidRDefault="00F170D0">
      <w:pPr>
        <w:pStyle w:val="TOC5"/>
        <w:rPr>
          <w:rFonts w:eastAsiaTheme="minorEastAsia"/>
          <w:noProof/>
          <w:color w:val="auto"/>
          <w:kern w:val="2"/>
          <w:sz w:val="24"/>
          <w:szCs w:val="24"/>
          <w:lang w:eastAsia="en-AU"/>
          <w14:ligatures w14:val="standardContextual"/>
        </w:rPr>
      </w:pPr>
      <w:hyperlink w:anchor="_Toc226448271" w:history="1">
        <w:r w:rsidRPr="00EA335B">
          <w:rPr>
            <w:rStyle w:val="Hyperlink"/>
            <w:noProof/>
          </w:rPr>
          <w:t>2.1.</w:t>
        </w:r>
        <w:r>
          <w:rPr>
            <w:rFonts w:eastAsiaTheme="minorEastAsia"/>
            <w:noProof/>
            <w:color w:val="auto"/>
            <w:kern w:val="2"/>
            <w:sz w:val="24"/>
            <w:szCs w:val="24"/>
            <w:lang w:eastAsia="en-AU"/>
            <w14:ligatures w14:val="standardContextual"/>
          </w:rPr>
          <w:tab/>
        </w:r>
        <w:r w:rsidRPr="00EA335B">
          <w:rPr>
            <w:rStyle w:val="Hyperlink"/>
            <w:noProof/>
          </w:rPr>
          <w:t>The Road Management Act 2004</w:t>
        </w:r>
        <w:r>
          <w:rPr>
            <w:noProof/>
            <w:webHidden/>
          </w:rPr>
          <w:tab/>
        </w:r>
        <w:r>
          <w:rPr>
            <w:noProof/>
            <w:webHidden/>
          </w:rPr>
          <w:fldChar w:fldCharType="begin"/>
        </w:r>
        <w:r>
          <w:rPr>
            <w:noProof/>
            <w:webHidden/>
          </w:rPr>
          <w:instrText xml:space="preserve"> PAGEREF _Toc226448271 \h </w:instrText>
        </w:r>
        <w:r>
          <w:rPr>
            <w:noProof/>
            <w:webHidden/>
          </w:rPr>
        </w:r>
        <w:r>
          <w:rPr>
            <w:noProof/>
            <w:webHidden/>
          </w:rPr>
          <w:fldChar w:fldCharType="separate"/>
        </w:r>
        <w:r>
          <w:rPr>
            <w:noProof/>
            <w:webHidden/>
          </w:rPr>
          <w:t>21</w:t>
        </w:r>
        <w:r>
          <w:rPr>
            <w:noProof/>
            <w:webHidden/>
          </w:rPr>
          <w:fldChar w:fldCharType="end"/>
        </w:r>
      </w:hyperlink>
    </w:p>
    <w:p w14:paraId="2B159892" w14:textId="54ADD393" w:rsidR="00F170D0" w:rsidRDefault="00F170D0">
      <w:pPr>
        <w:pStyle w:val="TOC6"/>
        <w:rPr>
          <w:rFonts w:eastAsiaTheme="minorEastAsia"/>
          <w:kern w:val="2"/>
          <w:sz w:val="24"/>
          <w:szCs w:val="24"/>
          <w:lang w:eastAsia="en-AU"/>
          <w14:ligatures w14:val="standardContextual"/>
        </w:rPr>
      </w:pPr>
      <w:hyperlink w:anchor="_Toc226448272" w:history="1">
        <w:r w:rsidRPr="00EA335B">
          <w:rPr>
            <w:rStyle w:val="Hyperlink"/>
          </w:rPr>
          <w:t>2.1.1.</w:t>
        </w:r>
        <w:r>
          <w:rPr>
            <w:rFonts w:eastAsiaTheme="minorEastAsia"/>
            <w:kern w:val="2"/>
            <w:sz w:val="24"/>
            <w:szCs w:val="24"/>
            <w:lang w:eastAsia="en-AU"/>
            <w14:ligatures w14:val="standardContextual"/>
          </w:rPr>
          <w:tab/>
        </w:r>
        <w:r w:rsidRPr="00EA335B">
          <w:rPr>
            <w:rStyle w:val="Hyperlink"/>
          </w:rPr>
          <w:t>Background to the Road Management Act</w:t>
        </w:r>
        <w:r>
          <w:rPr>
            <w:webHidden/>
          </w:rPr>
          <w:tab/>
        </w:r>
        <w:r>
          <w:rPr>
            <w:webHidden/>
          </w:rPr>
          <w:fldChar w:fldCharType="begin"/>
        </w:r>
        <w:r>
          <w:rPr>
            <w:webHidden/>
          </w:rPr>
          <w:instrText xml:space="preserve"> PAGEREF _Toc226448272 \h </w:instrText>
        </w:r>
        <w:r>
          <w:rPr>
            <w:webHidden/>
          </w:rPr>
        </w:r>
        <w:r>
          <w:rPr>
            <w:webHidden/>
          </w:rPr>
          <w:fldChar w:fldCharType="separate"/>
        </w:r>
        <w:r>
          <w:rPr>
            <w:webHidden/>
          </w:rPr>
          <w:t>21</w:t>
        </w:r>
        <w:r>
          <w:rPr>
            <w:webHidden/>
          </w:rPr>
          <w:fldChar w:fldCharType="end"/>
        </w:r>
      </w:hyperlink>
    </w:p>
    <w:p w14:paraId="768AEE3B" w14:textId="62A021BC" w:rsidR="00F170D0" w:rsidRDefault="00F170D0">
      <w:pPr>
        <w:pStyle w:val="TOC6"/>
        <w:rPr>
          <w:rFonts w:eastAsiaTheme="minorEastAsia"/>
          <w:kern w:val="2"/>
          <w:sz w:val="24"/>
          <w:szCs w:val="24"/>
          <w:lang w:eastAsia="en-AU"/>
          <w14:ligatures w14:val="standardContextual"/>
        </w:rPr>
      </w:pPr>
      <w:hyperlink w:anchor="_Toc226448273" w:history="1">
        <w:r w:rsidRPr="00EA335B">
          <w:rPr>
            <w:rStyle w:val="Hyperlink"/>
          </w:rPr>
          <w:t>2.1.2.</w:t>
        </w:r>
        <w:r>
          <w:rPr>
            <w:rFonts w:eastAsiaTheme="minorEastAsia"/>
            <w:kern w:val="2"/>
            <w:sz w:val="24"/>
            <w:szCs w:val="24"/>
            <w:lang w:eastAsia="en-AU"/>
            <w14:ligatures w14:val="standardContextual"/>
          </w:rPr>
          <w:tab/>
        </w:r>
        <w:r w:rsidRPr="00EA335B">
          <w:rPr>
            <w:rStyle w:val="Hyperlink"/>
          </w:rPr>
          <w:t>What the Road Management Act does</w:t>
        </w:r>
        <w:r>
          <w:rPr>
            <w:webHidden/>
          </w:rPr>
          <w:tab/>
        </w:r>
        <w:r>
          <w:rPr>
            <w:webHidden/>
          </w:rPr>
          <w:fldChar w:fldCharType="begin"/>
        </w:r>
        <w:r>
          <w:rPr>
            <w:webHidden/>
          </w:rPr>
          <w:instrText xml:space="preserve"> PAGEREF _Toc226448273 \h </w:instrText>
        </w:r>
        <w:r>
          <w:rPr>
            <w:webHidden/>
          </w:rPr>
        </w:r>
        <w:r>
          <w:rPr>
            <w:webHidden/>
          </w:rPr>
          <w:fldChar w:fldCharType="separate"/>
        </w:r>
        <w:r>
          <w:rPr>
            <w:webHidden/>
          </w:rPr>
          <w:t>22</w:t>
        </w:r>
        <w:r>
          <w:rPr>
            <w:webHidden/>
          </w:rPr>
          <w:fldChar w:fldCharType="end"/>
        </w:r>
      </w:hyperlink>
    </w:p>
    <w:p w14:paraId="4AE23B6E" w14:textId="5C6648AA" w:rsidR="00F170D0" w:rsidRDefault="00F170D0">
      <w:pPr>
        <w:pStyle w:val="TOC5"/>
        <w:rPr>
          <w:rFonts w:eastAsiaTheme="minorEastAsia"/>
          <w:noProof/>
          <w:color w:val="auto"/>
          <w:kern w:val="2"/>
          <w:sz w:val="24"/>
          <w:szCs w:val="24"/>
          <w:lang w:eastAsia="en-AU"/>
          <w14:ligatures w14:val="standardContextual"/>
        </w:rPr>
      </w:pPr>
      <w:hyperlink w:anchor="_Toc226448274" w:history="1">
        <w:r w:rsidRPr="00EA335B">
          <w:rPr>
            <w:rStyle w:val="Hyperlink"/>
            <w:noProof/>
          </w:rPr>
          <w:t>2.2.</w:t>
        </w:r>
        <w:r>
          <w:rPr>
            <w:rFonts w:eastAsiaTheme="minorEastAsia"/>
            <w:noProof/>
            <w:color w:val="auto"/>
            <w:kern w:val="2"/>
            <w:sz w:val="24"/>
            <w:szCs w:val="24"/>
            <w:lang w:eastAsia="en-AU"/>
            <w14:ligatures w14:val="standardContextual"/>
          </w:rPr>
          <w:tab/>
        </w:r>
        <w:r w:rsidRPr="00EA335B">
          <w:rPr>
            <w:rStyle w:val="Hyperlink"/>
            <w:noProof/>
          </w:rPr>
          <w:t>The Regulations</w:t>
        </w:r>
        <w:r>
          <w:rPr>
            <w:noProof/>
            <w:webHidden/>
          </w:rPr>
          <w:tab/>
        </w:r>
        <w:r>
          <w:rPr>
            <w:noProof/>
            <w:webHidden/>
          </w:rPr>
          <w:fldChar w:fldCharType="begin"/>
        </w:r>
        <w:r>
          <w:rPr>
            <w:noProof/>
            <w:webHidden/>
          </w:rPr>
          <w:instrText xml:space="preserve"> PAGEREF _Toc226448274 \h </w:instrText>
        </w:r>
        <w:r>
          <w:rPr>
            <w:noProof/>
            <w:webHidden/>
          </w:rPr>
        </w:r>
        <w:r>
          <w:rPr>
            <w:noProof/>
            <w:webHidden/>
          </w:rPr>
          <w:fldChar w:fldCharType="separate"/>
        </w:r>
        <w:r>
          <w:rPr>
            <w:noProof/>
            <w:webHidden/>
          </w:rPr>
          <w:t>24</w:t>
        </w:r>
        <w:r>
          <w:rPr>
            <w:noProof/>
            <w:webHidden/>
          </w:rPr>
          <w:fldChar w:fldCharType="end"/>
        </w:r>
      </w:hyperlink>
    </w:p>
    <w:p w14:paraId="640EB750" w14:textId="6F34959F" w:rsidR="00F170D0" w:rsidRDefault="00F170D0">
      <w:pPr>
        <w:pStyle w:val="TOC6"/>
        <w:rPr>
          <w:rFonts w:eastAsiaTheme="minorEastAsia"/>
          <w:kern w:val="2"/>
          <w:sz w:val="24"/>
          <w:szCs w:val="24"/>
          <w:lang w:eastAsia="en-AU"/>
          <w14:ligatures w14:val="standardContextual"/>
        </w:rPr>
      </w:pPr>
      <w:hyperlink w:anchor="_Toc226448275" w:history="1">
        <w:r w:rsidRPr="00EA335B">
          <w:rPr>
            <w:rStyle w:val="Hyperlink"/>
          </w:rPr>
          <w:t>2.2.1.</w:t>
        </w:r>
        <w:r>
          <w:rPr>
            <w:rFonts w:eastAsiaTheme="minorEastAsia"/>
            <w:kern w:val="2"/>
            <w:sz w:val="24"/>
            <w:szCs w:val="24"/>
            <w:lang w:eastAsia="en-AU"/>
            <w14:ligatures w14:val="standardContextual"/>
          </w:rPr>
          <w:tab/>
        </w:r>
        <w:r w:rsidRPr="00EA335B">
          <w:rPr>
            <w:rStyle w:val="Hyperlink"/>
          </w:rPr>
          <w:t>The Road Management (Works and Infrastructure) Regulations 2015</w:t>
        </w:r>
        <w:r>
          <w:rPr>
            <w:webHidden/>
          </w:rPr>
          <w:tab/>
        </w:r>
        <w:r>
          <w:rPr>
            <w:webHidden/>
          </w:rPr>
          <w:fldChar w:fldCharType="begin"/>
        </w:r>
        <w:r>
          <w:rPr>
            <w:webHidden/>
          </w:rPr>
          <w:instrText xml:space="preserve"> PAGEREF _Toc226448275 \h </w:instrText>
        </w:r>
        <w:r>
          <w:rPr>
            <w:webHidden/>
          </w:rPr>
        </w:r>
        <w:r>
          <w:rPr>
            <w:webHidden/>
          </w:rPr>
          <w:fldChar w:fldCharType="separate"/>
        </w:r>
        <w:r>
          <w:rPr>
            <w:webHidden/>
          </w:rPr>
          <w:t>24</w:t>
        </w:r>
        <w:r>
          <w:rPr>
            <w:webHidden/>
          </w:rPr>
          <w:fldChar w:fldCharType="end"/>
        </w:r>
      </w:hyperlink>
    </w:p>
    <w:p w14:paraId="239B556D" w14:textId="3CD25208" w:rsidR="00F170D0" w:rsidRDefault="00F170D0">
      <w:pPr>
        <w:pStyle w:val="TOC6"/>
        <w:rPr>
          <w:rFonts w:eastAsiaTheme="minorEastAsia"/>
          <w:kern w:val="2"/>
          <w:sz w:val="24"/>
          <w:szCs w:val="24"/>
          <w:lang w:eastAsia="en-AU"/>
          <w14:ligatures w14:val="standardContextual"/>
        </w:rPr>
      </w:pPr>
      <w:hyperlink w:anchor="_Toc226448276" w:history="1">
        <w:r w:rsidRPr="00EA335B">
          <w:rPr>
            <w:rStyle w:val="Hyperlink"/>
          </w:rPr>
          <w:t>2.2.2.</w:t>
        </w:r>
        <w:r>
          <w:rPr>
            <w:rFonts w:eastAsiaTheme="minorEastAsia"/>
            <w:kern w:val="2"/>
            <w:sz w:val="24"/>
            <w:szCs w:val="24"/>
            <w:lang w:eastAsia="en-AU"/>
            <w14:ligatures w14:val="standardContextual"/>
          </w:rPr>
          <w:tab/>
        </w:r>
        <w:r w:rsidRPr="00EA335B">
          <w:rPr>
            <w:rStyle w:val="Hyperlink"/>
          </w:rPr>
          <w:t>The Road Management (General) Regulations 2016</w:t>
        </w:r>
        <w:r>
          <w:rPr>
            <w:webHidden/>
          </w:rPr>
          <w:tab/>
        </w:r>
        <w:r>
          <w:rPr>
            <w:webHidden/>
          </w:rPr>
          <w:fldChar w:fldCharType="begin"/>
        </w:r>
        <w:r>
          <w:rPr>
            <w:webHidden/>
          </w:rPr>
          <w:instrText xml:space="preserve"> PAGEREF _Toc226448276 \h </w:instrText>
        </w:r>
        <w:r>
          <w:rPr>
            <w:webHidden/>
          </w:rPr>
        </w:r>
        <w:r>
          <w:rPr>
            <w:webHidden/>
          </w:rPr>
          <w:fldChar w:fldCharType="separate"/>
        </w:r>
        <w:r>
          <w:rPr>
            <w:webHidden/>
          </w:rPr>
          <w:t>24</w:t>
        </w:r>
        <w:r>
          <w:rPr>
            <w:webHidden/>
          </w:rPr>
          <w:fldChar w:fldCharType="end"/>
        </w:r>
      </w:hyperlink>
    </w:p>
    <w:p w14:paraId="1928F684" w14:textId="39F1D7FC" w:rsidR="00F170D0" w:rsidRDefault="00F170D0">
      <w:pPr>
        <w:pStyle w:val="TOC5"/>
        <w:rPr>
          <w:rFonts w:eastAsiaTheme="minorEastAsia"/>
          <w:noProof/>
          <w:color w:val="auto"/>
          <w:kern w:val="2"/>
          <w:sz w:val="24"/>
          <w:szCs w:val="24"/>
          <w:lang w:eastAsia="en-AU"/>
          <w14:ligatures w14:val="standardContextual"/>
        </w:rPr>
      </w:pPr>
      <w:hyperlink w:anchor="_Toc226448277" w:history="1">
        <w:r w:rsidRPr="00EA335B">
          <w:rPr>
            <w:rStyle w:val="Hyperlink"/>
            <w:noProof/>
          </w:rPr>
          <w:t>2.3.</w:t>
        </w:r>
        <w:r>
          <w:rPr>
            <w:rFonts w:eastAsiaTheme="minorEastAsia"/>
            <w:noProof/>
            <w:color w:val="auto"/>
            <w:kern w:val="2"/>
            <w:sz w:val="24"/>
            <w:szCs w:val="24"/>
            <w:lang w:eastAsia="en-AU"/>
            <w14:ligatures w14:val="standardContextual"/>
          </w:rPr>
          <w:tab/>
        </w:r>
        <w:r w:rsidRPr="00EA335B">
          <w:rPr>
            <w:rStyle w:val="Hyperlink"/>
            <w:noProof/>
          </w:rPr>
          <w:t>Other relevant legislation</w:t>
        </w:r>
        <w:r>
          <w:rPr>
            <w:noProof/>
            <w:webHidden/>
          </w:rPr>
          <w:tab/>
        </w:r>
        <w:r>
          <w:rPr>
            <w:noProof/>
            <w:webHidden/>
          </w:rPr>
          <w:fldChar w:fldCharType="begin"/>
        </w:r>
        <w:r>
          <w:rPr>
            <w:noProof/>
            <w:webHidden/>
          </w:rPr>
          <w:instrText xml:space="preserve"> PAGEREF _Toc226448277 \h </w:instrText>
        </w:r>
        <w:r>
          <w:rPr>
            <w:noProof/>
            <w:webHidden/>
          </w:rPr>
        </w:r>
        <w:r>
          <w:rPr>
            <w:noProof/>
            <w:webHidden/>
          </w:rPr>
          <w:fldChar w:fldCharType="separate"/>
        </w:r>
        <w:r>
          <w:rPr>
            <w:noProof/>
            <w:webHidden/>
          </w:rPr>
          <w:t>25</w:t>
        </w:r>
        <w:r>
          <w:rPr>
            <w:noProof/>
            <w:webHidden/>
          </w:rPr>
          <w:fldChar w:fldCharType="end"/>
        </w:r>
      </w:hyperlink>
    </w:p>
    <w:p w14:paraId="5385D71B" w14:textId="6FF9E735" w:rsidR="00F170D0" w:rsidRDefault="00F170D0">
      <w:pPr>
        <w:pStyle w:val="TOC5"/>
        <w:rPr>
          <w:rFonts w:eastAsiaTheme="minorEastAsia"/>
          <w:noProof/>
          <w:color w:val="auto"/>
          <w:kern w:val="2"/>
          <w:sz w:val="24"/>
          <w:szCs w:val="24"/>
          <w:lang w:eastAsia="en-AU"/>
          <w14:ligatures w14:val="standardContextual"/>
        </w:rPr>
      </w:pPr>
      <w:hyperlink w:anchor="_Toc226448278" w:history="1">
        <w:r w:rsidRPr="00EA335B">
          <w:rPr>
            <w:rStyle w:val="Hyperlink"/>
            <w:noProof/>
          </w:rPr>
          <w:t>2.4.</w:t>
        </w:r>
        <w:r>
          <w:rPr>
            <w:rFonts w:eastAsiaTheme="minorEastAsia"/>
            <w:noProof/>
            <w:color w:val="auto"/>
            <w:kern w:val="2"/>
            <w:sz w:val="24"/>
            <w:szCs w:val="24"/>
            <w:lang w:eastAsia="en-AU"/>
            <w14:ligatures w14:val="standardContextual"/>
          </w:rPr>
          <w:tab/>
        </w:r>
        <w:r w:rsidRPr="00EA335B">
          <w:rPr>
            <w:rStyle w:val="Hyperlink"/>
            <w:noProof/>
          </w:rPr>
          <w:t>Relevant policies and strategies</w:t>
        </w:r>
        <w:r>
          <w:rPr>
            <w:noProof/>
            <w:webHidden/>
          </w:rPr>
          <w:tab/>
        </w:r>
        <w:r>
          <w:rPr>
            <w:noProof/>
            <w:webHidden/>
          </w:rPr>
          <w:fldChar w:fldCharType="begin"/>
        </w:r>
        <w:r>
          <w:rPr>
            <w:noProof/>
            <w:webHidden/>
          </w:rPr>
          <w:instrText xml:space="preserve"> PAGEREF _Toc226448278 \h </w:instrText>
        </w:r>
        <w:r>
          <w:rPr>
            <w:noProof/>
            <w:webHidden/>
          </w:rPr>
        </w:r>
        <w:r>
          <w:rPr>
            <w:noProof/>
            <w:webHidden/>
          </w:rPr>
          <w:fldChar w:fldCharType="separate"/>
        </w:r>
        <w:r>
          <w:rPr>
            <w:noProof/>
            <w:webHidden/>
          </w:rPr>
          <w:t>26</w:t>
        </w:r>
        <w:r>
          <w:rPr>
            <w:noProof/>
            <w:webHidden/>
          </w:rPr>
          <w:fldChar w:fldCharType="end"/>
        </w:r>
      </w:hyperlink>
    </w:p>
    <w:p w14:paraId="509A06A4" w14:textId="50724F90" w:rsidR="00F170D0" w:rsidRDefault="00F170D0">
      <w:pPr>
        <w:pStyle w:val="TOC5"/>
        <w:rPr>
          <w:rFonts w:eastAsiaTheme="minorEastAsia"/>
          <w:noProof/>
          <w:color w:val="auto"/>
          <w:kern w:val="2"/>
          <w:sz w:val="24"/>
          <w:szCs w:val="24"/>
          <w:lang w:eastAsia="en-AU"/>
          <w14:ligatures w14:val="standardContextual"/>
        </w:rPr>
      </w:pPr>
      <w:hyperlink w:anchor="_Toc226448279" w:history="1">
        <w:r w:rsidRPr="00EA335B">
          <w:rPr>
            <w:rStyle w:val="Hyperlink"/>
            <w:noProof/>
          </w:rPr>
          <w:t>2.5.</w:t>
        </w:r>
        <w:r>
          <w:rPr>
            <w:rFonts w:eastAsiaTheme="minorEastAsia"/>
            <w:noProof/>
            <w:color w:val="auto"/>
            <w:kern w:val="2"/>
            <w:sz w:val="24"/>
            <w:szCs w:val="24"/>
            <w:lang w:eastAsia="en-AU"/>
            <w14:ligatures w14:val="standardContextual"/>
          </w:rPr>
          <w:tab/>
        </w:r>
        <w:r w:rsidRPr="00EA335B">
          <w:rPr>
            <w:rStyle w:val="Hyperlink"/>
            <w:noProof/>
          </w:rPr>
          <w:t>Governance</w:t>
        </w:r>
        <w:r>
          <w:rPr>
            <w:noProof/>
            <w:webHidden/>
          </w:rPr>
          <w:tab/>
        </w:r>
        <w:r>
          <w:rPr>
            <w:noProof/>
            <w:webHidden/>
          </w:rPr>
          <w:fldChar w:fldCharType="begin"/>
        </w:r>
        <w:r>
          <w:rPr>
            <w:noProof/>
            <w:webHidden/>
          </w:rPr>
          <w:instrText xml:space="preserve"> PAGEREF _Toc226448279 \h </w:instrText>
        </w:r>
        <w:r>
          <w:rPr>
            <w:noProof/>
            <w:webHidden/>
          </w:rPr>
        </w:r>
        <w:r>
          <w:rPr>
            <w:noProof/>
            <w:webHidden/>
          </w:rPr>
          <w:fldChar w:fldCharType="separate"/>
        </w:r>
        <w:r>
          <w:rPr>
            <w:noProof/>
            <w:webHidden/>
          </w:rPr>
          <w:t>27</w:t>
        </w:r>
        <w:r>
          <w:rPr>
            <w:noProof/>
            <w:webHidden/>
          </w:rPr>
          <w:fldChar w:fldCharType="end"/>
        </w:r>
      </w:hyperlink>
    </w:p>
    <w:p w14:paraId="3FFDA7A1" w14:textId="116ECD2E" w:rsidR="00F170D0" w:rsidRDefault="00F170D0">
      <w:pPr>
        <w:pStyle w:val="TOC5"/>
        <w:rPr>
          <w:rFonts w:eastAsiaTheme="minorEastAsia"/>
          <w:noProof/>
          <w:color w:val="auto"/>
          <w:kern w:val="2"/>
          <w:sz w:val="24"/>
          <w:szCs w:val="24"/>
          <w:lang w:eastAsia="en-AU"/>
          <w14:ligatures w14:val="standardContextual"/>
        </w:rPr>
      </w:pPr>
      <w:hyperlink w:anchor="_Toc226448280" w:history="1">
        <w:r w:rsidRPr="00EA335B">
          <w:rPr>
            <w:rStyle w:val="Hyperlink"/>
            <w:noProof/>
          </w:rPr>
          <w:t>2.6.</w:t>
        </w:r>
        <w:r>
          <w:rPr>
            <w:rFonts w:eastAsiaTheme="minorEastAsia"/>
            <w:noProof/>
            <w:color w:val="auto"/>
            <w:kern w:val="2"/>
            <w:sz w:val="24"/>
            <w:szCs w:val="24"/>
            <w:lang w:eastAsia="en-AU"/>
            <w14:ligatures w14:val="standardContextual"/>
          </w:rPr>
          <w:tab/>
        </w:r>
        <w:r w:rsidRPr="00EA335B">
          <w:rPr>
            <w:rStyle w:val="Hyperlink"/>
            <w:noProof/>
          </w:rPr>
          <w:t>Previous reviews</w:t>
        </w:r>
        <w:r>
          <w:rPr>
            <w:noProof/>
            <w:webHidden/>
          </w:rPr>
          <w:tab/>
        </w:r>
        <w:r>
          <w:rPr>
            <w:noProof/>
            <w:webHidden/>
          </w:rPr>
          <w:fldChar w:fldCharType="begin"/>
        </w:r>
        <w:r>
          <w:rPr>
            <w:noProof/>
            <w:webHidden/>
          </w:rPr>
          <w:instrText xml:space="preserve"> PAGEREF _Toc226448280 \h </w:instrText>
        </w:r>
        <w:r>
          <w:rPr>
            <w:noProof/>
            <w:webHidden/>
          </w:rPr>
        </w:r>
        <w:r>
          <w:rPr>
            <w:noProof/>
            <w:webHidden/>
          </w:rPr>
          <w:fldChar w:fldCharType="separate"/>
        </w:r>
        <w:r>
          <w:rPr>
            <w:noProof/>
            <w:webHidden/>
          </w:rPr>
          <w:t>28</w:t>
        </w:r>
        <w:r>
          <w:rPr>
            <w:noProof/>
            <w:webHidden/>
          </w:rPr>
          <w:fldChar w:fldCharType="end"/>
        </w:r>
      </w:hyperlink>
    </w:p>
    <w:p w14:paraId="0114B478" w14:textId="4B8CFF6D" w:rsidR="00F170D0" w:rsidRDefault="00F170D0">
      <w:pPr>
        <w:pStyle w:val="TOC6"/>
        <w:rPr>
          <w:rFonts w:eastAsiaTheme="minorEastAsia"/>
          <w:kern w:val="2"/>
          <w:sz w:val="24"/>
          <w:szCs w:val="24"/>
          <w:lang w:eastAsia="en-AU"/>
          <w14:ligatures w14:val="standardContextual"/>
        </w:rPr>
      </w:pPr>
      <w:hyperlink w:anchor="_Toc226448281" w:history="1">
        <w:r w:rsidRPr="00EA335B">
          <w:rPr>
            <w:rStyle w:val="Hyperlink"/>
          </w:rPr>
          <w:t>2.6.1.</w:t>
        </w:r>
        <w:r>
          <w:rPr>
            <w:rFonts w:eastAsiaTheme="minorEastAsia"/>
            <w:kern w:val="2"/>
            <w:sz w:val="24"/>
            <w:szCs w:val="24"/>
            <w:lang w:eastAsia="en-AU"/>
            <w14:ligatures w14:val="standardContextual"/>
          </w:rPr>
          <w:tab/>
        </w:r>
        <w:r w:rsidRPr="00EA335B">
          <w:rPr>
            <w:rStyle w:val="Hyperlink"/>
          </w:rPr>
          <w:t>The Road Management (Works and Infrastructure) Regulations 2015</w:t>
        </w:r>
        <w:r>
          <w:rPr>
            <w:webHidden/>
          </w:rPr>
          <w:tab/>
        </w:r>
        <w:r>
          <w:rPr>
            <w:webHidden/>
          </w:rPr>
          <w:fldChar w:fldCharType="begin"/>
        </w:r>
        <w:r>
          <w:rPr>
            <w:webHidden/>
          </w:rPr>
          <w:instrText xml:space="preserve"> PAGEREF _Toc226448281 \h </w:instrText>
        </w:r>
        <w:r>
          <w:rPr>
            <w:webHidden/>
          </w:rPr>
        </w:r>
        <w:r>
          <w:rPr>
            <w:webHidden/>
          </w:rPr>
          <w:fldChar w:fldCharType="separate"/>
        </w:r>
        <w:r>
          <w:rPr>
            <w:webHidden/>
          </w:rPr>
          <w:t>28</w:t>
        </w:r>
        <w:r>
          <w:rPr>
            <w:webHidden/>
          </w:rPr>
          <w:fldChar w:fldCharType="end"/>
        </w:r>
      </w:hyperlink>
    </w:p>
    <w:p w14:paraId="125BFF11" w14:textId="75697BB1" w:rsidR="00F170D0" w:rsidRDefault="00F170D0">
      <w:pPr>
        <w:pStyle w:val="TOC6"/>
        <w:rPr>
          <w:rFonts w:eastAsiaTheme="minorEastAsia"/>
          <w:kern w:val="2"/>
          <w:sz w:val="24"/>
          <w:szCs w:val="24"/>
          <w:lang w:eastAsia="en-AU"/>
          <w14:ligatures w14:val="standardContextual"/>
        </w:rPr>
      </w:pPr>
      <w:hyperlink w:anchor="_Toc226448282" w:history="1">
        <w:r w:rsidRPr="00EA335B">
          <w:rPr>
            <w:rStyle w:val="Hyperlink"/>
          </w:rPr>
          <w:t>2.6.2.</w:t>
        </w:r>
        <w:r>
          <w:rPr>
            <w:rFonts w:eastAsiaTheme="minorEastAsia"/>
            <w:kern w:val="2"/>
            <w:sz w:val="24"/>
            <w:szCs w:val="24"/>
            <w:lang w:eastAsia="en-AU"/>
            <w14:ligatures w14:val="standardContextual"/>
          </w:rPr>
          <w:tab/>
        </w:r>
        <w:r w:rsidRPr="00EA335B">
          <w:rPr>
            <w:rStyle w:val="Hyperlink"/>
          </w:rPr>
          <w:t>The Road Management (General) Regulations 2016</w:t>
        </w:r>
        <w:r>
          <w:rPr>
            <w:webHidden/>
          </w:rPr>
          <w:tab/>
        </w:r>
        <w:r>
          <w:rPr>
            <w:webHidden/>
          </w:rPr>
          <w:fldChar w:fldCharType="begin"/>
        </w:r>
        <w:r>
          <w:rPr>
            <w:webHidden/>
          </w:rPr>
          <w:instrText xml:space="preserve"> PAGEREF _Toc226448282 \h </w:instrText>
        </w:r>
        <w:r>
          <w:rPr>
            <w:webHidden/>
          </w:rPr>
        </w:r>
        <w:r>
          <w:rPr>
            <w:webHidden/>
          </w:rPr>
          <w:fldChar w:fldCharType="separate"/>
        </w:r>
        <w:r>
          <w:rPr>
            <w:webHidden/>
          </w:rPr>
          <w:t>28</w:t>
        </w:r>
        <w:r>
          <w:rPr>
            <w:webHidden/>
          </w:rPr>
          <w:fldChar w:fldCharType="end"/>
        </w:r>
      </w:hyperlink>
    </w:p>
    <w:p w14:paraId="6E54EDBD" w14:textId="29CFB552" w:rsidR="00F170D0" w:rsidRDefault="00F170D0">
      <w:pPr>
        <w:pStyle w:val="TOC4"/>
        <w:rPr>
          <w:rFonts w:eastAsiaTheme="minorEastAsia"/>
          <w:b w:val="0"/>
          <w:noProof/>
          <w:color w:val="auto"/>
          <w:kern w:val="2"/>
          <w:sz w:val="24"/>
          <w:szCs w:val="24"/>
          <w:lang w:eastAsia="en-AU"/>
          <w14:ligatures w14:val="standardContextual"/>
        </w:rPr>
      </w:pPr>
      <w:hyperlink w:anchor="_Toc226448283" w:history="1">
        <w:r w:rsidRPr="00EA335B">
          <w:rPr>
            <w:rStyle w:val="Hyperlink"/>
            <w:noProof/>
          </w:rPr>
          <w:t>3.</w:t>
        </w:r>
        <w:r>
          <w:rPr>
            <w:rFonts w:eastAsiaTheme="minorEastAsia"/>
            <w:b w:val="0"/>
            <w:noProof/>
            <w:color w:val="auto"/>
            <w:kern w:val="2"/>
            <w:sz w:val="24"/>
            <w:szCs w:val="24"/>
            <w:lang w:eastAsia="en-AU"/>
            <w14:ligatures w14:val="standardContextual"/>
          </w:rPr>
          <w:tab/>
        </w:r>
        <w:r w:rsidRPr="00EA335B">
          <w:rPr>
            <w:rStyle w:val="Hyperlink"/>
            <w:noProof/>
          </w:rPr>
          <w:t>Nature and extent of the problem</w:t>
        </w:r>
        <w:r>
          <w:rPr>
            <w:noProof/>
            <w:webHidden/>
          </w:rPr>
          <w:tab/>
        </w:r>
        <w:r>
          <w:rPr>
            <w:noProof/>
            <w:webHidden/>
          </w:rPr>
          <w:fldChar w:fldCharType="begin"/>
        </w:r>
        <w:r>
          <w:rPr>
            <w:noProof/>
            <w:webHidden/>
          </w:rPr>
          <w:instrText xml:space="preserve"> PAGEREF _Toc226448283 \h </w:instrText>
        </w:r>
        <w:r>
          <w:rPr>
            <w:noProof/>
            <w:webHidden/>
          </w:rPr>
        </w:r>
        <w:r>
          <w:rPr>
            <w:noProof/>
            <w:webHidden/>
          </w:rPr>
          <w:fldChar w:fldCharType="separate"/>
        </w:r>
        <w:r>
          <w:rPr>
            <w:noProof/>
            <w:webHidden/>
          </w:rPr>
          <w:t>30</w:t>
        </w:r>
        <w:r>
          <w:rPr>
            <w:noProof/>
            <w:webHidden/>
          </w:rPr>
          <w:fldChar w:fldCharType="end"/>
        </w:r>
      </w:hyperlink>
    </w:p>
    <w:p w14:paraId="4B316AB3" w14:textId="63A24384" w:rsidR="00F170D0" w:rsidRDefault="00F170D0">
      <w:pPr>
        <w:pStyle w:val="TOC5"/>
        <w:rPr>
          <w:rFonts w:eastAsiaTheme="minorEastAsia"/>
          <w:noProof/>
          <w:color w:val="auto"/>
          <w:kern w:val="2"/>
          <w:sz w:val="24"/>
          <w:szCs w:val="24"/>
          <w:lang w:eastAsia="en-AU"/>
          <w14:ligatures w14:val="standardContextual"/>
        </w:rPr>
      </w:pPr>
      <w:hyperlink w:anchor="_Toc226448284" w:history="1">
        <w:r w:rsidRPr="00EA335B">
          <w:rPr>
            <w:rStyle w:val="Hyperlink"/>
            <w:noProof/>
          </w:rPr>
          <w:t>3.1.</w:t>
        </w:r>
        <w:r>
          <w:rPr>
            <w:rFonts w:eastAsiaTheme="minorEastAsia"/>
            <w:noProof/>
            <w:color w:val="auto"/>
            <w:kern w:val="2"/>
            <w:sz w:val="24"/>
            <w:szCs w:val="24"/>
            <w:lang w:eastAsia="en-AU"/>
            <w14:ligatures w14:val="standardContextual"/>
          </w:rPr>
          <w:tab/>
        </w:r>
        <w:r w:rsidRPr="00EA335B">
          <w:rPr>
            <w:rStyle w:val="Hyperlink"/>
            <w:noProof/>
          </w:rPr>
          <w:t>General rationale for government regulation of public road management</w:t>
        </w:r>
        <w:r>
          <w:rPr>
            <w:noProof/>
            <w:webHidden/>
          </w:rPr>
          <w:tab/>
        </w:r>
        <w:r>
          <w:rPr>
            <w:noProof/>
            <w:webHidden/>
          </w:rPr>
          <w:fldChar w:fldCharType="begin"/>
        </w:r>
        <w:r>
          <w:rPr>
            <w:noProof/>
            <w:webHidden/>
          </w:rPr>
          <w:instrText xml:space="preserve"> PAGEREF _Toc226448284 \h </w:instrText>
        </w:r>
        <w:r>
          <w:rPr>
            <w:noProof/>
            <w:webHidden/>
          </w:rPr>
        </w:r>
        <w:r>
          <w:rPr>
            <w:noProof/>
            <w:webHidden/>
          </w:rPr>
          <w:fldChar w:fldCharType="separate"/>
        </w:r>
        <w:r>
          <w:rPr>
            <w:noProof/>
            <w:webHidden/>
          </w:rPr>
          <w:t>30</w:t>
        </w:r>
        <w:r>
          <w:rPr>
            <w:noProof/>
            <w:webHidden/>
          </w:rPr>
          <w:fldChar w:fldCharType="end"/>
        </w:r>
      </w:hyperlink>
    </w:p>
    <w:p w14:paraId="41D74100" w14:textId="52EE5CB7" w:rsidR="00F170D0" w:rsidRDefault="00F170D0">
      <w:pPr>
        <w:pStyle w:val="TOC6"/>
        <w:rPr>
          <w:rFonts w:eastAsiaTheme="minorEastAsia"/>
          <w:kern w:val="2"/>
          <w:sz w:val="24"/>
          <w:szCs w:val="24"/>
          <w:lang w:eastAsia="en-AU"/>
          <w14:ligatures w14:val="standardContextual"/>
        </w:rPr>
      </w:pPr>
      <w:hyperlink w:anchor="_Toc226448285" w:history="1">
        <w:r w:rsidRPr="00EA335B">
          <w:rPr>
            <w:rStyle w:val="Hyperlink"/>
          </w:rPr>
          <w:t>3.1.1.</w:t>
        </w:r>
        <w:r>
          <w:rPr>
            <w:rFonts w:eastAsiaTheme="minorEastAsia"/>
            <w:kern w:val="2"/>
            <w:sz w:val="24"/>
            <w:szCs w:val="24"/>
            <w:lang w:eastAsia="en-AU"/>
            <w14:ligatures w14:val="standardContextual"/>
          </w:rPr>
          <w:tab/>
        </w:r>
        <w:r w:rsidRPr="00EA335B">
          <w:rPr>
            <w:rStyle w:val="Hyperlink"/>
          </w:rPr>
          <w:t>Safety</w:t>
        </w:r>
        <w:r>
          <w:rPr>
            <w:webHidden/>
          </w:rPr>
          <w:tab/>
        </w:r>
        <w:r>
          <w:rPr>
            <w:webHidden/>
          </w:rPr>
          <w:fldChar w:fldCharType="begin"/>
        </w:r>
        <w:r>
          <w:rPr>
            <w:webHidden/>
          </w:rPr>
          <w:instrText xml:space="preserve"> PAGEREF _Toc226448285 \h </w:instrText>
        </w:r>
        <w:r>
          <w:rPr>
            <w:webHidden/>
          </w:rPr>
        </w:r>
        <w:r>
          <w:rPr>
            <w:webHidden/>
          </w:rPr>
          <w:fldChar w:fldCharType="separate"/>
        </w:r>
        <w:r>
          <w:rPr>
            <w:webHidden/>
          </w:rPr>
          <w:t>30</w:t>
        </w:r>
        <w:r>
          <w:rPr>
            <w:webHidden/>
          </w:rPr>
          <w:fldChar w:fldCharType="end"/>
        </w:r>
      </w:hyperlink>
    </w:p>
    <w:p w14:paraId="79E56D05" w14:textId="30E5864B" w:rsidR="00F170D0" w:rsidRDefault="00F170D0">
      <w:pPr>
        <w:pStyle w:val="TOC6"/>
        <w:rPr>
          <w:rFonts w:eastAsiaTheme="minorEastAsia"/>
          <w:kern w:val="2"/>
          <w:sz w:val="24"/>
          <w:szCs w:val="24"/>
          <w:lang w:eastAsia="en-AU"/>
          <w14:ligatures w14:val="standardContextual"/>
        </w:rPr>
      </w:pPr>
      <w:hyperlink w:anchor="_Toc226448286" w:history="1">
        <w:r w:rsidRPr="00EA335B">
          <w:rPr>
            <w:rStyle w:val="Hyperlink"/>
          </w:rPr>
          <w:t>3.1.2.</w:t>
        </w:r>
        <w:r>
          <w:rPr>
            <w:rFonts w:eastAsiaTheme="minorEastAsia"/>
            <w:kern w:val="2"/>
            <w:sz w:val="24"/>
            <w:szCs w:val="24"/>
            <w:lang w:eastAsia="en-AU"/>
            <w14:ligatures w14:val="standardContextual"/>
          </w:rPr>
          <w:tab/>
        </w:r>
        <w:r w:rsidRPr="00EA335B">
          <w:rPr>
            <w:rStyle w:val="Hyperlink"/>
          </w:rPr>
          <w:t>Environmental</w:t>
        </w:r>
        <w:r>
          <w:rPr>
            <w:webHidden/>
          </w:rPr>
          <w:tab/>
        </w:r>
        <w:r>
          <w:rPr>
            <w:webHidden/>
          </w:rPr>
          <w:fldChar w:fldCharType="begin"/>
        </w:r>
        <w:r>
          <w:rPr>
            <w:webHidden/>
          </w:rPr>
          <w:instrText xml:space="preserve"> PAGEREF _Toc226448286 \h </w:instrText>
        </w:r>
        <w:r>
          <w:rPr>
            <w:webHidden/>
          </w:rPr>
        </w:r>
        <w:r>
          <w:rPr>
            <w:webHidden/>
          </w:rPr>
          <w:fldChar w:fldCharType="separate"/>
        </w:r>
        <w:r>
          <w:rPr>
            <w:webHidden/>
          </w:rPr>
          <w:t>30</w:t>
        </w:r>
        <w:r>
          <w:rPr>
            <w:webHidden/>
          </w:rPr>
          <w:fldChar w:fldCharType="end"/>
        </w:r>
      </w:hyperlink>
    </w:p>
    <w:p w14:paraId="719458B7" w14:textId="58F14811" w:rsidR="00F170D0" w:rsidRDefault="00F170D0">
      <w:pPr>
        <w:pStyle w:val="TOC6"/>
        <w:rPr>
          <w:rFonts w:eastAsiaTheme="minorEastAsia"/>
          <w:kern w:val="2"/>
          <w:sz w:val="24"/>
          <w:szCs w:val="24"/>
          <w:lang w:eastAsia="en-AU"/>
          <w14:ligatures w14:val="standardContextual"/>
        </w:rPr>
      </w:pPr>
      <w:hyperlink w:anchor="_Toc226448287" w:history="1">
        <w:r w:rsidRPr="00EA335B">
          <w:rPr>
            <w:rStyle w:val="Hyperlink"/>
          </w:rPr>
          <w:t>3.1.3.</w:t>
        </w:r>
        <w:r>
          <w:rPr>
            <w:rFonts w:eastAsiaTheme="minorEastAsia"/>
            <w:kern w:val="2"/>
            <w:sz w:val="24"/>
            <w:szCs w:val="24"/>
            <w:lang w:eastAsia="en-AU"/>
            <w14:ligatures w14:val="standardContextual"/>
          </w:rPr>
          <w:tab/>
        </w:r>
        <w:r w:rsidRPr="00EA335B">
          <w:rPr>
            <w:rStyle w:val="Hyperlink"/>
          </w:rPr>
          <w:t>Social</w:t>
        </w:r>
        <w:r>
          <w:rPr>
            <w:webHidden/>
          </w:rPr>
          <w:tab/>
        </w:r>
        <w:r>
          <w:rPr>
            <w:webHidden/>
          </w:rPr>
          <w:fldChar w:fldCharType="begin"/>
        </w:r>
        <w:r>
          <w:rPr>
            <w:webHidden/>
          </w:rPr>
          <w:instrText xml:space="preserve"> PAGEREF _Toc226448287 \h </w:instrText>
        </w:r>
        <w:r>
          <w:rPr>
            <w:webHidden/>
          </w:rPr>
        </w:r>
        <w:r>
          <w:rPr>
            <w:webHidden/>
          </w:rPr>
          <w:fldChar w:fldCharType="separate"/>
        </w:r>
        <w:r>
          <w:rPr>
            <w:webHidden/>
          </w:rPr>
          <w:t>30</w:t>
        </w:r>
        <w:r>
          <w:rPr>
            <w:webHidden/>
          </w:rPr>
          <w:fldChar w:fldCharType="end"/>
        </w:r>
      </w:hyperlink>
    </w:p>
    <w:p w14:paraId="631C6714" w14:textId="6B541F3D" w:rsidR="00F170D0" w:rsidRDefault="00F170D0">
      <w:pPr>
        <w:pStyle w:val="TOC6"/>
        <w:rPr>
          <w:rFonts w:eastAsiaTheme="minorEastAsia"/>
          <w:kern w:val="2"/>
          <w:sz w:val="24"/>
          <w:szCs w:val="24"/>
          <w:lang w:eastAsia="en-AU"/>
          <w14:ligatures w14:val="standardContextual"/>
        </w:rPr>
      </w:pPr>
      <w:hyperlink w:anchor="_Toc226448288" w:history="1">
        <w:r w:rsidRPr="00EA335B">
          <w:rPr>
            <w:rStyle w:val="Hyperlink"/>
          </w:rPr>
          <w:t>3.1.4.</w:t>
        </w:r>
        <w:r>
          <w:rPr>
            <w:rFonts w:eastAsiaTheme="minorEastAsia"/>
            <w:kern w:val="2"/>
            <w:sz w:val="24"/>
            <w:szCs w:val="24"/>
            <w:lang w:eastAsia="en-AU"/>
            <w14:ligatures w14:val="standardContextual"/>
          </w:rPr>
          <w:tab/>
        </w:r>
        <w:r w:rsidRPr="00EA335B">
          <w:rPr>
            <w:rStyle w:val="Hyperlink"/>
          </w:rPr>
          <w:t>Economic</w:t>
        </w:r>
        <w:r>
          <w:rPr>
            <w:webHidden/>
          </w:rPr>
          <w:tab/>
        </w:r>
        <w:r>
          <w:rPr>
            <w:webHidden/>
          </w:rPr>
          <w:fldChar w:fldCharType="begin"/>
        </w:r>
        <w:r>
          <w:rPr>
            <w:webHidden/>
          </w:rPr>
          <w:instrText xml:space="preserve"> PAGEREF _Toc226448288 \h </w:instrText>
        </w:r>
        <w:r>
          <w:rPr>
            <w:webHidden/>
          </w:rPr>
        </w:r>
        <w:r>
          <w:rPr>
            <w:webHidden/>
          </w:rPr>
          <w:fldChar w:fldCharType="separate"/>
        </w:r>
        <w:r>
          <w:rPr>
            <w:webHidden/>
          </w:rPr>
          <w:t>31</w:t>
        </w:r>
        <w:r>
          <w:rPr>
            <w:webHidden/>
          </w:rPr>
          <w:fldChar w:fldCharType="end"/>
        </w:r>
      </w:hyperlink>
    </w:p>
    <w:p w14:paraId="53AB5B2F" w14:textId="3B8736E1" w:rsidR="00F170D0" w:rsidRDefault="00F170D0">
      <w:pPr>
        <w:pStyle w:val="TOC5"/>
        <w:rPr>
          <w:rFonts w:eastAsiaTheme="minorEastAsia"/>
          <w:noProof/>
          <w:color w:val="auto"/>
          <w:kern w:val="2"/>
          <w:sz w:val="24"/>
          <w:szCs w:val="24"/>
          <w:lang w:eastAsia="en-AU"/>
          <w14:ligatures w14:val="standardContextual"/>
        </w:rPr>
      </w:pPr>
      <w:hyperlink w:anchor="_Toc226448289" w:history="1">
        <w:r w:rsidRPr="00EA335B">
          <w:rPr>
            <w:rStyle w:val="Hyperlink"/>
            <w:noProof/>
          </w:rPr>
          <w:t>3.2.</w:t>
        </w:r>
        <w:r>
          <w:rPr>
            <w:rFonts w:eastAsiaTheme="minorEastAsia"/>
            <w:noProof/>
            <w:color w:val="auto"/>
            <w:kern w:val="2"/>
            <w:sz w:val="24"/>
            <w:szCs w:val="24"/>
            <w:lang w:eastAsia="en-AU"/>
            <w14:ligatures w14:val="standardContextual"/>
          </w:rPr>
          <w:tab/>
        </w:r>
        <w:r w:rsidRPr="00EA335B">
          <w:rPr>
            <w:rStyle w:val="Hyperlink"/>
            <w:noProof/>
          </w:rPr>
          <w:t>The need for Regulations</w:t>
        </w:r>
        <w:r>
          <w:rPr>
            <w:noProof/>
            <w:webHidden/>
          </w:rPr>
          <w:tab/>
        </w:r>
        <w:r>
          <w:rPr>
            <w:noProof/>
            <w:webHidden/>
          </w:rPr>
          <w:fldChar w:fldCharType="begin"/>
        </w:r>
        <w:r>
          <w:rPr>
            <w:noProof/>
            <w:webHidden/>
          </w:rPr>
          <w:instrText xml:space="preserve"> PAGEREF _Toc226448289 \h </w:instrText>
        </w:r>
        <w:r>
          <w:rPr>
            <w:noProof/>
            <w:webHidden/>
          </w:rPr>
        </w:r>
        <w:r>
          <w:rPr>
            <w:noProof/>
            <w:webHidden/>
          </w:rPr>
          <w:fldChar w:fldCharType="separate"/>
        </w:r>
        <w:r>
          <w:rPr>
            <w:noProof/>
            <w:webHidden/>
          </w:rPr>
          <w:t>31</w:t>
        </w:r>
        <w:r>
          <w:rPr>
            <w:noProof/>
            <w:webHidden/>
          </w:rPr>
          <w:fldChar w:fldCharType="end"/>
        </w:r>
      </w:hyperlink>
    </w:p>
    <w:p w14:paraId="6FD5E9A5" w14:textId="3D3F4216" w:rsidR="00F170D0" w:rsidRDefault="00F170D0">
      <w:pPr>
        <w:pStyle w:val="TOC6"/>
        <w:rPr>
          <w:rFonts w:eastAsiaTheme="minorEastAsia"/>
          <w:kern w:val="2"/>
          <w:sz w:val="24"/>
          <w:szCs w:val="24"/>
          <w:lang w:eastAsia="en-AU"/>
          <w14:ligatures w14:val="standardContextual"/>
        </w:rPr>
      </w:pPr>
      <w:hyperlink w:anchor="_Toc226448290" w:history="1">
        <w:r w:rsidRPr="00EA335B">
          <w:rPr>
            <w:rStyle w:val="Hyperlink"/>
          </w:rPr>
          <w:t>3.2.1.</w:t>
        </w:r>
        <w:r>
          <w:rPr>
            <w:rFonts w:eastAsiaTheme="minorEastAsia"/>
            <w:kern w:val="2"/>
            <w:sz w:val="24"/>
            <w:szCs w:val="24"/>
            <w:lang w:eastAsia="en-AU"/>
            <w14:ligatures w14:val="standardContextual"/>
          </w:rPr>
          <w:tab/>
        </w:r>
        <w:r w:rsidRPr="00EA335B">
          <w:rPr>
            <w:rStyle w:val="Hyperlink"/>
          </w:rPr>
          <w:t>Exemptions</w:t>
        </w:r>
        <w:r>
          <w:rPr>
            <w:webHidden/>
          </w:rPr>
          <w:tab/>
        </w:r>
        <w:r>
          <w:rPr>
            <w:webHidden/>
          </w:rPr>
          <w:fldChar w:fldCharType="begin"/>
        </w:r>
        <w:r>
          <w:rPr>
            <w:webHidden/>
          </w:rPr>
          <w:instrText xml:space="preserve"> PAGEREF _Toc226448290 \h </w:instrText>
        </w:r>
        <w:r>
          <w:rPr>
            <w:webHidden/>
          </w:rPr>
        </w:r>
        <w:r>
          <w:rPr>
            <w:webHidden/>
          </w:rPr>
          <w:fldChar w:fldCharType="separate"/>
        </w:r>
        <w:r>
          <w:rPr>
            <w:webHidden/>
          </w:rPr>
          <w:t>32</w:t>
        </w:r>
        <w:r>
          <w:rPr>
            <w:webHidden/>
          </w:rPr>
          <w:fldChar w:fldCharType="end"/>
        </w:r>
      </w:hyperlink>
    </w:p>
    <w:p w14:paraId="7C715B65" w14:textId="5DD8E0F4" w:rsidR="00F170D0" w:rsidRDefault="00F170D0">
      <w:pPr>
        <w:pStyle w:val="TOC6"/>
        <w:rPr>
          <w:rFonts w:eastAsiaTheme="minorEastAsia"/>
          <w:kern w:val="2"/>
          <w:sz w:val="24"/>
          <w:szCs w:val="24"/>
          <w:lang w:eastAsia="en-AU"/>
          <w14:ligatures w14:val="standardContextual"/>
        </w:rPr>
      </w:pPr>
      <w:hyperlink w:anchor="_Toc226448291" w:history="1">
        <w:r w:rsidRPr="00EA335B">
          <w:rPr>
            <w:rStyle w:val="Hyperlink"/>
          </w:rPr>
          <w:t>3.2.2.</w:t>
        </w:r>
        <w:r>
          <w:rPr>
            <w:rFonts w:eastAsiaTheme="minorEastAsia"/>
            <w:kern w:val="2"/>
            <w:sz w:val="24"/>
            <w:szCs w:val="24"/>
            <w:lang w:eastAsia="en-AU"/>
            <w14:ligatures w14:val="standardContextual"/>
          </w:rPr>
          <w:tab/>
        </w:r>
        <w:r w:rsidRPr="00EA335B">
          <w:rPr>
            <w:rStyle w:val="Hyperlink"/>
          </w:rPr>
          <w:t>Procedural and administrative guidance</w:t>
        </w:r>
        <w:r>
          <w:rPr>
            <w:webHidden/>
          </w:rPr>
          <w:tab/>
        </w:r>
        <w:r>
          <w:rPr>
            <w:webHidden/>
          </w:rPr>
          <w:fldChar w:fldCharType="begin"/>
        </w:r>
        <w:r>
          <w:rPr>
            <w:webHidden/>
          </w:rPr>
          <w:instrText xml:space="preserve"> PAGEREF _Toc226448291 \h </w:instrText>
        </w:r>
        <w:r>
          <w:rPr>
            <w:webHidden/>
          </w:rPr>
        </w:r>
        <w:r>
          <w:rPr>
            <w:webHidden/>
          </w:rPr>
          <w:fldChar w:fldCharType="separate"/>
        </w:r>
        <w:r>
          <w:rPr>
            <w:webHidden/>
          </w:rPr>
          <w:t>33</w:t>
        </w:r>
        <w:r>
          <w:rPr>
            <w:webHidden/>
          </w:rPr>
          <w:fldChar w:fldCharType="end"/>
        </w:r>
      </w:hyperlink>
    </w:p>
    <w:p w14:paraId="23CC26A8" w14:textId="42B81157" w:rsidR="00F170D0" w:rsidRDefault="00F170D0">
      <w:pPr>
        <w:pStyle w:val="TOC6"/>
        <w:rPr>
          <w:rFonts w:eastAsiaTheme="minorEastAsia"/>
          <w:kern w:val="2"/>
          <w:sz w:val="24"/>
          <w:szCs w:val="24"/>
          <w:lang w:eastAsia="en-AU"/>
          <w14:ligatures w14:val="standardContextual"/>
        </w:rPr>
      </w:pPr>
      <w:hyperlink w:anchor="_Toc226448292" w:history="1">
        <w:r w:rsidRPr="00EA335B">
          <w:rPr>
            <w:rStyle w:val="Hyperlink"/>
          </w:rPr>
          <w:t>3.2.3.</w:t>
        </w:r>
        <w:r>
          <w:rPr>
            <w:rFonts w:eastAsiaTheme="minorEastAsia"/>
            <w:kern w:val="2"/>
            <w:sz w:val="24"/>
            <w:szCs w:val="24"/>
            <w:lang w:eastAsia="en-AU"/>
            <w14:ligatures w14:val="standardContextual"/>
          </w:rPr>
          <w:tab/>
        </w:r>
        <w:r w:rsidRPr="00EA335B">
          <w:rPr>
            <w:rStyle w:val="Hyperlink"/>
          </w:rPr>
          <w:t>Protection of people and property</w:t>
        </w:r>
        <w:r>
          <w:rPr>
            <w:webHidden/>
          </w:rPr>
          <w:tab/>
        </w:r>
        <w:r>
          <w:rPr>
            <w:webHidden/>
          </w:rPr>
          <w:fldChar w:fldCharType="begin"/>
        </w:r>
        <w:r>
          <w:rPr>
            <w:webHidden/>
          </w:rPr>
          <w:instrText xml:space="preserve"> PAGEREF _Toc226448292 \h </w:instrText>
        </w:r>
        <w:r>
          <w:rPr>
            <w:webHidden/>
          </w:rPr>
        </w:r>
        <w:r>
          <w:rPr>
            <w:webHidden/>
          </w:rPr>
          <w:fldChar w:fldCharType="separate"/>
        </w:r>
        <w:r>
          <w:rPr>
            <w:webHidden/>
          </w:rPr>
          <w:t>35</w:t>
        </w:r>
        <w:r>
          <w:rPr>
            <w:webHidden/>
          </w:rPr>
          <w:fldChar w:fldCharType="end"/>
        </w:r>
      </w:hyperlink>
    </w:p>
    <w:p w14:paraId="69F3C356" w14:textId="42DF04DA" w:rsidR="00F170D0" w:rsidRDefault="00F170D0">
      <w:pPr>
        <w:pStyle w:val="TOC5"/>
        <w:rPr>
          <w:rFonts w:eastAsiaTheme="minorEastAsia"/>
          <w:noProof/>
          <w:color w:val="auto"/>
          <w:kern w:val="2"/>
          <w:sz w:val="24"/>
          <w:szCs w:val="24"/>
          <w:lang w:eastAsia="en-AU"/>
          <w14:ligatures w14:val="standardContextual"/>
        </w:rPr>
      </w:pPr>
      <w:hyperlink w:anchor="_Toc226448293" w:history="1">
        <w:r w:rsidRPr="00EA335B">
          <w:rPr>
            <w:rStyle w:val="Hyperlink"/>
            <w:noProof/>
          </w:rPr>
          <w:t>3.3.</w:t>
        </w:r>
        <w:r>
          <w:rPr>
            <w:rFonts w:eastAsiaTheme="minorEastAsia"/>
            <w:noProof/>
            <w:color w:val="auto"/>
            <w:kern w:val="2"/>
            <w:sz w:val="24"/>
            <w:szCs w:val="24"/>
            <w:lang w:eastAsia="en-AU"/>
            <w14:ligatures w14:val="standardContextual"/>
          </w:rPr>
          <w:tab/>
        </w:r>
        <w:r w:rsidRPr="00EA335B">
          <w:rPr>
            <w:rStyle w:val="Hyperlink"/>
            <w:noProof/>
          </w:rPr>
          <w:t>Feedback on current regulations</w:t>
        </w:r>
        <w:r>
          <w:rPr>
            <w:noProof/>
            <w:webHidden/>
          </w:rPr>
          <w:tab/>
        </w:r>
        <w:r>
          <w:rPr>
            <w:noProof/>
            <w:webHidden/>
          </w:rPr>
          <w:fldChar w:fldCharType="begin"/>
        </w:r>
        <w:r>
          <w:rPr>
            <w:noProof/>
            <w:webHidden/>
          </w:rPr>
          <w:instrText xml:space="preserve"> PAGEREF _Toc226448293 \h </w:instrText>
        </w:r>
        <w:r>
          <w:rPr>
            <w:noProof/>
            <w:webHidden/>
          </w:rPr>
        </w:r>
        <w:r>
          <w:rPr>
            <w:noProof/>
            <w:webHidden/>
          </w:rPr>
          <w:fldChar w:fldCharType="separate"/>
        </w:r>
        <w:r>
          <w:rPr>
            <w:noProof/>
            <w:webHidden/>
          </w:rPr>
          <w:t>36</w:t>
        </w:r>
        <w:r>
          <w:rPr>
            <w:noProof/>
            <w:webHidden/>
          </w:rPr>
          <w:fldChar w:fldCharType="end"/>
        </w:r>
      </w:hyperlink>
    </w:p>
    <w:p w14:paraId="47999EF2" w14:textId="5E7ACA6A" w:rsidR="00F170D0" w:rsidRDefault="00F170D0">
      <w:pPr>
        <w:pStyle w:val="TOC6"/>
        <w:rPr>
          <w:rFonts w:eastAsiaTheme="minorEastAsia"/>
          <w:kern w:val="2"/>
          <w:sz w:val="24"/>
          <w:szCs w:val="24"/>
          <w:lang w:eastAsia="en-AU"/>
          <w14:ligatures w14:val="standardContextual"/>
        </w:rPr>
      </w:pPr>
      <w:hyperlink w:anchor="_Toc226448294" w:history="1">
        <w:r w:rsidRPr="00EA335B">
          <w:rPr>
            <w:rStyle w:val="Hyperlink"/>
          </w:rPr>
          <w:t>3.3.1.</w:t>
        </w:r>
        <w:r>
          <w:rPr>
            <w:rFonts w:eastAsiaTheme="minorEastAsia"/>
            <w:kern w:val="2"/>
            <w:sz w:val="24"/>
            <w:szCs w:val="24"/>
            <w:lang w:eastAsia="en-AU"/>
            <w14:ligatures w14:val="standardContextual"/>
          </w:rPr>
          <w:tab/>
        </w:r>
        <w:r w:rsidRPr="00EA335B">
          <w:rPr>
            <w:rStyle w:val="Hyperlink"/>
          </w:rPr>
          <w:t>Exemptions</w:t>
        </w:r>
        <w:r>
          <w:rPr>
            <w:webHidden/>
          </w:rPr>
          <w:tab/>
        </w:r>
        <w:r>
          <w:rPr>
            <w:webHidden/>
          </w:rPr>
          <w:fldChar w:fldCharType="begin"/>
        </w:r>
        <w:r>
          <w:rPr>
            <w:webHidden/>
          </w:rPr>
          <w:instrText xml:space="preserve"> PAGEREF _Toc226448294 \h </w:instrText>
        </w:r>
        <w:r>
          <w:rPr>
            <w:webHidden/>
          </w:rPr>
        </w:r>
        <w:r>
          <w:rPr>
            <w:webHidden/>
          </w:rPr>
          <w:fldChar w:fldCharType="separate"/>
        </w:r>
        <w:r>
          <w:rPr>
            <w:webHidden/>
          </w:rPr>
          <w:t>36</w:t>
        </w:r>
        <w:r>
          <w:rPr>
            <w:webHidden/>
          </w:rPr>
          <w:fldChar w:fldCharType="end"/>
        </w:r>
      </w:hyperlink>
    </w:p>
    <w:p w14:paraId="6B73888C" w14:textId="47F3CBD1" w:rsidR="00F170D0" w:rsidRDefault="00F170D0">
      <w:pPr>
        <w:pStyle w:val="TOC6"/>
        <w:rPr>
          <w:rFonts w:eastAsiaTheme="minorEastAsia"/>
          <w:kern w:val="2"/>
          <w:sz w:val="24"/>
          <w:szCs w:val="24"/>
          <w:lang w:eastAsia="en-AU"/>
          <w14:ligatures w14:val="standardContextual"/>
        </w:rPr>
      </w:pPr>
      <w:hyperlink w:anchor="_Toc226448295" w:history="1">
        <w:r w:rsidRPr="00EA335B">
          <w:rPr>
            <w:rStyle w:val="Hyperlink"/>
          </w:rPr>
          <w:t>3.3.2.</w:t>
        </w:r>
        <w:r>
          <w:rPr>
            <w:rFonts w:eastAsiaTheme="minorEastAsia"/>
            <w:kern w:val="2"/>
            <w:sz w:val="24"/>
            <w:szCs w:val="24"/>
            <w:lang w:eastAsia="en-AU"/>
            <w14:ligatures w14:val="standardContextual"/>
          </w:rPr>
          <w:tab/>
        </w:r>
        <w:r w:rsidRPr="00EA335B">
          <w:rPr>
            <w:rStyle w:val="Hyperlink"/>
          </w:rPr>
          <w:t>Procedural and administrative guidance</w:t>
        </w:r>
        <w:r>
          <w:rPr>
            <w:webHidden/>
          </w:rPr>
          <w:tab/>
        </w:r>
        <w:r>
          <w:rPr>
            <w:webHidden/>
          </w:rPr>
          <w:fldChar w:fldCharType="begin"/>
        </w:r>
        <w:r>
          <w:rPr>
            <w:webHidden/>
          </w:rPr>
          <w:instrText xml:space="preserve"> PAGEREF _Toc226448295 \h </w:instrText>
        </w:r>
        <w:r>
          <w:rPr>
            <w:webHidden/>
          </w:rPr>
        </w:r>
        <w:r>
          <w:rPr>
            <w:webHidden/>
          </w:rPr>
          <w:fldChar w:fldCharType="separate"/>
        </w:r>
        <w:r>
          <w:rPr>
            <w:webHidden/>
          </w:rPr>
          <w:t>37</w:t>
        </w:r>
        <w:r>
          <w:rPr>
            <w:webHidden/>
          </w:rPr>
          <w:fldChar w:fldCharType="end"/>
        </w:r>
      </w:hyperlink>
    </w:p>
    <w:p w14:paraId="4A4A4C82" w14:textId="78123C2F" w:rsidR="00F170D0" w:rsidRDefault="00F170D0">
      <w:pPr>
        <w:pStyle w:val="TOC6"/>
        <w:rPr>
          <w:rFonts w:eastAsiaTheme="minorEastAsia"/>
          <w:kern w:val="2"/>
          <w:sz w:val="24"/>
          <w:szCs w:val="24"/>
          <w:lang w:eastAsia="en-AU"/>
          <w14:ligatures w14:val="standardContextual"/>
        </w:rPr>
      </w:pPr>
      <w:hyperlink w:anchor="_Toc226448296" w:history="1">
        <w:r w:rsidRPr="00EA335B">
          <w:rPr>
            <w:rStyle w:val="Hyperlink"/>
          </w:rPr>
          <w:t>3.3.3.</w:t>
        </w:r>
        <w:r>
          <w:rPr>
            <w:rFonts w:eastAsiaTheme="minorEastAsia"/>
            <w:kern w:val="2"/>
            <w:sz w:val="24"/>
            <w:szCs w:val="24"/>
            <w:lang w:eastAsia="en-AU"/>
            <w14:ligatures w14:val="standardContextual"/>
          </w:rPr>
          <w:tab/>
        </w:r>
        <w:r w:rsidRPr="00EA335B">
          <w:rPr>
            <w:rStyle w:val="Hyperlink"/>
          </w:rPr>
          <w:t>Protection of people and property</w:t>
        </w:r>
        <w:r>
          <w:rPr>
            <w:webHidden/>
          </w:rPr>
          <w:tab/>
        </w:r>
        <w:r>
          <w:rPr>
            <w:webHidden/>
          </w:rPr>
          <w:fldChar w:fldCharType="begin"/>
        </w:r>
        <w:r>
          <w:rPr>
            <w:webHidden/>
          </w:rPr>
          <w:instrText xml:space="preserve"> PAGEREF _Toc226448296 \h </w:instrText>
        </w:r>
        <w:r>
          <w:rPr>
            <w:webHidden/>
          </w:rPr>
        </w:r>
        <w:r>
          <w:rPr>
            <w:webHidden/>
          </w:rPr>
          <w:fldChar w:fldCharType="separate"/>
        </w:r>
        <w:r>
          <w:rPr>
            <w:webHidden/>
          </w:rPr>
          <w:t>38</w:t>
        </w:r>
        <w:r>
          <w:rPr>
            <w:webHidden/>
          </w:rPr>
          <w:fldChar w:fldCharType="end"/>
        </w:r>
      </w:hyperlink>
    </w:p>
    <w:p w14:paraId="1F65F590" w14:textId="6A0C22A5" w:rsidR="00F170D0" w:rsidRDefault="00F170D0">
      <w:pPr>
        <w:pStyle w:val="TOC6"/>
        <w:rPr>
          <w:rFonts w:eastAsiaTheme="minorEastAsia"/>
          <w:kern w:val="2"/>
          <w:sz w:val="24"/>
          <w:szCs w:val="24"/>
          <w:lang w:eastAsia="en-AU"/>
          <w14:ligatures w14:val="standardContextual"/>
        </w:rPr>
      </w:pPr>
      <w:hyperlink w:anchor="_Toc226448297" w:history="1">
        <w:r w:rsidRPr="00EA335B">
          <w:rPr>
            <w:rStyle w:val="Hyperlink"/>
          </w:rPr>
          <w:t>3.3.4.</w:t>
        </w:r>
        <w:r>
          <w:rPr>
            <w:rFonts w:eastAsiaTheme="minorEastAsia"/>
            <w:kern w:val="2"/>
            <w:sz w:val="24"/>
            <w:szCs w:val="24"/>
            <w:lang w:eastAsia="en-AU"/>
            <w14:ligatures w14:val="standardContextual"/>
          </w:rPr>
          <w:tab/>
        </w:r>
        <w:r w:rsidRPr="00EA335B">
          <w:rPr>
            <w:rStyle w:val="Hyperlink"/>
          </w:rPr>
          <w:t>Feedback on matters outside of regulations</w:t>
        </w:r>
        <w:r>
          <w:rPr>
            <w:webHidden/>
          </w:rPr>
          <w:tab/>
        </w:r>
        <w:r>
          <w:rPr>
            <w:webHidden/>
          </w:rPr>
          <w:fldChar w:fldCharType="begin"/>
        </w:r>
        <w:r>
          <w:rPr>
            <w:webHidden/>
          </w:rPr>
          <w:instrText xml:space="preserve"> PAGEREF _Toc226448297 \h </w:instrText>
        </w:r>
        <w:r>
          <w:rPr>
            <w:webHidden/>
          </w:rPr>
        </w:r>
        <w:r>
          <w:rPr>
            <w:webHidden/>
          </w:rPr>
          <w:fldChar w:fldCharType="separate"/>
        </w:r>
        <w:r>
          <w:rPr>
            <w:webHidden/>
          </w:rPr>
          <w:t>39</w:t>
        </w:r>
        <w:r>
          <w:rPr>
            <w:webHidden/>
          </w:rPr>
          <w:fldChar w:fldCharType="end"/>
        </w:r>
      </w:hyperlink>
    </w:p>
    <w:p w14:paraId="258A6317" w14:textId="237A555D" w:rsidR="00F170D0" w:rsidRDefault="00F170D0">
      <w:pPr>
        <w:pStyle w:val="TOC5"/>
        <w:rPr>
          <w:rFonts w:eastAsiaTheme="minorEastAsia"/>
          <w:noProof/>
          <w:color w:val="auto"/>
          <w:kern w:val="2"/>
          <w:sz w:val="24"/>
          <w:szCs w:val="24"/>
          <w:lang w:eastAsia="en-AU"/>
          <w14:ligatures w14:val="standardContextual"/>
        </w:rPr>
      </w:pPr>
      <w:hyperlink w:anchor="_Toc226448298" w:history="1">
        <w:r w:rsidRPr="00EA335B">
          <w:rPr>
            <w:rStyle w:val="Hyperlink"/>
            <w:noProof/>
          </w:rPr>
          <w:t>3.4.</w:t>
        </w:r>
        <w:r>
          <w:rPr>
            <w:rFonts w:eastAsiaTheme="minorEastAsia"/>
            <w:noProof/>
            <w:color w:val="auto"/>
            <w:kern w:val="2"/>
            <w:sz w:val="24"/>
            <w:szCs w:val="24"/>
            <w:lang w:eastAsia="en-AU"/>
            <w14:ligatures w14:val="standardContextual"/>
          </w:rPr>
          <w:tab/>
        </w:r>
        <w:r w:rsidRPr="00EA335B">
          <w:rPr>
            <w:rStyle w:val="Hyperlink"/>
            <w:noProof/>
          </w:rPr>
          <w:t>Cost recovery</w:t>
        </w:r>
        <w:r>
          <w:rPr>
            <w:noProof/>
            <w:webHidden/>
          </w:rPr>
          <w:tab/>
        </w:r>
        <w:r>
          <w:rPr>
            <w:noProof/>
            <w:webHidden/>
          </w:rPr>
          <w:fldChar w:fldCharType="begin"/>
        </w:r>
        <w:r>
          <w:rPr>
            <w:noProof/>
            <w:webHidden/>
          </w:rPr>
          <w:instrText xml:space="preserve"> PAGEREF _Toc226448298 \h </w:instrText>
        </w:r>
        <w:r>
          <w:rPr>
            <w:noProof/>
            <w:webHidden/>
          </w:rPr>
        </w:r>
        <w:r>
          <w:rPr>
            <w:noProof/>
            <w:webHidden/>
          </w:rPr>
          <w:fldChar w:fldCharType="separate"/>
        </w:r>
        <w:r>
          <w:rPr>
            <w:noProof/>
            <w:webHidden/>
          </w:rPr>
          <w:t>40</w:t>
        </w:r>
        <w:r>
          <w:rPr>
            <w:noProof/>
            <w:webHidden/>
          </w:rPr>
          <w:fldChar w:fldCharType="end"/>
        </w:r>
      </w:hyperlink>
    </w:p>
    <w:p w14:paraId="490831A9" w14:textId="0102B627" w:rsidR="00F170D0" w:rsidRDefault="00F170D0">
      <w:pPr>
        <w:pStyle w:val="TOC6"/>
        <w:rPr>
          <w:rFonts w:eastAsiaTheme="minorEastAsia"/>
          <w:kern w:val="2"/>
          <w:sz w:val="24"/>
          <w:szCs w:val="24"/>
          <w:lang w:eastAsia="en-AU"/>
          <w14:ligatures w14:val="standardContextual"/>
        </w:rPr>
      </w:pPr>
      <w:hyperlink w:anchor="_Toc226448299" w:history="1">
        <w:r w:rsidRPr="00EA335B">
          <w:rPr>
            <w:rStyle w:val="Hyperlink"/>
          </w:rPr>
          <w:t>3.4.1.</w:t>
        </w:r>
        <w:r>
          <w:rPr>
            <w:rFonts w:eastAsiaTheme="minorEastAsia"/>
            <w:kern w:val="2"/>
            <w:sz w:val="24"/>
            <w:szCs w:val="24"/>
            <w:lang w:eastAsia="en-AU"/>
            <w14:ligatures w14:val="standardContextual"/>
          </w:rPr>
          <w:tab/>
        </w:r>
        <w:r w:rsidRPr="00EA335B">
          <w:rPr>
            <w:rStyle w:val="Hyperlink"/>
          </w:rPr>
          <w:t>Proposed works applications</w:t>
        </w:r>
        <w:r>
          <w:rPr>
            <w:webHidden/>
          </w:rPr>
          <w:tab/>
        </w:r>
        <w:r>
          <w:rPr>
            <w:webHidden/>
          </w:rPr>
          <w:fldChar w:fldCharType="begin"/>
        </w:r>
        <w:r>
          <w:rPr>
            <w:webHidden/>
          </w:rPr>
          <w:instrText xml:space="preserve"> PAGEREF _Toc226448299 \h </w:instrText>
        </w:r>
        <w:r>
          <w:rPr>
            <w:webHidden/>
          </w:rPr>
        </w:r>
        <w:r>
          <w:rPr>
            <w:webHidden/>
          </w:rPr>
          <w:fldChar w:fldCharType="separate"/>
        </w:r>
        <w:r>
          <w:rPr>
            <w:webHidden/>
          </w:rPr>
          <w:t>40</w:t>
        </w:r>
        <w:r>
          <w:rPr>
            <w:webHidden/>
          </w:rPr>
          <w:fldChar w:fldCharType="end"/>
        </w:r>
      </w:hyperlink>
    </w:p>
    <w:p w14:paraId="5A660519" w14:textId="4428D177" w:rsidR="00F170D0" w:rsidRDefault="00F170D0">
      <w:pPr>
        <w:pStyle w:val="TOC6"/>
        <w:rPr>
          <w:rFonts w:eastAsiaTheme="minorEastAsia"/>
          <w:kern w:val="2"/>
          <w:sz w:val="24"/>
          <w:szCs w:val="24"/>
          <w:lang w:eastAsia="en-AU"/>
          <w14:ligatures w14:val="standardContextual"/>
        </w:rPr>
      </w:pPr>
      <w:hyperlink w:anchor="_Toc226448300" w:history="1">
        <w:r w:rsidRPr="00EA335B">
          <w:rPr>
            <w:rStyle w:val="Hyperlink"/>
          </w:rPr>
          <w:t>3.4.2.</w:t>
        </w:r>
        <w:r>
          <w:rPr>
            <w:rFonts w:eastAsiaTheme="minorEastAsia"/>
            <w:kern w:val="2"/>
            <w:sz w:val="24"/>
            <w:szCs w:val="24"/>
            <w:lang w:eastAsia="en-AU"/>
            <w14:ligatures w14:val="standardContextual"/>
          </w:rPr>
          <w:tab/>
        </w:r>
        <w:r w:rsidRPr="00EA335B">
          <w:rPr>
            <w:rStyle w:val="Hyperlink"/>
          </w:rPr>
          <w:t>Property enquiries</w:t>
        </w:r>
        <w:r>
          <w:rPr>
            <w:webHidden/>
          </w:rPr>
          <w:tab/>
        </w:r>
        <w:r>
          <w:rPr>
            <w:webHidden/>
          </w:rPr>
          <w:fldChar w:fldCharType="begin"/>
        </w:r>
        <w:r>
          <w:rPr>
            <w:webHidden/>
          </w:rPr>
          <w:instrText xml:space="preserve"> PAGEREF _Toc226448300 \h </w:instrText>
        </w:r>
        <w:r>
          <w:rPr>
            <w:webHidden/>
          </w:rPr>
        </w:r>
        <w:r>
          <w:rPr>
            <w:webHidden/>
          </w:rPr>
          <w:fldChar w:fldCharType="separate"/>
        </w:r>
        <w:r>
          <w:rPr>
            <w:webHidden/>
          </w:rPr>
          <w:t>41</w:t>
        </w:r>
        <w:r>
          <w:rPr>
            <w:webHidden/>
          </w:rPr>
          <w:fldChar w:fldCharType="end"/>
        </w:r>
      </w:hyperlink>
    </w:p>
    <w:p w14:paraId="16DE6EB8" w14:textId="1612AC89" w:rsidR="00F170D0" w:rsidRDefault="00F170D0">
      <w:pPr>
        <w:pStyle w:val="TOC6"/>
        <w:rPr>
          <w:rFonts w:eastAsiaTheme="minorEastAsia"/>
          <w:kern w:val="2"/>
          <w:sz w:val="24"/>
          <w:szCs w:val="24"/>
          <w:lang w:eastAsia="en-AU"/>
          <w14:ligatures w14:val="standardContextual"/>
        </w:rPr>
      </w:pPr>
      <w:hyperlink w:anchor="_Toc226448301" w:history="1">
        <w:r w:rsidRPr="00EA335B">
          <w:rPr>
            <w:rStyle w:val="Hyperlink"/>
          </w:rPr>
          <w:t>3.4.3.</w:t>
        </w:r>
        <w:r>
          <w:rPr>
            <w:rFonts w:eastAsiaTheme="minorEastAsia"/>
            <w:kern w:val="2"/>
            <w:sz w:val="24"/>
            <w:szCs w:val="24"/>
            <w:lang w:eastAsia="en-AU"/>
            <w14:ligatures w14:val="standardContextual"/>
          </w:rPr>
          <w:tab/>
        </w:r>
        <w:r w:rsidRPr="00EA335B">
          <w:rPr>
            <w:rStyle w:val="Hyperlink"/>
          </w:rPr>
          <w:t>Hoardings and advertisement applications</w:t>
        </w:r>
        <w:r>
          <w:rPr>
            <w:webHidden/>
          </w:rPr>
          <w:tab/>
        </w:r>
        <w:r>
          <w:rPr>
            <w:webHidden/>
          </w:rPr>
          <w:fldChar w:fldCharType="begin"/>
        </w:r>
        <w:r>
          <w:rPr>
            <w:webHidden/>
          </w:rPr>
          <w:instrText xml:space="preserve"> PAGEREF _Toc226448301 \h </w:instrText>
        </w:r>
        <w:r>
          <w:rPr>
            <w:webHidden/>
          </w:rPr>
        </w:r>
        <w:r>
          <w:rPr>
            <w:webHidden/>
          </w:rPr>
          <w:fldChar w:fldCharType="separate"/>
        </w:r>
        <w:r>
          <w:rPr>
            <w:webHidden/>
          </w:rPr>
          <w:t>41</w:t>
        </w:r>
        <w:r>
          <w:rPr>
            <w:webHidden/>
          </w:rPr>
          <w:fldChar w:fldCharType="end"/>
        </w:r>
      </w:hyperlink>
    </w:p>
    <w:p w14:paraId="6E4A4C20" w14:textId="59869B6A" w:rsidR="00F170D0" w:rsidRDefault="00F170D0">
      <w:pPr>
        <w:pStyle w:val="TOC4"/>
        <w:rPr>
          <w:rFonts w:eastAsiaTheme="minorEastAsia"/>
          <w:b w:val="0"/>
          <w:noProof/>
          <w:color w:val="auto"/>
          <w:kern w:val="2"/>
          <w:sz w:val="24"/>
          <w:szCs w:val="24"/>
          <w:lang w:eastAsia="en-AU"/>
          <w14:ligatures w14:val="standardContextual"/>
        </w:rPr>
      </w:pPr>
      <w:hyperlink w:anchor="_Toc226448302" w:history="1">
        <w:r w:rsidRPr="00EA335B">
          <w:rPr>
            <w:rStyle w:val="Hyperlink"/>
            <w:noProof/>
          </w:rPr>
          <w:t>4.</w:t>
        </w:r>
        <w:r>
          <w:rPr>
            <w:rFonts w:eastAsiaTheme="minorEastAsia"/>
            <w:b w:val="0"/>
            <w:noProof/>
            <w:color w:val="auto"/>
            <w:kern w:val="2"/>
            <w:sz w:val="24"/>
            <w:szCs w:val="24"/>
            <w:lang w:eastAsia="en-AU"/>
            <w14:ligatures w14:val="standardContextual"/>
          </w:rPr>
          <w:tab/>
        </w:r>
        <w:r w:rsidRPr="00EA335B">
          <w:rPr>
            <w:rStyle w:val="Hyperlink"/>
            <w:noProof/>
          </w:rPr>
          <w:t>Objectives</w:t>
        </w:r>
        <w:r>
          <w:rPr>
            <w:noProof/>
            <w:webHidden/>
          </w:rPr>
          <w:tab/>
        </w:r>
        <w:r>
          <w:rPr>
            <w:noProof/>
            <w:webHidden/>
          </w:rPr>
          <w:fldChar w:fldCharType="begin"/>
        </w:r>
        <w:r>
          <w:rPr>
            <w:noProof/>
            <w:webHidden/>
          </w:rPr>
          <w:instrText xml:space="preserve"> PAGEREF _Toc226448302 \h </w:instrText>
        </w:r>
        <w:r>
          <w:rPr>
            <w:noProof/>
            <w:webHidden/>
          </w:rPr>
        </w:r>
        <w:r>
          <w:rPr>
            <w:noProof/>
            <w:webHidden/>
          </w:rPr>
          <w:fldChar w:fldCharType="separate"/>
        </w:r>
        <w:r>
          <w:rPr>
            <w:noProof/>
            <w:webHidden/>
          </w:rPr>
          <w:t>42</w:t>
        </w:r>
        <w:r>
          <w:rPr>
            <w:noProof/>
            <w:webHidden/>
          </w:rPr>
          <w:fldChar w:fldCharType="end"/>
        </w:r>
      </w:hyperlink>
    </w:p>
    <w:p w14:paraId="33576C2D" w14:textId="0C2EBD5D" w:rsidR="00F170D0" w:rsidRDefault="00F170D0">
      <w:pPr>
        <w:pStyle w:val="TOC4"/>
        <w:rPr>
          <w:rFonts w:eastAsiaTheme="minorEastAsia"/>
          <w:b w:val="0"/>
          <w:noProof/>
          <w:color w:val="auto"/>
          <w:kern w:val="2"/>
          <w:sz w:val="24"/>
          <w:szCs w:val="24"/>
          <w:lang w:eastAsia="en-AU"/>
          <w14:ligatures w14:val="standardContextual"/>
        </w:rPr>
      </w:pPr>
      <w:hyperlink w:anchor="_Toc226448303" w:history="1">
        <w:r w:rsidRPr="00EA335B">
          <w:rPr>
            <w:rStyle w:val="Hyperlink"/>
            <w:noProof/>
          </w:rPr>
          <w:t>5.</w:t>
        </w:r>
        <w:r>
          <w:rPr>
            <w:rFonts w:eastAsiaTheme="minorEastAsia"/>
            <w:b w:val="0"/>
            <w:noProof/>
            <w:color w:val="auto"/>
            <w:kern w:val="2"/>
            <w:sz w:val="24"/>
            <w:szCs w:val="24"/>
            <w:lang w:eastAsia="en-AU"/>
            <w14:ligatures w14:val="standardContextual"/>
          </w:rPr>
          <w:tab/>
        </w:r>
        <w:r w:rsidRPr="00EA335B">
          <w:rPr>
            <w:rStyle w:val="Hyperlink"/>
            <w:noProof/>
          </w:rPr>
          <w:t>Options identification</w:t>
        </w:r>
        <w:r>
          <w:rPr>
            <w:noProof/>
            <w:webHidden/>
          </w:rPr>
          <w:tab/>
        </w:r>
        <w:r>
          <w:rPr>
            <w:noProof/>
            <w:webHidden/>
          </w:rPr>
          <w:fldChar w:fldCharType="begin"/>
        </w:r>
        <w:r>
          <w:rPr>
            <w:noProof/>
            <w:webHidden/>
          </w:rPr>
          <w:instrText xml:space="preserve"> PAGEREF _Toc226448303 \h </w:instrText>
        </w:r>
        <w:r>
          <w:rPr>
            <w:noProof/>
            <w:webHidden/>
          </w:rPr>
        </w:r>
        <w:r>
          <w:rPr>
            <w:noProof/>
            <w:webHidden/>
          </w:rPr>
          <w:fldChar w:fldCharType="separate"/>
        </w:r>
        <w:r>
          <w:rPr>
            <w:noProof/>
            <w:webHidden/>
          </w:rPr>
          <w:t>43</w:t>
        </w:r>
        <w:r>
          <w:rPr>
            <w:noProof/>
            <w:webHidden/>
          </w:rPr>
          <w:fldChar w:fldCharType="end"/>
        </w:r>
      </w:hyperlink>
    </w:p>
    <w:p w14:paraId="3BDDBA43" w14:textId="7F7BDDA0" w:rsidR="00F170D0" w:rsidRDefault="00F170D0">
      <w:pPr>
        <w:pStyle w:val="TOC5"/>
        <w:rPr>
          <w:rFonts w:eastAsiaTheme="minorEastAsia"/>
          <w:noProof/>
          <w:color w:val="auto"/>
          <w:kern w:val="2"/>
          <w:sz w:val="24"/>
          <w:szCs w:val="24"/>
          <w:lang w:eastAsia="en-AU"/>
          <w14:ligatures w14:val="standardContextual"/>
        </w:rPr>
      </w:pPr>
      <w:hyperlink w:anchor="_Toc226448304" w:history="1">
        <w:r w:rsidRPr="00EA335B">
          <w:rPr>
            <w:rStyle w:val="Hyperlink"/>
            <w:noProof/>
          </w:rPr>
          <w:t>5.1.</w:t>
        </w:r>
        <w:r>
          <w:rPr>
            <w:rFonts w:eastAsiaTheme="minorEastAsia"/>
            <w:noProof/>
            <w:color w:val="auto"/>
            <w:kern w:val="2"/>
            <w:sz w:val="24"/>
            <w:szCs w:val="24"/>
            <w:lang w:eastAsia="en-AU"/>
            <w14:ligatures w14:val="standardContextual"/>
          </w:rPr>
          <w:tab/>
        </w:r>
        <w:r w:rsidRPr="00EA335B">
          <w:rPr>
            <w:rStyle w:val="Hyperlink"/>
            <w:noProof/>
          </w:rPr>
          <w:t>Options considered in the preparation of this RIS</w:t>
        </w:r>
        <w:r>
          <w:rPr>
            <w:noProof/>
            <w:webHidden/>
          </w:rPr>
          <w:tab/>
        </w:r>
        <w:r>
          <w:rPr>
            <w:noProof/>
            <w:webHidden/>
          </w:rPr>
          <w:fldChar w:fldCharType="begin"/>
        </w:r>
        <w:r>
          <w:rPr>
            <w:noProof/>
            <w:webHidden/>
          </w:rPr>
          <w:instrText xml:space="preserve"> PAGEREF _Toc226448304 \h </w:instrText>
        </w:r>
        <w:r>
          <w:rPr>
            <w:noProof/>
            <w:webHidden/>
          </w:rPr>
        </w:r>
        <w:r>
          <w:rPr>
            <w:noProof/>
            <w:webHidden/>
          </w:rPr>
          <w:fldChar w:fldCharType="separate"/>
        </w:r>
        <w:r>
          <w:rPr>
            <w:noProof/>
            <w:webHidden/>
          </w:rPr>
          <w:t>43</w:t>
        </w:r>
        <w:r>
          <w:rPr>
            <w:noProof/>
            <w:webHidden/>
          </w:rPr>
          <w:fldChar w:fldCharType="end"/>
        </w:r>
      </w:hyperlink>
    </w:p>
    <w:p w14:paraId="443F73DB" w14:textId="6280BA16" w:rsidR="00F170D0" w:rsidRDefault="00F170D0">
      <w:pPr>
        <w:pStyle w:val="TOC6"/>
        <w:rPr>
          <w:rFonts w:eastAsiaTheme="minorEastAsia"/>
          <w:kern w:val="2"/>
          <w:sz w:val="24"/>
          <w:szCs w:val="24"/>
          <w:lang w:eastAsia="en-AU"/>
          <w14:ligatures w14:val="standardContextual"/>
        </w:rPr>
      </w:pPr>
      <w:hyperlink w:anchor="_Toc226448305" w:history="1">
        <w:r w:rsidRPr="00EA335B">
          <w:rPr>
            <w:rStyle w:val="Hyperlink"/>
          </w:rPr>
          <w:t>5.1.1.</w:t>
        </w:r>
        <w:r>
          <w:rPr>
            <w:rFonts w:eastAsiaTheme="minorEastAsia"/>
            <w:kern w:val="2"/>
            <w:sz w:val="24"/>
            <w:szCs w:val="24"/>
            <w:lang w:eastAsia="en-AU"/>
            <w14:ligatures w14:val="standardContextual"/>
          </w:rPr>
          <w:tab/>
        </w:r>
        <w:r w:rsidRPr="00EA335B">
          <w:rPr>
            <w:rStyle w:val="Hyperlink"/>
          </w:rPr>
          <w:t>Exemptions</w:t>
        </w:r>
        <w:r>
          <w:rPr>
            <w:webHidden/>
          </w:rPr>
          <w:tab/>
        </w:r>
        <w:r>
          <w:rPr>
            <w:webHidden/>
          </w:rPr>
          <w:fldChar w:fldCharType="begin"/>
        </w:r>
        <w:r>
          <w:rPr>
            <w:webHidden/>
          </w:rPr>
          <w:instrText xml:space="preserve"> PAGEREF _Toc226448305 \h </w:instrText>
        </w:r>
        <w:r>
          <w:rPr>
            <w:webHidden/>
          </w:rPr>
        </w:r>
        <w:r>
          <w:rPr>
            <w:webHidden/>
          </w:rPr>
          <w:fldChar w:fldCharType="separate"/>
        </w:r>
        <w:r>
          <w:rPr>
            <w:webHidden/>
          </w:rPr>
          <w:t>43</w:t>
        </w:r>
        <w:r>
          <w:rPr>
            <w:webHidden/>
          </w:rPr>
          <w:fldChar w:fldCharType="end"/>
        </w:r>
      </w:hyperlink>
    </w:p>
    <w:p w14:paraId="514C7864" w14:textId="00F11E3F" w:rsidR="00F170D0" w:rsidRDefault="00F170D0">
      <w:pPr>
        <w:pStyle w:val="TOC6"/>
        <w:rPr>
          <w:rFonts w:eastAsiaTheme="minorEastAsia"/>
          <w:kern w:val="2"/>
          <w:sz w:val="24"/>
          <w:szCs w:val="24"/>
          <w:lang w:eastAsia="en-AU"/>
          <w14:ligatures w14:val="standardContextual"/>
        </w:rPr>
      </w:pPr>
      <w:hyperlink w:anchor="_Toc226448306" w:history="1">
        <w:r w:rsidRPr="00EA335B">
          <w:rPr>
            <w:rStyle w:val="Hyperlink"/>
          </w:rPr>
          <w:t>5.1.2.</w:t>
        </w:r>
        <w:r>
          <w:rPr>
            <w:rFonts w:eastAsiaTheme="minorEastAsia"/>
            <w:kern w:val="2"/>
            <w:sz w:val="24"/>
            <w:szCs w:val="24"/>
            <w:lang w:eastAsia="en-AU"/>
            <w14:ligatures w14:val="standardContextual"/>
          </w:rPr>
          <w:tab/>
        </w:r>
        <w:r w:rsidRPr="00EA335B">
          <w:rPr>
            <w:rStyle w:val="Hyperlink"/>
          </w:rPr>
          <w:t>Procedural and administrative guidance</w:t>
        </w:r>
        <w:r>
          <w:rPr>
            <w:webHidden/>
          </w:rPr>
          <w:tab/>
        </w:r>
        <w:r>
          <w:rPr>
            <w:webHidden/>
          </w:rPr>
          <w:fldChar w:fldCharType="begin"/>
        </w:r>
        <w:r>
          <w:rPr>
            <w:webHidden/>
          </w:rPr>
          <w:instrText xml:space="preserve"> PAGEREF _Toc226448306 \h </w:instrText>
        </w:r>
        <w:r>
          <w:rPr>
            <w:webHidden/>
          </w:rPr>
        </w:r>
        <w:r>
          <w:rPr>
            <w:webHidden/>
          </w:rPr>
          <w:fldChar w:fldCharType="separate"/>
        </w:r>
        <w:r>
          <w:rPr>
            <w:webHidden/>
          </w:rPr>
          <w:t>45</w:t>
        </w:r>
        <w:r>
          <w:rPr>
            <w:webHidden/>
          </w:rPr>
          <w:fldChar w:fldCharType="end"/>
        </w:r>
      </w:hyperlink>
    </w:p>
    <w:p w14:paraId="7DB37A61" w14:textId="5DCC2544" w:rsidR="00F170D0" w:rsidRDefault="00F170D0">
      <w:pPr>
        <w:pStyle w:val="TOC6"/>
        <w:rPr>
          <w:rFonts w:eastAsiaTheme="minorEastAsia"/>
          <w:kern w:val="2"/>
          <w:sz w:val="24"/>
          <w:szCs w:val="24"/>
          <w:lang w:eastAsia="en-AU"/>
          <w14:ligatures w14:val="standardContextual"/>
        </w:rPr>
      </w:pPr>
      <w:hyperlink w:anchor="_Toc226448307" w:history="1">
        <w:r w:rsidRPr="00EA335B">
          <w:rPr>
            <w:rStyle w:val="Hyperlink"/>
          </w:rPr>
          <w:t>5.1.3.</w:t>
        </w:r>
        <w:r>
          <w:rPr>
            <w:rFonts w:eastAsiaTheme="minorEastAsia"/>
            <w:kern w:val="2"/>
            <w:sz w:val="24"/>
            <w:szCs w:val="24"/>
            <w:lang w:eastAsia="en-AU"/>
            <w14:ligatures w14:val="standardContextual"/>
          </w:rPr>
          <w:tab/>
        </w:r>
        <w:r w:rsidRPr="00EA335B">
          <w:rPr>
            <w:rStyle w:val="Hyperlink"/>
          </w:rPr>
          <w:t>Protection of people and property</w:t>
        </w:r>
        <w:r>
          <w:rPr>
            <w:webHidden/>
          </w:rPr>
          <w:tab/>
        </w:r>
        <w:r>
          <w:rPr>
            <w:webHidden/>
          </w:rPr>
          <w:fldChar w:fldCharType="begin"/>
        </w:r>
        <w:r>
          <w:rPr>
            <w:webHidden/>
          </w:rPr>
          <w:instrText xml:space="preserve"> PAGEREF _Toc226448307 \h </w:instrText>
        </w:r>
        <w:r>
          <w:rPr>
            <w:webHidden/>
          </w:rPr>
        </w:r>
        <w:r>
          <w:rPr>
            <w:webHidden/>
          </w:rPr>
          <w:fldChar w:fldCharType="separate"/>
        </w:r>
        <w:r>
          <w:rPr>
            <w:webHidden/>
          </w:rPr>
          <w:t>48</w:t>
        </w:r>
        <w:r>
          <w:rPr>
            <w:webHidden/>
          </w:rPr>
          <w:fldChar w:fldCharType="end"/>
        </w:r>
      </w:hyperlink>
    </w:p>
    <w:p w14:paraId="696AC436" w14:textId="5A2280CA" w:rsidR="00F170D0" w:rsidRDefault="00F170D0">
      <w:pPr>
        <w:pStyle w:val="TOC6"/>
        <w:rPr>
          <w:rFonts w:eastAsiaTheme="minorEastAsia"/>
          <w:kern w:val="2"/>
          <w:sz w:val="24"/>
          <w:szCs w:val="24"/>
          <w:lang w:eastAsia="en-AU"/>
          <w14:ligatures w14:val="standardContextual"/>
        </w:rPr>
      </w:pPr>
      <w:hyperlink w:anchor="_Toc226448308" w:history="1">
        <w:r w:rsidRPr="00EA335B">
          <w:rPr>
            <w:rStyle w:val="Hyperlink"/>
          </w:rPr>
          <w:t>5.1.4.</w:t>
        </w:r>
        <w:r>
          <w:rPr>
            <w:rFonts w:eastAsiaTheme="minorEastAsia"/>
            <w:kern w:val="2"/>
            <w:sz w:val="24"/>
            <w:szCs w:val="24"/>
            <w:lang w:eastAsia="en-AU"/>
            <w14:ligatures w14:val="standardContextual"/>
          </w:rPr>
          <w:tab/>
        </w:r>
        <w:r w:rsidRPr="00EA335B">
          <w:rPr>
            <w:rStyle w:val="Hyperlink"/>
          </w:rPr>
          <w:t>Summary (Option 1: remake with minor amendments)</w:t>
        </w:r>
        <w:r>
          <w:rPr>
            <w:webHidden/>
          </w:rPr>
          <w:tab/>
        </w:r>
        <w:r>
          <w:rPr>
            <w:webHidden/>
          </w:rPr>
          <w:fldChar w:fldCharType="begin"/>
        </w:r>
        <w:r>
          <w:rPr>
            <w:webHidden/>
          </w:rPr>
          <w:instrText xml:space="preserve"> PAGEREF _Toc226448308 \h </w:instrText>
        </w:r>
        <w:r>
          <w:rPr>
            <w:webHidden/>
          </w:rPr>
        </w:r>
        <w:r>
          <w:rPr>
            <w:webHidden/>
          </w:rPr>
          <w:fldChar w:fldCharType="separate"/>
        </w:r>
        <w:r>
          <w:rPr>
            <w:webHidden/>
          </w:rPr>
          <w:t>49</w:t>
        </w:r>
        <w:r>
          <w:rPr>
            <w:webHidden/>
          </w:rPr>
          <w:fldChar w:fldCharType="end"/>
        </w:r>
      </w:hyperlink>
    </w:p>
    <w:p w14:paraId="3FF637E4" w14:textId="20B8FF4F" w:rsidR="00F170D0" w:rsidRDefault="00F170D0">
      <w:pPr>
        <w:pStyle w:val="TOC5"/>
        <w:rPr>
          <w:rFonts w:eastAsiaTheme="minorEastAsia"/>
          <w:noProof/>
          <w:color w:val="auto"/>
          <w:kern w:val="2"/>
          <w:sz w:val="24"/>
          <w:szCs w:val="24"/>
          <w:lang w:eastAsia="en-AU"/>
          <w14:ligatures w14:val="standardContextual"/>
        </w:rPr>
      </w:pPr>
      <w:hyperlink w:anchor="_Toc226448309" w:history="1">
        <w:r w:rsidRPr="00EA335B">
          <w:rPr>
            <w:rStyle w:val="Hyperlink"/>
            <w:noProof/>
          </w:rPr>
          <w:t>5.2.</w:t>
        </w:r>
        <w:r>
          <w:rPr>
            <w:rFonts w:eastAsiaTheme="minorEastAsia"/>
            <w:noProof/>
            <w:color w:val="auto"/>
            <w:kern w:val="2"/>
            <w:sz w:val="24"/>
            <w:szCs w:val="24"/>
            <w:lang w:eastAsia="en-AU"/>
            <w14:ligatures w14:val="standardContextual"/>
          </w:rPr>
          <w:tab/>
        </w:r>
        <w:r w:rsidRPr="00EA335B">
          <w:rPr>
            <w:rStyle w:val="Hyperlink"/>
            <w:noProof/>
          </w:rPr>
          <w:t>Fees</w:t>
        </w:r>
        <w:r>
          <w:rPr>
            <w:noProof/>
            <w:webHidden/>
          </w:rPr>
          <w:tab/>
        </w:r>
        <w:r>
          <w:rPr>
            <w:noProof/>
            <w:webHidden/>
          </w:rPr>
          <w:fldChar w:fldCharType="begin"/>
        </w:r>
        <w:r>
          <w:rPr>
            <w:noProof/>
            <w:webHidden/>
          </w:rPr>
          <w:instrText xml:space="preserve"> PAGEREF _Toc226448309 \h </w:instrText>
        </w:r>
        <w:r>
          <w:rPr>
            <w:noProof/>
            <w:webHidden/>
          </w:rPr>
        </w:r>
        <w:r>
          <w:rPr>
            <w:noProof/>
            <w:webHidden/>
          </w:rPr>
          <w:fldChar w:fldCharType="separate"/>
        </w:r>
        <w:r>
          <w:rPr>
            <w:noProof/>
            <w:webHidden/>
          </w:rPr>
          <w:t>50</w:t>
        </w:r>
        <w:r>
          <w:rPr>
            <w:noProof/>
            <w:webHidden/>
          </w:rPr>
          <w:fldChar w:fldCharType="end"/>
        </w:r>
      </w:hyperlink>
    </w:p>
    <w:p w14:paraId="63CAEB5C" w14:textId="200251BE" w:rsidR="00F170D0" w:rsidRDefault="00F170D0">
      <w:pPr>
        <w:pStyle w:val="TOC6"/>
        <w:rPr>
          <w:rFonts w:eastAsiaTheme="minorEastAsia"/>
          <w:kern w:val="2"/>
          <w:sz w:val="24"/>
          <w:szCs w:val="24"/>
          <w:lang w:eastAsia="en-AU"/>
          <w14:ligatures w14:val="standardContextual"/>
        </w:rPr>
      </w:pPr>
      <w:hyperlink w:anchor="_Toc226448310" w:history="1">
        <w:r w:rsidRPr="00EA335B">
          <w:rPr>
            <w:rStyle w:val="Hyperlink"/>
          </w:rPr>
          <w:t>5.2.1.</w:t>
        </w:r>
        <w:r>
          <w:rPr>
            <w:rFonts w:eastAsiaTheme="minorEastAsia"/>
            <w:kern w:val="2"/>
            <w:sz w:val="24"/>
            <w:szCs w:val="24"/>
            <w:lang w:eastAsia="en-AU"/>
            <w14:ligatures w14:val="standardContextual"/>
          </w:rPr>
          <w:tab/>
        </w:r>
        <w:r w:rsidRPr="00EA335B">
          <w:rPr>
            <w:rStyle w:val="Hyperlink"/>
          </w:rPr>
          <w:t>Summary of high-level options</w:t>
        </w:r>
        <w:r>
          <w:rPr>
            <w:webHidden/>
          </w:rPr>
          <w:tab/>
        </w:r>
        <w:r>
          <w:rPr>
            <w:webHidden/>
          </w:rPr>
          <w:fldChar w:fldCharType="begin"/>
        </w:r>
        <w:r>
          <w:rPr>
            <w:webHidden/>
          </w:rPr>
          <w:instrText xml:space="preserve"> PAGEREF _Toc226448310 \h </w:instrText>
        </w:r>
        <w:r>
          <w:rPr>
            <w:webHidden/>
          </w:rPr>
        </w:r>
        <w:r>
          <w:rPr>
            <w:webHidden/>
          </w:rPr>
          <w:fldChar w:fldCharType="separate"/>
        </w:r>
        <w:r>
          <w:rPr>
            <w:webHidden/>
          </w:rPr>
          <w:t>50</w:t>
        </w:r>
        <w:r>
          <w:rPr>
            <w:webHidden/>
          </w:rPr>
          <w:fldChar w:fldCharType="end"/>
        </w:r>
      </w:hyperlink>
    </w:p>
    <w:p w14:paraId="7AB417D6" w14:textId="600169B7" w:rsidR="00F170D0" w:rsidRDefault="00F170D0">
      <w:pPr>
        <w:pStyle w:val="TOC6"/>
        <w:rPr>
          <w:rFonts w:eastAsiaTheme="minorEastAsia"/>
          <w:kern w:val="2"/>
          <w:sz w:val="24"/>
          <w:szCs w:val="24"/>
          <w:lang w:eastAsia="en-AU"/>
          <w14:ligatures w14:val="standardContextual"/>
        </w:rPr>
      </w:pPr>
      <w:hyperlink w:anchor="_Toc226448311" w:history="1">
        <w:r w:rsidRPr="00EA335B">
          <w:rPr>
            <w:rStyle w:val="Hyperlink"/>
          </w:rPr>
          <w:t>5.2.2.</w:t>
        </w:r>
        <w:r>
          <w:rPr>
            <w:rFonts w:eastAsiaTheme="minorEastAsia"/>
            <w:kern w:val="2"/>
            <w:sz w:val="24"/>
            <w:szCs w:val="24"/>
            <w:lang w:eastAsia="en-AU"/>
            <w14:ligatures w14:val="standardContextual"/>
          </w:rPr>
          <w:tab/>
        </w:r>
        <w:r w:rsidRPr="00EA335B">
          <w:rPr>
            <w:rStyle w:val="Hyperlink"/>
          </w:rPr>
          <w:t>Consideration of sub-options for Option 2 – restructuring fees</w:t>
        </w:r>
        <w:r>
          <w:rPr>
            <w:webHidden/>
          </w:rPr>
          <w:tab/>
        </w:r>
        <w:r>
          <w:rPr>
            <w:webHidden/>
          </w:rPr>
          <w:fldChar w:fldCharType="begin"/>
        </w:r>
        <w:r>
          <w:rPr>
            <w:webHidden/>
          </w:rPr>
          <w:instrText xml:space="preserve"> PAGEREF _Toc226448311 \h </w:instrText>
        </w:r>
        <w:r>
          <w:rPr>
            <w:webHidden/>
          </w:rPr>
        </w:r>
        <w:r>
          <w:rPr>
            <w:webHidden/>
          </w:rPr>
          <w:fldChar w:fldCharType="separate"/>
        </w:r>
        <w:r>
          <w:rPr>
            <w:webHidden/>
          </w:rPr>
          <w:t>51</w:t>
        </w:r>
        <w:r>
          <w:rPr>
            <w:webHidden/>
          </w:rPr>
          <w:fldChar w:fldCharType="end"/>
        </w:r>
      </w:hyperlink>
    </w:p>
    <w:p w14:paraId="6A0370C3" w14:textId="3AE37F3B" w:rsidR="00F170D0" w:rsidRDefault="00F170D0">
      <w:pPr>
        <w:pStyle w:val="TOC6"/>
        <w:rPr>
          <w:rFonts w:eastAsiaTheme="minorEastAsia"/>
          <w:kern w:val="2"/>
          <w:sz w:val="24"/>
          <w:szCs w:val="24"/>
          <w:lang w:eastAsia="en-AU"/>
          <w14:ligatures w14:val="standardContextual"/>
        </w:rPr>
      </w:pPr>
      <w:hyperlink w:anchor="_Toc226448312" w:history="1">
        <w:r w:rsidRPr="00EA335B">
          <w:rPr>
            <w:rStyle w:val="Hyperlink"/>
          </w:rPr>
          <w:t>5.2.3.</w:t>
        </w:r>
        <w:r>
          <w:rPr>
            <w:rFonts w:eastAsiaTheme="minorEastAsia"/>
            <w:kern w:val="2"/>
            <w:sz w:val="24"/>
            <w:szCs w:val="24"/>
            <w:lang w:eastAsia="en-AU"/>
            <w14:ligatures w14:val="standardContextual"/>
          </w:rPr>
          <w:tab/>
        </w:r>
        <w:r w:rsidRPr="00EA335B">
          <w:rPr>
            <w:rStyle w:val="Hyperlink"/>
          </w:rPr>
          <w:t>Other matters considered but not progressed in this RIS</w:t>
        </w:r>
        <w:r>
          <w:rPr>
            <w:webHidden/>
          </w:rPr>
          <w:tab/>
        </w:r>
        <w:r>
          <w:rPr>
            <w:webHidden/>
          </w:rPr>
          <w:fldChar w:fldCharType="begin"/>
        </w:r>
        <w:r>
          <w:rPr>
            <w:webHidden/>
          </w:rPr>
          <w:instrText xml:space="preserve"> PAGEREF _Toc226448312 \h </w:instrText>
        </w:r>
        <w:r>
          <w:rPr>
            <w:webHidden/>
          </w:rPr>
        </w:r>
        <w:r>
          <w:rPr>
            <w:webHidden/>
          </w:rPr>
          <w:fldChar w:fldCharType="separate"/>
        </w:r>
        <w:r>
          <w:rPr>
            <w:webHidden/>
          </w:rPr>
          <w:t>52</w:t>
        </w:r>
        <w:r>
          <w:rPr>
            <w:webHidden/>
          </w:rPr>
          <w:fldChar w:fldCharType="end"/>
        </w:r>
      </w:hyperlink>
    </w:p>
    <w:p w14:paraId="2109EB24" w14:textId="1B69E112" w:rsidR="00F170D0" w:rsidRDefault="00F170D0">
      <w:pPr>
        <w:pStyle w:val="TOC4"/>
        <w:rPr>
          <w:rFonts w:eastAsiaTheme="minorEastAsia"/>
          <w:b w:val="0"/>
          <w:noProof/>
          <w:color w:val="auto"/>
          <w:kern w:val="2"/>
          <w:sz w:val="24"/>
          <w:szCs w:val="24"/>
          <w:lang w:eastAsia="en-AU"/>
          <w14:ligatures w14:val="standardContextual"/>
        </w:rPr>
      </w:pPr>
      <w:hyperlink w:anchor="_Toc226448313" w:history="1">
        <w:r w:rsidRPr="00EA335B">
          <w:rPr>
            <w:rStyle w:val="Hyperlink"/>
            <w:noProof/>
          </w:rPr>
          <w:t>6.</w:t>
        </w:r>
        <w:r>
          <w:rPr>
            <w:rFonts w:eastAsiaTheme="minorEastAsia"/>
            <w:b w:val="0"/>
            <w:noProof/>
            <w:color w:val="auto"/>
            <w:kern w:val="2"/>
            <w:sz w:val="24"/>
            <w:szCs w:val="24"/>
            <w:lang w:eastAsia="en-AU"/>
            <w14:ligatures w14:val="standardContextual"/>
          </w:rPr>
          <w:tab/>
        </w:r>
        <w:r w:rsidRPr="00EA335B">
          <w:rPr>
            <w:rStyle w:val="Hyperlink"/>
            <w:noProof/>
          </w:rPr>
          <w:t>Options analysis</w:t>
        </w:r>
        <w:r>
          <w:rPr>
            <w:noProof/>
            <w:webHidden/>
          </w:rPr>
          <w:tab/>
        </w:r>
        <w:r>
          <w:rPr>
            <w:noProof/>
            <w:webHidden/>
          </w:rPr>
          <w:fldChar w:fldCharType="begin"/>
        </w:r>
        <w:r>
          <w:rPr>
            <w:noProof/>
            <w:webHidden/>
          </w:rPr>
          <w:instrText xml:space="preserve"> PAGEREF _Toc226448313 \h </w:instrText>
        </w:r>
        <w:r>
          <w:rPr>
            <w:noProof/>
            <w:webHidden/>
          </w:rPr>
        </w:r>
        <w:r>
          <w:rPr>
            <w:noProof/>
            <w:webHidden/>
          </w:rPr>
          <w:fldChar w:fldCharType="separate"/>
        </w:r>
        <w:r>
          <w:rPr>
            <w:noProof/>
            <w:webHidden/>
          </w:rPr>
          <w:t>54</w:t>
        </w:r>
        <w:r>
          <w:rPr>
            <w:noProof/>
            <w:webHidden/>
          </w:rPr>
          <w:fldChar w:fldCharType="end"/>
        </w:r>
      </w:hyperlink>
    </w:p>
    <w:p w14:paraId="148E990D" w14:textId="4C6C3B11" w:rsidR="00F170D0" w:rsidRDefault="00F170D0">
      <w:pPr>
        <w:pStyle w:val="TOC5"/>
        <w:rPr>
          <w:rFonts w:eastAsiaTheme="minorEastAsia"/>
          <w:noProof/>
          <w:color w:val="auto"/>
          <w:kern w:val="2"/>
          <w:sz w:val="24"/>
          <w:szCs w:val="24"/>
          <w:lang w:eastAsia="en-AU"/>
          <w14:ligatures w14:val="standardContextual"/>
        </w:rPr>
      </w:pPr>
      <w:hyperlink w:anchor="_Toc226448314" w:history="1">
        <w:r w:rsidRPr="00EA335B">
          <w:rPr>
            <w:rStyle w:val="Hyperlink"/>
            <w:noProof/>
          </w:rPr>
          <w:t>6.1.</w:t>
        </w:r>
        <w:r>
          <w:rPr>
            <w:rFonts w:eastAsiaTheme="minorEastAsia"/>
            <w:noProof/>
            <w:color w:val="auto"/>
            <w:kern w:val="2"/>
            <w:sz w:val="24"/>
            <w:szCs w:val="24"/>
            <w:lang w:eastAsia="en-AU"/>
            <w14:ligatures w14:val="standardContextual"/>
          </w:rPr>
          <w:tab/>
        </w:r>
        <w:r w:rsidRPr="00EA335B">
          <w:rPr>
            <w:rStyle w:val="Hyperlink"/>
            <w:noProof/>
          </w:rPr>
          <w:t>Method of assessment</w:t>
        </w:r>
        <w:r>
          <w:rPr>
            <w:noProof/>
            <w:webHidden/>
          </w:rPr>
          <w:tab/>
        </w:r>
        <w:r>
          <w:rPr>
            <w:noProof/>
            <w:webHidden/>
          </w:rPr>
          <w:fldChar w:fldCharType="begin"/>
        </w:r>
        <w:r>
          <w:rPr>
            <w:noProof/>
            <w:webHidden/>
          </w:rPr>
          <w:instrText xml:space="preserve"> PAGEREF _Toc226448314 \h </w:instrText>
        </w:r>
        <w:r>
          <w:rPr>
            <w:noProof/>
            <w:webHidden/>
          </w:rPr>
        </w:r>
        <w:r>
          <w:rPr>
            <w:noProof/>
            <w:webHidden/>
          </w:rPr>
          <w:fldChar w:fldCharType="separate"/>
        </w:r>
        <w:r>
          <w:rPr>
            <w:noProof/>
            <w:webHidden/>
          </w:rPr>
          <w:t>54</w:t>
        </w:r>
        <w:r>
          <w:rPr>
            <w:noProof/>
            <w:webHidden/>
          </w:rPr>
          <w:fldChar w:fldCharType="end"/>
        </w:r>
      </w:hyperlink>
    </w:p>
    <w:p w14:paraId="3D923A73" w14:textId="2977A7EA" w:rsidR="00F170D0" w:rsidRDefault="00F170D0">
      <w:pPr>
        <w:pStyle w:val="TOC5"/>
        <w:rPr>
          <w:rFonts w:eastAsiaTheme="minorEastAsia"/>
          <w:noProof/>
          <w:color w:val="auto"/>
          <w:kern w:val="2"/>
          <w:sz w:val="24"/>
          <w:szCs w:val="24"/>
          <w:lang w:eastAsia="en-AU"/>
          <w14:ligatures w14:val="standardContextual"/>
        </w:rPr>
      </w:pPr>
      <w:hyperlink w:anchor="_Toc226448315" w:history="1">
        <w:r w:rsidRPr="00EA335B">
          <w:rPr>
            <w:rStyle w:val="Hyperlink"/>
            <w:noProof/>
          </w:rPr>
          <w:t>6.2.</w:t>
        </w:r>
        <w:r>
          <w:rPr>
            <w:rFonts w:eastAsiaTheme="minorEastAsia"/>
            <w:noProof/>
            <w:color w:val="auto"/>
            <w:kern w:val="2"/>
            <w:sz w:val="24"/>
            <w:szCs w:val="24"/>
            <w:lang w:eastAsia="en-AU"/>
            <w14:ligatures w14:val="standardContextual"/>
          </w:rPr>
          <w:tab/>
        </w:r>
        <w:r w:rsidRPr="00EA335B">
          <w:rPr>
            <w:rStyle w:val="Hyperlink"/>
            <w:noProof/>
          </w:rPr>
          <w:t>Criteria for assessment</w:t>
        </w:r>
        <w:r>
          <w:rPr>
            <w:noProof/>
            <w:webHidden/>
          </w:rPr>
          <w:tab/>
        </w:r>
        <w:r>
          <w:rPr>
            <w:noProof/>
            <w:webHidden/>
          </w:rPr>
          <w:fldChar w:fldCharType="begin"/>
        </w:r>
        <w:r>
          <w:rPr>
            <w:noProof/>
            <w:webHidden/>
          </w:rPr>
          <w:instrText xml:space="preserve"> PAGEREF _Toc226448315 \h </w:instrText>
        </w:r>
        <w:r>
          <w:rPr>
            <w:noProof/>
            <w:webHidden/>
          </w:rPr>
        </w:r>
        <w:r>
          <w:rPr>
            <w:noProof/>
            <w:webHidden/>
          </w:rPr>
          <w:fldChar w:fldCharType="separate"/>
        </w:r>
        <w:r>
          <w:rPr>
            <w:noProof/>
            <w:webHidden/>
          </w:rPr>
          <w:t>54</w:t>
        </w:r>
        <w:r>
          <w:rPr>
            <w:noProof/>
            <w:webHidden/>
          </w:rPr>
          <w:fldChar w:fldCharType="end"/>
        </w:r>
      </w:hyperlink>
    </w:p>
    <w:p w14:paraId="2DD9267E" w14:textId="160FFD32" w:rsidR="00F170D0" w:rsidRDefault="00F170D0">
      <w:pPr>
        <w:pStyle w:val="TOC5"/>
        <w:rPr>
          <w:rFonts w:eastAsiaTheme="minorEastAsia"/>
          <w:noProof/>
          <w:color w:val="auto"/>
          <w:kern w:val="2"/>
          <w:sz w:val="24"/>
          <w:szCs w:val="24"/>
          <w:lang w:eastAsia="en-AU"/>
          <w14:ligatures w14:val="standardContextual"/>
        </w:rPr>
      </w:pPr>
      <w:hyperlink w:anchor="_Toc226448316" w:history="1">
        <w:r w:rsidRPr="00EA335B">
          <w:rPr>
            <w:rStyle w:val="Hyperlink"/>
            <w:noProof/>
          </w:rPr>
          <w:t>6.3.</w:t>
        </w:r>
        <w:r>
          <w:rPr>
            <w:rFonts w:eastAsiaTheme="minorEastAsia"/>
            <w:noProof/>
            <w:color w:val="auto"/>
            <w:kern w:val="2"/>
            <w:sz w:val="24"/>
            <w:szCs w:val="24"/>
            <w:lang w:eastAsia="en-AU"/>
            <w14:ligatures w14:val="standardContextual"/>
          </w:rPr>
          <w:tab/>
        </w:r>
        <w:r w:rsidRPr="00EA335B">
          <w:rPr>
            <w:rStyle w:val="Hyperlink"/>
            <w:noProof/>
          </w:rPr>
          <w:t>Criteria scoring</w:t>
        </w:r>
        <w:r>
          <w:rPr>
            <w:noProof/>
            <w:webHidden/>
          </w:rPr>
          <w:tab/>
        </w:r>
        <w:r>
          <w:rPr>
            <w:noProof/>
            <w:webHidden/>
          </w:rPr>
          <w:fldChar w:fldCharType="begin"/>
        </w:r>
        <w:r>
          <w:rPr>
            <w:noProof/>
            <w:webHidden/>
          </w:rPr>
          <w:instrText xml:space="preserve"> PAGEREF _Toc226448316 \h </w:instrText>
        </w:r>
        <w:r>
          <w:rPr>
            <w:noProof/>
            <w:webHidden/>
          </w:rPr>
        </w:r>
        <w:r>
          <w:rPr>
            <w:noProof/>
            <w:webHidden/>
          </w:rPr>
          <w:fldChar w:fldCharType="separate"/>
        </w:r>
        <w:r>
          <w:rPr>
            <w:noProof/>
            <w:webHidden/>
          </w:rPr>
          <w:t>55</w:t>
        </w:r>
        <w:r>
          <w:rPr>
            <w:noProof/>
            <w:webHidden/>
          </w:rPr>
          <w:fldChar w:fldCharType="end"/>
        </w:r>
      </w:hyperlink>
    </w:p>
    <w:p w14:paraId="7EA68C02" w14:textId="5839A7A8" w:rsidR="00F170D0" w:rsidRDefault="00F170D0">
      <w:pPr>
        <w:pStyle w:val="TOC5"/>
        <w:rPr>
          <w:rFonts w:eastAsiaTheme="minorEastAsia"/>
          <w:noProof/>
          <w:color w:val="auto"/>
          <w:kern w:val="2"/>
          <w:sz w:val="24"/>
          <w:szCs w:val="24"/>
          <w:lang w:eastAsia="en-AU"/>
          <w14:ligatures w14:val="standardContextual"/>
        </w:rPr>
      </w:pPr>
      <w:hyperlink w:anchor="_Toc226448317" w:history="1">
        <w:r w:rsidRPr="00EA335B">
          <w:rPr>
            <w:rStyle w:val="Hyperlink"/>
            <w:noProof/>
          </w:rPr>
          <w:t>6.4.</w:t>
        </w:r>
        <w:r>
          <w:rPr>
            <w:rFonts w:eastAsiaTheme="minorEastAsia"/>
            <w:noProof/>
            <w:color w:val="auto"/>
            <w:kern w:val="2"/>
            <w:sz w:val="24"/>
            <w:szCs w:val="24"/>
            <w:lang w:eastAsia="en-AU"/>
            <w14:ligatures w14:val="standardContextual"/>
          </w:rPr>
          <w:tab/>
        </w:r>
        <w:r w:rsidRPr="00EA335B">
          <w:rPr>
            <w:rStyle w:val="Hyperlink"/>
            <w:noProof/>
          </w:rPr>
          <w:t>Assessment of options</w:t>
        </w:r>
        <w:r>
          <w:rPr>
            <w:noProof/>
            <w:webHidden/>
          </w:rPr>
          <w:tab/>
        </w:r>
        <w:r>
          <w:rPr>
            <w:noProof/>
            <w:webHidden/>
          </w:rPr>
          <w:fldChar w:fldCharType="begin"/>
        </w:r>
        <w:r>
          <w:rPr>
            <w:noProof/>
            <w:webHidden/>
          </w:rPr>
          <w:instrText xml:space="preserve"> PAGEREF _Toc226448317 \h </w:instrText>
        </w:r>
        <w:r>
          <w:rPr>
            <w:noProof/>
            <w:webHidden/>
          </w:rPr>
        </w:r>
        <w:r>
          <w:rPr>
            <w:noProof/>
            <w:webHidden/>
          </w:rPr>
          <w:fldChar w:fldCharType="separate"/>
        </w:r>
        <w:r>
          <w:rPr>
            <w:noProof/>
            <w:webHidden/>
          </w:rPr>
          <w:t>55</w:t>
        </w:r>
        <w:r>
          <w:rPr>
            <w:noProof/>
            <w:webHidden/>
          </w:rPr>
          <w:fldChar w:fldCharType="end"/>
        </w:r>
      </w:hyperlink>
    </w:p>
    <w:p w14:paraId="56561991" w14:textId="0E17EB2B" w:rsidR="00F170D0" w:rsidRDefault="00F170D0">
      <w:pPr>
        <w:pStyle w:val="TOC6"/>
        <w:rPr>
          <w:rFonts w:eastAsiaTheme="minorEastAsia"/>
          <w:kern w:val="2"/>
          <w:sz w:val="24"/>
          <w:szCs w:val="24"/>
          <w:lang w:eastAsia="en-AU"/>
          <w14:ligatures w14:val="standardContextual"/>
        </w:rPr>
      </w:pPr>
      <w:hyperlink w:anchor="_Toc226448318" w:history="1">
        <w:r w:rsidRPr="00EA335B">
          <w:rPr>
            <w:rStyle w:val="Hyperlink"/>
          </w:rPr>
          <w:t>6.4.1.</w:t>
        </w:r>
        <w:r>
          <w:rPr>
            <w:rFonts w:eastAsiaTheme="minorEastAsia"/>
            <w:kern w:val="2"/>
            <w:sz w:val="24"/>
            <w:szCs w:val="24"/>
            <w:lang w:eastAsia="en-AU"/>
            <w14:ligatures w14:val="standardContextual"/>
          </w:rPr>
          <w:tab/>
        </w:r>
        <w:r w:rsidRPr="00EA335B">
          <w:rPr>
            <w:rStyle w:val="Hyperlink"/>
          </w:rPr>
          <w:t>Discussion of benefits</w:t>
        </w:r>
        <w:r>
          <w:rPr>
            <w:webHidden/>
          </w:rPr>
          <w:tab/>
        </w:r>
        <w:r>
          <w:rPr>
            <w:webHidden/>
          </w:rPr>
          <w:fldChar w:fldCharType="begin"/>
        </w:r>
        <w:r>
          <w:rPr>
            <w:webHidden/>
          </w:rPr>
          <w:instrText xml:space="preserve"> PAGEREF _Toc226448318 \h </w:instrText>
        </w:r>
        <w:r>
          <w:rPr>
            <w:webHidden/>
          </w:rPr>
        </w:r>
        <w:r>
          <w:rPr>
            <w:webHidden/>
          </w:rPr>
          <w:fldChar w:fldCharType="separate"/>
        </w:r>
        <w:r>
          <w:rPr>
            <w:webHidden/>
          </w:rPr>
          <w:t>55</w:t>
        </w:r>
        <w:r>
          <w:rPr>
            <w:webHidden/>
          </w:rPr>
          <w:fldChar w:fldCharType="end"/>
        </w:r>
      </w:hyperlink>
    </w:p>
    <w:p w14:paraId="401FBECB" w14:textId="54B2DCCF" w:rsidR="00F170D0" w:rsidRDefault="00F170D0">
      <w:pPr>
        <w:pStyle w:val="TOC6"/>
        <w:rPr>
          <w:rFonts w:eastAsiaTheme="minorEastAsia"/>
          <w:kern w:val="2"/>
          <w:sz w:val="24"/>
          <w:szCs w:val="24"/>
          <w:lang w:eastAsia="en-AU"/>
          <w14:ligatures w14:val="standardContextual"/>
        </w:rPr>
      </w:pPr>
      <w:hyperlink w:anchor="_Toc226448319" w:history="1">
        <w:r w:rsidRPr="00EA335B">
          <w:rPr>
            <w:rStyle w:val="Hyperlink"/>
          </w:rPr>
          <w:t>6.4.2.</w:t>
        </w:r>
        <w:r>
          <w:rPr>
            <w:rFonts w:eastAsiaTheme="minorEastAsia"/>
            <w:kern w:val="2"/>
            <w:sz w:val="24"/>
            <w:szCs w:val="24"/>
            <w:lang w:eastAsia="en-AU"/>
            <w14:ligatures w14:val="standardContextual"/>
          </w:rPr>
          <w:tab/>
        </w:r>
        <w:r w:rsidRPr="00EA335B">
          <w:rPr>
            <w:rStyle w:val="Hyperlink"/>
          </w:rPr>
          <w:t>Discussion of costs (excluding fees)</w:t>
        </w:r>
        <w:r>
          <w:rPr>
            <w:webHidden/>
          </w:rPr>
          <w:tab/>
        </w:r>
        <w:r>
          <w:rPr>
            <w:webHidden/>
          </w:rPr>
          <w:fldChar w:fldCharType="begin"/>
        </w:r>
        <w:r>
          <w:rPr>
            <w:webHidden/>
          </w:rPr>
          <w:instrText xml:space="preserve"> PAGEREF _Toc226448319 \h </w:instrText>
        </w:r>
        <w:r>
          <w:rPr>
            <w:webHidden/>
          </w:rPr>
        </w:r>
        <w:r>
          <w:rPr>
            <w:webHidden/>
          </w:rPr>
          <w:fldChar w:fldCharType="separate"/>
        </w:r>
        <w:r>
          <w:rPr>
            <w:webHidden/>
          </w:rPr>
          <w:t>58</w:t>
        </w:r>
        <w:r>
          <w:rPr>
            <w:webHidden/>
          </w:rPr>
          <w:fldChar w:fldCharType="end"/>
        </w:r>
      </w:hyperlink>
    </w:p>
    <w:p w14:paraId="1CE759E6" w14:textId="2DC51260" w:rsidR="00F170D0" w:rsidRDefault="00F170D0">
      <w:pPr>
        <w:pStyle w:val="TOC5"/>
        <w:rPr>
          <w:rFonts w:eastAsiaTheme="minorEastAsia"/>
          <w:noProof/>
          <w:color w:val="auto"/>
          <w:kern w:val="2"/>
          <w:sz w:val="24"/>
          <w:szCs w:val="24"/>
          <w:lang w:eastAsia="en-AU"/>
          <w14:ligatures w14:val="standardContextual"/>
        </w:rPr>
      </w:pPr>
      <w:hyperlink w:anchor="_Toc226448320" w:history="1">
        <w:r w:rsidRPr="00EA335B">
          <w:rPr>
            <w:rStyle w:val="Hyperlink"/>
            <w:noProof/>
          </w:rPr>
          <w:t>6.5.</w:t>
        </w:r>
        <w:r>
          <w:rPr>
            <w:rFonts w:eastAsiaTheme="minorEastAsia"/>
            <w:noProof/>
            <w:color w:val="auto"/>
            <w:kern w:val="2"/>
            <w:sz w:val="24"/>
            <w:szCs w:val="24"/>
            <w:lang w:eastAsia="en-AU"/>
            <w14:ligatures w14:val="standardContextual"/>
          </w:rPr>
          <w:tab/>
        </w:r>
        <w:r w:rsidRPr="00EA335B">
          <w:rPr>
            <w:rStyle w:val="Hyperlink"/>
            <w:noProof/>
          </w:rPr>
          <w:t>Summary of assessment</w:t>
        </w:r>
        <w:r>
          <w:rPr>
            <w:noProof/>
            <w:webHidden/>
          </w:rPr>
          <w:tab/>
        </w:r>
        <w:r>
          <w:rPr>
            <w:noProof/>
            <w:webHidden/>
          </w:rPr>
          <w:fldChar w:fldCharType="begin"/>
        </w:r>
        <w:r>
          <w:rPr>
            <w:noProof/>
            <w:webHidden/>
          </w:rPr>
          <w:instrText xml:space="preserve"> PAGEREF _Toc226448320 \h </w:instrText>
        </w:r>
        <w:r>
          <w:rPr>
            <w:noProof/>
            <w:webHidden/>
          </w:rPr>
        </w:r>
        <w:r>
          <w:rPr>
            <w:noProof/>
            <w:webHidden/>
          </w:rPr>
          <w:fldChar w:fldCharType="separate"/>
        </w:r>
        <w:r>
          <w:rPr>
            <w:noProof/>
            <w:webHidden/>
          </w:rPr>
          <w:t>60</w:t>
        </w:r>
        <w:r>
          <w:rPr>
            <w:noProof/>
            <w:webHidden/>
          </w:rPr>
          <w:fldChar w:fldCharType="end"/>
        </w:r>
      </w:hyperlink>
    </w:p>
    <w:p w14:paraId="72709276" w14:textId="5950BF4B" w:rsidR="00F170D0" w:rsidRDefault="00F170D0">
      <w:pPr>
        <w:pStyle w:val="TOC5"/>
        <w:rPr>
          <w:rFonts w:eastAsiaTheme="minorEastAsia"/>
          <w:noProof/>
          <w:color w:val="auto"/>
          <w:kern w:val="2"/>
          <w:sz w:val="24"/>
          <w:szCs w:val="24"/>
          <w:lang w:eastAsia="en-AU"/>
          <w14:ligatures w14:val="standardContextual"/>
        </w:rPr>
      </w:pPr>
      <w:hyperlink w:anchor="_Toc226448321" w:history="1">
        <w:r w:rsidRPr="00EA335B">
          <w:rPr>
            <w:rStyle w:val="Hyperlink"/>
            <w:noProof/>
          </w:rPr>
          <w:t>6.6.</w:t>
        </w:r>
        <w:r>
          <w:rPr>
            <w:rFonts w:eastAsiaTheme="minorEastAsia"/>
            <w:noProof/>
            <w:color w:val="auto"/>
            <w:kern w:val="2"/>
            <w:sz w:val="24"/>
            <w:szCs w:val="24"/>
            <w:lang w:eastAsia="en-AU"/>
            <w14:ligatures w14:val="standardContextual"/>
          </w:rPr>
          <w:tab/>
        </w:r>
        <w:r w:rsidRPr="00EA335B">
          <w:rPr>
            <w:rStyle w:val="Hyperlink"/>
            <w:noProof/>
          </w:rPr>
          <w:t>Fees</w:t>
        </w:r>
        <w:r>
          <w:rPr>
            <w:noProof/>
            <w:webHidden/>
          </w:rPr>
          <w:tab/>
        </w:r>
        <w:r>
          <w:rPr>
            <w:noProof/>
            <w:webHidden/>
          </w:rPr>
          <w:fldChar w:fldCharType="begin"/>
        </w:r>
        <w:r>
          <w:rPr>
            <w:noProof/>
            <w:webHidden/>
          </w:rPr>
          <w:instrText xml:space="preserve"> PAGEREF _Toc226448321 \h </w:instrText>
        </w:r>
        <w:r>
          <w:rPr>
            <w:noProof/>
            <w:webHidden/>
          </w:rPr>
        </w:r>
        <w:r>
          <w:rPr>
            <w:noProof/>
            <w:webHidden/>
          </w:rPr>
          <w:fldChar w:fldCharType="separate"/>
        </w:r>
        <w:r>
          <w:rPr>
            <w:noProof/>
            <w:webHidden/>
          </w:rPr>
          <w:t>60</w:t>
        </w:r>
        <w:r>
          <w:rPr>
            <w:noProof/>
            <w:webHidden/>
          </w:rPr>
          <w:fldChar w:fldCharType="end"/>
        </w:r>
      </w:hyperlink>
    </w:p>
    <w:p w14:paraId="63AFA4C3" w14:textId="440276E8" w:rsidR="00F170D0" w:rsidRDefault="00F170D0">
      <w:pPr>
        <w:pStyle w:val="TOC6"/>
        <w:rPr>
          <w:rFonts w:eastAsiaTheme="minorEastAsia"/>
          <w:kern w:val="2"/>
          <w:sz w:val="24"/>
          <w:szCs w:val="24"/>
          <w:lang w:eastAsia="en-AU"/>
          <w14:ligatures w14:val="standardContextual"/>
        </w:rPr>
      </w:pPr>
      <w:hyperlink w:anchor="_Toc226448322" w:history="1">
        <w:r w:rsidRPr="00EA335B">
          <w:rPr>
            <w:rStyle w:val="Hyperlink"/>
          </w:rPr>
          <w:t>6.6.1.</w:t>
        </w:r>
        <w:r>
          <w:rPr>
            <w:rFonts w:eastAsiaTheme="minorEastAsia"/>
            <w:kern w:val="2"/>
            <w:sz w:val="24"/>
            <w:szCs w:val="24"/>
            <w:lang w:eastAsia="en-AU"/>
            <w14:ligatures w14:val="standardContextual"/>
          </w:rPr>
          <w:tab/>
        </w:r>
        <w:r w:rsidRPr="00EA335B">
          <w:rPr>
            <w:rStyle w:val="Hyperlink"/>
          </w:rPr>
          <w:t>Method of assessment</w:t>
        </w:r>
        <w:r>
          <w:rPr>
            <w:webHidden/>
          </w:rPr>
          <w:tab/>
        </w:r>
        <w:r>
          <w:rPr>
            <w:webHidden/>
          </w:rPr>
          <w:fldChar w:fldCharType="begin"/>
        </w:r>
        <w:r>
          <w:rPr>
            <w:webHidden/>
          </w:rPr>
          <w:instrText xml:space="preserve"> PAGEREF _Toc226448322 \h </w:instrText>
        </w:r>
        <w:r>
          <w:rPr>
            <w:webHidden/>
          </w:rPr>
        </w:r>
        <w:r>
          <w:rPr>
            <w:webHidden/>
          </w:rPr>
          <w:fldChar w:fldCharType="separate"/>
        </w:r>
        <w:r>
          <w:rPr>
            <w:webHidden/>
          </w:rPr>
          <w:t>60</w:t>
        </w:r>
        <w:r>
          <w:rPr>
            <w:webHidden/>
          </w:rPr>
          <w:fldChar w:fldCharType="end"/>
        </w:r>
      </w:hyperlink>
    </w:p>
    <w:p w14:paraId="6450BC42" w14:textId="4DE442AD" w:rsidR="00F170D0" w:rsidRDefault="00F170D0">
      <w:pPr>
        <w:pStyle w:val="TOC6"/>
        <w:rPr>
          <w:rFonts w:eastAsiaTheme="minorEastAsia"/>
          <w:kern w:val="2"/>
          <w:sz w:val="24"/>
          <w:szCs w:val="24"/>
          <w:lang w:eastAsia="en-AU"/>
          <w14:ligatures w14:val="standardContextual"/>
        </w:rPr>
      </w:pPr>
      <w:hyperlink w:anchor="_Toc226448323" w:history="1">
        <w:r w:rsidRPr="00EA335B">
          <w:rPr>
            <w:rStyle w:val="Hyperlink"/>
          </w:rPr>
          <w:t>6.6.2.</w:t>
        </w:r>
        <w:r>
          <w:rPr>
            <w:rFonts w:eastAsiaTheme="minorEastAsia"/>
            <w:kern w:val="2"/>
            <w:sz w:val="24"/>
            <w:szCs w:val="24"/>
            <w:lang w:eastAsia="en-AU"/>
            <w14:ligatures w14:val="standardContextual"/>
          </w:rPr>
          <w:tab/>
        </w:r>
        <w:r w:rsidRPr="00EA335B">
          <w:rPr>
            <w:rStyle w:val="Hyperlink"/>
          </w:rPr>
          <w:t>Criteria for assessment</w:t>
        </w:r>
        <w:r>
          <w:rPr>
            <w:webHidden/>
          </w:rPr>
          <w:tab/>
        </w:r>
        <w:r>
          <w:rPr>
            <w:webHidden/>
          </w:rPr>
          <w:fldChar w:fldCharType="begin"/>
        </w:r>
        <w:r>
          <w:rPr>
            <w:webHidden/>
          </w:rPr>
          <w:instrText xml:space="preserve"> PAGEREF _Toc226448323 \h </w:instrText>
        </w:r>
        <w:r>
          <w:rPr>
            <w:webHidden/>
          </w:rPr>
        </w:r>
        <w:r>
          <w:rPr>
            <w:webHidden/>
          </w:rPr>
          <w:fldChar w:fldCharType="separate"/>
        </w:r>
        <w:r>
          <w:rPr>
            <w:webHidden/>
          </w:rPr>
          <w:t>61</w:t>
        </w:r>
        <w:r>
          <w:rPr>
            <w:webHidden/>
          </w:rPr>
          <w:fldChar w:fldCharType="end"/>
        </w:r>
      </w:hyperlink>
    </w:p>
    <w:p w14:paraId="08530DA4" w14:textId="2345809D" w:rsidR="00F170D0" w:rsidRDefault="00F170D0">
      <w:pPr>
        <w:pStyle w:val="TOC6"/>
        <w:rPr>
          <w:rFonts w:eastAsiaTheme="minorEastAsia"/>
          <w:kern w:val="2"/>
          <w:sz w:val="24"/>
          <w:szCs w:val="24"/>
          <w:lang w:eastAsia="en-AU"/>
          <w14:ligatures w14:val="standardContextual"/>
        </w:rPr>
      </w:pPr>
      <w:hyperlink w:anchor="_Toc226448324" w:history="1">
        <w:r w:rsidRPr="00EA335B">
          <w:rPr>
            <w:rStyle w:val="Hyperlink"/>
          </w:rPr>
          <w:t>6.6.3.</w:t>
        </w:r>
        <w:r>
          <w:rPr>
            <w:rFonts w:eastAsiaTheme="minorEastAsia"/>
            <w:kern w:val="2"/>
            <w:sz w:val="24"/>
            <w:szCs w:val="24"/>
            <w:lang w:eastAsia="en-AU"/>
            <w14:ligatures w14:val="standardContextual"/>
          </w:rPr>
          <w:tab/>
        </w:r>
        <w:r w:rsidRPr="00EA335B">
          <w:rPr>
            <w:rStyle w:val="Hyperlink"/>
          </w:rPr>
          <w:t>Criteria scoring</w:t>
        </w:r>
        <w:r>
          <w:rPr>
            <w:webHidden/>
          </w:rPr>
          <w:tab/>
        </w:r>
        <w:r>
          <w:rPr>
            <w:webHidden/>
          </w:rPr>
          <w:fldChar w:fldCharType="begin"/>
        </w:r>
        <w:r>
          <w:rPr>
            <w:webHidden/>
          </w:rPr>
          <w:instrText xml:space="preserve"> PAGEREF _Toc226448324 \h </w:instrText>
        </w:r>
        <w:r>
          <w:rPr>
            <w:webHidden/>
          </w:rPr>
        </w:r>
        <w:r>
          <w:rPr>
            <w:webHidden/>
          </w:rPr>
          <w:fldChar w:fldCharType="separate"/>
        </w:r>
        <w:r>
          <w:rPr>
            <w:webHidden/>
          </w:rPr>
          <w:t>61</w:t>
        </w:r>
        <w:r>
          <w:rPr>
            <w:webHidden/>
          </w:rPr>
          <w:fldChar w:fldCharType="end"/>
        </w:r>
      </w:hyperlink>
    </w:p>
    <w:p w14:paraId="753F0200" w14:textId="5B8C2784" w:rsidR="00F170D0" w:rsidRDefault="00F170D0">
      <w:pPr>
        <w:pStyle w:val="TOC6"/>
        <w:rPr>
          <w:rFonts w:eastAsiaTheme="minorEastAsia"/>
          <w:kern w:val="2"/>
          <w:sz w:val="24"/>
          <w:szCs w:val="24"/>
          <w:lang w:eastAsia="en-AU"/>
          <w14:ligatures w14:val="standardContextual"/>
        </w:rPr>
      </w:pPr>
      <w:hyperlink w:anchor="_Toc226448325" w:history="1">
        <w:r w:rsidRPr="00EA335B">
          <w:rPr>
            <w:rStyle w:val="Hyperlink"/>
          </w:rPr>
          <w:t>6.6.4.</w:t>
        </w:r>
        <w:r>
          <w:rPr>
            <w:rFonts w:eastAsiaTheme="minorEastAsia"/>
            <w:kern w:val="2"/>
            <w:sz w:val="24"/>
            <w:szCs w:val="24"/>
            <w:lang w:eastAsia="en-AU"/>
            <w14:ligatures w14:val="standardContextual"/>
          </w:rPr>
          <w:tab/>
        </w:r>
        <w:r w:rsidRPr="00EA335B">
          <w:rPr>
            <w:rStyle w:val="Hyperlink"/>
          </w:rPr>
          <w:t>Assessment of options</w:t>
        </w:r>
        <w:r>
          <w:rPr>
            <w:webHidden/>
          </w:rPr>
          <w:tab/>
        </w:r>
        <w:r>
          <w:rPr>
            <w:webHidden/>
          </w:rPr>
          <w:fldChar w:fldCharType="begin"/>
        </w:r>
        <w:r>
          <w:rPr>
            <w:webHidden/>
          </w:rPr>
          <w:instrText xml:space="preserve"> PAGEREF _Toc226448325 \h </w:instrText>
        </w:r>
        <w:r>
          <w:rPr>
            <w:webHidden/>
          </w:rPr>
        </w:r>
        <w:r>
          <w:rPr>
            <w:webHidden/>
          </w:rPr>
          <w:fldChar w:fldCharType="separate"/>
        </w:r>
        <w:r>
          <w:rPr>
            <w:webHidden/>
          </w:rPr>
          <w:t>62</w:t>
        </w:r>
        <w:r>
          <w:rPr>
            <w:webHidden/>
          </w:rPr>
          <w:fldChar w:fldCharType="end"/>
        </w:r>
      </w:hyperlink>
    </w:p>
    <w:p w14:paraId="0D3CA766" w14:textId="425F46CC" w:rsidR="00F170D0" w:rsidRDefault="00F170D0">
      <w:pPr>
        <w:pStyle w:val="TOC6"/>
        <w:rPr>
          <w:rFonts w:eastAsiaTheme="minorEastAsia"/>
          <w:kern w:val="2"/>
          <w:sz w:val="24"/>
          <w:szCs w:val="24"/>
          <w:lang w:eastAsia="en-AU"/>
          <w14:ligatures w14:val="standardContextual"/>
        </w:rPr>
      </w:pPr>
      <w:hyperlink w:anchor="_Toc226448326" w:history="1">
        <w:r w:rsidRPr="00EA335B">
          <w:rPr>
            <w:rStyle w:val="Hyperlink"/>
          </w:rPr>
          <w:t>6.6.5.</w:t>
        </w:r>
        <w:r>
          <w:rPr>
            <w:rFonts w:eastAsiaTheme="minorEastAsia"/>
            <w:kern w:val="2"/>
            <w:sz w:val="24"/>
            <w:szCs w:val="24"/>
            <w:lang w:eastAsia="en-AU"/>
            <w14:ligatures w14:val="standardContextual"/>
          </w:rPr>
          <w:tab/>
        </w:r>
        <w:r w:rsidRPr="00EA335B">
          <w:rPr>
            <w:rStyle w:val="Hyperlink"/>
          </w:rPr>
          <w:t>Summary of assessment</w:t>
        </w:r>
        <w:r>
          <w:rPr>
            <w:webHidden/>
          </w:rPr>
          <w:tab/>
        </w:r>
        <w:r>
          <w:rPr>
            <w:webHidden/>
          </w:rPr>
          <w:fldChar w:fldCharType="begin"/>
        </w:r>
        <w:r>
          <w:rPr>
            <w:webHidden/>
          </w:rPr>
          <w:instrText xml:space="preserve"> PAGEREF _Toc226448326 \h </w:instrText>
        </w:r>
        <w:r>
          <w:rPr>
            <w:webHidden/>
          </w:rPr>
        </w:r>
        <w:r>
          <w:rPr>
            <w:webHidden/>
          </w:rPr>
          <w:fldChar w:fldCharType="separate"/>
        </w:r>
        <w:r>
          <w:rPr>
            <w:webHidden/>
          </w:rPr>
          <w:t>64</w:t>
        </w:r>
        <w:r>
          <w:rPr>
            <w:webHidden/>
          </w:rPr>
          <w:fldChar w:fldCharType="end"/>
        </w:r>
      </w:hyperlink>
    </w:p>
    <w:p w14:paraId="6AEEAF05" w14:textId="1691F0C4" w:rsidR="00F170D0" w:rsidRDefault="00F170D0">
      <w:pPr>
        <w:pStyle w:val="TOC4"/>
        <w:rPr>
          <w:rFonts w:eastAsiaTheme="minorEastAsia"/>
          <w:b w:val="0"/>
          <w:noProof/>
          <w:color w:val="auto"/>
          <w:kern w:val="2"/>
          <w:sz w:val="24"/>
          <w:szCs w:val="24"/>
          <w:lang w:eastAsia="en-AU"/>
          <w14:ligatures w14:val="standardContextual"/>
        </w:rPr>
      </w:pPr>
      <w:hyperlink w:anchor="_Toc226448327" w:history="1">
        <w:r w:rsidRPr="00EA335B">
          <w:rPr>
            <w:rStyle w:val="Hyperlink"/>
            <w:noProof/>
          </w:rPr>
          <w:t>7.</w:t>
        </w:r>
        <w:r>
          <w:rPr>
            <w:rFonts w:eastAsiaTheme="minorEastAsia"/>
            <w:b w:val="0"/>
            <w:noProof/>
            <w:color w:val="auto"/>
            <w:kern w:val="2"/>
            <w:sz w:val="24"/>
            <w:szCs w:val="24"/>
            <w:lang w:eastAsia="en-AU"/>
            <w14:ligatures w14:val="standardContextual"/>
          </w:rPr>
          <w:tab/>
        </w:r>
        <w:r w:rsidRPr="00EA335B">
          <w:rPr>
            <w:rStyle w:val="Hyperlink"/>
            <w:noProof/>
          </w:rPr>
          <w:t>Preferred options</w:t>
        </w:r>
        <w:r>
          <w:rPr>
            <w:noProof/>
            <w:webHidden/>
          </w:rPr>
          <w:tab/>
        </w:r>
        <w:r>
          <w:rPr>
            <w:noProof/>
            <w:webHidden/>
          </w:rPr>
          <w:fldChar w:fldCharType="begin"/>
        </w:r>
        <w:r>
          <w:rPr>
            <w:noProof/>
            <w:webHidden/>
          </w:rPr>
          <w:instrText xml:space="preserve"> PAGEREF _Toc226448327 \h </w:instrText>
        </w:r>
        <w:r>
          <w:rPr>
            <w:noProof/>
            <w:webHidden/>
          </w:rPr>
        </w:r>
        <w:r>
          <w:rPr>
            <w:noProof/>
            <w:webHidden/>
          </w:rPr>
          <w:fldChar w:fldCharType="separate"/>
        </w:r>
        <w:r>
          <w:rPr>
            <w:noProof/>
            <w:webHidden/>
          </w:rPr>
          <w:t>65</w:t>
        </w:r>
        <w:r>
          <w:rPr>
            <w:noProof/>
            <w:webHidden/>
          </w:rPr>
          <w:fldChar w:fldCharType="end"/>
        </w:r>
      </w:hyperlink>
    </w:p>
    <w:p w14:paraId="61BD5125" w14:textId="41424377" w:rsidR="00F170D0" w:rsidRDefault="00F170D0">
      <w:pPr>
        <w:pStyle w:val="TOC5"/>
        <w:rPr>
          <w:rFonts w:eastAsiaTheme="minorEastAsia"/>
          <w:noProof/>
          <w:color w:val="auto"/>
          <w:kern w:val="2"/>
          <w:sz w:val="24"/>
          <w:szCs w:val="24"/>
          <w:lang w:eastAsia="en-AU"/>
          <w14:ligatures w14:val="standardContextual"/>
        </w:rPr>
      </w:pPr>
      <w:hyperlink w:anchor="_Toc226448328" w:history="1">
        <w:r w:rsidRPr="00EA335B">
          <w:rPr>
            <w:rStyle w:val="Hyperlink"/>
            <w:noProof/>
          </w:rPr>
          <w:t>7.1.</w:t>
        </w:r>
        <w:r>
          <w:rPr>
            <w:rFonts w:eastAsiaTheme="minorEastAsia"/>
            <w:noProof/>
            <w:color w:val="auto"/>
            <w:kern w:val="2"/>
            <w:sz w:val="24"/>
            <w:szCs w:val="24"/>
            <w:lang w:eastAsia="en-AU"/>
            <w14:ligatures w14:val="standardContextual"/>
          </w:rPr>
          <w:tab/>
        </w:r>
        <w:r w:rsidRPr="00EA335B">
          <w:rPr>
            <w:rStyle w:val="Hyperlink"/>
            <w:noProof/>
          </w:rPr>
          <w:t>Minor amendments to the current regulations</w:t>
        </w:r>
        <w:r>
          <w:rPr>
            <w:noProof/>
            <w:webHidden/>
          </w:rPr>
          <w:tab/>
        </w:r>
        <w:r>
          <w:rPr>
            <w:noProof/>
            <w:webHidden/>
          </w:rPr>
          <w:fldChar w:fldCharType="begin"/>
        </w:r>
        <w:r>
          <w:rPr>
            <w:noProof/>
            <w:webHidden/>
          </w:rPr>
          <w:instrText xml:space="preserve"> PAGEREF _Toc226448328 \h </w:instrText>
        </w:r>
        <w:r>
          <w:rPr>
            <w:noProof/>
            <w:webHidden/>
          </w:rPr>
        </w:r>
        <w:r>
          <w:rPr>
            <w:noProof/>
            <w:webHidden/>
          </w:rPr>
          <w:fldChar w:fldCharType="separate"/>
        </w:r>
        <w:r>
          <w:rPr>
            <w:noProof/>
            <w:webHidden/>
          </w:rPr>
          <w:t>65</w:t>
        </w:r>
        <w:r>
          <w:rPr>
            <w:noProof/>
            <w:webHidden/>
          </w:rPr>
          <w:fldChar w:fldCharType="end"/>
        </w:r>
      </w:hyperlink>
    </w:p>
    <w:p w14:paraId="36DEDBDF" w14:textId="29EEA3BA" w:rsidR="00F170D0" w:rsidRDefault="00F170D0">
      <w:pPr>
        <w:pStyle w:val="TOC5"/>
        <w:rPr>
          <w:rFonts w:eastAsiaTheme="minorEastAsia"/>
          <w:noProof/>
          <w:color w:val="auto"/>
          <w:kern w:val="2"/>
          <w:sz w:val="24"/>
          <w:szCs w:val="24"/>
          <w:lang w:eastAsia="en-AU"/>
          <w14:ligatures w14:val="standardContextual"/>
        </w:rPr>
      </w:pPr>
      <w:hyperlink w:anchor="_Toc226448329" w:history="1">
        <w:r w:rsidRPr="00EA335B">
          <w:rPr>
            <w:rStyle w:val="Hyperlink"/>
            <w:noProof/>
          </w:rPr>
          <w:t>7.2.</w:t>
        </w:r>
        <w:r>
          <w:rPr>
            <w:rFonts w:eastAsiaTheme="minorEastAsia"/>
            <w:noProof/>
            <w:color w:val="auto"/>
            <w:kern w:val="2"/>
            <w:sz w:val="24"/>
            <w:szCs w:val="24"/>
            <w:lang w:eastAsia="en-AU"/>
            <w14:ligatures w14:val="standardContextual"/>
          </w:rPr>
          <w:tab/>
        </w:r>
        <w:r w:rsidRPr="00EA335B">
          <w:rPr>
            <w:rStyle w:val="Hyperlink"/>
            <w:noProof/>
          </w:rPr>
          <w:t>No change to fees</w:t>
        </w:r>
        <w:r>
          <w:rPr>
            <w:noProof/>
            <w:webHidden/>
          </w:rPr>
          <w:tab/>
        </w:r>
        <w:r>
          <w:rPr>
            <w:noProof/>
            <w:webHidden/>
          </w:rPr>
          <w:fldChar w:fldCharType="begin"/>
        </w:r>
        <w:r>
          <w:rPr>
            <w:noProof/>
            <w:webHidden/>
          </w:rPr>
          <w:instrText xml:space="preserve"> PAGEREF _Toc226448329 \h </w:instrText>
        </w:r>
        <w:r>
          <w:rPr>
            <w:noProof/>
            <w:webHidden/>
          </w:rPr>
        </w:r>
        <w:r>
          <w:rPr>
            <w:noProof/>
            <w:webHidden/>
          </w:rPr>
          <w:fldChar w:fldCharType="separate"/>
        </w:r>
        <w:r>
          <w:rPr>
            <w:noProof/>
            <w:webHidden/>
          </w:rPr>
          <w:t>65</w:t>
        </w:r>
        <w:r>
          <w:rPr>
            <w:noProof/>
            <w:webHidden/>
          </w:rPr>
          <w:fldChar w:fldCharType="end"/>
        </w:r>
      </w:hyperlink>
    </w:p>
    <w:p w14:paraId="1EA5D547" w14:textId="3BD380AA" w:rsidR="00F170D0" w:rsidRDefault="00F170D0">
      <w:pPr>
        <w:pStyle w:val="TOC5"/>
        <w:rPr>
          <w:rFonts w:eastAsiaTheme="minorEastAsia"/>
          <w:noProof/>
          <w:color w:val="auto"/>
          <w:kern w:val="2"/>
          <w:sz w:val="24"/>
          <w:szCs w:val="24"/>
          <w:lang w:eastAsia="en-AU"/>
          <w14:ligatures w14:val="standardContextual"/>
        </w:rPr>
      </w:pPr>
      <w:hyperlink w:anchor="_Toc226448330" w:history="1">
        <w:r w:rsidRPr="00EA335B">
          <w:rPr>
            <w:rStyle w:val="Hyperlink"/>
            <w:noProof/>
          </w:rPr>
          <w:t>7.3.</w:t>
        </w:r>
        <w:r>
          <w:rPr>
            <w:rFonts w:eastAsiaTheme="minorEastAsia"/>
            <w:noProof/>
            <w:color w:val="auto"/>
            <w:kern w:val="2"/>
            <w:sz w:val="24"/>
            <w:szCs w:val="24"/>
            <w:lang w:eastAsia="en-AU"/>
            <w14:ligatures w14:val="standardContextual"/>
          </w:rPr>
          <w:tab/>
        </w:r>
        <w:r w:rsidRPr="00EA335B">
          <w:rPr>
            <w:rStyle w:val="Hyperlink"/>
            <w:noProof/>
          </w:rPr>
          <w:t>Summary of changes in the proposed Regulations</w:t>
        </w:r>
        <w:r>
          <w:rPr>
            <w:noProof/>
            <w:webHidden/>
          </w:rPr>
          <w:tab/>
        </w:r>
        <w:r>
          <w:rPr>
            <w:noProof/>
            <w:webHidden/>
          </w:rPr>
          <w:fldChar w:fldCharType="begin"/>
        </w:r>
        <w:r>
          <w:rPr>
            <w:noProof/>
            <w:webHidden/>
          </w:rPr>
          <w:instrText xml:space="preserve"> PAGEREF _Toc226448330 \h </w:instrText>
        </w:r>
        <w:r>
          <w:rPr>
            <w:noProof/>
            <w:webHidden/>
          </w:rPr>
        </w:r>
        <w:r>
          <w:rPr>
            <w:noProof/>
            <w:webHidden/>
          </w:rPr>
          <w:fldChar w:fldCharType="separate"/>
        </w:r>
        <w:r>
          <w:rPr>
            <w:noProof/>
            <w:webHidden/>
          </w:rPr>
          <w:t>67</w:t>
        </w:r>
        <w:r>
          <w:rPr>
            <w:noProof/>
            <w:webHidden/>
          </w:rPr>
          <w:fldChar w:fldCharType="end"/>
        </w:r>
      </w:hyperlink>
    </w:p>
    <w:p w14:paraId="5AF3C169" w14:textId="43371131" w:rsidR="00F170D0" w:rsidRDefault="00F170D0">
      <w:pPr>
        <w:pStyle w:val="TOC5"/>
        <w:rPr>
          <w:rFonts w:eastAsiaTheme="minorEastAsia"/>
          <w:noProof/>
          <w:color w:val="auto"/>
          <w:kern w:val="2"/>
          <w:sz w:val="24"/>
          <w:szCs w:val="24"/>
          <w:lang w:eastAsia="en-AU"/>
          <w14:ligatures w14:val="standardContextual"/>
        </w:rPr>
      </w:pPr>
      <w:hyperlink w:anchor="_Toc226448331" w:history="1">
        <w:r w:rsidRPr="00EA335B">
          <w:rPr>
            <w:rStyle w:val="Hyperlink"/>
            <w:noProof/>
          </w:rPr>
          <w:t>7.4.</w:t>
        </w:r>
        <w:r>
          <w:rPr>
            <w:rFonts w:eastAsiaTheme="minorEastAsia"/>
            <w:noProof/>
            <w:color w:val="auto"/>
            <w:kern w:val="2"/>
            <w:sz w:val="24"/>
            <w:szCs w:val="24"/>
            <w:lang w:eastAsia="en-AU"/>
            <w14:ligatures w14:val="standardContextual"/>
          </w:rPr>
          <w:tab/>
        </w:r>
        <w:r w:rsidRPr="00EA335B">
          <w:rPr>
            <w:rStyle w:val="Hyperlink"/>
            <w:noProof/>
          </w:rPr>
          <w:t>Summary of competition and small business impacts</w:t>
        </w:r>
        <w:r>
          <w:rPr>
            <w:noProof/>
            <w:webHidden/>
          </w:rPr>
          <w:tab/>
        </w:r>
        <w:r>
          <w:rPr>
            <w:noProof/>
            <w:webHidden/>
          </w:rPr>
          <w:fldChar w:fldCharType="begin"/>
        </w:r>
        <w:r>
          <w:rPr>
            <w:noProof/>
            <w:webHidden/>
          </w:rPr>
          <w:instrText xml:space="preserve"> PAGEREF _Toc226448331 \h </w:instrText>
        </w:r>
        <w:r>
          <w:rPr>
            <w:noProof/>
            <w:webHidden/>
          </w:rPr>
        </w:r>
        <w:r>
          <w:rPr>
            <w:noProof/>
            <w:webHidden/>
          </w:rPr>
          <w:fldChar w:fldCharType="separate"/>
        </w:r>
        <w:r>
          <w:rPr>
            <w:noProof/>
            <w:webHidden/>
          </w:rPr>
          <w:t>68</w:t>
        </w:r>
        <w:r>
          <w:rPr>
            <w:noProof/>
            <w:webHidden/>
          </w:rPr>
          <w:fldChar w:fldCharType="end"/>
        </w:r>
      </w:hyperlink>
    </w:p>
    <w:p w14:paraId="544FB0F6" w14:textId="0B8AE246" w:rsidR="00F170D0" w:rsidRDefault="00F170D0">
      <w:pPr>
        <w:pStyle w:val="TOC6"/>
        <w:rPr>
          <w:rFonts w:eastAsiaTheme="minorEastAsia"/>
          <w:kern w:val="2"/>
          <w:sz w:val="24"/>
          <w:szCs w:val="24"/>
          <w:lang w:eastAsia="en-AU"/>
          <w14:ligatures w14:val="standardContextual"/>
        </w:rPr>
      </w:pPr>
      <w:hyperlink w:anchor="_Toc226448332" w:history="1">
        <w:r w:rsidRPr="00EA335B">
          <w:rPr>
            <w:rStyle w:val="Hyperlink"/>
          </w:rPr>
          <w:t>7.4.1.</w:t>
        </w:r>
        <w:r>
          <w:rPr>
            <w:rFonts w:eastAsiaTheme="minorEastAsia"/>
            <w:kern w:val="2"/>
            <w:sz w:val="24"/>
            <w:szCs w:val="24"/>
            <w:lang w:eastAsia="en-AU"/>
            <w14:ligatures w14:val="standardContextual"/>
          </w:rPr>
          <w:tab/>
        </w:r>
        <w:r w:rsidRPr="00EA335B">
          <w:rPr>
            <w:rStyle w:val="Hyperlink"/>
          </w:rPr>
          <w:t>Impact on small business</w:t>
        </w:r>
        <w:r>
          <w:rPr>
            <w:webHidden/>
          </w:rPr>
          <w:tab/>
        </w:r>
        <w:r>
          <w:rPr>
            <w:webHidden/>
          </w:rPr>
          <w:fldChar w:fldCharType="begin"/>
        </w:r>
        <w:r>
          <w:rPr>
            <w:webHidden/>
          </w:rPr>
          <w:instrText xml:space="preserve"> PAGEREF _Toc226448332 \h </w:instrText>
        </w:r>
        <w:r>
          <w:rPr>
            <w:webHidden/>
          </w:rPr>
        </w:r>
        <w:r>
          <w:rPr>
            <w:webHidden/>
          </w:rPr>
          <w:fldChar w:fldCharType="separate"/>
        </w:r>
        <w:r>
          <w:rPr>
            <w:webHidden/>
          </w:rPr>
          <w:t>69</w:t>
        </w:r>
        <w:r>
          <w:rPr>
            <w:webHidden/>
          </w:rPr>
          <w:fldChar w:fldCharType="end"/>
        </w:r>
      </w:hyperlink>
    </w:p>
    <w:p w14:paraId="1044A2B7" w14:textId="1B4270B7" w:rsidR="00F170D0" w:rsidRDefault="00F170D0">
      <w:pPr>
        <w:pStyle w:val="TOC4"/>
        <w:rPr>
          <w:rFonts w:eastAsiaTheme="minorEastAsia"/>
          <w:b w:val="0"/>
          <w:noProof/>
          <w:color w:val="auto"/>
          <w:kern w:val="2"/>
          <w:sz w:val="24"/>
          <w:szCs w:val="24"/>
          <w:lang w:eastAsia="en-AU"/>
          <w14:ligatures w14:val="standardContextual"/>
        </w:rPr>
      </w:pPr>
      <w:hyperlink w:anchor="_Toc226448333" w:history="1">
        <w:r w:rsidRPr="00EA335B">
          <w:rPr>
            <w:rStyle w:val="Hyperlink"/>
            <w:noProof/>
          </w:rPr>
          <w:t>8.</w:t>
        </w:r>
        <w:r>
          <w:rPr>
            <w:rFonts w:eastAsiaTheme="minorEastAsia"/>
            <w:b w:val="0"/>
            <w:noProof/>
            <w:color w:val="auto"/>
            <w:kern w:val="2"/>
            <w:sz w:val="24"/>
            <w:szCs w:val="24"/>
            <w:lang w:eastAsia="en-AU"/>
            <w14:ligatures w14:val="standardContextual"/>
          </w:rPr>
          <w:tab/>
        </w:r>
        <w:r w:rsidRPr="00EA335B">
          <w:rPr>
            <w:rStyle w:val="Hyperlink"/>
            <w:noProof/>
          </w:rPr>
          <w:t>Implementation</w:t>
        </w:r>
        <w:r>
          <w:rPr>
            <w:noProof/>
            <w:webHidden/>
          </w:rPr>
          <w:tab/>
        </w:r>
        <w:r>
          <w:rPr>
            <w:noProof/>
            <w:webHidden/>
          </w:rPr>
          <w:fldChar w:fldCharType="begin"/>
        </w:r>
        <w:r>
          <w:rPr>
            <w:noProof/>
            <w:webHidden/>
          </w:rPr>
          <w:instrText xml:space="preserve"> PAGEREF _Toc226448333 \h </w:instrText>
        </w:r>
        <w:r>
          <w:rPr>
            <w:noProof/>
            <w:webHidden/>
          </w:rPr>
        </w:r>
        <w:r>
          <w:rPr>
            <w:noProof/>
            <w:webHidden/>
          </w:rPr>
          <w:fldChar w:fldCharType="separate"/>
        </w:r>
        <w:r>
          <w:rPr>
            <w:noProof/>
            <w:webHidden/>
          </w:rPr>
          <w:t>70</w:t>
        </w:r>
        <w:r>
          <w:rPr>
            <w:noProof/>
            <w:webHidden/>
          </w:rPr>
          <w:fldChar w:fldCharType="end"/>
        </w:r>
      </w:hyperlink>
    </w:p>
    <w:p w14:paraId="3422F5B0" w14:textId="71107D7C" w:rsidR="00F170D0" w:rsidRDefault="00F170D0">
      <w:pPr>
        <w:pStyle w:val="TOC5"/>
        <w:rPr>
          <w:rFonts w:eastAsiaTheme="minorEastAsia"/>
          <w:noProof/>
          <w:color w:val="auto"/>
          <w:kern w:val="2"/>
          <w:sz w:val="24"/>
          <w:szCs w:val="24"/>
          <w:lang w:eastAsia="en-AU"/>
          <w14:ligatures w14:val="standardContextual"/>
        </w:rPr>
      </w:pPr>
      <w:hyperlink w:anchor="_Toc226448334" w:history="1">
        <w:r w:rsidRPr="00EA335B">
          <w:rPr>
            <w:rStyle w:val="Hyperlink"/>
            <w:noProof/>
          </w:rPr>
          <w:t>8.1.</w:t>
        </w:r>
        <w:r>
          <w:rPr>
            <w:rFonts w:eastAsiaTheme="minorEastAsia"/>
            <w:noProof/>
            <w:color w:val="auto"/>
            <w:kern w:val="2"/>
            <w:sz w:val="24"/>
            <w:szCs w:val="24"/>
            <w:lang w:eastAsia="en-AU"/>
            <w14:ligatures w14:val="standardContextual"/>
          </w:rPr>
          <w:tab/>
        </w:r>
        <w:r w:rsidRPr="00EA335B">
          <w:rPr>
            <w:rStyle w:val="Hyperlink"/>
            <w:noProof/>
          </w:rPr>
          <w:t>Making of the proposed Regulations</w:t>
        </w:r>
        <w:r>
          <w:rPr>
            <w:noProof/>
            <w:webHidden/>
          </w:rPr>
          <w:tab/>
        </w:r>
        <w:r>
          <w:rPr>
            <w:noProof/>
            <w:webHidden/>
          </w:rPr>
          <w:fldChar w:fldCharType="begin"/>
        </w:r>
        <w:r>
          <w:rPr>
            <w:noProof/>
            <w:webHidden/>
          </w:rPr>
          <w:instrText xml:space="preserve"> PAGEREF _Toc226448334 \h </w:instrText>
        </w:r>
        <w:r>
          <w:rPr>
            <w:noProof/>
            <w:webHidden/>
          </w:rPr>
        </w:r>
        <w:r>
          <w:rPr>
            <w:noProof/>
            <w:webHidden/>
          </w:rPr>
          <w:fldChar w:fldCharType="separate"/>
        </w:r>
        <w:r>
          <w:rPr>
            <w:noProof/>
            <w:webHidden/>
          </w:rPr>
          <w:t>70</w:t>
        </w:r>
        <w:r>
          <w:rPr>
            <w:noProof/>
            <w:webHidden/>
          </w:rPr>
          <w:fldChar w:fldCharType="end"/>
        </w:r>
      </w:hyperlink>
    </w:p>
    <w:p w14:paraId="3C38250C" w14:textId="57FD509F" w:rsidR="00F170D0" w:rsidRDefault="00F170D0">
      <w:pPr>
        <w:pStyle w:val="TOC5"/>
        <w:rPr>
          <w:rFonts w:eastAsiaTheme="minorEastAsia"/>
          <w:noProof/>
          <w:color w:val="auto"/>
          <w:kern w:val="2"/>
          <w:sz w:val="24"/>
          <w:szCs w:val="24"/>
          <w:lang w:eastAsia="en-AU"/>
          <w14:ligatures w14:val="standardContextual"/>
        </w:rPr>
      </w:pPr>
      <w:hyperlink w:anchor="_Toc226448335" w:history="1">
        <w:r w:rsidRPr="00EA335B">
          <w:rPr>
            <w:rStyle w:val="Hyperlink"/>
            <w:noProof/>
          </w:rPr>
          <w:t>8.2.</w:t>
        </w:r>
        <w:r>
          <w:rPr>
            <w:rFonts w:eastAsiaTheme="minorEastAsia"/>
            <w:noProof/>
            <w:color w:val="auto"/>
            <w:kern w:val="2"/>
            <w:sz w:val="24"/>
            <w:szCs w:val="24"/>
            <w:lang w:eastAsia="en-AU"/>
            <w14:ligatures w14:val="standardContextual"/>
          </w:rPr>
          <w:tab/>
        </w:r>
        <w:r w:rsidRPr="00EA335B">
          <w:rPr>
            <w:rStyle w:val="Hyperlink"/>
            <w:noProof/>
          </w:rPr>
          <w:t>Changes to processes and systems</w:t>
        </w:r>
        <w:r>
          <w:rPr>
            <w:noProof/>
            <w:webHidden/>
          </w:rPr>
          <w:tab/>
        </w:r>
        <w:r>
          <w:rPr>
            <w:noProof/>
            <w:webHidden/>
          </w:rPr>
          <w:fldChar w:fldCharType="begin"/>
        </w:r>
        <w:r>
          <w:rPr>
            <w:noProof/>
            <w:webHidden/>
          </w:rPr>
          <w:instrText xml:space="preserve"> PAGEREF _Toc226448335 \h </w:instrText>
        </w:r>
        <w:r>
          <w:rPr>
            <w:noProof/>
            <w:webHidden/>
          </w:rPr>
        </w:r>
        <w:r>
          <w:rPr>
            <w:noProof/>
            <w:webHidden/>
          </w:rPr>
          <w:fldChar w:fldCharType="separate"/>
        </w:r>
        <w:r>
          <w:rPr>
            <w:noProof/>
            <w:webHidden/>
          </w:rPr>
          <w:t>70</w:t>
        </w:r>
        <w:r>
          <w:rPr>
            <w:noProof/>
            <w:webHidden/>
          </w:rPr>
          <w:fldChar w:fldCharType="end"/>
        </w:r>
      </w:hyperlink>
    </w:p>
    <w:p w14:paraId="50F21B78" w14:textId="33AB2806" w:rsidR="00F170D0" w:rsidRDefault="00F170D0">
      <w:pPr>
        <w:pStyle w:val="TOC4"/>
        <w:rPr>
          <w:rFonts w:eastAsiaTheme="minorEastAsia"/>
          <w:b w:val="0"/>
          <w:noProof/>
          <w:color w:val="auto"/>
          <w:kern w:val="2"/>
          <w:sz w:val="24"/>
          <w:szCs w:val="24"/>
          <w:lang w:eastAsia="en-AU"/>
          <w14:ligatures w14:val="standardContextual"/>
        </w:rPr>
      </w:pPr>
      <w:hyperlink w:anchor="_Toc226448336" w:history="1">
        <w:r w:rsidRPr="00EA335B">
          <w:rPr>
            <w:rStyle w:val="Hyperlink"/>
            <w:noProof/>
          </w:rPr>
          <w:t>9.</w:t>
        </w:r>
        <w:r>
          <w:rPr>
            <w:rFonts w:eastAsiaTheme="minorEastAsia"/>
            <w:b w:val="0"/>
            <w:noProof/>
            <w:color w:val="auto"/>
            <w:kern w:val="2"/>
            <w:sz w:val="24"/>
            <w:szCs w:val="24"/>
            <w:lang w:eastAsia="en-AU"/>
            <w14:ligatures w14:val="standardContextual"/>
          </w:rPr>
          <w:tab/>
        </w:r>
        <w:r w:rsidRPr="00EA335B">
          <w:rPr>
            <w:rStyle w:val="Hyperlink"/>
            <w:noProof/>
          </w:rPr>
          <w:t>Evaluation</w:t>
        </w:r>
        <w:r>
          <w:rPr>
            <w:noProof/>
            <w:webHidden/>
          </w:rPr>
          <w:tab/>
        </w:r>
        <w:r>
          <w:rPr>
            <w:noProof/>
            <w:webHidden/>
          </w:rPr>
          <w:fldChar w:fldCharType="begin"/>
        </w:r>
        <w:r>
          <w:rPr>
            <w:noProof/>
            <w:webHidden/>
          </w:rPr>
          <w:instrText xml:space="preserve"> PAGEREF _Toc226448336 \h </w:instrText>
        </w:r>
        <w:r>
          <w:rPr>
            <w:noProof/>
            <w:webHidden/>
          </w:rPr>
        </w:r>
        <w:r>
          <w:rPr>
            <w:noProof/>
            <w:webHidden/>
          </w:rPr>
          <w:fldChar w:fldCharType="separate"/>
        </w:r>
        <w:r>
          <w:rPr>
            <w:noProof/>
            <w:webHidden/>
          </w:rPr>
          <w:t>71</w:t>
        </w:r>
        <w:r>
          <w:rPr>
            <w:noProof/>
            <w:webHidden/>
          </w:rPr>
          <w:fldChar w:fldCharType="end"/>
        </w:r>
      </w:hyperlink>
    </w:p>
    <w:p w14:paraId="7314A9D3" w14:textId="3CA539F3" w:rsidR="00F170D0" w:rsidRDefault="00F170D0">
      <w:pPr>
        <w:pStyle w:val="TOC4"/>
        <w:rPr>
          <w:rFonts w:eastAsiaTheme="minorEastAsia"/>
          <w:b w:val="0"/>
          <w:noProof/>
          <w:color w:val="auto"/>
          <w:kern w:val="2"/>
          <w:sz w:val="24"/>
          <w:szCs w:val="24"/>
          <w:lang w:eastAsia="en-AU"/>
          <w14:ligatures w14:val="standardContextual"/>
        </w:rPr>
      </w:pPr>
      <w:hyperlink w:anchor="_Toc226448337" w:history="1">
        <w:r w:rsidRPr="00EA335B">
          <w:rPr>
            <w:rStyle w:val="Hyperlink"/>
            <w:noProof/>
          </w:rPr>
          <w:t>10.</w:t>
        </w:r>
        <w:r>
          <w:rPr>
            <w:rFonts w:eastAsiaTheme="minorEastAsia"/>
            <w:b w:val="0"/>
            <w:noProof/>
            <w:color w:val="auto"/>
            <w:kern w:val="2"/>
            <w:sz w:val="24"/>
            <w:szCs w:val="24"/>
            <w:lang w:eastAsia="en-AU"/>
            <w14:ligatures w14:val="standardContextual"/>
          </w:rPr>
          <w:tab/>
        </w:r>
        <w:r w:rsidRPr="00EA335B">
          <w:rPr>
            <w:rStyle w:val="Hyperlink"/>
            <w:noProof/>
          </w:rPr>
          <w:t>Consultation</w:t>
        </w:r>
        <w:r>
          <w:rPr>
            <w:noProof/>
            <w:webHidden/>
          </w:rPr>
          <w:tab/>
        </w:r>
        <w:r>
          <w:rPr>
            <w:noProof/>
            <w:webHidden/>
          </w:rPr>
          <w:fldChar w:fldCharType="begin"/>
        </w:r>
        <w:r>
          <w:rPr>
            <w:noProof/>
            <w:webHidden/>
          </w:rPr>
          <w:instrText xml:space="preserve"> PAGEREF _Toc226448337 \h </w:instrText>
        </w:r>
        <w:r>
          <w:rPr>
            <w:noProof/>
            <w:webHidden/>
          </w:rPr>
        </w:r>
        <w:r>
          <w:rPr>
            <w:noProof/>
            <w:webHidden/>
          </w:rPr>
          <w:fldChar w:fldCharType="separate"/>
        </w:r>
        <w:r>
          <w:rPr>
            <w:noProof/>
            <w:webHidden/>
          </w:rPr>
          <w:t>72</w:t>
        </w:r>
        <w:r>
          <w:rPr>
            <w:noProof/>
            <w:webHidden/>
          </w:rPr>
          <w:fldChar w:fldCharType="end"/>
        </w:r>
      </w:hyperlink>
    </w:p>
    <w:p w14:paraId="7AC3FEAE" w14:textId="6B95E8CD" w:rsidR="00F170D0" w:rsidRDefault="00F170D0">
      <w:pPr>
        <w:pStyle w:val="TOC1"/>
        <w:rPr>
          <w:rFonts w:eastAsiaTheme="minorEastAsia"/>
          <w:b w:val="0"/>
          <w:noProof/>
          <w:color w:val="auto"/>
          <w:kern w:val="2"/>
          <w:sz w:val="24"/>
          <w:szCs w:val="24"/>
          <w:lang w:eastAsia="en-AU"/>
          <w14:ligatures w14:val="standardContextual"/>
        </w:rPr>
      </w:pPr>
      <w:hyperlink w:anchor="_Toc226448338" w:history="1">
        <w:r w:rsidRPr="00EA335B">
          <w:rPr>
            <w:rStyle w:val="Hyperlink"/>
            <w:noProof/>
          </w:rPr>
          <w:t>Appendix 1 – Cost recovery</w:t>
        </w:r>
        <w:r>
          <w:rPr>
            <w:noProof/>
            <w:webHidden/>
          </w:rPr>
          <w:tab/>
        </w:r>
        <w:r>
          <w:rPr>
            <w:noProof/>
            <w:webHidden/>
          </w:rPr>
          <w:fldChar w:fldCharType="begin"/>
        </w:r>
        <w:r>
          <w:rPr>
            <w:noProof/>
            <w:webHidden/>
          </w:rPr>
          <w:instrText xml:space="preserve"> PAGEREF _Toc226448338 \h </w:instrText>
        </w:r>
        <w:r>
          <w:rPr>
            <w:noProof/>
            <w:webHidden/>
          </w:rPr>
        </w:r>
        <w:r>
          <w:rPr>
            <w:noProof/>
            <w:webHidden/>
          </w:rPr>
          <w:fldChar w:fldCharType="separate"/>
        </w:r>
        <w:r>
          <w:rPr>
            <w:noProof/>
            <w:webHidden/>
          </w:rPr>
          <w:t>73</w:t>
        </w:r>
        <w:r>
          <w:rPr>
            <w:noProof/>
            <w:webHidden/>
          </w:rPr>
          <w:fldChar w:fldCharType="end"/>
        </w:r>
      </w:hyperlink>
    </w:p>
    <w:p w14:paraId="4C0E634E" w14:textId="3273B41E" w:rsidR="00F170D0" w:rsidRDefault="00F170D0">
      <w:pPr>
        <w:pStyle w:val="TOC2"/>
        <w:rPr>
          <w:rFonts w:eastAsiaTheme="minorEastAsia"/>
          <w:noProof/>
          <w:color w:val="auto"/>
          <w:kern w:val="2"/>
          <w:sz w:val="24"/>
          <w:szCs w:val="24"/>
          <w:lang w:eastAsia="en-AU"/>
          <w14:ligatures w14:val="standardContextual"/>
        </w:rPr>
      </w:pPr>
      <w:hyperlink w:anchor="_Toc226448339" w:history="1">
        <w:r w:rsidRPr="00EA335B">
          <w:rPr>
            <w:rStyle w:val="Hyperlink"/>
            <w:noProof/>
          </w:rPr>
          <w:t>General principles of cost recovery</w:t>
        </w:r>
        <w:r>
          <w:rPr>
            <w:noProof/>
            <w:webHidden/>
          </w:rPr>
          <w:tab/>
        </w:r>
        <w:r>
          <w:rPr>
            <w:noProof/>
            <w:webHidden/>
          </w:rPr>
          <w:fldChar w:fldCharType="begin"/>
        </w:r>
        <w:r>
          <w:rPr>
            <w:noProof/>
            <w:webHidden/>
          </w:rPr>
          <w:instrText xml:space="preserve"> PAGEREF _Toc226448339 \h </w:instrText>
        </w:r>
        <w:r>
          <w:rPr>
            <w:noProof/>
            <w:webHidden/>
          </w:rPr>
        </w:r>
        <w:r>
          <w:rPr>
            <w:noProof/>
            <w:webHidden/>
          </w:rPr>
          <w:fldChar w:fldCharType="separate"/>
        </w:r>
        <w:r>
          <w:rPr>
            <w:noProof/>
            <w:webHidden/>
          </w:rPr>
          <w:t>73</w:t>
        </w:r>
        <w:r>
          <w:rPr>
            <w:noProof/>
            <w:webHidden/>
          </w:rPr>
          <w:fldChar w:fldCharType="end"/>
        </w:r>
      </w:hyperlink>
    </w:p>
    <w:p w14:paraId="5F04782F" w14:textId="57DAF4FD" w:rsidR="00F170D0" w:rsidRDefault="00F170D0">
      <w:pPr>
        <w:pStyle w:val="TOC2"/>
        <w:rPr>
          <w:rFonts w:eastAsiaTheme="minorEastAsia"/>
          <w:noProof/>
          <w:color w:val="auto"/>
          <w:kern w:val="2"/>
          <w:sz w:val="24"/>
          <w:szCs w:val="24"/>
          <w:lang w:eastAsia="en-AU"/>
          <w14:ligatures w14:val="standardContextual"/>
        </w:rPr>
      </w:pPr>
      <w:hyperlink w:anchor="_Toc226448340" w:history="1">
        <w:r w:rsidRPr="00EA335B">
          <w:rPr>
            <w:rStyle w:val="Hyperlink"/>
            <w:noProof/>
          </w:rPr>
          <w:t>Current legislative and regulatory requirements</w:t>
        </w:r>
        <w:r>
          <w:rPr>
            <w:noProof/>
            <w:webHidden/>
          </w:rPr>
          <w:tab/>
        </w:r>
        <w:r>
          <w:rPr>
            <w:noProof/>
            <w:webHidden/>
          </w:rPr>
          <w:fldChar w:fldCharType="begin"/>
        </w:r>
        <w:r>
          <w:rPr>
            <w:noProof/>
            <w:webHidden/>
          </w:rPr>
          <w:instrText xml:space="preserve"> PAGEREF _Toc226448340 \h </w:instrText>
        </w:r>
        <w:r>
          <w:rPr>
            <w:noProof/>
            <w:webHidden/>
          </w:rPr>
        </w:r>
        <w:r>
          <w:rPr>
            <w:noProof/>
            <w:webHidden/>
          </w:rPr>
          <w:fldChar w:fldCharType="separate"/>
        </w:r>
        <w:r>
          <w:rPr>
            <w:noProof/>
            <w:webHidden/>
          </w:rPr>
          <w:t>73</w:t>
        </w:r>
        <w:r>
          <w:rPr>
            <w:noProof/>
            <w:webHidden/>
          </w:rPr>
          <w:fldChar w:fldCharType="end"/>
        </w:r>
      </w:hyperlink>
    </w:p>
    <w:p w14:paraId="49837C8A" w14:textId="31C54BFE" w:rsidR="00F170D0" w:rsidRDefault="00F170D0">
      <w:pPr>
        <w:pStyle w:val="TOC3"/>
        <w:rPr>
          <w:rFonts w:eastAsiaTheme="minorEastAsia"/>
          <w:noProof/>
          <w:color w:val="auto"/>
          <w:kern w:val="2"/>
          <w:sz w:val="24"/>
          <w:szCs w:val="24"/>
          <w:lang w:eastAsia="en-AU"/>
          <w14:ligatures w14:val="standardContextual"/>
        </w:rPr>
      </w:pPr>
      <w:hyperlink w:anchor="_Toc226448341" w:history="1">
        <w:r w:rsidRPr="00EA335B">
          <w:rPr>
            <w:rStyle w:val="Hyperlink"/>
            <w:noProof/>
          </w:rPr>
          <w:t>Proposed works applications</w:t>
        </w:r>
        <w:r>
          <w:rPr>
            <w:noProof/>
            <w:webHidden/>
          </w:rPr>
          <w:tab/>
        </w:r>
        <w:r>
          <w:rPr>
            <w:noProof/>
            <w:webHidden/>
          </w:rPr>
          <w:fldChar w:fldCharType="begin"/>
        </w:r>
        <w:r>
          <w:rPr>
            <w:noProof/>
            <w:webHidden/>
          </w:rPr>
          <w:instrText xml:space="preserve"> PAGEREF _Toc226448341 \h </w:instrText>
        </w:r>
        <w:r>
          <w:rPr>
            <w:noProof/>
            <w:webHidden/>
          </w:rPr>
        </w:r>
        <w:r>
          <w:rPr>
            <w:noProof/>
            <w:webHidden/>
          </w:rPr>
          <w:fldChar w:fldCharType="separate"/>
        </w:r>
        <w:r>
          <w:rPr>
            <w:noProof/>
            <w:webHidden/>
          </w:rPr>
          <w:t>73</w:t>
        </w:r>
        <w:r>
          <w:rPr>
            <w:noProof/>
            <w:webHidden/>
          </w:rPr>
          <w:fldChar w:fldCharType="end"/>
        </w:r>
      </w:hyperlink>
    </w:p>
    <w:p w14:paraId="544D8F53" w14:textId="3C371359" w:rsidR="00F170D0" w:rsidRDefault="00F170D0">
      <w:pPr>
        <w:pStyle w:val="TOC3"/>
        <w:rPr>
          <w:rFonts w:eastAsiaTheme="minorEastAsia"/>
          <w:noProof/>
          <w:color w:val="auto"/>
          <w:kern w:val="2"/>
          <w:sz w:val="24"/>
          <w:szCs w:val="24"/>
          <w:lang w:eastAsia="en-AU"/>
          <w14:ligatures w14:val="standardContextual"/>
        </w:rPr>
      </w:pPr>
      <w:hyperlink w:anchor="_Toc226448342" w:history="1">
        <w:r w:rsidRPr="00EA335B">
          <w:rPr>
            <w:rStyle w:val="Hyperlink"/>
            <w:noProof/>
          </w:rPr>
          <w:t>Property enquiries</w:t>
        </w:r>
        <w:r>
          <w:rPr>
            <w:noProof/>
            <w:webHidden/>
          </w:rPr>
          <w:tab/>
        </w:r>
        <w:r>
          <w:rPr>
            <w:noProof/>
            <w:webHidden/>
          </w:rPr>
          <w:fldChar w:fldCharType="begin"/>
        </w:r>
        <w:r>
          <w:rPr>
            <w:noProof/>
            <w:webHidden/>
          </w:rPr>
          <w:instrText xml:space="preserve"> PAGEREF _Toc226448342 \h </w:instrText>
        </w:r>
        <w:r>
          <w:rPr>
            <w:noProof/>
            <w:webHidden/>
          </w:rPr>
        </w:r>
        <w:r>
          <w:rPr>
            <w:noProof/>
            <w:webHidden/>
          </w:rPr>
          <w:fldChar w:fldCharType="separate"/>
        </w:r>
        <w:r>
          <w:rPr>
            <w:noProof/>
            <w:webHidden/>
          </w:rPr>
          <w:t>74</w:t>
        </w:r>
        <w:r>
          <w:rPr>
            <w:noProof/>
            <w:webHidden/>
          </w:rPr>
          <w:fldChar w:fldCharType="end"/>
        </w:r>
      </w:hyperlink>
    </w:p>
    <w:p w14:paraId="3E805126" w14:textId="70B46A6B" w:rsidR="00F170D0" w:rsidRDefault="00F170D0">
      <w:pPr>
        <w:pStyle w:val="TOC3"/>
        <w:rPr>
          <w:rFonts w:eastAsiaTheme="minorEastAsia"/>
          <w:noProof/>
          <w:color w:val="auto"/>
          <w:kern w:val="2"/>
          <w:sz w:val="24"/>
          <w:szCs w:val="24"/>
          <w:lang w:eastAsia="en-AU"/>
          <w14:ligatures w14:val="standardContextual"/>
        </w:rPr>
      </w:pPr>
      <w:hyperlink w:anchor="_Toc226448343" w:history="1">
        <w:r w:rsidRPr="00EA335B">
          <w:rPr>
            <w:rStyle w:val="Hyperlink"/>
            <w:noProof/>
          </w:rPr>
          <w:t>Hoardings and advertisements applications</w:t>
        </w:r>
        <w:r>
          <w:rPr>
            <w:noProof/>
            <w:webHidden/>
          </w:rPr>
          <w:tab/>
        </w:r>
        <w:r>
          <w:rPr>
            <w:noProof/>
            <w:webHidden/>
          </w:rPr>
          <w:fldChar w:fldCharType="begin"/>
        </w:r>
        <w:r>
          <w:rPr>
            <w:noProof/>
            <w:webHidden/>
          </w:rPr>
          <w:instrText xml:space="preserve"> PAGEREF _Toc226448343 \h </w:instrText>
        </w:r>
        <w:r>
          <w:rPr>
            <w:noProof/>
            <w:webHidden/>
          </w:rPr>
        </w:r>
        <w:r>
          <w:rPr>
            <w:noProof/>
            <w:webHidden/>
          </w:rPr>
          <w:fldChar w:fldCharType="separate"/>
        </w:r>
        <w:r>
          <w:rPr>
            <w:noProof/>
            <w:webHidden/>
          </w:rPr>
          <w:t>75</w:t>
        </w:r>
        <w:r>
          <w:rPr>
            <w:noProof/>
            <w:webHidden/>
          </w:rPr>
          <w:fldChar w:fldCharType="end"/>
        </w:r>
      </w:hyperlink>
    </w:p>
    <w:p w14:paraId="5BB5EB28" w14:textId="06269455" w:rsidR="00F170D0" w:rsidRDefault="00F170D0">
      <w:pPr>
        <w:pStyle w:val="TOC3"/>
        <w:rPr>
          <w:rFonts w:eastAsiaTheme="minorEastAsia"/>
          <w:noProof/>
          <w:color w:val="auto"/>
          <w:kern w:val="2"/>
          <w:sz w:val="24"/>
          <w:szCs w:val="24"/>
          <w:lang w:eastAsia="en-AU"/>
          <w14:ligatures w14:val="standardContextual"/>
        </w:rPr>
      </w:pPr>
      <w:hyperlink w:anchor="_Toc226448344" w:history="1">
        <w:r w:rsidRPr="00EA335B">
          <w:rPr>
            <w:rStyle w:val="Hyperlink"/>
            <w:noProof/>
          </w:rPr>
          <w:t>Release of objects removed from roads</w:t>
        </w:r>
        <w:r>
          <w:rPr>
            <w:noProof/>
            <w:webHidden/>
          </w:rPr>
          <w:tab/>
        </w:r>
        <w:r>
          <w:rPr>
            <w:noProof/>
            <w:webHidden/>
          </w:rPr>
          <w:fldChar w:fldCharType="begin"/>
        </w:r>
        <w:r>
          <w:rPr>
            <w:noProof/>
            <w:webHidden/>
          </w:rPr>
          <w:instrText xml:space="preserve"> PAGEREF _Toc226448344 \h </w:instrText>
        </w:r>
        <w:r>
          <w:rPr>
            <w:noProof/>
            <w:webHidden/>
          </w:rPr>
        </w:r>
        <w:r>
          <w:rPr>
            <w:noProof/>
            <w:webHidden/>
          </w:rPr>
          <w:fldChar w:fldCharType="separate"/>
        </w:r>
        <w:r>
          <w:rPr>
            <w:noProof/>
            <w:webHidden/>
          </w:rPr>
          <w:t>75</w:t>
        </w:r>
        <w:r>
          <w:rPr>
            <w:noProof/>
            <w:webHidden/>
          </w:rPr>
          <w:fldChar w:fldCharType="end"/>
        </w:r>
      </w:hyperlink>
    </w:p>
    <w:p w14:paraId="6D0B3AE4" w14:textId="7355D1F2" w:rsidR="00F170D0" w:rsidRDefault="00F170D0">
      <w:pPr>
        <w:pStyle w:val="TOC2"/>
        <w:rPr>
          <w:rFonts w:eastAsiaTheme="minorEastAsia"/>
          <w:noProof/>
          <w:color w:val="auto"/>
          <w:kern w:val="2"/>
          <w:sz w:val="24"/>
          <w:szCs w:val="24"/>
          <w:lang w:eastAsia="en-AU"/>
          <w14:ligatures w14:val="standardContextual"/>
        </w:rPr>
      </w:pPr>
      <w:hyperlink w:anchor="_Toc226448345" w:history="1">
        <w:r w:rsidRPr="00EA335B">
          <w:rPr>
            <w:rStyle w:val="Hyperlink"/>
            <w:noProof/>
          </w:rPr>
          <w:t>Estimating the efficient costs of road management regulation</w:t>
        </w:r>
        <w:r>
          <w:rPr>
            <w:noProof/>
            <w:webHidden/>
          </w:rPr>
          <w:tab/>
        </w:r>
        <w:r>
          <w:rPr>
            <w:noProof/>
            <w:webHidden/>
          </w:rPr>
          <w:fldChar w:fldCharType="begin"/>
        </w:r>
        <w:r>
          <w:rPr>
            <w:noProof/>
            <w:webHidden/>
          </w:rPr>
          <w:instrText xml:space="preserve"> PAGEREF _Toc226448345 \h </w:instrText>
        </w:r>
        <w:r>
          <w:rPr>
            <w:noProof/>
            <w:webHidden/>
          </w:rPr>
        </w:r>
        <w:r>
          <w:rPr>
            <w:noProof/>
            <w:webHidden/>
          </w:rPr>
          <w:fldChar w:fldCharType="separate"/>
        </w:r>
        <w:r>
          <w:rPr>
            <w:noProof/>
            <w:webHidden/>
          </w:rPr>
          <w:t>75</w:t>
        </w:r>
        <w:r>
          <w:rPr>
            <w:noProof/>
            <w:webHidden/>
          </w:rPr>
          <w:fldChar w:fldCharType="end"/>
        </w:r>
      </w:hyperlink>
    </w:p>
    <w:p w14:paraId="62DF231A" w14:textId="245E41FD" w:rsidR="00F170D0" w:rsidRDefault="00F170D0">
      <w:pPr>
        <w:pStyle w:val="TOC3"/>
        <w:rPr>
          <w:rFonts w:eastAsiaTheme="minorEastAsia"/>
          <w:noProof/>
          <w:color w:val="auto"/>
          <w:kern w:val="2"/>
          <w:sz w:val="24"/>
          <w:szCs w:val="24"/>
          <w:lang w:eastAsia="en-AU"/>
          <w14:ligatures w14:val="standardContextual"/>
        </w:rPr>
      </w:pPr>
      <w:hyperlink w:anchor="_Toc226448346" w:history="1">
        <w:r w:rsidRPr="00EA335B">
          <w:rPr>
            <w:rStyle w:val="Hyperlink"/>
            <w:noProof/>
          </w:rPr>
          <w:t>Proposed works applications</w:t>
        </w:r>
        <w:r>
          <w:rPr>
            <w:noProof/>
            <w:webHidden/>
          </w:rPr>
          <w:tab/>
        </w:r>
        <w:r>
          <w:rPr>
            <w:noProof/>
            <w:webHidden/>
          </w:rPr>
          <w:fldChar w:fldCharType="begin"/>
        </w:r>
        <w:r>
          <w:rPr>
            <w:noProof/>
            <w:webHidden/>
          </w:rPr>
          <w:instrText xml:space="preserve"> PAGEREF _Toc226448346 \h </w:instrText>
        </w:r>
        <w:r>
          <w:rPr>
            <w:noProof/>
            <w:webHidden/>
          </w:rPr>
        </w:r>
        <w:r>
          <w:rPr>
            <w:noProof/>
            <w:webHidden/>
          </w:rPr>
          <w:fldChar w:fldCharType="separate"/>
        </w:r>
        <w:r>
          <w:rPr>
            <w:noProof/>
            <w:webHidden/>
          </w:rPr>
          <w:t>75</w:t>
        </w:r>
        <w:r>
          <w:rPr>
            <w:noProof/>
            <w:webHidden/>
          </w:rPr>
          <w:fldChar w:fldCharType="end"/>
        </w:r>
      </w:hyperlink>
    </w:p>
    <w:p w14:paraId="25529A67" w14:textId="27F21E47" w:rsidR="00F170D0" w:rsidRDefault="00F170D0">
      <w:pPr>
        <w:pStyle w:val="TOC3"/>
        <w:rPr>
          <w:rFonts w:eastAsiaTheme="minorEastAsia"/>
          <w:noProof/>
          <w:color w:val="auto"/>
          <w:kern w:val="2"/>
          <w:sz w:val="24"/>
          <w:szCs w:val="24"/>
          <w:lang w:eastAsia="en-AU"/>
          <w14:ligatures w14:val="standardContextual"/>
        </w:rPr>
      </w:pPr>
      <w:hyperlink w:anchor="_Toc226448347" w:history="1">
        <w:r w:rsidRPr="00EA335B">
          <w:rPr>
            <w:rStyle w:val="Hyperlink"/>
            <w:noProof/>
          </w:rPr>
          <w:t>Property enquiries</w:t>
        </w:r>
        <w:r>
          <w:rPr>
            <w:noProof/>
            <w:webHidden/>
          </w:rPr>
          <w:tab/>
        </w:r>
        <w:r>
          <w:rPr>
            <w:noProof/>
            <w:webHidden/>
          </w:rPr>
          <w:fldChar w:fldCharType="begin"/>
        </w:r>
        <w:r>
          <w:rPr>
            <w:noProof/>
            <w:webHidden/>
          </w:rPr>
          <w:instrText xml:space="preserve"> PAGEREF _Toc226448347 \h </w:instrText>
        </w:r>
        <w:r>
          <w:rPr>
            <w:noProof/>
            <w:webHidden/>
          </w:rPr>
        </w:r>
        <w:r>
          <w:rPr>
            <w:noProof/>
            <w:webHidden/>
          </w:rPr>
          <w:fldChar w:fldCharType="separate"/>
        </w:r>
        <w:r>
          <w:rPr>
            <w:noProof/>
            <w:webHidden/>
          </w:rPr>
          <w:t>82</w:t>
        </w:r>
        <w:r>
          <w:rPr>
            <w:noProof/>
            <w:webHidden/>
          </w:rPr>
          <w:fldChar w:fldCharType="end"/>
        </w:r>
      </w:hyperlink>
    </w:p>
    <w:p w14:paraId="6CFA21DB" w14:textId="6CA6849A" w:rsidR="00F170D0" w:rsidRDefault="00F170D0">
      <w:pPr>
        <w:pStyle w:val="TOC3"/>
        <w:rPr>
          <w:rFonts w:eastAsiaTheme="minorEastAsia"/>
          <w:noProof/>
          <w:color w:val="auto"/>
          <w:kern w:val="2"/>
          <w:sz w:val="24"/>
          <w:szCs w:val="24"/>
          <w:lang w:eastAsia="en-AU"/>
          <w14:ligatures w14:val="standardContextual"/>
        </w:rPr>
      </w:pPr>
      <w:hyperlink w:anchor="_Toc226448348" w:history="1">
        <w:r w:rsidRPr="00EA335B">
          <w:rPr>
            <w:rStyle w:val="Hyperlink"/>
            <w:noProof/>
          </w:rPr>
          <w:t>Hoardings and advertisements applications</w:t>
        </w:r>
        <w:r>
          <w:rPr>
            <w:noProof/>
            <w:webHidden/>
          </w:rPr>
          <w:tab/>
        </w:r>
        <w:r>
          <w:rPr>
            <w:noProof/>
            <w:webHidden/>
          </w:rPr>
          <w:fldChar w:fldCharType="begin"/>
        </w:r>
        <w:r>
          <w:rPr>
            <w:noProof/>
            <w:webHidden/>
          </w:rPr>
          <w:instrText xml:space="preserve"> PAGEREF _Toc226448348 \h </w:instrText>
        </w:r>
        <w:r>
          <w:rPr>
            <w:noProof/>
            <w:webHidden/>
          </w:rPr>
        </w:r>
        <w:r>
          <w:rPr>
            <w:noProof/>
            <w:webHidden/>
          </w:rPr>
          <w:fldChar w:fldCharType="separate"/>
        </w:r>
        <w:r>
          <w:rPr>
            <w:noProof/>
            <w:webHidden/>
          </w:rPr>
          <w:t>84</w:t>
        </w:r>
        <w:r>
          <w:rPr>
            <w:noProof/>
            <w:webHidden/>
          </w:rPr>
          <w:fldChar w:fldCharType="end"/>
        </w:r>
      </w:hyperlink>
    </w:p>
    <w:p w14:paraId="11054368" w14:textId="52F1B07D" w:rsidR="007D2402" w:rsidRDefault="00F7790A">
      <w:r>
        <w:fldChar w:fldCharType="end"/>
      </w:r>
    </w:p>
    <w:p w14:paraId="574BF7E3" w14:textId="40345063" w:rsidR="003A4E90" w:rsidRDefault="002C0F49" w:rsidP="002C0F49">
      <w:pPr>
        <w:pStyle w:val="TOCHeading"/>
      </w:pPr>
      <w:r>
        <w:t>Tables</w:t>
      </w:r>
    </w:p>
    <w:p w14:paraId="36946DBC" w14:textId="0974ACDE" w:rsidR="00F170D0" w:rsidRDefault="00B80977">
      <w:pPr>
        <w:pStyle w:val="TableofFigures"/>
        <w:rPr>
          <w:rFonts w:eastAsiaTheme="minorEastAsia"/>
          <w:noProof/>
          <w:color w:val="auto"/>
          <w:kern w:val="2"/>
          <w:sz w:val="24"/>
          <w:szCs w:val="24"/>
          <w:lang w:eastAsia="en-AU"/>
          <w14:ligatures w14:val="standardContextual"/>
        </w:rPr>
      </w:pPr>
      <w:r>
        <w:fldChar w:fldCharType="begin"/>
      </w:r>
      <w:r>
        <w:instrText xml:space="preserve"> TOC \h \z \c "Table" </w:instrText>
      </w:r>
      <w:r>
        <w:fldChar w:fldCharType="separate"/>
      </w:r>
      <w:hyperlink w:anchor="_Toc226448349" w:history="1">
        <w:r w:rsidR="00F170D0" w:rsidRPr="008D1E94">
          <w:rPr>
            <w:rStyle w:val="Hyperlink"/>
            <w:noProof/>
          </w:rPr>
          <w:t>Table 1 – Road types and responsible road authorities Victoria</w:t>
        </w:r>
        <w:r w:rsidR="00F170D0">
          <w:rPr>
            <w:noProof/>
            <w:webHidden/>
          </w:rPr>
          <w:tab/>
        </w:r>
        <w:r w:rsidR="00F170D0">
          <w:rPr>
            <w:noProof/>
            <w:webHidden/>
          </w:rPr>
          <w:fldChar w:fldCharType="begin"/>
        </w:r>
        <w:r w:rsidR="00F170D0">
          <w:rPr>
            <w:noProof/>
            <w:webHidden/>
          </w:rPr>
          <w:instrText xml:space="preserve"> PAGEREF _Toc226448349 \h </w:instrText>
        </w:r>
        <w:r w:rsidR="00F170D0">
          <w:rPr>
            <w:noProof/>
            <w:webHidden/>
          </w:rPr>
        </w:r>
        <w:r w:rsidR="00F170D0">
          <w:rPr>
            <w:noProof/>
            <w:webHidden/>
          </w:rPr>
          <w:fldChar w:fldCharType="separate"/>
        </w:r>
        <w:r w:rsidR="00F170D0">
          <w:rPr>
            <w:noProof/>
            <w:webHidden/>
          </w:rPr>
          <w:t>19</w:t>
        </w:r>
        <w:r w:rsidR="00F170D0">
          <w:rPr>
            <w:noProof/>
            <w:webHidden/>
          </w:rPr>
          <w:fldChar w:fldCharType="end"/>
        </w:r>
      </w:hyperlink>
    </w:p>
    <w:p w14:paraId="7742831C" w14:textId="30EF6404" w:rsidR="00F170D0" w:rsidRDefault="00F170D0">
      <w:pPr>
        <w:pStyle w:val="TableofFigures"/>
        <w:rPr>
          <w:rFonts w:eastAsiaTheme="minorEastAsia"/>
          <w:noProof/>
          <w:color w:val="auto"/>
          <w:kern w:val="2"/>
          <w:sz w:val="24"/>
          <w:szCs w:val="24"/>
          <w:lang w:eastAsia="en-AU"/>
          <w14:ligatures w14:val="standardContextual"/>
        </w:rPr>
      </w:pPr>
      <w:hyperlink w:anchor="_Toc226448350" w:history="1">
        <w:r w:rsidRPr="008D1E94">
          <w:rPr>
            <w:rStyle w:val="Hyperlink"/>
            <w:noProof/>
          </w:rPr>
          <w:t>Table 2 – Estimated consent for works application fee revenue and costs for the Department (metro only) in 2024</w:t>
        </w:r>
        <w:r>
          <w:rPr>
            <w:noProof/>
            <w:webHidden/>
          </w:rPr>
          <w:tab/>
        </w:r>
        <w:r>
          <w:rPr>
            <w:noProof/>
            <w:webHidden/>
          </w:rPr>
          <w:fldChar w:fldCharType="begin"/>
        </w:r>
        <w:r>
          <w:rPr>
            <w:noProof/>
            <w:webHidden/>
          </w:rPr>
          <w:instrText xml:space="preserve"> PAGEREF _Toc226448350 \h </w:instrText>
        </w:r>
        <w:r>
          <w:rPr>
            <w:noProof/>
            <w:webHidden/>
          </w:rPr>
        </w:r>
        <w:r>
          <w:rPr>
            <w:noProof/>
            <w:webHidden/>
          </w:rPr>
          <w:fldChar w:fldCharType="separate"/>
        </w:r>
        <w:r>
          <w:rPr>
            <w:noProof/>
            <w:webHidden/>
          </w:rPr>
          <w:t>40</w:t>
        </w:r>
        <w:r>
          <w:rPr>
            <w:noProof/>
            <w:webHidden/>
          </w:rPr>
          <w:fldChar w:fldCharType="end"/>
        </w:r>
      </w:hyperlink>
    </w:p>
    <w:p w14:paraId="4DACC3C1" w14:textId="2E7DEBF8" w:rsidR="00F170D0" w:rsidRDefault="00F170D0">
      <w:pPr>
        <w:pStyle w:val="TableofFigures"/>
        <w:rPr>
          <w:rFonts w:eastAsiaTheme="minorEastAsia"/>
          <w:noProof/>
          <w:color w:val="auto"/>
          <w:kern w:val="2"/>
          <w:sz w:val="24"/>
          <w:szCs w:val="24"/>
          <w:lang w:eastAsia="en-AU"/>
          <w14:ligatures w14:val="standardContextual"/>
        </w:rPr>
      </w:pPr>
      <w:hyperlink w:anchor="_Toc226448351" w:history="1">
        <w:r w:rsidRPr="008D1E94">
          <w:rPr>
            <w:rStyle w:val="Hyperlink"/>
            <w:noProof/>
          </w:rPr>
          <w:t>Table 3 – Estimated property enquiry fee revenue and costs for the Department (metro only) in 2024/25</w:t>
        </w:r>
        <w:r>
          <w:rPr>
            <w:noProof/>
            <w:webHidden/>
          </w:rPr>
          <w:tab/>
        </w:r>
        <w:r>
          <w:rPr>
            <w:noProof/>
            <w:webHidden/>
          </w:rPr>
          <w:fldChar w:fldCharType="begin"/>
        </w:r>
        <w:r>
          <w:rPr>
            <w:noProof/>
            <w:webHidden/>
          </w:rPr>
          <w:instrText xml:space="preserve"> PAGEREF _Toc226448351 \h </w:instrText>
        </w:r>
        <w:r>
          <w:rPr>
            <w:noProof/>
            <w:webHidden/>
          </w:rPr>
        </w:r>
        <w:r>
          <w:rPr>
            <w:noProof/>
            <w:webHidden/>
          </w:rPr>
          <w:fldChar w:fldCharType="separate"/>
        </w:r>
        <w:r>
          <w:rPr>
            <w:noProof/>
            <w:webHidden/>
          </w:rPr>
          <w:t>41</w:t>
        </w:r>
        <w:r>
          <w:rPr>
            <w:noProof/>
            <w:webHidden/>
          </w:rPr>
          <w:fldChar w:fldCharType="end"/>
        </w:r>
      </w:hyperlink>
    </w:p>
    <w:p w14:paraId="77DEA33E" w14:textId="32A65977" w:rsidR="00F170D0" w:rsidRDefault="00F170D0">
      <w:pPr>
        <w:pStyle w:val="TableofFigures"/>
        <w:rPr>
          <w:rFonts w:eastAsiaTheme="minorEastAsia"/>
          <w:noProof/>
          <w:color w:val="auto"/>
          <w:kern w:val="2"/>
          <w:sz w:val="24"/>
          <w:szCs w:val="24"/>
          <w:lang w:eastAsia="en-AU"/>
          <w14:ligatures w14:val="standardContextual"/>
        </w:rPr>
      </w:pPr>
      <w:hyperlink w:anchor="_Toc226448352" w:history="1">
        <w:r w:rsidRPr="008D1E94">
          <w:rPr>
            <w:rStyle w:val="Hyperlink"/>
            <w:noProof/>
          </w:rPr>
          <w:t>Table 4 – Summary of fee options</w:t>
        </w:r>
        <w:r>
          <w:rPr>
            <w:noProof/>
            <w:webHidden/>
          </w:rPr>
          <w:tab/>
        </w:r>
        <w:r>
          <w:rPr>
            <w:noProof/>
            <w:webHidden/>
          </w:rPr>
          <w:fldChar w:fldCharType="begin"/>
        </w:r>
        <w:r>
          <w:rPr>
            <w:noProof/>
            <w:webHidden/>
          </w:rPr>
          <w:instrText xml:space="preserve"> PAGEREF _Toc226448352 \h </w:instrText>
        </w:r>
        <w:r>
          <w:rPr>
            <w:noProof/>
            <w:webHidden/>
          </w:rPr>
        </w:r>
        <w:r>
          <w:rPr>
            <w:noProof/>
            <w:webHidden/>
          </w:rPr>
          <w:fldChar w:fldCharType="separate"/>
        </w:r>
        <w:r>
          <w:rPr>
            <w:noProof/>
            <w:webHidden/>
          </w:rPr>
          <w:t>50</w:t>
        </w:r>
        <w:r>
          <w:rPr>
            <w:noProof/>
            <w:webHidden/>
          </w:rPr>
          <w:fldChar w:fldCharType="end"/>
        </w:r>
      </w:hyperlink>
    </w:p>
    <w:p w14:paraId="33298373" w14:textId="7ECAB4D8" w:rsidR="00F170D0" w:rsidRDefault="00F170D0">
      <w:pPr>
        <w:pStyle w:val="TableofFigures"/>
        <w:rPr>
          <w:rFonts w:eastAsiaTheme="minorEastAsia"/>
          <w:noProof/>
          <w:color w:val="auto"/>
          <w:kern w:val="2"/>
          <w:sz w:val="24"/>
          <w:szCs w:val="24"/>
          <w:lang w:eastAsia="en-AU"/>
          <w14:ligatures w14:val="standardContextual"/>
        </w:rPr>
      </w:pPr>
      <w:hyperlink w:anchor="_Toc226448353" w:history="1">
        <w:r w:rsidRPr="008D1E94">
          <w:rPr>
            <w:rStyle w:val="Hyperlink"/>
            <w:noProof/>
          </w:rPr>
          <w:t>Table 5 – MCA framework criteria and weightings</w:t>
        </w:r>
        <w:r>
          <w:rPr>
            <w:noProof/>
            <w:webHidden/>
          </w:rPr>
          <w:tab/>
        </w:r>
        <w:r>
          <w:rPr>
            <w:noProof/>
            <w:webHidden/>
          </w:rPr>
          <w:fldChar w:fldCharType="begin"/>
        </w:r>
        <w:r>
          <w:rPr>
            <w:noProof/>
            <w:webHidden/>
          </w:rPr>
          <w:instrText xml:space="preserve"> PAGEREF _Toc226448353 \h </w:instrText>
        </w:r>
        <w:r>
          <w:rPr>
            <w:noProof/>
            <w:webHidden/>
          </w:rPr>
        </w:r>
        <w:r>
          <w:rPr>
            <w:noProof/>
            <w:webHidden/>
          </w:rPr>
          <w:fldChar w:fldCharType="separate"/>
        </w:r>
        <w:r>
          <w:rPr>
            <w:noProof/>
            <w:webHidden/>
          </w:rPr>
          <w:t>54</w:t>
        </w:r>
        <w:r>
          <w:rPr>
            <w:noProof/>
            <w:webHidden/>
          </w:rPr>
          <w:fldChar w:fldCharType="end"/>
        </w:r>
      </w:hyperlink>
    </w:p>
    <w:p w14:paraId="5AA4AB6B" w14:textId="37C0854D" w:rsidR="00F170D0" w:rsidRDefault="00F170D0">
      <w:pPr>
        <w:pStyle w:val="TableofFigures"/>
        <w:rPr>
          <w:rFonts w:eastAsiaTheme="minorEastAsia"/>
          <w:noProof/>
          <w:color w:val="auto"/>
          <w:kern w:val="2"/>
          <w:sz w:val="24"/>
          <w:szCs w:val="24"/>
          <w:lang w:eastAsia="en-AU"/>
          <w14:ligatures w14:val="standardContextual"/>
        </w:rPr>
      </w:pPr>
      <w:hyperlink w:anchor="_Toc226448354" w:history="1">
        <w:r w:rsidRPr="008D1E94">
          <w:rPr>
            <w:rStyle w:val="Hyperlink"/>
            <w:noProof/>
          </w:rPr>
          <w:t>Table 6 – MCA scoring framework</w:t>
        </w:r>
        <w:r>
          <w:rPr>
            <w:noProof/>
            <w:webHidden/>
          </w:rPr>
          <w:tab/>
        </w:r>
        <w:r>
          <w:rPr>
            <w:noProof/>
            <w:webHidden/>
          </w:rPr>
          <w:fldChar w:fldCharType="begin"/>
        </w:r>
        <w:r>
          <w:rPr>
            <w:noProof/>
            <w:webHidden/>
          </w:rPr>
          <w:instrText xml:space="preserve"> PAGEREF _Toc226448354 \h </w:instrText>
        </w:r>
        <w:r>
          <w:rPr>
            <w:noProof/>
            <w:webHidden/>
          </w:rPr>
        </w:r>
        <w:r>
          <w:rPr>
            <w:noProof/>
            <w:webHidden/>
          </w:rPr>
          <w:fldChar w:fldCharType="separate"/>
        </w:r>
        <w:r>
          <w:rPr>
            <w:noProof/>
            <w:webHidden/>
          </w:rPr>
          <w:t>55</w:t>
        </w:r>
        <w:r>
          <w:rPr>
            <w:noProof/>
            <w:webHidden/>
          </w:rPr>
          <w:fldChar w:fldCharType="end"/>
        </w:r>
      </w:hyperlink>
    </w:p>
    <w:p w14:paraId="7A50FD23" w14:textId="31C92721" w:rsidR="00F170D0" w:rsidRDefault="00F170D0">
      <w:pPr>
        <w:pStyle w:val="TableofFigures"/>
        <w:rPr>
          <w:rFonts w:eastAsiaTheme="minorEastAsia"/>
          <w:noProof/>
          <w:color w:val="auto"/>
          <w:kern w:val="2"/>
          <w:sz w:val="24"/>
          <w:szCs w:val="24"/>
          <w:lang w:eastAsia="en-AU"/>
          <w14:ligatures w14:val="standardContextual"/>
        </w:rPr>
      </w:pPr>
      <w:hyperlink w:anchor="_Toc226448355" w:history="1">
        <w:r w:rsidRPr="008D1E94">
          <w:rPr>
            <w:rStyle w:val="Hyperlink"/>
            <w:noProof/>
          </w:rPr>
          <w:t>Table 7 – Summary of assessment</w:t>
        </w:r>
        <w:r>
          <w:rPr>
            <w:noProof/>
            <w:webHidden/>
          </w:rPr>
          <w:tab/>
        </w:r>
        <w:r>
          <w:rPr>
            <w:noProof/>
            <w:webHidden/>
          </w:rPr>
          <w:fldChar w:fldCharType="begin"/>
        </w:r>
        <w:r>
          <w:rPr>
            <w:noProof/>
            <w:webHidden/>
          </w:rPr>
          <w:instrText xml:space="preserve"> PAGEREF _Toc226448355 \h </w:instrText>
        </w:r>
        <w:r>
          <w:rPr>
            <w:noProof/>
            <w:webHidden/>
          </w:rPr>
        </w:r>
        <w:r>
          <w:rPr>
            <w:noProof/>
            <w:webHidden/>
          </w:rPr>
          <w:fldChar w:fldCharType="separate"/>
        </w:r>
        <w:r>
          <w:rPr>
            <w:noProof/>
            <w:webHidden/>
          </w:rPr>
          <w:t>60</w:t>
        </w:r>
        <w:r>
          <w:rPr>
            <w:noProof/>
            <w:webHidden/>
          </w:rPr>
          <w:fldChar w:fldCharType="end"/>
        </w:r>
      </w:hyperlink>
    </w:p>
    <w:p w14:paraId="100C1CAE" w14:textId="436C581F" w:rsidR="00F170D0" w:rsidRDefault="00F170D0">
      <w:pPr>
        <w:pStyle w:val="TableofFigures"/>
        <w:rPr>
          <w:rFonts w:eastAsiaTheme="minorEastAsia"/>
          <w:noProof/>
          <w:color w:val="auto"/>
          <w:kern w:val="2"/>
          <w:sz w:val="24"/>
          <w:szCs w:val="24"/>
          <w:lang w:eastAsia="en-AU"/>
          <w14:ligatures w14:val="standardContextual"/>
        </w:rPr>
      </w:pPr>
      <w:hyperlink w:anchor="_Toc226448356" w:history="1">
        <w:r w:rsidRPr="008D1E94">
          <w:rPr>
            <w:rStyle w:val="Hyperlink"/>
            <w:noProof/>
          </w:rPr>
          <w:t>Table 8 – MCA framework criteria and weightings for fees</w:t>
        </w:r>
        <w:r>
          <w:rPr>
            <w:noProof/>
            <w:webHidden/>
          </w:rPr>
          <w:tab/>
        </w:r>
        <w:r>
          <w:rPr>
            <w:noProof/>
            <w:webHidden/>
          </w:rPr>
          <w:fldChar w:fldCharType="begin"/>
        </w:r>
        <w:r>
          <w:rPr>
            <w:noProof/>
            <w:webHidden/>
          </w:rPr>
          <w:instrText xml:space="preserve"> PAGEREF _Toc226448356 \h </w:instrText>
        </w:r>
        <w:r>
          <w:rPr>
            <w:noProof/>
            <w:webHidden/>
          </w:rPr>
        </w:r>
        <w:r>
          <w:rPr>
            <w:noProof/>
            <w:webHidden/>
          </w:rPr>
          <w:fldChar w:fldCharType="separate"/>
        </w:r>
        <w:r>
          <w:rPr>
            <w:noProof/>
            <w:webHidden/>
          </w:rPr>
          <w:t>61</w:t>
        </w:r>
        <w:r>
          <w:rPr>
            <w:noProof/>
            <w:webHidden/>
          </w:rPr>
          <w:fldChar w:fldCharType="end"/>
        </w:r>
      </w:hyperlink>
    </w:p>
    <w:p w14:paraId="3BB50784" w14:textId="20BBD62F" w:rsidR="00F170D0" w:rsidRDefault="00F170D0">
      <w:pPr>
        <w:pStyle w:val="TableofFigures"/>
        <w:rPr>
          <w:rFonts w:eastAsiaTheme="minorEastAsia"/>
          <w:noProof/>
          <w:color w:val="auto"/>
          <w:kern w:val="2"/>
          <w:sz w:val="24"/>
          <w:szCs w:val="24"/>
          <w:lang w:eastAsia="en-AU"/>
          <w14:ligatures w14:val="standardContextual"/>
        </w:rPr>
      </w:pPr>
      <w:hyperlink w:anchor="_Toc226448357" w:history="1">
        <w:r w:rsidRPr="008D1E94">
          <w:rPr>
            <w:rStyle w:val="Hyperlink"/>
            <w:noProof/>
          </w:rPr>
          <w:t>Table 9 – MCA scoring framework for fees</w:t>
        </w:r>
        <w:r>
          <w:rPr>
            <w:noProof/>
            <w:webHidden/>
          </w:rPr>
          <w:tab/>
        </w:r>
        <w:r>
          <w:rPr>
            <w:noProof/>
            <w:webHidden/>
          </w:rPr>
          <w:fldChar w:fldCharType="begin"/>
        </w:r>
        <w:r>
          <w:rPr>
            <w:noProof/>
            <w:webHidden/>
          </w:rPr>
          <w:instrText xml:space="preserve"> PAGEREF _Toc226448357 \h </w:instrText>
        </w:r>
        <w:r>
          <w:rPr>
            <w:noProof/>
            <w:webHidden/>
          </w:rPr>
        </w:r>
        <w:r>
          <w:rPr>
            <w:noProof/>
            <w:webHidden/>
          </w:rPr>
          <w:fldChar w:fldCharType="separate"/>
        </w:r>
        <w:r>
          <w:rPr>
            <w:noProof/>
            <w:webHidden/>
          </w:rPr>
          <w:t>62</w:t>
        </w:r>
        <w:r>
          <w:rPr>
            <w:noProof/>
            <w:webHidden/>
          </w:rPr>
          <w:fldChar w:fldCharType="end"/>
        </w:r>
      </w:hyperlink>
    </w:p>
    <w:p w14:paraId="2AEE37A9" w14:textId="6E7E8AE7" w:rsidR="00F170D0" w:rsidRDefault="00F170D0">
      <w:pPr>
        <w:pStyle w:val="TableofFigures"/>
        <w:rPr>
          <w:rFonts w:eastAsiaTheme="minorEastAsia"/>
          <w:noProof/>
          <w:color w:val="auto"/>
          <w:kern w:val="2"/>
          <w:sz w:val="24"/>
          <w:szCs w:val="24"/>
          <w:lang w:eastAsia="en-AU"/>
          <w14:ligatures w14:val="standardContextual"/>
        </w:rPr>
      </w:pPr>
      <w:hyperlink w:anchor="_Toc226448358" w:history="1">
        <w:r w:rsidRPr="008D1E94">
          <w:rPr>
            <w:rStyle w:val="Hyperlink"/>
            <w:noProof/>
          </w:rPr>
          <w:t>Table 10 – Summary of assessment</w:t>
        </w:r>
        <w:r>
          <w:rPr>
            <w:noProof/>
            <w:webHidden/>
          </w:rPr>
          <w:tab/>
        </w:r>
        <w:r>
          <w:rPr>
            <w:noProof/>
            <w:webHidden/>
          </w:rPr>
          <w:fldChar w:fldCharType="begin"/>
        </w:r>
        <w:r>
          <w:rPr>
            <w:noProof/>
            <w:webHidden/>
          </w:rPr>
          <w:instrText xml:space="preserve"> PAGEREF _Toc226448358 \h </w:instrText>
        </w:r>
        <w:r>
          <w:rPr>
            <w:noProof/>
            <w:webHidden/>
          </w:rPr>
        </w:r>
        <w:r>
          <w:rPr>
            <w:noProof/>
            <w:webHidden/>
          </w:rPr>
          <w:fldChar w:fldCharType="separate"/>
        </w:r>
        <w:r>
          <w:rPr>
            <w:noProof/>
            <w:webHidden/>
          </w:rPr>
          <w:t>64</w:t>
        </w:r>
        <w:r>
          <w:rPr>
            <w:noProof/>
            <w:webHidden/>
          </w:rPr>
          <w:fldChar w:fldCharType="end"/>
        </w:r>
      </w:hyperlink>
    </w:p>
    <w:p w14:paraId="0FDA06AB" w14:textId="2EEEC3F1" w:rsidR="00F170D0" w:rsidRDefault="00F170D0">
      <w:pPr>
        <w:pStyle w:val="TableofFigures"/>
        <w:rPr>
          <w:rFonts w:eastAsiaTheme="minorEastAsia"/>
          <w:noProof/>
          <w:color w:val="auto"/>
          <w:kern w:val="2"/>
          <w:sz w:val="24"/>
          <w:szCs w:val="24"/>
          <w:lang w:eastAsia="en-AU"/>
          <w14:ligatures w14:val="standardContextual"/>
        </w:rPr>
      </w:pPr>
      <w:hyperlink w:anchor="_Toc226448359" w:history="1">
        <w:r w:rsidRPr="008D1E94">
          <w:rPr>
            <w:rStyle w:val="Hyperlink"/>
            <w:noProof/>
          </w:rPr>
          <w:t>Table 11 – Road Management (Works and Infrastructure) Regulations</w:t>
        </w:r>
        <w:r>
          <w:rPr>
            <w:noProof/>
            <w:webHidden/>
          </w:rPr>
          <w:tab/>
        </w:r>
        <w:r>
          <w:rPr>
            <w:noProof/>
            <w:webHidden/>
          </w:rPr>
          <w:fldChar w:fldCharType="begin"/>
        </w:r>
        <w:r>
          <w:rPr>
            <w:noProof/>
            <w:webHidden/>
          </w:rPr>
          <w:instrText xml:space="preserve"> PAGEREF _Toc226448359 \h </w:instrText>
        </w:r>
        <w:r>
          <w:rPr>
            <w:noProof/>
            <w:webHidden/>
          </w:rPr>
        </w:r>
        <w:r>
          <w:rPr>
            <w:noProof/>
            <w:webHidden/>
          </w:rPr>
          <w:fldChar w:fldCharType="separate"/>
        </w:r>
        <w:r>
          <w:rPr>
            <w:noProof/>
            <w:webHidden/>
          </w:rPr>
          <w:t>67</w:t>
        </w:r>
        <w:r>
          <w:rPr>
            <w:noProof/>
            <w:webHidden/>
          </w:rPr>
          <w:fldChar w:fldCharType="end"/>
        </w:r>
      </w:hyperlink>
    </w:p>
    <w:p w14:paraId="3A3E9168" w14:textId="5C7C49D1" w:rsidR="00F170D0" w:rsidRDefault="00F170D0">
      <w:pPr>
        <w:pStyle w:val="TableofFigures"/>
        <w:rPr>
          <w:rFonts w:eastAsiaTheme="minorEastAsia"/>
          <w:noProof/>
          <w:color w:val="auto"/>
          <w:kern w:val="2"/>
          <w:sz w:val="24"/>
          <w:szCs w:val="24"/>
          <w:lang w:eastAsia="en-AU"/>
          <w14:ligatures w14:val="standardContextual"/>
        </w:rPr>
      </w:pPr>
      <w:hyperlink w:anchor="_Toc226448360" w:history="1">
        <w:r w:rsidRPr="008D1E94">
          <w:rPr>
            <w:rStyle w:val="Hyperlink"/>
            <w:noProof/>
          </w:rPr>
          <w:t>Table 12 – Road Management (General) Regulations</w:t>
        </w:r>
        <w:r>
          <w:rPr>
            <w:noProof/>
            <w:webHidden/>
          </w:rPr>
          <w:tab/>
        </w:r>
        <w:r>
          <w:rPr>
            <w:noProof/>
            <w:webHidden/>
          </w:rPr>
          <w:fldChar w:fldCharType="begin"/>
        </w:r>
        <w:r>
          <w:rPr>
            <w:noProof/>
            <w:webHidden/>
          </w:rPr>
          <w:instrText xml:space="preserve"> PAGEREF _Toc226448360 \h </w:instrText>
        </w:r>
        <w:r>
          <w:rPr>
            <w:noProof/>
            <w:webHidden/>
          </w:rPr>
        </w:r>
        <w:r>
          <w:rPr>
            <w:noProof/>
            <w:webHidden/>
          </w:rPr>
          <w:fldChar w:fldCharType="separate"/>
        </w:r>
        <w:r>
          <w:rPr>
            <w:noProof/>
            <w:webHidden/>
          </w:rPr>
          <w:t>68</w:t>
        </w:r>
        <w:r>
          <w:rPr>
            <w:noProof/>
            <w:webHidden/>
          </w:rPr>
          <w:fldChar w:fldCharType="end"/>
        </w:r>
      </w:hyperlink>
    </w:p>
    <w:p w14:paraId="0D5D20F8" w14:textId="63CC4A6D" w:rsidR="00F170D0" w:rsidRDefault="00F170D0">
      <w:pPr>
        <w:pStyle w:val="TableofFigures"/>
        <w:rPr>
          <w:rFonts w:eastAsiaTheme="minorEastAsia"/>
          <w:noProof/>
          <w:color w:val="auto"/>
          <w:kern w:val="2"/>
          <w:sz w:val="24"/>
          <w:szCs w:val="24"/>
          <w:lang w:eastAsia="en-AU"/>
          <w14:ligatures w14:val="standardContextual"/>
        </w:rPr>
      </w:pPr>
      <w:hyperlink w:anchor="_Toc226448361" w:history="1">
        <w:r w:rsidRPr="008D1E94">
          <w:rPr>
            <w:rStyle w:val="Hyperlink"/>
            <w:noProof/>
          </w:rPr>
          <w:t>Table 13 – Current fees prescribed under the Road Management (Works and Infrastructure) Regulations for proposed works with fee unit values</w:t>
        </w:r>
        <w:r>
          <w:rPr>
            <w:noProof/>
            <w:webHidden/>
          </w:rPr>
          <w:tab/>
        </w:r>
        <w:r>
          <w:rPr>
            <w:noProof/>
            <w:webHidden/>
          </w:rPr>
          <w:fldChar w:fldCharType="begin"/>
        </w:r>
        <w:r>
          <w:rPr>
            <w:noProof/>
            <w:webHidden/>
          </w:rPr>
          <w:instrText xml:space="preserve"> PAGEREF _Toc226448361 \h </w:instrText>
        </w:r>
        <w:r>
          <w:rPr>
            <w:noProof/>
            <w:webHidden/>
          </w:rPr>
        </w:r>
        <w:r>
          <w:rPr>
            <w:noProof/>
            <w:webHidden/>
          </w:rPr>
          <w:fldChar w:fldCharType="separate"/>
        </w:r>
        <w:r>
          <w:rPr>
            <w:noProof/>
            <w:webHidden/>
          </w:rPr>
          <w:t>74</w:t>
        </w:r>
        <w:r>
          <w:rPr>
            <w:noProof/>
            <w:webHidden/>
          </w:rPr>
          <w:fldChar w:fldCharType="end"/>
        </w:r>
      </w:hyperlink>
    </w:p>
    <w:p w14:paraId="48C689EF" w14:textId="321DB4CB" w:rsidR="00F170D0" w:rsidRDefault="00F170D0">
      <w:pPr>
        <w:pStyle w:val="TableofFigures"/>
        <w:rPr>
          <w:rFonts w:eastAsiaTheme="minorEastAsia"/>
          <w:noProof/>
          <w:color w:val="auto"/>
          <w:kern w:val="2"/>
          <w:sz w:val="24"/>
          <w:szCs w:val="24"/>
          <w:lang w:eastAsia="en-AU"/>
          <w14:ligatures w14:val="standardContextual"/>
        </w:rPr>
      </w:pPr>
      <w:hyperlink w:anchor="_Toc226448362" w:history="1">
        <w:r w:rsidRPr="008D1E94">
          <w:rPr>
            <w:rStyle w:val="Hyperlink"/>
            <w:noProof/>
          </w:rPr>
          <w:t>Table 14 – Current fees prescribed under the Road Management (General) Regulations for property enquiries with fee unit values</w:t>
        </w:r>
        <w:r>
          <w:rPr>
            <w:noProof/>
            <w:webHidden/>
          </w:rPr>
          <w:tab/>
        </w:r>
        <w:r>
          <w:rPr>
            <w:noProof/>
            <w:webHidden/>
          </w:rPr>
          <w:fldChar w:fldCharType="begin"/>
        </w:r>
        <w:r>
          <w:rPr>
            <w:noProof/>
            <w:webHidden/>
          </w:rPr>
          <w:instrText xml:space="preserve"> PAGEREF _Toc226448362 \h </w:instrText>
        </w:r>
        <w:r>
          <w:rPr>
            <w:noProof/>
            <w:webHidden/>
          </w:rPr>
        </w:r>
        <w:r>
          <w:rPr>
            <w:noProof/>
            <w:webHidden/>
          </w:rPr>
          <w:fldChar w:fldCharType="separate"/>
        </w:r>
        <w:r>
          <w:rPr>
            <w:noProof/>
            <w:webHidden/>
          </w:rPr>
          <w:t>75</w:t>
        </w:r>
        <w:r>
          <w:rPr>
            <w:noProof/>
            <w:webHidden/>
          </w:rPr>
          <w:fldChar w:fldCharType="end"/>
        </w:r>
      </w:hyperlink>
    </w:p>
    <w:p w14:paraId="03A66660" w14:textId="793B9211" w:rsidR="00F170D0" w:rsidRDefault="00F170D0">
      <w:pPr>
        <w:pStyle w:val="TableofFigures"/>
        <w:rPr>
          <w:rFonts w:eastAsiaTheme="minorEastAsia"/>
          <w:noProof/>
          <w:color w:val="auto"/>
          <w:kern w:val="2"/>
          <w:sz w:val="24"/>
          <w:szCs w:val="24"/>
          <w:lang w:eastAsia="en-AU"/>
          <w14:ligatures w14:val="standardContextual"/>
        </w:rPr>
      </w:pPr>
      <w:hyperlink w:anchor="_Toc226448363" w:history="1">
        <w:r w:rsidRPr="008D1E94">
          <w:rPr>
            <w:rStyle w:val="Hyperlink"/>
            <w:noProof/>
          </w:rPr>
          <w:t>Table 15 – Current fees prescribed under the Road Management (General) Regulations for hoardings and advertisements with fee unit values</w:t>
        </w:r>
        <w:r>
          <w:rPr>
            <w:noProof/>
            <w:webHidden/>
          </w:rPr>
          <w:tab/>
        </w:r>
        <w:r>
          <w:rPr>
            <w:noProof/>
            <w:webHidden/>
          </w:rPr>
          <w:fldChar w:fldCharType="begin"/>
        </w:r>
        <w:r>
          <w:rPr>
            <w:noProof/>
            <w:webHidden/>
          </w:rPr>
          <w:instrText xml:space="preserve"> PAGEREF _Toc226448363 \h </w:instrText>
        </w:r>
        <w:r>
          <w:rPr>
            <w:noProof/>
            <w:webHidden/>
          </w:rPr>
        </w:r>
        <w:r>
          <w:rPr>
            <w:noProof/>
            <w:webHidden/>
          </w:rPr>
          <w:fldChar w:fldCharType="separate"/>
        </w:r>
        <w:r>
          <w:rPr>
            <w:noProof/>
            <w:webHidden/>
          </w:rPr>
          <w:t>75</w:t>
        </w:r>
        <w:r>
          <w:rPr>
            <w:noProof/>
            <w:webHidden/>
          </w:rPr>
          <w:fldChar w:fldCharType="end"/>
        </w:r>
      </w:hyperlink>
    </w:p>
    <w:p w14:paraId="21B22E78" w14:textId="559A8A42" w:rsidR="00F170D0" w:rsidRDefault="00F170D0">
      <w:pPr>
        <w:pStyle w:val="TableofFigures"/>
        <w:rPr>
          <w:rFonts w:eastAsiaTheme="minorEastAsia"/>
          <w:noProof/>
          <w:color w:val="auto"/>
          <w:kern w:val="2"/>
          <w:sz w:val="24"/>
          <w:szCs w:val="24"/>
          <w:lang w:eastAsia="en-AU"/>
          <w14:ligatures w14:val="standardContextual"/>
        </w:rPr>
      </w:pPr>
      <w:hyperlink w:anchor="_Toc226448364" w:history="1">
        <w:r w:rsidRPr="008D1E94">
          <w:rPr>
            <w:rStyle w:val="Hyperlink"/>
            <w:noProof/>
          </w:rPr>
          <w:t>Table 16 – Hourly rates</w:t>
        </w:r>
        <w:r>
          <w:rPr>
            <w:noProof/>
            <w:webHidden/>
          </w:rPr>
          <w:tab/>
        </w:r>
        <w:r>
          <w:rPr>
            <w:noProof/>
            <w:webHidden/>
          </w:rPr>
          <w:fldChar w:fldCharType="begin"/>
        </w:r>
        <w:r>
          <w:rPr>
            <w:noProof/>
            <w:webHidden/>
          </w:rPr>
          <w:instrText xml:space="preserve"> PAGEREF _Toc226448364 \h </w:instrText>
        </w:r>
        <w:r>
          <w:rPr>
            <w:noProof/>
            <w:webHidden/>
          </w:rPr>
        </w:r>
        <w:r>
          <w:rPr>
            <w:noProof/>
            <w:webHidden/>
          </w:rPr>
          <w:fldChar w:fldCharType="separate"/>
        </w:r>
        <w:r>
          <w:rPr>
            <w:noProof/>
            <w:webHidden/>
          </w:rPr>
          <w:t>77</w:t>
        </w:r>
        <w:r>
          <w:rPr>
            <w:noProof/>
            <w:webHidden/>
          </w:rPr>
          <w:fldChar w:fldCharType="end"/>
        </w:r>
      </w:hyperlink>
    </w:p>
    <w:p w14:paraId="4BAD70E8" w14:textId="1A63FC2E" w:rsidR="00F170D0" w:rsidRDefault="00F170D0">
      <w:pPr>
        <w:pStyle w:val="TableofFigures"/>
        <w:rPr>
          <w:rFonts w:eastAsiaTheme="minorEastAsia"/>
          <w:noProof/>
          <w:color w:val="auto"/>
          <w:kern w:val="2"/>
          <w:sz w:val="24"/>
          <w:szCs w:val="24"/>
          <w:lang w:eastAsia="en-AU"/>
          <w14:ligatures w14:val="standardContextual"/>
        </w:rPr>
      </w:pPr>
      <w:hyperlink w:anchor="_Toc226448365" w:history="1">
        <w:r w:rsidRPr="008D1E94">
          <w:rPr>
            <w:rStyle w:val="Hyperlink"/>
            <w:noProof/>
          </w:rPr>
          <w:t>Table 17 – Estimated length of time to assess 3,807 applications in 2024</w:t>
        </w:r>
        <w:r>
          <w:rPr>
            <w:noProof/>
            <w:webHidden/>
          </w:rPr>
          <w:tab/>
        </w:r>
        <w:r>
          <w:rPr>
            <w:noProof/>
            <w:webHidden/>
          </w:rPr>
          <w:fldChar w:fldCharType="begin"/>
        </w:r>
        <w:r>
          <w:rPr>
            <w:noProof/>
            <w:webHidden/>
          </w:rPr>
          <w:instrText xml:space="preserve"> PAGEREF _Toc226448365 \h </w:instrText>
        </w:r>
        <w:r>
          <w:rPr>
            <w:noProof/>
            <w:webHidden/>
          </w:rPr>
        </w:r>
        <w:r>
          <w:rPr>
            <w:noProof/>
            <w:webHidden/>
          </w:rPr>
          <w:fldChar w:fldCharType="separate"/>
        </w:r>
        <w:r>
          <w:rPr>
            <w:noProof/>
            <w:webHidden/>
          </w:rPr>
          <w:t>77</w:t>
        </w:r>
        <w:r>
          <w:rPr>
            <w:noProof/>
            <w:webHidden/>
          </w:rPr>
          <w:fldChar w:fldCharType="end"/>
        </w:r>
      </w:hyperlink>
    </w:p>
    <w:p w14:paraId="57D160C7" w14:textId="6BA4A530" w:rsidR="00F170D0" w:rsidRDefault="00F170D0">
      <w:pPr>
        <w:pStyle w:val="TableofFigures"/>
        <w:rPr>
          <w:rFonts w:eastAsiaTheme="minorEastAsia"/>
          <w:noProof/>
          <w:color w:val="auto"/>
          <w:kern w:val="2"/>
          <w:sz w:val="24"/>
          <w:szCs w:val="24"/>
          <w:lang w:eastAsia="en-AU"/>
          <w14:ligatures w14:val="standardContextual"/>
        </w:rPr>
      </w:pPr>
      <w:hyperlink w:anchor="_Toc226448366" w:history="1">
        <w:r w:rsidRPr="008D1E94">
          <w:rPr>
            <w:rStyle w:val="Hyperlink"/>
            <w:noProof/>
          </w:rPr>
          <w:t>Table 18 – Cost to assess an application - low complexity applications: 2 hours</w:t>
        </w:r>
        <w:r>
          <w:rPr>
            <w:noProof/>
            <w:webHidden/>
          </w:rPr>
          <w:tab/>
        </w:r>
        <w:r>
          <w:rPr>
            <w:noProof/>
            <w:webHidden/>
          </w:rPr>
          <w:fldChar w:fldCharType="begin"/>
        </w:r>
        <w:r>
          <w:rPr>
            <w:noProof/>
            <w:webHidden/>
          </w:rPr>
          <w:instrText xml:space="preserve"> PAGEREF _Toc226448366 \h </w:instrText>
        </w:r>
        <w:r>
          <w:rPr>
            <w:noProof/>
            <w:webHidden/>
          </w:rPr>
        </w:r>
        <w:r>
          <w:rPr>
            <w:noProof/>
            <w:webHidden/>
          </w:rPr>
          <w:fldChar w:fldCharType="separate"/>
        </w:r>
        <w:r>
          <w:rPr>
            <w:noProof/>
            <w:webHidden/>
          </w:rPr>
          <w:t>78</w:t>
        </w:r>
        <w:r>
          <w:rPr>
            <w:noProof/>
            <w:webHidden/>
          </w:rPr>
          <w:fldChar w:fldCharType="end"/>
        </w:r>
      </w:hyperlink>
    </w:p>
    <w:p w14:paraId="167A8CBC" w14:textId="1B1A5EE2" w:rsidR="00F170D0" w:rsidRDefault="00F170D0">
      <w:pPr>
        <w:pStyle w:val="TableofFigures"/>
        <w:rPr>
          <w:rFonts w:eastAsiaTheme="minorEastAsia"/>
          <w:noProof/>
          <w:color w:val="auto"/>
          <w:kern w:val="2"/>
          <w:sz w:val="24"/>
          <w:szCs w:val="24"/>
          <w:lang w:eastAsia="en-AU"/>
          <w14:ligatures w14:val="standardContextual"/>
        </w:rPr>
      </w:pPr>
      <w:hyperlink w:anchor="_Toc226448367" w:history="1">
        <w:r w:rsidRPr="008D1E94">
          <w:rPr>
            <w:rStyle w:val="Hyperlink"/>
            <w:noProof/>
          </w:rPr>
          <w:t>Table 19 – Cost to assess an application - mid complexity applications: 7 hours</w:t>
        </w:r>
        <w:r>
          <w:rPr>
            <w:noProof/>
            <w:webHidden/>
          </w:rPr>
          <w:tab/>
        </w:r>
        <w:r>
          <w:rPr>
            <w:noProof/>
            <w:webHidden/>
          </w:rPr>
          <w:fldChar w:fldCharType="begin"/>
        </w:r>
        <w:r>
          <w:rPr>
            <w:noProof/>
            <w:webHidden/>
          </w:rPr>
          <w:instrText xml:space="preserve"> PAGEREF _Toc226448367 \h </w:instrText>
        </w:r>
        <w:r>
          <w:rPr>
            <w:noProof/>
            <w:webHidden/>
          </w:rPr>
        </w:r>
        <w:r>
          <w:rPr>
            <w:noProof/>
            <w:webHidden/>
          </w:rPr>
          <w:fldChar w:fldCharType="separate"/>
        </w:r>
        <w:r>
          <w:rPr>
            <w:noProof/>
            <w:webHidden/>
          </w:rPr>
          <w:t>78</w:t>
        </w:r>
        <w:r>
          <w:rPr>
            <w:noProof/>
            <w:webHidden/>
          </w:rPr>
          <w:fldChar w:fldCharType="end"/>
        </w:r>
      </w:hyperlink>
    </w:p>
    <w:p w14:paraId="7675C4FC" w14:textId="47DE0138" w:rsidR="00F170D0" w:rsidRDefault="00F170D0">
      <w:pPr>
        <w:pStyle w:val="TableofFigures"/>
        <w:rPr>
          <w:rFonts w:eastAsiaTheme="minorEastAsia"/>
          <w:noProof/>
          <w:color w:val="auto"/>
          <w:kern w:val="2"/>
          <w:sz w:val="24"/>
          <w:szCs w:val="24"/>
          <w:lang w:eastAsia="en-AU"/>
          <w14:ligatures w14:val="standardContextual"/>
        </w:rPr>
      </w:pPr>
      <w:hyperlink w:anchor="_Toc226448368" w:history="1">
        <w:r w:rsidRPr="008D1E94">
          <w:rPr>
            <w:rStyle w:val="Hyperlink"/>
            <w:noProof/>
          </w:rPr>
          <w:t>Table 20 – Cost to assess an application - high complexity applications: 15 hours</w:t>
        </w:r>
        <w:r>
          <w:rPr>
            <w:noProof/>
            <w:webHidden/>
          </w:rPr>
          <w:tab/>
        </w:r>
        <w:r>
          <w:rPr>
            <w:noProof/>
            <w:webHidden/>
          </w:rPr>
          <w:fldChar w:fldCharType="begin"/>
        </w:r>
        <w:r>
          <w:rPr>
            <w:noProof/>
            <w:webHidden/>
          </w:rPr>
          <w:instrText xml:space="preserve"> PAGEREF _Toc226448368 \h </w:instrText>
        </w:r>
        <w:r>
          <w:rPr>
            <w:noProof/>
            <w:webHidden/>
          </w:rPr>
        </w:r>
        <w:r>
          <w:rPr>
            <w:noProof/>
            <w:webHidden/>
          </w:rPr>
          <w:fldChar w:fldCharType="separate"/>
        </w:r>
        <w:r>
          <w:rPr>
            <w:noProof/>
            <w:webHidden/>
          </w:rPr>
          <w:t>78</w:t>
        </w:r>
        <w:r>
          <w:rPr>
            <w:noProof/>
            <w:webHidden/>
          </w:rPr>
          <w:fldChar w:fldCharType="end"/>
        </w:r>
      </w:hyperlink>
    </w:p>
    <w:p w14:paraId="1F12FCB2" w14:textId="2C478908" w:rsidR="00F170D0" w:rsidRDefault="00F170D0">
      <w:pPr>
        <w:pStyle w:val="TableofFigures"/>
        <w:rPr>
          <w:rFonts w:eastAsiaTheme="minorEastAsia"/>
          <w:noProof/>
          <w:color w:val="auto"/>
          <w:kern w:val="2"/>
          <w:sz w:val="24"/>
          <w:szCs w:val="24"/>
          <w:lang w:eastAsia="en-AU"/>
          <w14:ligatures w14:val="standardContextual"/>
        </w:rPr>
      </w:pPr>
      <w:hyperlink w:anchor="_Toc226448369" w:history="1">
        <w:r w:rsidRPr="008D1E94">
          <w:rPr>
            <w:rStyle w:val="Hyperlink"/>
            <w:noProof/>
          </w:rPr>
          <w:t>Table 21 – Costs to assess applications, the Department (metro) 2024</w:t>
        </w:r>
        <w:r>
          <w:rPr>
            <w:noProof/>
            <w:webHidden/>
          </w:rPr>
          <w:tab/>
        </w:r>
        <w:r>
          <w:rPr>
            <w:noProof/>
            <w:webHidden/>
          </w:rPr>
          <w:fldChar w:fldCharType="begin"/>
        </w:r>
        <w:r>
          <w:rPr>
            <w:noProof/>
            <w:webHidden/>
          </w:rPr>
          <w:instrText xml:space="preserve"> PAGEREF _Toc226448369 \h </w:instrText>
        </w:r>
        <w:r>
          <w:rPr>
            <w:noProof/>
            <w:webHidden/>
          </w:rPr>
        </w:r>
        <w:r>
          <w:rPr>
            <w:noProof/>
            <w:webHidden/>
          </w:rPr>
          <w:fldChar w:fldCharType="separate"/>
        </w:r>
        <w:r>
          <w:rPr>
            <w:noProof/>
            <w:webHidden/>
          </w:rPr>
          <w:t>79</w:t>
        </w:r>
        <w:r>
          <w:rPr>
            <w:noProof/>
            <w:webHidden/>
          </w:rPr>
          <w:fldChar w:fldCharType="end"/>
        </w:r>
      </w:hyperlink>
    </w:p>
    <w:p w14:paraId="367509F6" w14:textId="4ED18FC7" w:rsidR="00F170D0" w:rsidRDefault="00F170D0">
      <w:pPr>
        <w:pStyle w:val="TableofFigures"/>
        <w:rPr>
          <w:rFonts w:eastAsiaTheme="minorEastAsia"/>
          <w:noProof/>
          <w:color w:val="auto"/>
          <w:kern w:val="2"/>
          <w:sz w:val="24"/>
          <w:szCs w:val="24"/>
          <w:lang w:eastAsia="en-AU"/>
          <w14:ligatures w14:val="standardContextual"/>
        </w:rPr>
      </w:pPr>
      <w:hyperlink w:anchor="_Toc226448370" w:history="1">
        <w:r w:rsidRPr="008D1E94">
          <w:rPr>
            <w:rStyle w:val="Hyperlink"/>
            <w:noProof/>
          </w:rPr>
          <w:t>Table 22 – Applications by complexity level under the Road Management (Works and Infrastructure) Regulations</w:t>
        </w:r>
        <w:r>
          <w:rPr>
            <w:noProof/>
            <w:webHidden/>
          </w:rPr>
          <w:tab/>
        </w:r>
        <w:r>
          <w:rPr>
            <w:noProof/>
            <w:webHidden/>
          </w:rPr>
          <w:fldChar w:fldCharType="begin"/>
        </w:r>
        <w:r>
          <w:rPr>
            <w:noProof/>
            <w:webHidden/>
          </w:rPr>
          <w:instrText xml:space="preserve"> PAGEREF _Toc226448370 \h </w:instrText>
        </w:r>
        <w:r>
          <w:rPr>
            <w:noProof/>
            <w:webHidden/>
          </w:rPr>
        </w:r>
        <w:r>
          <w:rPr>
            <w:noProof/>
            <w:webHidden/>
          </w:rPr>
          <w:fldChar w:fldCharType="separate"/>
        </w:r>
        <w:r>
          <w:rPr>
            <w:noProof/>
            <w:webHidden/>
          </w:rPr>
          <w:t>80</w:t>
        </w:r>
        <w:r>
          <w:rPr>
            <w:noProof/>
            <w:webHidden/>
          </w:rPr>
          <w:fldChar w:fldCharType="end"/>
        </w:r>
      </w:hyperlink>
    </w:p>
    <w:p w14:paraId="430BFF47" w14:textId="1784A08E" w:rsidR="00F170D0" w:rsidRDefault="00F170D0">
      <w:pPr>
        <w:pStyle w:val="TableofFigures"/>
        <w:rPr>
          <w:rFonts w:eastAsiaTheme="minorEastAsia"/>
          <w:noProof/>
          <w:color w:val="auto"/>
          <w:kern w:val="2"/>
          <w:sz w:val="24"/>
          <w:szCs w:val="24"/>
          <w:lang w:eastAsia="en-AU"/>
          <w14:ligatures w14:val="standardContextual"/>
        </w:rPr>
      </w:pPr>
      <w:hyperlink w:anchor="_Toc226448371" w:history="1">
        <w:r w:rsidRPr="008D1E94">
          <w:rPr>
            <w:rStyle w:val="Hyperlink"/>
            <w:noProof/>
          </w:rPr>
          <w:t>Table 23 – Revenue from application fees received by the Department (metro) 2024</w:t>
        </w:r>
        <w:r>
          <w:rPr>
            <w:noProof/>
            <w:webHidden/>
          </w:rPr>
          <w:tab/>
        </w:r>
        <w:r>
          <w:rPr>
            <w:noProof/>
            <w:webHidden/>
          </w:rPr>
          <w:fldChar w:fldCharType="begin"/>
        </w:r>
        <w:r>
          <w:rPr>
            <w:noProof/>
            <w:webHidden/>
          </w:rPr>
          <w:instrText xml:space="preserve"> PAGEREF _Toc226448371 \h </w:instrText>
        </w:r>
        <w:r>
          <w:rPr>
            <w:noProof/>
            <w:webHidden/>
          </w:rPr>
        </w:r>
        <w:r>
          <w:rPr>
            <w:noProof/>
            <w:webHidden/>
          </w:rPr>
          <w:fldChar w:fldCharType="separate"/>
        </w:r>
        <w:r>
          <w:rPr>
            <w:noProof/>
            <w:webHidden/>
          </w:rPr>
          <w:t>81</w:t>
        </w:r>
        <w:r>
          <w:rPr>
            <w:noProof/>
            <w:webHidden/>
          </w:rPr>
          <w:fldChar w:fldCharType="end"/>
        </w:r>
      </w:hyperlink>
    </w:p>
    <w:p w14:paraId="3E4D29A0" w14:textId="441E98A6" w:rsidR="00F170D0" w:rsidRDefault="00F170D0">
      <w:pPr>
        <w:pStyle w:val="TableofFigures"/>
        <w:rPr>
          <w:rFonts w:eastAsiaTheme="minorEastAsia"/>
          <w:noProof/>
          <w:color w:val="auto"/>
          <w:kern w:val="2"/>
          <w:sz w:val="24"/>
          <w:szCs w:val="24"/>
          <w:lang w:eastAsia="en-AU"/>
          <w14:ligatures w14:val="standardContextual"/>
        </w:rPr>
      </w:pPr>
      <w:hyperlink w:anchor="_Toc226448372" w:history="1">
        <w:r w:rsidRPr="008D1E94">
          <w:rPr>
            <w:rStyle w:val="Hyperlink"/>
            <w:noProof/>
          </w:rPr>
          <w:t>Table 24 – Estimated cost to process property enquiries for unaffected properties: 5 minutes</w:t>
        </w:r>
        <w:r>
          <w:rPr>
            <w:noProof/>
            <w:webHidden/>
          </w:rPr>
          <w:tab/>
        </w:r>
        <w:r>
          <w:rPr>
            <w:noProof/>
            <w:webHidden/>
          </w:rPr>
          <w:fldChar w:fldCharType="begin"/>
        </w:r>
        <w:r>
          <w:rPr>
            <w:noProof/>
            <w:webHidden/>
          </w:rPr>
          <w:instrText xml:space="preserve"> PAGEREF _Toc226448372 \h </w:instrText>
        </w:r>
        <w:r>
          <w:rPr>
            <w:noProof/>
            <w:webHidden/>
          </w:rPr>
        </w:r>
        <w:r>
          <w:rPr>
            <w:noProof/>
            <w:webHidden/>
          </w:rPr>
          <w:fldChar w:fldCharType="separate"/>
        </w:r>
        <w:r>
          <w:rPr>
            <w:noProof/>
            <w:webHidden/>
          </w:rPr>
          <w:t>83</w:t>
        </w:r>
        <w:r>
          <w:rPr>
            <w:noProof/>
            <w:webHidden/>
          </w:rPr>
          <w:fldChar w:fldCharType="end"/>
        </w:r>
      </w:hyperlink>
    </w:p>
    <w:p w14:paraId="3142A901" w14:textId="08B7C89D" w:rsidR="00F170D0" w:rsidRDefault="00F170D0">
      <w:pPr>
        <w:pStyle w:val="TableofFigures"/>
        <w:rPr>
          <w:rFonts w:eastAsiaTheme="minorEastAsia"/>
          <w:noProof/>
          <w:color w:val="auto"/>
          <w:kern w:val="2"/>
          <w:sz w:val="24"/>
          <w:szCs w:val="24"/>
          <w:lang w:eastAsia="en-AU"/>
          <w14:ligatures w14:val="standardContextual"/>
        </w:rPr>
      </w:pPr>
      <w:hyperlink w:anchor="_Toc226448373" w:history="1">
        <w:r w:rsidRPr="008D1E94">
          <w:rPr>
            <w:rStyle w:val="Hyperlink"/>
            <w:noProof/>
          </w:rPr>
          <w:t>Table 25 – Estimated cost to process property enquiries for affected properties: 15 to 45 minutes</w:t>
        </w:r>
        <w:r>
          <w:rPr>
            <w:noProof/>
            <w:webHidden/>
          </w:rPr>
          <w:tab/>
        </w:r>
        <w:r>
          <w:rPr>
            <w:noProof/>
            <w:webHidden/>
          </w:rPr>
          <w:fldChar w:fldCharType="begin"/>
        </w:r>
        <w:r>
          <w:rPr>
            <w:noProof/>
            <w:webHidden/>
          </w:rPr>
          <w:instrText xml:space="preserve"> PAGEREF _Toc226448373 \h </w:instrText>
        </w:r>
        <w:r>
          <w:rPr>
            <w:noProof/>
            <w:webHidden/>
          </w:rPr>
        </w:r>
        <w:r>
          <w:rPr>
            <w:noProof/>
            <w:webHidden/>
          </w:rPr>
          <w:fldChar w:fldCharType="separate"/>
        </w:r>
        <w:r>
          <w:rPr>
            <w:noProof/>
            <w:webHidden/>
          </w:rPr>
          <w:t>83</w:t>
        </w:r>
        <w:r>
          <w:rPr>
            <w:noProof/>
            <w:webHidden/>
          </w:rPr>
          <w:fldChar w:fldCharType="end"/>
        </w:r>
      </w:hyperlink>
    </w:p>
    <w:p w14:paraId="655A68F2" w14:textId="15C2B9CF" w:rsidR="00F170D0" w:rsidRDefault="00F170D0">
      <w:pPr>
        <w:pStyle w:val="TableofFigures"/>
        <w:rPr>
          <w:rFonts w:eastAsiaTheme="minorEastAsia"/>
          <w:noProof/>
          <w:color w:val="auto"/>
          <w:kern w:val="2"/>
          <w:sz w:val="24"/>
          <w:szCs w:val="24"/>
          <w:lang w:eastAsia="en-AU"/>
          <w14:ligatures w14:val="standardContextual"/>
        </w:rPr>
      </w:pPr>
      <w:hyperlink w:anchor="_Toc226448374" w:history="1">
        <w:r w:rsidRPr="008D1E94">
          <w:rPr>
            <w:rStyle w:val="Hyperlink"/>
            <w:noProof/>
          </w:rPr>
          <w:t>Table 26 – Estimated property enquiry fee revenue for the Department (metro) in 2024/25</w:t>
        </w:r>
        <w:r>
          <w:rPr>
            <w:noProof/>
            <w:webHidden/>
          </w:rPr>
          <w:tab/>
        </w:r>
        <w:r>
          <w:rPr>
            <w:noProof/>
            <w:webHidden/>
          </w:rPr>
          <w:fldChar w:fldCharType="begin"/>
        </w:r>
        <w:r>
          <w:rPr>
            <w:noProof/>
            <w:webHidden/>
          </w:rPr>
          <w:instrText xml:space="preserve"> PAGEREF _Toc226448374 \h </w:instrText>
        </w:r>
        <w:r>
          <w:rPr>
            <w:noProof/>
            <w:webHidden/>
          </w:rPr>
        </w:r>
        <w:r>
          <w:rPr>
            <w:noProof/>
            <w:webHidden/>
          </w:rPr>
          <w:fldChar w:fldCharType="separate"/>
        </w:r>
        <w:r>
          <w:rPr>
            <w:noProof/>
            <w:webHidden/>
          </w:rPr>
          <w:t>83</w:t>
        </w:r>
        <w:r>
          <w:rPr>
            <w:noProof/>
            <w:webHidden/>
          </w:rPr>
          <w:fldChar w:fldCharType="end"/>
        </w:r>
      </w:hyperlink>
    </w:p>
    <w:p w14:paraId="58790718" w14:textId="59299C7D" w:rsidR="00F170D0" w:rsidRDefault="00F170D0">
      <w:pPr>
        <w:pStyle w:val="TableofFigures"/>
        <w:rPr>
          <w:rFonts w:eastAsiaTheme="minorEastAsia"/>
          <w:noProof/>
          <w:color w:val="auto"/>
          <w:kern w:val="2"/>
          <w:sz w:val="24"/>
          <w:szCs w:val="24"/>
          <w:lang w:eastAsia="en-AU"/>
          <w14:ligatures w14:val="standardContextual"/>
        </w:rPr>
      </w:pPr>
      <w:hyperlink w:anchor="_Toc226448375" w:history="1">
        <w:r w:rsidRPr="008D1E94">
          <w:rPr>
            <w:rStyle w:val="Hyperlink"/>
            <w:noProof/>
          </w:rPr>
          <w:t>Table 27 – Estimated property enquiry costs for the Department (metro) in 2024/25</w:t>
        </w:r>
        <w:r>
          <w:rPr>
            <w:noProof/>
            <w:webHidden/>
          </w:rPr>
          <w:tab/>
        </w:r>
        <w:r>
          <w:rPr>
            <w:noProof/>
            <w:webHidden/>
          </w:rPr>
          <w:fldChar w:fldCharType="begin"/>
        </w:r>
        <w:r>
          <w:rPr>
            <w:noProof/>
            <w:webHidden/>
          </w:rPr>
          <w:instrText xml:space="preserve"> PAGEREF _Toc226448375 \h </w:instrText>
        </w:r>
        <w:r>
          <w:rPr>
            <w:noProof/>
            <w:webHidden/>
          </w:rPr>
        </w:r>
        <w:r>
          <w:rPr>
            <w:noProof/>
            <w:webHidden/>
          </w:rPr>
          <w:fldChar w:fldCharType="separate"/>
        </w:r>
        <w:r>
          <w:rPr>
            <w:noProof/>
            <w:webHidden/>
          </w:rPr>
          <w:t>84</w:t>
        </w:r>
        <w:r>
          <w:rPr>
            <w:noProof/>
            <w:webHidden/>
          </w:rPr>
          <w:fldChar w:fldCharType="end"/>
        </w:r>
      </w:hyperlink>
    </w:p>
    <w:p w14:paraId="642AB161" w14:textId="3612153C" w:rsidR="007D2402" w:rsidRDefault="00B80977">
      <w:r>
        <w:fldChar w:fldCharType="end"/>
      </w:r>
    </w:p>
    <w:p w14:paraId="40734395" w14:textId="77777777" w:rsidR="007D2402" w:rsidRDefault="007D2402"/>
    <w:p w14:paraId="71FEC7BE" w14:textId="54E3C116" w:rsidR="005209F0" w:rsidRDefault="005209F0">
      <w:r>
        <w:br w:type="page"/>
      </w:r>
    </w:p>
    <w:p w14:paraId="79D315F2" w14:textId="77777777" w:rsidR="00267D73" w:rsidRPr="00C34CF2" w:rsidRDefault="00267D73" w:rsidP="00267D73">
      <w:pPr>
        <w:pStyle w:val="Heading1"/>
      </w:pPr>
      <w:bookmarkStart w:id="1" w:name="_Toc209440254"/>
      <w:bookmarkStart w:id="2" w:name="_Toc226448264"/>
      <w:bookmarkEnd w:id="0"/>
      <w:r w:rsidRPr="00C34CF2">
        <w:lastRenderedPageBreak/>
        <w:t>Key terms</w:t>
      </w:r>
      <w:bookmarkEnd w:id="2"/>
    </w:p>
    <w:p w14:paraId="31FDEB90" w14:textId="401DBD35" w:rsidR="00267D73" w:rsidRPr="00C34CF2" w:rsidRDefault="00267D73" w:rsidP="00267D73">
      <w:pPr>
        <w:pStyle w:val="Caption"/>
      </w:pPr>
      <w:r>
        <w:t>Ke</w:t>
      </w:r>
      <w:r w:rsidRPr="00C34CF2">
        <w:t>y terms and their definitions for the purposes of this document</w:t>
      </w:r>
    </w:p>
    <w:tbl>
      <w:tblPr>
        <w:tblStyle w:val="GridTable1Light-Accent3"/>
        <w:tblW w:w="0" w:type="auto"/>
        <w:tblLook w:val="04A0" w:firstRow="1" w:lastRow="0" w:firstColumn="1" w:lastColumn="0" w:noHBand="0" w:noVBand="1"/>
      </w:tblPr>
      <w:tblGrid>
        <w:gridCol w:w="2792"/>
        <w:gridCol w:w="7970"/>
      </w:tblGrid>
      <w:tr w:rsidR="00267D73" w:rsidRPr="00C34CF2" w14:paraId="74C58083"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792" w:type="dxa"/>
          </w:tcPr>
          <w:p w14:paraId="7542B685" w14:textId="77777777" w:rsidR="00267D73" w:rsidRPr="00C34CF2" w:rsidRDefault="00267D73">
            <w:pPr>
              <w:spacing w:after="120"/>
            </w:pPr>
            <w:r w:rsidRPr="00C34CF2">
              <w:t>Term</w:t>
            </w:r>
          </w:p>
        </w:tc>
        <w:tc>
          <w:tcPr>
            <w:tcW w:w="7970" w:type="dxa"/>
          </w:tcPr>
          <w:p w14:paraId="1B6109E6" w14:textId="77777777" w:rsidR="00267D73" w:rsidRPr="00C34CF2" w:rsidRDefault="00267D73">
            <w:pPr>
              <w:spacing w:after="120"/>
              <w:cnfStyle w:val="100000000000" w:firstRow="1" w:lastRow="0" w:firstColumn="0" w:lastColumn="0" w:oddVBand="0" w:evenVBand="0" w:oddHBand="0" w:evenHBand="0" w:firstRowFirstColumn="0" w:firstRowLastColumn="0" w:lastRowFirstColumn="0" w:lastRowLastColumn="0"/>
            </w:pPr>
            <w:r w:rsidRPr="00C34CF2">
              <w:t>Definition</w:t>
            </w:r>
          </w:p>
        </w:tc>
      </w:tr>
      <w:tr w:rsidR="00267D73" w:rsidRPr="00C34CF2" w14:paraId="69C1581B" w14:textId="77777777">
        <w:trPr>
          <w:cantSplit/>
        </w:trPr>
        <w:tc>
          <w:tcPr>
            <w:cnfStyle w:val="001000000000" w:firstRow="0" w:lastRow="0" w:firstColumn="1" w:lastColumn="0" w:oddVBand="0" w:evenVBand="0" w:oddHBand="0" w:evenHBand="0" w:firstRowFirstColumn="0" w:firstRowLastColumn="0" w:lastRowFirstColumn="0" w:lastRowLastColumn="0"/>
            <w:tcW w:w="2792" w:type="dxa"/>
          </w:tcPr>
          <w:p w14:paraId="57E01820" w14:textId="77777777" w:rsidR="00267D73" w:rsidRPr="00C34CF2" w:rsidRDefault="00267D73">
            <w:pPr>
              <w:spacing w:after="120"/>
            </w:pPr>
            <w:r w:rsidRPr="00C34CF2">
              <w:t>Condition report</w:t>
            </w:r>
          </w:p>
        </w:tc>
        <w:tc>
          <w:tcPr>
            <w:tcW w:w="7970" w:type="dxa"/>
          </w:tcPr>
          <w:p w14:paraId="4B0A6B40" w14:textId="08B42F73"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 xml:space="preserve">A report prepared by a road authority after receiving a notice of </w:t>
            </w:r>
            <w:r w:rsidR="000731FD" w:rsidRPr="00C34CF2">
              <w:t>incident</w:t>
            </w:r>
            <w:r w:rsidR="00E55579">
              <w:t>.</w:t>
            </w:r>
            <w:r w:rsidR="000731FD" w:rsidRPr="00C34CF2">
              <w:t xml:space="preserve"> </w:t>
            </w:r>
            <w:r w:rsidR="00E55579">
              <w:t xml:space="preserve">The report contains details </w:t>
            </w:r>
            <w:r w:rsidR="000731FD">
              <w:t>of</w:t>
            </w:r>
            <w:r w:rsidR="00FF58D9">
              <w:t xml:space="preserve"> </w:t>
            </w:r>
            <w:r w:rsidRPr="00C34CF2">
              <w:t>an inspection of the part of the public road or infrastructure specified in the notice.</w:t>
            </w:r>
          </w:p>
        </w:tc>
      </w:tr>
      <w:tr w:rsidR="00267D73" w:rsidRPr="00C34CF2" w14:paraId="656049BE" w14:textId="77777777">
        <w:trPr>
          <w:cantSplit/>
        </w:trPr>
        <w:tc>
          <w:tcPr>
            <w:cnfStyle w:val="001000000000" w:firstRow="0" w:lastRow="0" w:firstColumn="1" w:lastColumn="0" w:oddVBand="0" w:evenVBand="0" w:oddHBand="0" w:evenHBand="0" w:firstRowFirstColumn="0" w:firstRowLastColumn="0" w:lastRowFirstColumn="0" w:lastRowLastColumn="0"/>
            <w:tcW w:w="2792" w:type="dxa"/>
          </w:tcPr>
          <w:p w14:paraId="395DE631" w14:textId="77777777" w:rsidR="00267D73" w:rsidRPr="00C34CF2" w:rsidRDefault="00267D73">
            <w:pPr>
              <w:spacing w:after="120"/>
            </w:pPr>
            <w:r w:rsidRPr="00C34CF2">
              <w:t>Consent for works</w:t>
            </w:r>
          </w:p>
        </w:tc>
        <w:tc>
          <w:tcPr>
            <w:tcW w:w="7970" w:type="dxa"/>
          </w:tcPr>
          <w:p w14:paraId="6254AC3B" w14:textId="77777777"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rPr>
                <w:bCs/>
              </w:rPr>
            </w:pPr>
            <w:r w:rsidRPr="00C34CF2">
              <w:rPr>
                <w:bCs/>
              </w:rPr>
              <w:t xml:space="preserve">Written consent of the coordinating road authority to conduct specified works on a </w:t>
            </w:r>
            <w:r w:rsidRPr="00C34CF2">
              <w:t>road.</w:t>
            </w:r>
          </w:p>
        </w:tc>
      </w:tr>
      <w:tr w:rsidR="00267D73" w:rsidRPr="00C34CF2" w14:paraId="7265DB04" w14:textId="77777777">
        <w:trPr>
          <w:cantSplit/>
        </w:trPr>
        <w:tc>
          <w:tcPr>
            <w:cnfStyle w:val="001000000000" w:firstRow="0" w:lastRow="0" w:firstColumn="1" w:lastColumn="0" w:oddVBand="0" w:evenVBand="0" w:oddHBand="0" w:evenHBand="0" w:firstRowFirstColumn="0" w:firstRowLastColumn="0" w:lastRowFirstColumn="0" w:lastRowLastColumn="0"/>
            <w:tcW w:w="2792" w:type="dxa"/>
          </w:tcPr>
          <w:p w14:paraId="39F9F6F5" w14:textId="77777777" w:rsidR="00267D73" w:rsidRPr="00C34CF2" w:rsidRDefault="00267D73">
            <w:pPr>
              <w:spacing w:after="120"/>
            </w:pPr>
            <w:r w:rsidRPr="00C34CF2">
              <w:t>Coordinating road authority</w:t>
            </w:r>
          </w:p>
        </w:tc>
        <w:tc>
          <w:tcPr>
            <w:tcW w:w="7970" w:type="dxa"/>
          </w:tcPr>
          <w:p w14:paraId="4583F549" w14:textId="04B55306"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rPr>
                <w:bCs/>
              </w:rPr>
            </w:pPr>
            <w:r w:rsidRPr="00C34CF2">
              <w:rPr>
                <w:bCs/>
              </w:rPr>
              <w:t xml:space="preserve">In relation to a road, the road authority which has coordination functions (as per </w:t>
            </w:r>
            <w:r w:rsidRPr="00C34CF2">
              <w:rPr>
                <w:bCs/>
              </w:rPr>
              <w:fldChar w:fldCharType="begin"/>
            </w:r>
            <w:r w:rsidRPr="00C34CF2">
              <w:rPr>
                <w:bCs/>
              </w:rPr>
              <w:instrText xml:space="preserve"> REF _Ref204166271 \h </w:instrText>
            </w:r>
            <w:r w:rsidRPr="00C34CF2">
              <w:rPr>
                <w:bCs/>
              </w:rPr>
            </w:r>
            <w:r w:rsidRPr="00C34CF2">
              <w:rPr>
                <w:bCs/>
              </w:rPr>
              <w:fldChar w:fldCharType="separate"/>
            </w:r>
            <w:r w:rsidR="00F170D0">
              <w:t xml:space="preserve">Table </w:t>
            </w:r>
            <w:r w:rsidR="00F170D0">
              <w:rPr>
                <w:noProof/>
              </w:rPr>
              <w:t>1</w:t>
            </w:r>
            <w:r w:rsidR="00F170D0">
              <w:t xml:space="preserve"> – </w:t>
            </w:r>
            <w:r w:rsidR="00F170D0" w:rsidRPr="007D2402">
              <w:t>Road types and responsible road authorities Victoria</w:t>
            </w:r>
            <w:r w:rsidRPr="00C34CF2">
              <w:fldChar w:fldCharType="end"/>
            </w:r>
            <w:r w:rsidR="00DF6B6E">
              <w:t>)</w:t>
            </w:r>
            <w:r>
              <w:t>.</w:t>
            </w:r>
          </w:p>
        </w:tc>
      </w:tr>
      <w:tr w:rsidR="00267D73" w:rsidRPr="00C34CF2" w14:paraId="372E6EA6" w14:textId="77777777">
        <w:trPr>
          <w:cantSplit/>
        </w:trPr>
        <w:tc>
          <w:tcPr>
            <w:cnfStyle w:val="001000000000" w:firstRow="0" w:lastRow="0" w:firstColumn="1" w:lastColumn="0" w:oddVBand="0" w:evenVBand="0" w:oddHBand="0" w:evenHBand="0" w:firstRowFirstColumn="0" w:firstRowLastColumn="0" w:lastRowFirstColumn="0" w:lastRowLastColumn="0"/>
            <w:tcW w:w="2792" w:type="dxa"/>
          </w:tcPr>
          <w:p w14:paraId="48901F10" w14:textId="77777777" w:rsidR="00267D73" w:rsidRPr="00C34CF2" w:rsidRDefault="00267D73">
            <w:pPr>
              <w:spacing w:after="120"/>
            </w:pPr>
            <w:r w:rsidRPr="00C34CF2">
              <w:t>General Regulations</w:t>
            </w:r>
          </w:p>
        </w:tc>
        <w:tc>
          <w:tcPr>
            <w:tcW w:w="7970" w:type="dxa"/>
          </w:tcPr>
          <w:p w14:paraId="5C049755" w14:textId="77777777"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 xml:space="preserve">Shortened term for the </w:t>
            </w:r>
            <w:r w:rsidRPr="00C34CF2">
              <w:rPr>
                <w:i/>
              </w:rPr>
              <w:t>Road Management (General) Regulations 2016</w:t>
            </w:r>
            <w:r w:rsidRPr="00C34CF2">
              <w:t>.</w:t>
            </w:r>
          </w:p>
        </w:tc>
      </w:tr>
      <w:tr w:rsidR="00267D73" w:rsidRPr="00C34CF2" w14:paraId="065C5BE2" w14:textId="77777777">
        <w:trPr>
          <w:cantSplit/>
        </w:trPr>
        <w:tc>
          <w:tcPr>
            <w:cnfStyle w:val="001000000000" w:firstRow="0" w:lastRow="0" w:firstColumn="1" w:lastColumn="0" w:oddVBand="0" w:evenVBand="0" w:oddHBand="0" w:evenHBand="0" w:firstRowFirstColumn="0" w:firstRowLastColumn="0" w:lastRowFirstColumn="0" w:lastRowLastColumn="0"/>
            <w:tcW w:w="2792" w:type="dxa"/>
          </w:tcPr>
          <w:p w14:paraId="0B5796D2" w14:textId="77777777" w:rsidR="00267D73" w:rsidRPr="00C34CF2" w:rsidRDefault="00267D73">
            <w:pPr>
              <w:spacing w:after="120"/>
            </w:pPr>
            <w:r w:rsidRPr="00C34CF2">
              <w:t>Head, Transport for Victoria</w:t>
            </w:r>
          </w:p>
        </w:tc>
        <w:tc>
          <w:tcPr>
            <w:tcW w:w="7970" w:type="dxa"/>
          </w:tcPr>
          <w:p w14:paraId="3A41B8D3" w14:textId="30EE729F"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 xml:space="preserve">A statutory office established under the </w:t>
            </w:r>
            <w:r w:rsidRPr="00C34CF2">
              <w:rPr>
                <w:i/>
              </w:rPr>
              <w:t>Transport Integration Act 2010</w:t>
            </w:r>
            <w:r w:rsidRPr="00C34CF2">
              <w:t>. The Head plays a key strategic role in ensuring Victoria’s growing transport system is integrated and coordinated.</w:t>
            </w:r>
            <w:r w:rsidR="0051294E">
              <w:t xml:space="preserve"> </w:t>
            </w:r>
            <w:r w:rsidR="006B5700">
              <w:t xml:space="preserve">As at </w:t>
            </w:r>
            <w:r w:rsidR="00B87C56">
              <w:t xml:space="preserve">February 2026, the </w:t>
            </w:r>
            <w:r w:rsidR="008C3BB1">
              <w:t>Secretary of the Department of Transport and Planning holds the position of Head, Transport for Victoria.</w:t>
            </w:r>
          </w:p>
        </w:tc>
      </w:tr>
      <w:tr w:rsidR="00267D73" w:rsidRPr="00C34CF2" w14:paraId="4A06DCE2" w14:textId="77777777">
        <w:trPr>
          <w:cantSplit/>
        </w:trPr>
        <w:tc>
          <w:tcPr>
            <w:cnfStyle w:val="001000000000" w:firstRow="0" w:lastRow="0" w:firstColumn="1" w:lastColumn="0" w:oddVBand="0" w:evenVBand="0" w:oddHBand="0" w:evenHBand="0" w:firstRowFirstColumn="0" w:firstRowLastColumn="0" w:lastRowFirstColumn="0" w:lastRowLastColumn="0"/>
            <w:tcW w:w="2792" w:type="dxa"/>
          </w:tcPr>
          <w:p w14:paraId="203DAFCA" w14:textId="77777777" w:rsidR="00267D73" w:rsidRPr="00C34CF2" w:rsidRDefault="00267D73">
            <w:pPr>
              <w:spacing w:after="120"/>
            </w:pPr>
            <w:r w:rsidRPr="00C34CF2">
              <w:t>Infrastructure manager</w:t>
            </w:r>
          </w:p>
        </w:tc>
        <w:tc>
          <w:tcPr>
            <w:tcW w:w="7970" w:type="dxa"/>
          </w:tcPr>
          <w:p w14:paraId="284A761E" w14:textId="77777777" w:rsidR="00E55579" w:rsidRDefault="00267D73">
            <w:pPr>
              <w:spacing w:after="120"/>
              <w:cnfStyle w:val="000000000000" w:firstRow="0" w:lastRow="0" w:firstColumn="0" w:lastColumn="0" w:oddVBand="0" w:evenVBand="0" w:oddHBand="0" w:evenHBand="0" w:firstRowFirstColumn="0" w:firstRowLastColumn="0" w:lastRowFirstColumn="0" w:lastRowLastColumn="0"/>
            </w:pPr>
            <w:r w:rsidRPr="00C34CF2">
              <w:t xml:space="preserve">In relation to road infrastructure, the responsible road authority. </w:t>
            </w:r>
          </w:p>
          <w:p w14:paraId="798DA52E" w14:textId="13DD3517"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In relation to non-road infrastructure, the person or body that is responsible for the provision, installation, maintenance or operation of the non-road infrastructure.</w:t>
            </w:r>
          </w:p>
        </w:tc>
      </w:tr>
      <w:tr w:rsidR="00267D73" w:rsidRPr="00C34CF2" w14:paraId="1A055C08" w14:textId="77777777">
        <w:trPr>
          <w:cantSplit/>
        </w:trPr>
        <w:tc>
          <w:tcPr>
            <w:cnfStyle w:val="001000000000" w:firstRow="0" w:lastRow="0" w:firstColumn="1" w:lastColumn="0" w:oddVBand="0" w:evenVBand="0" w:oddHBand="0" w:evenHBand="0" w:firstRowFirstColumn="0" w:firstRowLastColumn="0" w:lastRowFirstColumn="0" w:lastRowLastColumn="0"/>
            <w:tcW w:w="2792" w:type="dxa"/>
          </w:tcPr>
          <w:p w14:paraId="045497A8" w14:textId="77777777" w:rsidR="00267D73" w:rsidRPr="00C34CF2" w:rsidRDefault="00267D73">
            <w:pPr>
              <w:spacing w:after="120"/>
            </w:pPr>
            <w:r w:rsidRPr="00C34CF2">
              <w:t>Minor works</w:t>
            </w:r>
          </w:p>
        </w:tc>
        <w:tc>
          <w:tcPr>
            <w:tcW w:w="7970" w:type="dxa"/>
          </w:tcPr>
          <w:p w14:paraId="3C4ABB6F" w14:textId="516602C3"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 xml:space="preserve">Works </w:t>
            </w:r>
            <w:r w:rsidR="002B51D7" w:rsidRPr="00C34CF2">
              <w:t xml:space="preserve">undertaken by a utility, public transport provider, road authority or agents of any of these bodies </w:t>
            </w:r>
            <w:r w:rsidRPr="00C34CF2">
              <w:t xml:space="preserve">that are expected to have a ‘minor’ impact on the functioning of the road or road infrastructure as </w:t>
            </w:r>
            <w:r w:rsidR="00755995">
              <w:t xml:space="preserve">defined </w:t>
            </w:r>
            <w:r w:rsidRPr="00C34CF2">
              <w:t>under Regulation 6 of the W&amp;I Regulations. Examples of minor works include the installation of aerial cables, traffic control devices or poles, pruning of a tree, or using an access hole.</w:t>
            </w:r>
          </w:p>
        </w:tc>
      </w:tr>
      <w:tr w:rsidR="00267D73" w:rsidRPr="00C34CF2" w14:paraId="4567DA76" w14:textId="77777777">
        <w:trPr>
          <w:cantSplit/>
        </w:trPr>
        <w:tc>
          <w:tcPr>
            <w:cnfStyle w:val="001000000000" w:firstRow="0" w:lastRow="0" w:firstColumn="1" w:lastColumn="0" w:oddVBand="0" w:evenVBand="0" w:oddHBand="0" w:evenHBand="0" w:firstRowFirstColumn="0" w:firstRowLastColumn="0" w:lastRowFirstColumn="0" w:lastRowLastColumn="0"/>
            <w:tcW w:w="2792" w:type="dxa"/>
          </w:tcPr>
          <w:p w14:paraId="5AA8560D" w14:textId="77777777" w:rsidR="00267D73" w:rsidRPr="00C34CF2" w:rsidRDefault="00267D73">
            <w:pPr>
              <w:spacing w:after="120"/>
            </w:pPr>
            <w:r w:rsidRPr="00C34CF2">
              <w:t>Non-road infrastructure</w:t>
            </w:r>
          </w:p>
        </w:tc>
        <w:tc>
          <w:tcPr>
            <w:tcW w:w="7970" w:type="dxa"/>
          </w:tcPr>
          <w:p w14:paraId="06FA24F1" w14:textId="77777777"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Infrastructure in, on, under or over a road which is not road infrastructure (for example, gas pipes, water and sewerage pipes, electricity poles and bus shelters).</w:t>
            </w:r>
          </w:p>
        </w:tc>
      </w:tr>
      <w:tr w:rsidR="00267D73" w:rsidRPr="00C34CF2" w14:paraId="23DF0026" w14:textId="77777777">
        <w:trPr>
          <w:cantSplit/>
        </w:trPr>
        <w:tc>
          <w:tcPr>
            <w:cnfStyle w:val="001000000000" w:firstRow="0" w:lastRow="0" w:firstColumn="1" w:lastColumn="0" w:oddVBand="0" w:evenVBand="0" w:oddHBand="0" w:evenHBand="0" w:firstRowFirstColumn="0" w:firstRowLastColumn="0" w:lastRowFirstColumn="0" w:lastRowLastColumn="0"/>
            <w:tcW w:w="2792" w:type="dxa"/>
          </w:tcPr>
          <w:p w14:paraId="3C34C173" w14:textId="77777777" w:rsidR="00267D73" w:rsidRPr="00C34CF2" w:rsidRDefault="00267D73">
            <w:pPr>
              <w:spacing w:after="120"/>
            </w:pPr>
            <w:r w:rsidRPr="00C34CF2">
              <w:t>Notice of incident</w:t>
            </w:r>
          </w:p>
        </w:tc>
        <w:tc>
          <w:tcPr>
            <w:tcW w:w="7970" w:type="dxa"/>
          </w:tcPr>
          <w:p w14:paraId="4EEE37C9" w14:textId="77777777"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A notice given to a responsible road authority by a person who proposes to commence a proceeding in a court in relation to an incident arising out of the condition of a public road or infrastructure (for example, damage to a vehicle resulting from an uneven road surface).</w:t>
            </w:r>
          </w:p>
        </w:tc>
      </w:tr>
      <w:tr w:rsidR="00267D73" w:rsidRPr="00C34CF2" w14:paraId="23434027" w14:textId="77777777">
        <w:trPr>
          <w:cantSplit/>
        </w:trPr>
        <w:tc>
          <w:tcPr>
            <w:cnfStyle w:val="001000000000" w:firstRow="0" w:lastRow="0" w:firstColumn="1" w:lastColumn="0" w:oddVBand="0" w:evenVBand="0" w:oddHBand="0" w:evenHBand="0" w:firstRowFirstColumn="0" w:firstRowLastColumn="0" w:lastRowFirstColumn="0" w:lastRowLastColumn="0"/>
            <w:tcW w:w="2792" w:type="dxa"/>
          </w:tcPr>
          <w:p w14:paraId="3D157B63" w14:textId="77777777" w:rsidR="00267D73" w:rsidRPr="00C34CF2" w:rsidRDefault="00267D73">
            <w:pPr>
              <w:spacing w:after="120"/>
            </w:pPr>
            <w:r w:rsidRPr="00C34CF2">
              <w:t>Public road</w:t>
            </w:r>
          </w:p>
        </w:tc>
        <w:tc>
          <w:tcPr>
            <w:tcW w:w="7970" w:type="dxa"/>
          </w:tcPr>
          <w:p w14:paraId="7C2B46AC" w14:textId="533278FE"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Roads which are reasonably required for general public use. They are limited to freeways, arterial roads, non-arterial State-Roads, municipal roads, or a road declared to be a public road under the Act.</w:t>
            </w:r>
          </w:p>
        </w:tc>
      </w:tr>
      <w:tr w:rsidR="00267D73" w:rsidRPr="00C34CF2" w14:paraId="2D52B210" w14:textId="77777777">
        <w:trPr>
          <w:cantSplit/>
        </w:trPr>
        <w:tc>
          <w:tcPr>
            <w:cnfStyle w:val="001000000000" w:firstRow="0" w:lastRow="0" w:firstColumn="1" w:lastColumn="0" w:oddVBand="0" w:evenVBand="0" w:oddHBand="0" w:evenHBand="0" w:firstRowFirstColumn="0" w:firstRowLastColumn="0" w:lastRowFirstColumn="0" w:lastRowLastColumn="0"/>
            <w:tcW w:w="2792" w:type="dxa"/>
          </w:tcPr>
          <w:p w14:paraId="6600E1D2" w14:textId="77777777" w:rsidR="00267D73" w:rsidRPr="00C34CF2" w:rsidRDefault="00267D73">
            <w:pPr>
              <w:spacing w:after="120"/>
            </w:pPr>
            <w:r w:rsidRPr="00C34CF2">
              <w:t>Responsible road authority</w:t>
            </w:r>
          </w:p>
        </w:tc>
        <w:tc>
          <w:tcPr>
            <w:tcW w:w="7970" w:type="dxa"/>
          </w:tcPr>
          <w:p w14:paraId="4AE42455" w14:textId="0C31053C"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In relation to a road, means the road authority which has operational functions</w:t>
            </w:r>
            <w:r w:rsidR="00AD4083">
              <w:t xml:space="preserve"> </w:t>
            </w:r>
            <w:r w:rsidR="00AD4083" w:rsidRPr="00C34CF2">
              <w:rPr>
                <w:bCs/>
              </w:rPr>
              <w:t xml:space="preserve">(as per </w:t>
            </w:r>
            <w:r w:rsidR="00AD4083" w:rsidRPr="00C34CF2">
              <w:rPr>
                <w:bCs/>
              </w:rPr>
              <w:fldChar w:fldCharType="begin"/>
            </w:r>
            <w:r w:rsidR="00AD4083" w:rsidRPr="00C34CF2">
              <w:rPr>
                <w:bCs/>
              </w:rPr>
              <w:instrText xml:space="preserve"> REF _Ref204166271 \h </w:instrText>
            </w:r>
            <w:r w:rsidR="00AD4083" w:rsidRPr="00C34CF2">
              <w:rPr>
                <w:bCs/>
              </w:rPr>
            </w:r>
            <w:r w:rsidR="00AD4083" w:rsidRPr="00C34CF2">
              <w:rPr>
                <w:bCs/>
              </w:rPr>
              <w:fldChar w:fldCharType="separate"/>
            </w:r>
            <w:r w:rsidR="00F170D0">
              <w:t xml:space="preserve">Table </w:t>
            </w:r>
            <w:r w:rsidR="00F170D0">
              <w:rPr>
                <w:noProof/>
              </w:rPr>
              <w:t>1</w:t>
            </w:r>
            <w:r w:rsidR="00F170D0">
              <w:t xml:space="preserve"> – </w:t>
            </w:r>
            <w:r w:rsidR="00F170D0" w:rsidRPr="007D2402">
              <w:t>Road types and responsible road authorities Victoria</w:t>
            </w:r>
            <w:r w:rsidR="00AD4083" w:rsidRPr="00C34CF2">
              <w:fldChar w:fldCharType="end"/>
            </w:r>
            <w:r w:rsidR="00AD4083">
              <w:t>)</w:t>
            </w:r>
            <w:r w:rsidR="00964C2B">
              <w:t>.</w:t>
            </w:r>
          </w:p>
        </w:tc>
      </w:tr>
      <w:tr w:rsidR="00267D73" w:rsidRPr="00C34CF2" w14:paraId="67090510" w14:textId="77777777">
        <w:trPr>
          <w:cantSplit/>
        </w:trPr>
        <w:tc>
          <w:tcPr>
            <w:cnfStyle w:val="001000000000" w:firstRow="0" w:lastRow="0" w:firstColumn="1" w:lastColumn="0" w:oddVBand="0" w:evenVBand="0" w:oddHBand="0" w:evenHBand="0" w:firstRowFirstColumn="0" w:firstRowLastColumn="0" w:lastRowFirstColumn="0" w:lastRowLastColumn="0"/>
            <w:tcW w:w="2792" w:type="dxa"/>
          </w:tcPr>
          <w:p w14:paraId="5885D9D7" w14:textId="77777777" w:rsidR="00267D73" w:rsidRPr="00C34CF2" w:rsidRDefault="00267D73">
            <w:pPr>
              <w:spacing w:after="120"/>
            </w:pPr>
            <w:r w:rsidRPr="00C34CF2">
              <w:lastRenderedPageBreak/>
              <w:t>Road</w:t>
            </w:r>
          </w:p>
        </w:tc>
        <w:tc>
          <w:tcPr>
            <w:tcW w:w="7970" w:type="dxa"/>
          </w:tcPr>
          <w:p w14:paraId="2202F8A1" w14:textId="77777777"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Any public highway, ancillary area or land declared to be a road by a road authority in accordance with the Act.</w:t>
            </w:r>
          </w:p>
        </w:tc>
      </w:tr>
      <w:tr w:rsidR="00267D73" w:rsidRPr="00C34CF2" w14:paraId="3324C35A" w14:textId="77777777">
        <w:trPr>
          <w:cantSplit/>
          <w:trHeight w:val="506"/>
        </w:trPr>
        <w:tc>
          <w:tcPr>
            <w:cnfStyle w:val="001000000000" w:firstRow="0" w:lastRow="0" w:firstColumn="1" w:lastColumn="0" w:oddVBand="0" w:evenVBand="0" w:oddHBand="0" w:evenHBand="0" w:firstRowFirstColumn="0" w:firstRowLastColumn="0" w:lastRowFirstColumn="0" w:lastRowLastColumn="0"/>
            <w:tcW w:w="2792" w:type="dxa"/>
          </w:tcPr>
          <w:p w14:paraId="60142914" w14:textId="77777777" w:rsidR="00267D73" w:rsidRPr="00C34CF2" w:rsidRDefault="00267D73">
            <w:r>
              <w:t xml:space="preserve">Road reserve </w:t>
            </w:r>
          </w:p>
        </w:tc>
        <w:tc>
          <w:tcPr>
            <w:tcW w:w="7970" w:type="dxa"/>
          </w:tcPr>
          <w:p w14:paraId="0078BE2F" w14:textId="77777777" w:rsidR="00267D73" w:rsidRPr="00C34CF2" w:rsidRDefault="00267D73">
            <w:pPr>
              <w:cnfStyle w:val="000000000000" w:firstRow="0" w:lastRow="0" w:firstColumn="0" w:lastColumn="0" w:oddVBand="0" w:evenVBand="0" w:oddHBand="0" w:evenHBand="0" w:firstRowFirstColumn="0" w:firstRowLastColumn="0" w:lastRowFirstColumn="0" w:lastRowLastColumn="0"/>
            </w:pPr>
            <w:r>
              <w:t>All the area of land that is within the boundaries of a road.</w:t>
            </w:r>
          </w:p>
        </w:tc>
      </w:tr>
      <w:tr w:rsidR="00267D73" w:rsidRPr="00C34CF2" w14:paraId="789E7341" w14:textId="77777777">
        <w:trPr>
          <w:cantSplit/>
        </w:trPr>
        <w:tc>
          <w:tcPr>
            <w:cnfStyle w:val="001000000000" w:firstRow="0" w:lastRow="0" w:firstColumn="1" w:lastColumn="0" w:oddVBand="0" w:evenVBand="0" w:oddHBand="0" w:evenHBand="0" w:firstRowFirstColumn="0" w:firstRowLastColumn="0" w:lastRowFirstColumn="0" w:lastRowLastColumn="0"/>
            <w:tcW w:w="2792" w:type="dxa"/>
          </w:tcPr>
          <w:p w14:paraId="246728F8" w14:textId="77777777" w:rsidR="00267D73" w:rsidRPr="00C34CF2" w:rsidRDefault="00267D73">
            <w:pPr>
              <w:spacing w:after="120"/>
            </w:pPr>
            <w:r w:rsidRPr="00C34CF2">
              <w:t>Road authority</w:t>
            </w:r>
          </w:p>
        </w:tc>
        <w:tc>
          <w:tcPr>
            <w:tcW w:w="7970" w:type="dxa"/>
          </w:tcPr>
          <w:p w14:paraId="249B65D5" w14:textId="77777777"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 xml:space="preserve">Unless </w:t>
            </w:r>
            <w:r>
              <w:t xml:space="preserve">the context provides </w:t>
            </w:r>
            <w:r w:rsidRPr="00C34CF2">
              <w:t xml:space="preserve">otherwise, “the road authority” refers to the </w:t>
            </w:r>
            <w:r w:rsidRPr="00C34CF2">
              <w:rPr>
                <w:i/>
              </w:rPr>
              <w:t xml:space="preserve">responsible </w:t>
            </w:r>
            <w:r w:rsidRPr="00C34CF2">
              <w:t>road authority.</w:t>
            </w:r>
          </w:p>
        </w:tc>
      </w:tr>
      <w:tr w:rsidR="00267D73" w:rsidRPr="00C34CF2" w14:paraId="4B873A91" w14:textId="77777777">
        <w:trPr>
          <w:cantSplit/>
        </w:trPr>
        <w:tc>
          <w:tcPr>
            <w:cnfStyle w:val="001000000000" w:firstRow="0" w:lastRow="0" w:firstColumn="1" w:lastColumn="0" w:oddVBand="0" w:evenVBand="0" w:oddHBand="0" w:evenHBand="0" w:firstRowFirstColumn="0" w:firstRowLastColumn="0" w:lastRowFirstColumn="0" w:lastRowLastColumn="0"/>
            <w:tcW w:w="2792" w:type="dxa"/>
          </w:tcPr>
          <w:p w14:paraId="71B8891F" w14:textId="77777777" w:rsidR="00267D73" w:rsidRPr="00C34CF2" w:rsidRDefault="00267D73">
            <w:pPr>
              <w:spacing w:after="120"/>
            </w:pPr>
            <w:r w:rsidRPr="00C34CF2">
              <w:t>Road infrastructure</w:t>
            </w:r>
          </w:p>
        </w:tc>
        <w:tc>
          <w:tcPr>
            <w:tcW w:w="7970" w:type="dxa"/>
          </w:tcPr>
          <w:p w14:paraId="4F716046" w14:textId="71C72475" w:rsidR="00267D73" w:rsidRPr="00C34CF2" w:rsidRDefault="00C32151">
            <w:pPr>
              <w:spacing w:after="120"/>
              <w:cnfStyle w:val="000000000000" w:firstRow="0" w:lastRow="0" w:firstColumn="0" w:lastColumn="0" w:oddVBand="0" w:evenVBand="0" w:oddHBand="0" w:evenHBand="0" w:firstRowFirstColumn="0" w:firstRowLastColumn="0" w:lastRowFirstColumn="0" w:lastRowLastColumn="0"/>
            </w:pPr>
            <w:r>
              <w:t>I</w:t>
            </w:r>
            <w:r w:rsidR="00267D73" w:rsidRPr="00C34CF2">
              <w:t xml:space="preserve">nfrastructure </w:t>
            </w:r>
            <w:r>
              <w:t xml:space="preserve">that is </w:t>
            </w:r>
            <w:r w:rsidR="00267D73" w:rsidRPr="00C34CF2">
              <w:t xml:space="preserve">part of a roadway, pathway or shoulder and infrastructure that facilitates the use of the road (for example, traffic control </w:t>
            </w:r>
            <w:r w:rsidR="00267D73">
              <w:t>device</w:t>
            </w:r>
            <w:r w:rsidR="00267D73" w:rsidRPr="00C34CF2">
              <w:t>) or supports or protects the road (road drain).</w:t>
            </w:r>
          </w:p>
        </w:tc>
      </w:tr>
      <w:tr w:rsidR="00267D73" w:rsidRPr="00C34CF2" w14:paraId="4DFC00DE" w14:textId="77777777">
        <w:trPr>
          <w:cantSplit/>
        </w:trPr>
        <w:tc>
          <w:tcPr>
            <w:cnfStyle w:val="001000000000" w:firstRow="0" w:lastRow="0" w:firstColumn="1" w:lastColumn="0" w:oddVBand="0" w:evenVBand="0" w:oddHBand="0" w:evenHBand="0" w:firstRowFirstColumn="0" w:firstRowLastColumn="0" w:lastRowFirstColumn="0" w:lastRowLastColumn="0"/>
            <w:tcW w:w="2792" w:type="dxa"/>
          </w:tcPr>
          <w:p w14:paraId="1DDE9E0D" w14:textId="661A4D02" w:rsidR="00267D73" w:rsidRPr="00C34CF2" w:rsidRDefault="00267D73">
            <w:pPr>
              <w:spacing w:after="120"/>
            </w:pPr>
            <w:r w:rsidRPr="00C34CF2">
              <w:t xml:space="preserve">Road </w:t>
            </w:r>
            <w:r w:rsidR="005F7A3D">
              <w:t>m</w:t>
            </w:r>
            <w:r w:rsidRPr="00C34CF2">
              <w:t xml:space="preserve">anagement </w:t>
            </w:r>
            <w:r w:rsidR="002D5625">
              <w:t>p</w:t>
            </w:r>
            <w:r w:rsidRPr="00C34CF2">
              <w:t>lan</w:t>
            </w:r>
          </w:p>
        </w:tc>
        <w:tc>
          <w:tcPr>
            <w:tcW w:w="7970" w:type="dxa"/>
          </w:tcPr>
          <w:p w14:paraId="0062163E" w14:textId="77777777"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 xml:space="preserve">A plan prepared by a road authority to outline its system for performing its road management functions and </w:t>
            </w:r>
            <w:r>
              <w:t xml:space="preserve">to </w:t>
            </w:r>
            <w:r w:rsidRPr="00C34CF2">
              <w:t xml:space="preserve">set the relevant standard in relation to the discharge of duties in the performance of those functions. </w:t>
            </w:r>
          </w:p>
        </w:tc>
      </w:tr>
      <w:tr w:rsidR="00267D73" w:rsidRPr="00C34CF2" w14:paraId="45816BF3" w14:textId="77777777">
        <w:trPr>
          <w:cantSplit/>
        </w:trPr>
        <w:tc>
          <w:tcPr>
            <w:cnfStyle w:val="001000000000" w:firstRow="0" w:lastRow="0" w:firstColumn="1" w:lastColumn="0" w:oddVBand="0" w:evenVBand="0" w:oddHBand="0" w:evenHBand="0" w:firstRowFirstColumn="0" w:firstRowLastColumn="0" w:lastRowFirstColumn="0" w:lastRowLastColumn="0"/>
            <w:tcW w:w="2792" w:type="dxa"/>
          </w:tcPr>
          <w:p w14:paraId="57BA3544" w14:textId="77777777" w:rsidR="00267D73" w:rsidRPr="00C34CF2" w:rsidRDefault="00267D73">
            <w:pPr>
              <w:spacing w:after="120"/>
            </w:pPr>
            <w:r w:rsidRPr="00C34CF2">
              <w:t>Service extension works</w:t>
            </w:r>
          </w:p>
        </w:tc>
        <w:tc>
          <w:tcPr>
            <w:tcW w:w="7970" w:type="dxa"/>
          </w:tcPr>
          <w:p w14:paraId="1D9A5A28" w14:textId="77777777"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 xml:space="preserve">Works undertaken by a utility for the purpose of extending non-road infrastructure owned, operated or controlled by that utility, or enabling a person to be provided a service by a utility. Further criteria are in Regulation 8 of the </w:t>
            </w:r>
            <w:r w:rsidRPr="00C34CF2">
              <w:rPr>
                <w:i/>
              </w:rPr>
              <w:t>Road Management (Works and Infrastructure) Regulations 2015</w:t>
            </w:r>
            <w:r w:rsidRPr="00C34CF2">
              <w:t>.</w:t>
            </w:r>
          </w:p>
        </w:tc>
      </w:tr>
      <w:tr w:rsidR="00267D73" w:rsidRPr="00C34CF2" w14:paraId="2B14F522" w14:textId="77777777">
        <w:trPr>
          <w:cantSplit/>
        </w:trPr>
        <w:tc>
          <w:tcPr>
            <w:cnfStyle w:val="001000000000" w:firstRow="0" w:lastRow="0" w:firstColumn="1" w:lastColumn="0" w:oddVBand="0" w:evenVBand="0" w:oddHBand="0" w:evenHBand="0" w:firstRowFirstColumn="0" w:firstRowLastColumn="0" w:lastRowFirstColumn="0" w:lastRowLastColumn="0"/>
            <w:tcW w:w="2792" w:type="dxa"/>
          </w:tcPr>
          <w:p w14:paraId="111724B1" w14:textId="77777777" w:rsidR="00267D73" w:rsidRPr="00C34CF2" w:rsidRDefault="00267D73">
            <w:pPr>
              <w:spacing w:after="120"/>
            </w:pPr>
            <w:r w:rsidRPr="00C34CF2">
              <w:t>State road authority</w:t>
            </w:r>
          </w:p>
        </w:tc>
        <w:tc>
          <w:tcPr>
            <w:tcW w:w="7970" w:type="dxa"/>
          </w:tcPr>
          <w:p w14:paraId="3FE764DB" w14:textId="77777777"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A road authority other than a municipal council, the Extension corporation, the Link corporation, EastLink Corporation, the Peninsula Link Freeway Corporation, West Gate Tunnel Corporation or North East Link State Tolling Corporation.</w:t>
            </w:r>
          </w:p>
        </w:tc>
      </w:tr>
      <w:tr w:rsidR="00267D73" w:rsidRPr="00C34CF2" w14:paraId="1A58FCD1" w14:textId="77777777">
        <w:trPr>
          <w:cantSplit/>
        </w:trPr>
        <w:tc>
          <w:tcPr>
            <w:cnfStyle w:val="001000000000" w:firstRow="0" w:lastRow="0" w:firstColumn="1" w:lastColumn="0" w:oddVBand="0" w:evenVBand="0" w:oddHBand="0" w:evenHBand="0" w:firstRowFirstColumn="0" w:firstRowLastColumn="0" w:lastRowFirstColumn="0" w:lastRowLastColumn="0"/>
            <w:tcW w:w="2792" w:type="dxa"/>
          </w:tcPr>
          <w:p w14:paraId="5E0CEF71" w14:textId="77777777" w:rsidR="00267D73" w:rsidRPr="00C34CF2" w:rsidRDefault="00267D73">
            <w:pPr>
              <w:spacing w:after="120"/>
            </w:pPr>
            <w:r w:rsidRPr="00C34CF2">
              <w:t>The Act</w:t>
            </w:r>
          </w:p>
        </w:tc>
        <w:tc>
          <w:tcPr>
            <w:tcW w:w="7970" w:type="dxa"/>
          </w:tcPr>
          <w:p w14:paraId="314AB6F1" w14:textId="77777777"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 xml:space="preserve">The </w:t>
            </w:r>
            <w:r w:rsidRPr="00C34CF2">
              <w:rPr>
                <w:i/>
              </w:rPr>
              <w:t>Road</w:t>
            </w:r>
            <w:r w:rsidRPr="00C34CF2">
              <w:t xml:space="preserve"> </w:t>
            </w:r>
            <w:r w:rsidRPr="00C34CF2">
              <w:rPr>
                <w:i/>
              </w:rPr>
              <w:t>Management Act 2004.</w:t>
            </w:r>
          </w:p>
        </w:tc>
      </w:tr>
      <w:tr w:rsidR="00267D73" w:rsidRPr="00C34CF2" w14:paraId="0A46040D" w14:textId="77777777">
        <w:trPr>
          <w:cantSplit/>
        </w:trPr>
        <w:tc>
          <w:tcPr>
            <w:cnfStyle w:val="001000000000" w:firstRow="0" w:lastRow="0" w:firstColumn="1" w:lastColumn="0" w:oddVBand="0" w:evenVBand="0" w:oddHBand="0" w:evenHBand="0" w:firstRowFirstColumn="0" w:firstRowLastColumn="0" w:lastRowFirstColumn="0" w:lastRowLastColumn="0"/>
            <w:tcW w:w="2792" w:type="dxa"/>
          </w:tcPr>
          <w:p w14:paraId="62E7996B" w14:textId="77777777" w:rsidR="00267D73" w:rsidRPr="00C34CF2" w:rsidRDefault="00267D73">
            <w:pPr>
              <w:spacing w:after="120"/>
            </w:pPr>
            <w:r w:rsidRPr="00C34CF2">
              <w:t>The Department</w:t>
            </w:r>
          </w:p>
        </w:tc>
        <w:tc>
          <w:tcPr>
            <w:tcW w:w="7970" w:type="dxa"/>
          </w:tcPr>
          <w:p w14:paraId="69F58040" w14:textId="2A7E7F53"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The Department of Transport and Planning</w:t>
            </w:r>
            <w:r w:rsidR="00C3202C">
              <w:t xml:space="preserve"> (also referred to </w:t>
            </w:r>
            <w:r w:rsidR="00E313CE">
              <w:t>as DTP)</w:t>
            </w:r>
            <w:r w:rsidRPr="00C34CF2">
              <w:t>.</w:t>
            </w:r>
          </w:p>
        </w:tc>
      </w:tr>
      <w:tr w:rsidR="00267D73" w:rsidRPr="00C34CF2" w14:paraId="3A452C5A" w14:textId="77777777">
        <w:trPr>
          <w:cantSplit/>
        </w:trPr>
        <w:tc>
          <w:tcPr>
            <w:cnfStyle w:val="001000000000" w:firstRow="0" w:lastRow="0" w:firstColumn="1" w:lastColumn="0" w:oddVBand="0" w:evenVBand="0" w:oddHBand="0" w:evenHBand="0" w:firstRowFirstColumn="0" w:firstRowLastColumn="0" w:lastRowFirstColumn="0" w:lastRowLastColumn="0"/>
            <w:tcW w:w="2792" w:type="dxa"/>
          </w:tcPr>
          <w:p w14:paraId="3B16104F" w14:textId="77777777" w:rsidR="00267D73" w:rsidRPr="00C34CF2" w:rsidRDefault="00267D73">
            <w:pPr>
              <w:spacing w:after="120"/>
            </w:pPr>
            <w:r w:rsidRPr="00C34CF2">
              <w:t>The proposed Regulations</w:t>
            </w:r>
          </w:p>
        </w:tc>
        <w:tc>
          <w:tcPr>
            <w:tcW w:w="7970" w:type="dxa"/>
          </w:tcPr>
          <w:p w14:paraId="587C7945" w14:textId="77777777"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Unless the context provides otherwise, means both the draft Road Management (General) Regulations 2026 and the draft Road Management (Works and Infrastructure) Regulations 2026.</w:t>
            </w:r>
          </w:p>
        </w:tc>
      </w:tr>
      <w:tr w:rsidR="00267D73" w:rsidRPr="00C34CF2" w14:paraId="38FF2A92" w14:textId="77777777">
        <w:trPr>
          <w:cantSplit/>
        </w:trPr>
        <w:tc>
          <w:tcPr>
            <w:cnfStyle w:val="001000000000" w:firstRow="0" w:lastRow="0" w:firstColumn="1" w:lastColumn="0" w:oddVBand="0" w:evenVBand="0" w:oddHBand="0" w:evenHBand="0" w:firstRowFirstColumn="0" w:firstRowLastColumn="0" w:lastRowFirstColumn="0" w:lastRowLastColumn="0"/>
            <w:tcW w:w="2792" w:type="dxa"/>
          </w:tcPr>
          <w:p w14:paraId="0AC33BD6" w14:textId="77777777" w:rsidR="00267D73" w:rsidRPr="00C34CF2" w:rsidRDefault="00267D73">
            <w:pPr>
              <w:spacing w:after="120"/>
            </w:pPr>
            <w:r w:rsidRPr="00C34CF2">
              <w:t>The Regulations</w:t>
            </w:r>
          </w:p>
        </w:tc>
        <w:tc>
          <w:tcPr>
            <w:tcW w:w="7970" w:type="dxa"/>
          </w:tcPr>
          <w:p w14:paraId="7EDB2AA0" w14:textId="77777777"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 xml:space="preserve">Unless the context provides otherwise, refers to both the </w:t>
            </w:r>
            <w:r w:rsidRPr="00C34CF2">
              <w:rPr>
                <w:i/>
              </w:rPr>
              <w:t xml:space="preserve">Road Management (Works and Infrastructure) Regulations 2015 </w:t>
            </w:r>
            <w:r w:rsidRPr="00C34CF2">
              <w:t xml:space="preserve">and the </w:t>
            </w:r>
            <w:r w:rsidRPr="00C34CF2">
              <w:rPr>
                <w:i/>
              </w:rPr>
              <w:t>Road Management (General) Regulations 2016</w:t>
            </w:r>
            <w:r w:rsidRPr="00C34CF2">
              <w:t xml:space="preserve">. </w:t>
            </w:r>
          </w:p>
        </w:tc>
      </w:tr>
      <w:tr w:rsidR="00267D73" w:rsidRPr="00C34CF2" w14:paraId="526D9CF7" w14:textId="77777777">
        <w:trPr>
          <w:cantSplit/>
        </w:trPr>
        <w:tc>
          <w:tcPr>
            <w:cnfStyle w:val="001000000000" w:firstRow="0" w:lastRow="0" w:firstColumn="1" w:lastColumn="0" w:oddVBand="0" w:evenVBand="0" w:oddHBand="0" w:evenHBand="0" w:firstRowFirstColumn="0" w:firstRowLastColumn="0" w:lastRowFirstColumn="0" w:lastRowLastColumn="0"/>
            <w:tcW w:w="2792" w:type="dxa"/>
          </w:tcPr>
          <w:p w14:paraId="3010F2FD" w14:textId="77777777" w:rsidR="00267D73" w:rsidRPr="00C34CF2" w:rsidRDefault="00267D73">
            <w:pPr>
              <w:spacing w:after="120"/>
            </w:pPr>
            <w:r w:rsidRPr="00C34CF2">
              <w:t>Traffic impact works</w:t>
            </w:r>
          </w:p>
        </w:tc>
        <w:tc>
          <w:tcPr>
            <w:tcW w:w="7970" w:type="dxa"/>
          </w:tcPr>
          <w:p w14:paraId="1546A67C" w14:textId="513CA832"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 xml:space="preserve">Works that are expected to have a substantial impact on the flow of traffic as defined under the W&amp;I Regulations. Examples of traffic impact works include works on a freeway, in a clearway when it is in operation </w:t>
            </w:r>
            <w:r w:rsidR="00C50897">
              <w:t xml:space="preserve">and </w:t>
            </w:r>
            <w:r w:rsidRPr="00C34CF2">
              <w:t>works that require the cancellation or deviation of a public transport route.</w:t>
            </w:r>
          </w:p>
        </w:tc>
      </w:tr>
      <w:tr w:rsidR="00267D73" w:rsidRPr="00C34CF2" w14:paraId="03FECDA9" w14:textId="77777777">
        <w:trPr>
          <w:cantSplit/>
        </w:trPr>
        <w:tc>
          <w:tcPr>
            <w:cnfStyle w:val="001000000000" w:firstRow="0" w:lastRow="0" w:firstColumn="1" w:lastColumn="0" w:oddVBand="0" w:evenVBand="0" w:oddHBand="0" w:evenHBand="0" w:firstRowFirstColumn="0" w:firstRowLastColumn="0" w:lastRowFirstColumn="0" w:lastRowLastColumn="0"/>
            <w:tcW w:w="2792" w:type="dxa"/>
          </w:tcPr>
          <w:p w14:paraId="522B993B" w14:textId="77777777" w:rsidR="00267D73" w:rsidRPr="00C34CF2" w:rsidRDefault="00267D73">
            <w:pPr>
              <w:spacing w:after="120"/>
            </w:pPr>
            <w:r w:rsidRPr="00C34CF2">
              <w:t>W&amp;I Regulations</w:t>
            </w:r>
          </w:p>
        </w:tc>
        <w:tc>
          <w:tcPr>
            <w:tcW w:w="7970" w:type="dxa"/>
          </w:tcPr>
          <w:p w14:paraId="6DA23CAE" w14:textId="77777777"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 xml:space="preserve">Shortened term for the </w:t>
            </w:r>
            <w:r w:rsidRPr="00C34CF2">
              <w:rPr>
                <w:i/>
              </w:rPr>
              <w:t>Road Management (Works and Infrastructure) Regulations 2015</w:t>
            </w:r>
            <w:r w:rsidRPr="00C34CF2">
              <w:t>.</w:t>
            </w:r>
          </w:p>
        </w:tc>
      </w:tr>
      <w:tr w:rsidR="00267D73" w:rsidRPr="00C34CF2" w14:paraId="73F6FC65" w14:textId="77777777">
        <w:trPr>
          <w:cantSplit/>
          <w:trHeight w:val="653"/>
        </w:trPr>
        <w:tc>
          <w:tcPr>
            <w:cnfStyle w:val="001000000000" w:firstRow="0" w:lastRow="0" w:firstColumn="1" w:lastColumn="0" w:oddVBand="0" w:evenVBand="0" w:oddHBand="0" w:evenHBand="0" w:firstRowFirstColumn="0" w:firstRowLastColumn="0" w:lastRowFirstColumn="0" w:lastRowLastColumn="0"/>
            <w:tcW w:w="2792" w:type="dxa"/>
          </w:tcPr>
          <w:p w14:paraId="612475FA" w14:textId="77777777" w:rsidR="00267D73" w:rsidRPr="00C34CF2" w:rsidRDefault="00267D73">
            <w:pPr>
              <w:spacing w:after="120"/>
            </w:pPr>
            <w:r w:rsidRPr="00C34CF2">
              <w:t>Works</w:t>
            </w:r>
          </w:p>
        </w:tc>
        <w:tc>
          <w:tcPr>
            <w:tcW w:w="7970" w:type="dxa"/>
          </w:tcPr>
          <w:p w14:paraId="4ECEF0C1" w14:textId="77777777"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Any kind of activity conducted on or in the vicinity of a road or proposed road in connection with the construction, maintenance or repair of the road or the installation, maintenance or repair of any infrastructure in, on, under or over a road.</w:t>
            </w:r>
          </w:p>
        </w:tc>
      </w:tr>
      <w:tr w:rsidR="00267D73" w:rsidRPr="00C34CF2" w14:paraId="4DE59ACE" w14:textId="77777777">
        <w:trPr>
          <w:cantSplit/>
        </w:trPr>
        <w:tc>
          <w:tcPr>
            <w:cnfStyle w:val="001000000000" w:firstRow="0" w:lastRow="0" w:firstColumn="1" w:lastColumn="0" w:oddVBand="0" w:evenVBand="0" w:oddHBand="0" w:evenHBand="0" w:firstRowFirstColumn="0" w:firstRowLastColumn="0" w:lastRowFirstColumn="0" w:lastRowLastColumn="0"/>
            <w:tcW w:w="2792" w:type="dxa"/>
          </w:tcPr>
          <w:p w14:paraId="653D9830" w14:textId="77777777" w:rsidR="00267D73" w:rsidRPr="00C34CF2" w:rsidRDefault="00267D73">
            <w:pPr>
              <w:spacing w:after="120"/>
            </w:pPr>
            <w:r w:rsidRPr="00C34CF2">
              <w:lastRenderedPageBreak/>
              <w:t>Works manager</w:t>
            </w:r>
          </w:p>
        </w:tc>
        <w:tc>
          <w:tcPr>
            <w:tcW w:w="7970" w:type="dxa"/>
          </w:tcPr>
          <w:p w14:paraId="0704600E" w14:textId="77777777"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Any person or body that is responsible for the conduct of works in, on, under or over a road</w:t>
            </w:r>
            <w:r>
              <w:t xml:space="preserve"> (including both road and non-road infrastructure)</w:t>
            </w:r>
            <w:r w:rsidRPr="00C34CF2">
              <w:t>.</w:t>
            </w:r>
          </w:p>
        </w:tc>
      </w:tr>
    </w:tbl>
    <w:p w14:paraId="7C70A0A2" w14:textId="3A3BFD99" w:rsidR="00267D73" w:rsidRPr="00C34CF2" w:rsidRDefault="00267D73" w:rsidP="00267D73">
      <w:pPr>
        <w:pStyle w:val="Caption"/>
      </w:pPr>
      <w:r w:rsidRPr="00C34CF2">
        <w:t>Acronyms and abbreviations commonly used in this document</w:t>
      </w:r>
    </w:p>
    <w:tbl>
      <w:tblPr>
        <w:tblStyle w:val="GridTable1Light-Accent3"/>
        <w:tblW w:w="0" w:type="auto"/>
        <w:tblLook w:val="04A0" w:firstRow="1" w:lastRow="0" w:firstColumn="1" w:lastColumn="0" w:noHBand="0" w:noVBand="1"/>
      </w:tblPr>
      <w:tblGrid>
        <w:gridCol w:w="1984"/>
        <w:gridCol w:w="8778"/>
      </w:tblGrid>
      <w:tr w:rsidR="00267D73" w:rsidRPr="00C34CF2" w14:paraId="585CBDCF" w14:textId="77777777">
        <w:trPr>
          <w:cnfStyle w:val="100000000000" w:firstRow="1" w:lastRow="0" w:firstColumn="0" w:lastColumn="0" w:oddVBand="0" w:evenVBand="0" w:oddHBand="0" w:evenHBand="0" w:firstRowFirstColumn="0" w:firstRowLastColumn="0" w:lastRowFirstColumn="0" w:lastRowLastColumn="0"/>
          <w:trHeight w:val="468"/>
          <w:tblHeader/>
        </w:trPr>
        <w:tc>
          <w:tcPr>
            <w:cnfStyle w:val="001000000000" w:firstRow="0" w:lastRow="0" w:firstColumn="1" w:lastColumn="0" w:oddVBand="0" w:evenVBand="0" w:oddHBand="0" w:evenHBand="0" w:firstRowFirstColumn="0" w:firstRowLastColumn="0" w:lastRowFirstColumn="0" w:lastRowLastColumn="0"/>
            <w:tcW w:w="1984" w:type="dxa"/>
          </w:tcPr>
          <w:p w14:paraId="07CF51DA" w14:textId="77777777" w:rsidR="00267D73" w:rsidRPr="00C34CF2" w:rsidRDefault="00267D73">
            <w:pPr>
              <w:spacing w:after="120"/>
            </w:pPr>
            <w:r w:rsidRPr="00C34CF2">
              <w:t>Acronym</w:t>
            </w:r>
          </w:p>
        </w:tc>
        <w:tc>
          <w:tcPr>
            <w:tcW w:w="8778" w:type="dxa"/>
          </w:tcPr>
          <w:p w14:paraId="3783DA5C" w14:textId="77777777" w:rsidR="00267D73" w:rsidRPr="00C34CF2" w:rsidRDefault="00267D73">
            <w:pPr>
              <w:spacing w:after="120"/>
              <w:cnfStyle w:val="100000000000" w:firstRow="1" w:lastRow="0" w:firstColumn="0" w:lastColumn="0" w:oddVBand="0" w:evenVBand="0" w:oddHBand="0" w:evenHBand="0" w:firstRowFirstColumn="0" w:firstRowLastColumn="0" w:lastRowFirstColumn="0" w:lastRowLastColumn="0"/>
            </w:pPr>
            <w:r w:rsidRPr="00C34CF2">
              <w:t>Detail</w:t>
            </w:r>
          </w:p>
        </w:tc>
      </w:tr>
      <w:tr w:rsidR="00267D73" w:rsidRPr="00C34CF2" w14:paraId="7884AE71" w14:textId="77777777">
        <w:tc>
          <w:tcPr>
            <w:cnfStyle w:val="001000000000" w:firstRow="0" w:lastRow="0" w:firstColumn="1" w:lastColumn="0" w:oddVBand="0" w:evenVBand="0" w:oddHBand="0" w:evenHBand="0" w:firstRowFirstColumn="0" w:firstRowLastColumn="0" w:lastRowFirstColumn="0" w:lastRowLastColumn="0"/>
            <w:tcW w:w="1984" w:type="dxa"/>
          </w:tcPr>
          <w:p w14:paraId="78EA857D" w14:textId="77777777" w:rsidR="00267D73" w:rsidRPr="00C34CF2" w:rsidRDefault="00267D73">
            <w:pPr>
              <w:spacing w:after="120"/>
            </w:pPr>
            <w:r w:rsidRPr="00C34CF2">
              <w:t>Cth</w:t>
            </w:r>
          </w:p>
        </w:tc>
        <w:tc>
          <w:tcPr>
            <w:tcW w:w="8778" w:type="dxa"/>
          </w:tcPr>
          <w:p w14:paraId="580FFDB3" w14:textId="77777777"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Commonwealth</w:t>
            </w:r>
          </w:p>
        </w:tc>
      </w:tr>
      <w:tr w:rsidR="00267D73" w:rsidRPr="00C34CF2" w14:paraId="6DA01B2F" w14:textId="77777777">
        <w:tc>
          <w:tcPr>
            <w:cnfStyle w:val="001000000000" w:firstRow="0" w:lastRow="0" w:firstColumn="1" w:lastColumn="0" w:oddVBand="0" w:evenVBand="0" w:oddHBand="0" w:evenHBand="0" w:firstRowFirstColumn="0" w:firstRowLastColumn="0" w:lastRowFirstColumn="0" w:lastRowLastColumn="0"/>
            <w:tcW w:w="1984" w:type="dxa"/>
          </w:tcPr>
          <w:p w14:paraId="15250CE8" w14:textId="77777777" w:rsidR="00267D73" w:rsidRPr="00C34CF2" w:rsidRDefault="00267D73">
            <w:pPr>
              <w:spacing w:after="120"/>
            </w:pPr>
            <w:r w:rsidRPr="00C34CF2">
              <w:t>DEECA</w:t>
            </w:r>
          </w:p>
        </w:tc>
        <w:tc>
          <w:tcPr>
            <w:tcW w:w="8778" w:type="dxa"/>
          </w:tcPr>
          <w:p w14:paraId="496CCA77" w14:textId="77777777"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The Department of Energy, Environment and Climate Action</w:t>
            </w:r>
          </w:p>
        </w:tc>
      </w:tr>
      <w:tr w:rsidR="00267D73" w:rsidRPr="00C34CF2" w14:paraId="2EBACC32" w14:textId="77777777">
        <w:tc>
          <w:tcPr>
            <w:cnfStyle w:val="001000000000" w:firstRow="0" w:lastRow="0" w:firstColumn="1" w:lastColumn="0" w:oddVBand="0" w:evenVBand="0" w:oddHBand="0" w:evenHBand="0" w:firstRowFirstColumn="0" w:firstRowLastColumn="0" w:lastRowFirstColumn="0" w:lastRowLastColumn="0"/>
            <w:tcW w:w="1984" w:type="dxa"/>
          </w:tcPr>
          <w:p w14:paraId="323FBFC1" w14:textId="77777777" w:rsidR="00267D73" w:rsidRPr="00C34CF2" w:rsidRDefault="00267D73">
            <w:pPr>
              <w:spacing w:after="120"/>
            </w:pPr>
            <w:r w:rsidRPr="00C34CF2">
              <w:t>HTfV</w:t>
            </w:r>
          </w:p>
        </w:tc>
        <w:tc>
          <w:tcPr>
            <w:tcW w:w="8778" w:type="dxa"/>
          </w:tcPr>
          <w:p w14:paraId="52AC1552" w14:textId="77777777"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Head, Transport for Victoria</w:t>
            </w:r>
          </w:p>
        </w:tc>
      </w:tr>
      <w:tr w:rsidR="00267D73" w:rsidRPr="00C34CF2" w14:paraId="133F7F3A" w14:textId="77777777">
        <w:tc>
          <w:tcPr>
            <w:cnfStyle w:val="001000000000" w:firstRow="0" w:lastRow="0" w:firstColumn="1" w:lastColumn="0" w:oddVBand="0" w:evenVBand="0" w:oddHBand="0" w:evenHBand="0" w:firstRowFirstColumn="0" w:firstRowLastColumn="0" w:lastRowFirstColumn="0" w:lastRowLastColumn="0"/>
            <w:tcW w:w="1984" w:type="dxa"/>
          </w:tcPr>
          <w:p w14:paraId="4F387919" w14:textId="77777777" w:rsidR="00267D73" w:rsidRPr="00C34CF2" w:rsidRDefault="00267D73">
            <w:pPr>
              <w:spacing w:after="120"/>
            </w:pPr>
            <w:r w:rsidRPr="00C34CF2">
              <w:t>MCA</w:t>
            </w:r>
          </w:p>
        </w:tc>
        <w:tc>
          <w:tcPr>
            <w:tcW w:w="8778" w:type="dxa"/>
          </w:tcPr>
          <w:p w14:paraId="448A933E" w14:textId="77777777"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Multi-Criteria Analysis</w:t>
            </w:r>
          </w:p>
        </w:tc>
      </w:tr>
      <w:tr w:rsidR="00267D73" w:rsidRPr="00C34CF2" w14:paraId="7EA7DB91" w14:textId="77777777">
        <w:tc>
          <w:tcPr>
            <w:cnfStyle w:val="001000000000" w:firstRow="0" w:lastRow="0" w:firstColumn="1" w:lastColumn="0" w:oddVBand="0" w:evenVBand="0" w:oddHBand="0" w:evenHBand="0" w:firstRowFirstColumn="0" w:firstRowLastColumn="0" w:lastRowFirstColumn="0" w:lastRowLastColumn="0"/>
            <w:tcW w:w="1984" w:type="dxa"/>
          </w:tcPr>
          <w:p w14:paraId="06009569" w14:textId="77777777" w:rsidR="00267D73" w:rsidRPr="00C34CF2" w:rsidRDefault="00267D73">
            <w:pPr>
              <w:spacing w:after="120"/>
            </w:pPr>
            <w:r w:rsidRPr="00C34CF2">
              <w:t>RIS</w:t>
            </w:r>
          </w:p>
        </w:tc>
        <w:tc>
          <w:tcPr>
            <w:tcW w:w="8778" w:type="dxa"/>
          </w:tcPr>
          <w:p w14:paraId="5F709F9B" w14:textId="77777777"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pPr>
            <w:r w:rsidRPr="00C34CF2">
              <w:t>Regulatory Impact Statement</w:t>
            </w:r>
          </w:p>
        </w:tc>
      </w:tr>
      <w:tr w:rsidR="00267D73" w:rsidRPr="00C34CF2" w14:paraId="4E757B2D" w14:textId="77777777">
        <w:tc>
          <w:tcPr>
            <w:cnfStyle w:val="001000000000" w:firstRow="0" w:lastRow="0" w:firstColumn="1" w:lastColumn="0" w:oddVBand="0" w:evenVBand="0" w:oddHBand="0" w:evenHBand="0" w:firstRowFirstColumn="0" w:firstRowLastColumn="0" w:lastRowFirstColumn="0" w:lastRowLastColumn="0"/>
            <w:tcW w:w="1984" w:type="dxa"/>
          </w:tcPr>
          <w:p w14:paraId="089F36DA" w14:textId="77777777" w:rsidR="00267D73" w:rsidRPr="00C34CF2" w:rsidRDefault="00267D73">
            <w:pPr>
              <w:spacing w:after="120"/>
            </w:pPr>
            <w:r w:rsidRPr="00C34CF2">
              <w:t>SL Act</w:t>
            </w:r>
          </w:p>
        </w:tc>
        <w:tc>
          <w:tcPr>
            <w:tcW w:w="8778" w:type="dxa"/>
          </w:tcPr>
          <w:p w14:paraId="5F07EF55" w14:textId="77777777" w:rsidR="00267D73" w:rsidRPr="00C34CF2" w:rsidRDefault="00267D73">
            <w:pPr>
              <w:spacing w:after="120"/>
              <w:cnfStyle w:val="000000000000" w:firstRow="0" w:lastRow="0" w:firstColumn="0" w:lastColumn="0" w:oddVBand="0" w:evenVBand="0" w:oddHBand="0" w:evenHBand="0" w:firstRowFirstColumn="0" w:firstRowLastColumn="0" w:lastRowFirstColumn="0" w:lastRowLastColumn="0"/>
              <w:rPr>
                <w:i/>
              </w:rPr>
            </w:pPr>
            <w:r w:rsidRPr="00C34CF2">
              <w:t xml:space="preserve">The </w:t>
            </w:r>
            <w:r w:rsidRPr="00C34CF2">
              <w:rPr>
                <w:i/>
              </w:rPr>
              <w:t>Subordinate Legislation Act 1994</w:t>
            </w:r>
          </w:p>
        </w:tc>
      </w:tr>
    </w:tbl>
    <w:p w14:paraId="06E9B3F9" w14:textId="77777777" w:rsidR="007B30C8" w:rsidRDefault="007B30C8" w:rsidP="00185231">
      <w:bookmarkStart w:id="3" w:name="_Ref212474132"/>
    </w:p>
    <w:p w14:paraId="6DC8551B" w14:textId="77777777" w:rsidR="007B30C8" w:rsidRDefault="007B30C8">
      <w:pPr>
        <w:rPr>
          <w:rFonts w:asciiTheme="majorHAnsi" w:eastAsiaTheme="majorEastAsia" w:hAnsiTheme="majorHAnsi" w:cstheme="majorBidi"/>
          <w:b/>
          <w:color w:val="075D5F" w:themeColor="accent1"/>
          <w:sz w:val="28"/>
          <w:szCs w:val="50"/>
        </w:rPr>
      </w:pPr>
      <w:r>
        <w:br w:type="page"/>
      </w:r>
    </w:p>
    <w:p w14:paraId="00FCB55B" w14:textId="4EAA13D9" w:rsidR="00356347" w:rsidRDefault="00356347" w:rsidP="00356347">
      <w:pPr>
        <w:pStyle w:val="Heading1"/>
      </w:pPr>
      <w:bookmarkStart w:id="4" w:name="_Toc226448265"/>
      <w:r>
        <w:lastRenderedPageBreak/>
        <w:t>Executive summary</w:t>
      </w:r>
      <w:bookmarkEnd w:id="3"/>
      <w:bookmarkEnd w:id="4"/>
    </w:p>
    <w:p w14:paraId="79C60459" w14:textId="77777777" w:rsidR="00356347" w:rsidRPr="009F24ED" w:rsidRDefault="00356347" w:rsidP="009F24ED">
      <w:pPr>
        <w:spacing w:before="240"/>
        <w:rPr>
          <w:b/>
          <w:bCs/>
          <w:sz w:val="24"/>
          <w:szCs w:val="24"/>
        </w:rPr>
      </w:pPr>
      <w:r w:rsidRPr="009F24ED">
        <w:rPr>
          <w:b/>
          <w:bCs/>
          <w:sz w:val="24"/>
          <w:szCs w:val="24"/>
        </w:rPr>
        <w:t>Context</w:t>
      </w:r>
    </w:p>
    <w:p w14:paraId="3CA1D58D" w14:textId="77777777" w:rsidR="00356347" w:rsidRDefault="00356347" w:rsidP="00356347">
      <w:pPr>
        <w:spacing w:before="0"/>
      </w:pPr>
      <w:r>
        <w:t>T</w:t>
      </w:r>
      <w:r w:rsidRPr="00BA2D80">
        <w:t xml:space="preserve">he </w:t>
      </w:r>
      <w:r w:rsidRPr="00BA2D80">
        <w:rPr>
          <w:i/>
        </w:rPr>
        <w:t>Road Management Act 2004</w:t>
      </w:r>
      <w:r w:rsidRPr="00BA2D80">
        <w:t xml:space="preserve"> (the Act)</w:t>
      </w:r>
      <w:r>
        <w:t xml:space="preserve"> is a comprehensive statutory framework for the management of public roads. Among other things, the Act sets out the rights, powers and duties of road users, road authorities and people conducting works in and on the road. It also sets out legal and administrative requirements and processes relating to how roads are managed, including the establishment of road management plans and codes of practice.</w:t>
      </w:r>
    </w:p>
    <w:p w14:paraId="278A53F9" w14:textId="0CDE52C6" w:rsidR="00356347" w:rsidRPr="003115A7" w:rsidRDefault="00356347" w:rsidP="00356347">
      <w:pPr>
        <w:spacing w:before="0"/>
      </w:pPr>
      <w:r w:rsidRPr="003115A7">
        <w:t xml:space="preserve">The </w:t>
      </w:r>
      <w:r w:rsidRPr="003115A7">
        <w:rPr>
          <w:i/>
        </w:rPr>
        <w:t xml:space="preserve">Road Management (Works and Infrastructure) Regulations 2015 </w:t>
      </w:r>
      <w:r w:rsidRPr="003115A7">
        <w:t>and the</w:t>
      </w:r>
      <w:r w:rsidRPr="003115A7">
        <w:rPr>
          <w:i/>
        </w:rPr>
        <w:t xml:space="preserve"> Road Management (General) Regulations 2016</w:t>
      </w:r>
      <w:r w:rsidRPr="003115A7">
        <w:t xml:space="preserve"> support the </w:t>
      </w:r>
      <w:r>
        <w:t>effective and efficient operation</w:t>
      </w:r>
      <w:r w:rsidRPr="003115A7">
        <w:t xml:space="preserve"> of the framework provided by the Act by setting out specific procedures and requirements for road management activities.</w:t>
      </w:r>
    </w:p>
    <w:p w14:paraId="00C43175" w14:textId="4D042001" w:rsidR="00356347" w:rsidRPr="00BE613B" w:rsidRDefault="00356347" w:rsidP="00356347">
      <w:pPr>
        <w:spacing w:before="0"/>
      </w:pPr>
      <w:r w:rsidRPr="00F51237">
        <w:t xml:space="preserve">In accordance with the </w:t>
      </w:r>
      <w:r w:rsidRPr="00B30C6E">
        <w:rPr>
          <w:i/>
        </w:rPr>
        <w:t>Subordinate Legislation Act 1994</w:t>
      </w:r>
      <w:r w:rsidRPr="00F51237">
        <w:t xml:space="preserve"> (SL Act), regulations are automatically revoked 10</w:t>
      </w:r>
      <w:r w:rsidRPr="00BE613B">
        <w:rPr>
          <w:rFonts w:ascii="Cambria" w:hAnsi="Cambria" w:cs="Cambria"/>
        </w:rPr>
        <w:t> </w:t>
      </w:r>
      <w:r w:rsidRPr="00F51237">
        <w:t xml:space="preserve">years after they are made. </w:t>
      </w:r>
      <w:r>
        <w:t>T</w:t>
      </w:r>
      <w:r w:rsidRPr="00F51237">
        <w:t xml:space="preserve">he </w:t>
      </w:r>
      <w:r w:rsidR="00554852">
        <w:rPr>
          <w:i/>
        </w:rPr>
        <w:t>Road Management (Works and Infrastructure) Regulations 2015</w:t>
      </w:r>
      <w:r w:rsidR="00115EE3">
        <w:rPr>
          <w:i/>
        </w:rPr>
        <w:t xml:space="preserve"> </w:t>
      </w:r>
      <w:r w:rsidR="00115EE3">
        <w:t>and the</w:t>
      </w:r>
      <w:r w:rsidRPr="00F51237">
        <w:t xml:space="preserve"> </w:t>
      </w:r>
      <w:r w:rsidRPr="00B30C6E">
        <w:rPr>
          <w:i/>
        </w:rPr>
        <w:t>Road Management (General) Regulations 2016</w:t>
      </w:r>
      <w:r w:rsidRPr="00F51237">
        <w:t xml:space="preserve"> were originally due to sunset on 16</w:t>
      </w:r>
      <w:r w:rsidRPr="00BE613B">
        <w:rPr>
          <w:rFonts w:ascii="Cambria" w:hAnsi="Cambria" w:cs="Cambria"/>
        </w:rPr>
        <w:t> </w:t>
      </w:r>
      <w:r w:rsidRPr="00F51237">
        <w:t>June</w:t>
      </w:r>
      <w:r w:rsidRPr="00BE613B">
        <w:rPr>
          <w:rFonts w:ascii="Cambria" w:hAnsi="Cambria" w:cs="Cambria"/>
        </w:rPr>
        <w:t> </w:t>
      </w:r>
      <w:r w:rsidRPr="00F51237">
        <w:t>2025</w:t>
      </w:r>
      <w:r w:rsidR="00115EE3">
        <w:t xml:space="preserve"> and 15 March </w:t>
      </w:r>
      <w:r w:rsidR="00832C07">
        <w:t xml:space="preserve">2026, </w:t>
      </w:r>
      <w:r w:rsidR="00115EE3">
        <w:t>respectively</w:t>
      </w:r>
      <w:r w:rsidR="00832C07">
        <w:t>.</w:t>
      </w:r>
      <w:r w:rsidRPr="00F51237">
        <w:t xml:space="preserve"> </w:t>
      </w:r>
      <w:r w:rsidR="00832C07">
        <w:t>H</w:t>
      </w:r>
      <w:r w:rsidRPr="00F51237">
        <w:t>owever</w:t>
      </w:r>
      <w:r w:rsidR="00832C07">
        <w:t>,</w:t>
      </w:r>
      <w:r w:rsidRPr="00F51237">
        <w:t xml:space="preserve"> </w:t>
      </w:r>
      <w:r w:rsidR="00C705ED">
        <w:t>both sets of</w:t>
      </w:r>
      <w:r w:rsidRPr="00F51237">
        <w:t xml:space="preserve"> regulations have been extended under section 5A of the SL Act </w:t>
      </w:r>
      <w:r w:rsidR="003375F8">
        <w:t>and will now sunset on</w:t>
      </w:r>
      <w:r w:rsidRPr="00F51237">
        <w:t xml:space="preserve"> 14 June 2026. Therefore, both sets of regulations will need to be remade in 2026.</w:t>
      </w:r>
    </w:p>
    <w:p w14:paraId="01A9F940" w14:textId="77777777" w:rsidR="00356347" w:rsidRPr="009F24ED" w:rsidRDefault="00356347" w:rsidP="009F24ED">
      <w:pPr>
        <w:spacing w:before="240"/>
        <w:rPr>
          <w:b/>
          <w:bCs/>
          <w:sz w:val="24"/>
          <w:szCs w:val="24"/>
        </w:rPr>
      </w:pPr>
      <w:r w:rsidRPr="009F24ED">
        <w:rPr>
          <w:b/>
          <w:bCs/>
          <w:sz w:val="24"/>
          <w:szCs w:val="24"/>
        </w:rPr>
        <w:t>The need for regulations</w:t>
      </w:r>
    </w:p>
    <w:p w14:paraId="70CBB203" w14:textId="77777777" w:rsidR="00356347" w:rsidRPr="00FB7697" w:rsidRDefault="00356347" w:rsidP="00356347">
      <w:r w:rsidRPr="00FB7697">
        <w:t xml:space="preserve">The </w:t>
      </w:r>
      <w:r w:rsidRPr="00FB7697">
        <w:rPr>
          <w:i/>
        </w:rPr>
        <w:t>Road Management Act 2004</w:t>
      </w:r>
      <w:r w:rsidRPr="00FB7697">
        <w:t xml:space="preserve"> goes a long way to address the potential safety, environmental, social and economic harms associated with the creation, use and maintenance of public roads. However, the regulations are critical pieces of subordinate legislation that work together with the Act to create an effective legal framework to ensure that public roads are adequately managed. In particular, the regulations achieve this by providing exemptions, procedural and administrative guidance and additional provisions that protect road infrastructure and the people who use it. They achieve this by:</w:t>
      </w:r>
    </w:p>
    <w:p w14:paraId="51791768" w14:textId="30067D32" w:rsidR="00356347" w:rsidRPr="00FB7697" w:rsidRDefault="00356347" w:rsidP="005D15EA">
      <w:pPr>
        <w:pStyle w:val="Style1"/>
        <w:numPr>
          <w:ilvl w:val="0"/>
          <w:numId w:val="36"/>
        </w:numPr>
      </w:pPr>
      <w:r w:rsidRPr="00FB7697">
        <w:t xml:space="preserve">increasing the efficiency of road management functions by providing exemptions </w:t>
      </w:r>
      <w:r w:rsidR="00A77DC1">
        <w:t>from</w:t>
      </w:r>
      <w:r w:rsidRPr="00FB7697">
        <w:t xml:space="preserve"> some of the requirements set out in the Act</w:t>
      </w:r>
      <w:r>
        <w:t>,</w:t>
      </w:r>
    </w:p>
    <w:p w14:paraId="2D83DB1B" w14:textId="77777777" w:rsidR="00356347" w:rsidRPr="00FB7697" w:rsidRDefault="00356347" w:rsidP="005D15EA">
      <w:pPr>
        <w:pStyle w:val="Style1"/>
        <w:numPr>
          <w:ilvl w:val="0"/>
          <w:numId w:val="36"/>
        </w:numPr>
      </w:pPr>
      <w:r w:rsidRPr="00FB7697">
        <w:t>providing procedural and administrative guidance enabling the execution of some of the requirements set out under the Act</w:t>
      </w:r>
      <w:r>
        <w:t xml:space="preserve">, </w:t>
      </w:r>
      <w:r w:rsidRPr="00FB7697">
        <w:t>and</w:t>
      </w:r>
    </w:p>
    <w:p w14:paraId="36796AFC" w14:textId="7B8B7C57" w:rsidR="00356347" w:rsidRPr="00FB7697" w:rsidRDefault="00356347" w:rsidP="005D15EA">
      <w:pPr>
        <w:pStyle w:val="Style1"/>
        <w:numPr>
          <w:ilvl w:val="0"/>
          <w:numId w:val="36"/>
        </w:numPr>
      </w:pPr>
      <w:r w:rsidRPr="00FB7697">
        <w:t>providing additional offences not covered in the Act to protect people</w:t>
      </w:r>
      <w:r w:rsidR="00FB506C">
        <w:t xml:space="preserve"> and public infrastruct</w:t>
      </w:r>
      <w:r w:rsidR="000F02AF">
        <w:t>u</w:t>
      </w:r>
      <w:r w:rsidR="00FB506C">
        <w:t>re</w:t>
      </w:r>
      <w:r>
        <w:t>.</w:t>
      </w:r>
    </w:p>
    <w:p w14:paraId="6B0A06A8" w14:textId="77777777" w:rsidR="00356347" w:rsidRPr="00D937B1" w:rsidRDefault="00356347" w:rsidP="00356347">
      <w:r w:rsidRPr="00FB7697">
        <w:t xml:space="preserve">The Act also provides for the recovery of certain costs incurred by road authorities in the performance of their functions, by requiring a fee prescribed by the regulations to be paid as part of certain applications and requests. The regulations are critical because they set out the fee amounts which enable road authorities to recover administrative costs. </w:t>
      </w:r>
    </w:p>
    <w:p w14:paraId="7AAE5550" w14:textId="77777777" w:rsidR="00356347" w:rsidRPr="009F24ED" w:rsidRDefault="00356347" w:rsidP="009F24ED">
      <w:pPr>
        <w:spacing w:before="240"/>
        <w:rPr>
          <w:b/>
          <w:bCs/>
          <w:sz w:val="24"/>
          <w:szCs w:val="24"/>
        </w:rPr>
      </w:pPr>
      <w:r w:rsidRPr="009F24ED">
        <w:rPr>
          <w:b/>
          <w:bCs/>
          <w:sz w:val="24"/>
          <w:szCs w:val="24"/>
        </w:rPr>
        <w:t>Objectives</w:t>
      </w:r>
    </w:p>
    <w:p w14:paraId="0D0BC8B0" w14:textId="77777777" w:rsidR="00356347" w:rsidRPr="00677286" w:rsidRDefault="00356347" w:rsidP="00356347">
      <w:r w:rsidRPr="00677286">
        <w:t>In making the proposed Regulations, the Department’s overarching objectives are to:</w:t>
      </w:r>
    </w:p>
    <w:p w14:paraId="181ECDB3" w14:textId="15A18FB9" w:rsidR="00356347" w:rsidRPr="00677286" w:rsidRDefault="00356347" w:rsidP="005D15EA">
      <w:pPr>
        <w:pStyle w:val="Style1"/>
        <w:numPr>
          <w:ilvl w:val="0"/>
          <w:numId w:val="36"/>
        </w:numPr>
      </w:pPr>
      <w:r w:rsidRPr="00677286">
        <w:t>discourage unauthorised and unreasonable damage to public roads to protect the condition and quality of public roads,</w:t>
      </w:r>
    </w:p>
    <w:p w14:paraId="70C6039F" w14:textId="6359CD7E" w:rsidR="00356347" w:rsidRPr="00677286" w:rsidRDefault="00356347" w:rsidP="005D15EA">
      <w:pPr>
        <w:pStyle w:val="Style1"/>
        <w:numPr>
          <w:ilvl w:val="0"/>
          <w:numId w:val="36"/>
        </w:numPr>
      </w:pPr>
      <w:r w:rsidRPr="00677286">
        <w:t>reduce administrative burden to enable road authorities to effectively manage public roads and enable those carrying out works on public roads to do so efficiently,</w:t>
      </w:r>
    </w:p>
    <w:p w14:paraId="7785E26B" w14:textId="2224CDD5" w:rsidR="00356347" w:rsidRPr="00677286" w:rsidRDefault="00356347" w:rsidP="005D15EA">
      <w:pPr>
        <w:pStyle w:val="Style1"/>
        <w:numPr>
          <w:ilvl w:val="0"/>
          <w:numId w:val="36"/>
        </w:numPr>
      </w:pPr>
      <w:r w:rsidRPr="00677286">
        <w:t>facilitate effective and efficient maintenance of public roads, and</w:t>
      </w:r>
    </w:p>
    <w:p w14:paraId="664C2638" w14:textId="69B8DCF0" w:rsidR="00356347" w:rsidRPr="00677286" w:rsidRDefault="00356347" w:rsidP="005D15EA">
      <w:pPr>
        <w:pStyle w:val="Style1"/>
        <w:numPr>
          <w:ilvl w:val="0"/>
          <w:numId w:val="36"/>
        </w:numPr>
      </w:pPr>
      <w:r w:rsidRPr="00677286">
        <w:t>prevent negative safety outcomes for road users, road authority staff and people conducting works on the road.</w:t>
      </w:r>
    </w:p>
    <w:p w14:paraId="12631C38" w14:textId="60C73F55" w:rsidR="00356347" w:rsidRPr="00C1490B" w:rsidRDefault="00356347" w:rsidP="00356347">
      <w:r w:rsidRPr="00677286">
        <w:t xml:space="preserve">In making the proposed </w:t>
      </w:r>
      <w:r w:rsidR="007F67C1">
        <w:t>R</w:t>
      </w:r>
      <w:r w:rsidRPr="00677286">
        <w:t xml:space="preserve">egulations to set regulatory fees, the Department’s overarching objective is to efficiently and equitably recover the costs of </w:t>
      </w:r>
      <w:r w:rsidR="00A63F96">
        <w:t>administering</w:t>
      </w:r>
      <w:r w:rsidR="00A63F96" w:rsidRPr="00677286">
        <w:t xml:space="preserve"> </w:t>
      </w:r>
      <w:r w:rsidRPr="00677286">
        <w:t xml:space="preserve">road management laws, and to minimise any </w:t>
      </w:r>
      <w:r w:rsidRPr="00677286">
        <w:lastRenderedPageBreak/>
        <w:t>negative impact of regulatory fees on safety, small businesses and participation in road management activities.</w:t>
      </w:r>
    </w:p>
    <w:p w14:paraId="7F3E5D11" w14:textId="34EE428F" w:rsidR="00356347" w:rsidRPr="009F24ED" w:rsidRDefault="00356347" w:rsidP="009F24ED">
      <w:pPr>
        <w:spacing w:before="240"/>
        <w:rPr>
          <w:b/>
          <w:bCs/>
          <w:sz w:val="24"/>
          <w:szCs w:val="24"/>
        </w:rPr>
      </w:pPr>
      <w:r w:rsidRPr="009F24ED">
        <w:rPr>
          <w:b/>
          <w:bCs/>
          <w:sz w:val="24"/>
          <w:szCs w:val="24"/>
        </w:rPr>
        <w:t>Options</w:t>
      </w:r>
    </w:p>
    <w:p w14:paraId="16855562" w14:textId="691C7D35" w:rsidR="00356347" w:rsidRDefault="00356347" w:rsidP="00356347">
      <w:r w:rsidRPr="0018346D">
        <w:t xml:space="preserve">The absence of regulations would result in unnecessary delays to certain works, inefficient and unclear processes and procedures, </w:t>
      </w:r>
      <w:r w:rsidR="00E374CF">
        <w:t xml:space="preserve">and </w:t>
      </w:r>
      <w:r w:rsidRPr="0018346D">
        <w:t>gaps in the protection of public roads. For th</w:t>
      </w:r>
      <w:r>
        <w:t xml:space="preserve">is </w:t>
      </w:r>
      <w:r w:rsidRPr="0018346D">
        <w:t>reason, the Department does not consider the base case to be a feasible option.</w:t>
      </w:r>
      <w:r>
        <w:t xml:space="preserve"> </w:t>
      </w:r>
      <w:r w:rsidRPr="002B2EF7">
        <w:t xml:space="preserve">The Department has identified one option pertaining to the regulations (excluding fees) as an alternative to the base case. </w:t>
      </w:r>
    </w:p>
    <w:p w14:paraId="14293BFD" w14:textId="77777777" w:rsidR="00356347" w:rsidRDefault="00356347" w:rsidP="00356347">
      <w:r w:rsidRPr="003240E4">
        <w:rPr>
          <w:b/>
          <w:u w:val="single"/>
        </w:rPr>
        <w:t>Option 1:</w:t>
      </w:r>
      <w:r>
        <w:rPr>
          <w:b/>
        </w:rPr>
        <w:t xml:space="preserve"> </w:t>
      </w:r>
      <w:r w:rsidRPr="002B2EF7">
        <w:t>to remake the regulations substantially as they are but with minor amendments</w:t>
      </w:r>
      <w:r>
        <w:t>.</w:t>
      </w:r>
    </w:p>
    <w:p w14:paraId="0CEF12E8" w14:textId="773DDB5B" w:rsidR="00356347" w:rsidRPr="005650CC" w:rsidRDefault="00356347" w:rsidP="00356347">
      <w:r>
        <w:t>Initial stakeholder consultation undertaken by the Department suggests that</w:t>
      </w:r>
      <w:r w:rsidRPr="005650CC">
        <w:t xml:space="preserve"> existing Regulations are largely working as intended. </w:t>
      </w:r>
      <w:r>
        <w:t xml:space="preserve">Stakeholders have </w:t>
      </w:r>
      <w:r w:rsidRPr="005650CC">
        <w:t>indicated</w:t>
      </w:r>
      <w:r>
        <w:t xml:space="preserve"> that</w:t>
      </w:r>
      <w:r w:rsidRPr="005650CC">
        <w:t xml:space="preserve"> </w:t>
      </w:r>
      <w:r w:rsidR="00DA21DE">
        <w:t>the R</w:t>
      </w:r>
      <w:r w:rsidR="00094B6E">
        <w:t>egulations have been successful i</w:t>
      </w:r>
      <w:r w:rsidR="00F127AD">
        <w:t>n</w:t>
      </w:r>
      <w:r w:rsidR="00094B6E">
        <w:t xml:space="preserve"> </w:t>
      </w:r>
      <w:r w:rsidRPr="005650CC">
        <w:t>reducing administrative burden and increasing efficiencies, particularly in relation to the conduct of works on roads. The Regulations are also working to protect the general public, roads and road infrastructure, and</w:t>
      </w:r>
      <w:r>
        <w:t xml:space="preserve"> are</w:t>
      </w:r>
      <w:r w:rsidRPr="005650CC">
        <w:t xml:space="preserve"> providing additional guidance in relation to road management processes and procedures.</w:t>
      </w:r>
    </w:p>
    <w:p w14:paraId="4AB51863" w14:textId="648D39C2" w:rsidR="00356347" w:rsidRDefault="00356347" w:rsidP="00356347">
      <w:r w:rsidRPr="005650CC">
        <w:t xml:space="preserve">The Department has also carefully considered feedback about potential areas of improvement in the Regulations. While several important issues were raised, the Department considers that </w:t>
      </w:r>
      <w:r w:rsidR="001C7108">
        <w:t xml:space="preserve">many of these are the result of </w:t>
      </w:r>
      <w:r w:rsidRPr="005650CC">
        <w:t>issues with compliance</w:t>
      </w:r>
      <w:r w:rsidR="00D67023">
        <w:t xml:space="preserve"> with</w:t>
      </w:r>
      <w:r w:rsidR="00DE2942">
        <w:t>,</w:t>
      </w:r>
      <w:r w:rsidR="00F9210B">
        <w:t xml:space="preserve"> and </w:t>
      </w:r>
      <w:r w:rsidR="00D67023">
        <w:t xml:space="preserve">the </w:t>
      </w:r>
      <w:r w:rsidR="00F9210B">
        <w:t>administrat</w:t>
      </w:r>
      <w:r w:rsidR="007E6140">
        <w:t xml:space="preserve">ion </w:t>
      </w:r>
      <w:r w:rsidR="00670B31">
        <w:t xml:space="preserve">and enforcement </w:t>
      </w:r>
      <w:r w:rsidR="007E6140">
        <w:t>of</w:t>
      </w:r>
      <w:r w:rsidR="00DE2942">
        <w:t>,</w:t>
      </w:r>
      <w:r w:rsidR="007E6140">
        <w:t xml:space="preserve"> the regulations</w:t>
      </w:r>
      <w:r w:rsidR="00670B31">
        <w:t xml:space="preserve"> </w:t>
      </w:r>
      <w:r w:rsidRPr="005650CC">
        <w:t>and</w:t>
      </w:r>
      <w:r w:rsidR="001C4C34">
        <w:t xml:space="preserve"> </w:t>
      </w:r>
      <w:r w:rsidR="00DB5F0B">
        <w:t xml:space="preserve">legislation and requirements </w:t>
      </w:r>
      <w:r w:rsidR="00A11BDF">
        <w:t>relat</w:t>
      </w:r>
      <w:r w:rsidR="00DB5F0B">
        <w:t>ing to</w:t>
      </w:r>
      <w:r w:rsidR="00A11BDF">
        <w:t xml:space="preserve"> </w:t>
      </w:r>
      <w:r w:rsidRPr="005650CC">
        <w:t>road management.</w:t>
      </w:r>
      <w:r w:rsidR="006D52C5">
        <w:t xml:space="preserve"> Some of the </w:t>
      </w:r>
      <w:r w:rsidR="00B12304">
        <w:t>feedback</w:t>
      </w:r>
      <w:r w:rsidR="006D52C5">
        <w:t xml:space="preserve"> lacked sufficient evidence to support a case for change. However, the Department welcomes further </w:t>
      </w:r>
      <w:r w:rsidR="00550477">
        <w:t xml:space="preserve">feedback, </w:t>
      </w:r>
      <w:r w:rsidR="00B12304">
        <w:t>data and evidence</w:t>
      </w:r>
      <w:r w:rsidR="00550477">
        <w:t xml:space="preserve"> as </w:t>
      </w:r>
      <w:r w:rsidR="00AD7801">
        <w:t>specified</w:t>
      </w:r>
      <w:r w:rsidR="00550477">
        <w:t xml:space="preserve"> in the stakeholder questions included throughout this RIS</w:t>
      </w:r>
      <w:r w:rsidR="00CA7474">
        <w:t>.</w:t>
      </w:r>
    </w:p>
    <w:p w14:paraId="20755A18" w14:textId="5F00163D" w:rsidR="00356347" w:rsidRDefault="00356347" w:rsidP="00356347">
      <w:r>
        <w:t>There were</w:t>
      </w:r>
      <w:r w:rsidR="00E76CD0">
        <w:t xml:space="preserve"> </w:t>
      </w:r>
      <w:r>
        <w:t xml:space="preserve">a small number of amendments to the </w:t>
      </w:r>
      <w:r w:rsidR="00FE4ED9">
        <w:t>R</w:t>
      </w:r>
      <w:r>
        <w:t>egulations identified for assessment. These amendments</w:t>
      </w:r>
      <w:r w:rsidRPr="007A26B7">
        <w:t xml:space="preserve"> </w:t>
      </w:r>
      <w:r>
        <w:t xml:space="preserve">would introduce minimum requirements for </w:t>
      </w:r>
      <w:r w:rsidRPr="007A26B7">
        <w:t>applications for consent</w:t>
      </w:r>
      <w:r>
        <w:t xml:space="preserve"> to conduct works on the road</w:t>
      </w:r>
      <w:r w:rsidRPr="007A26B7">
        <w:t xml:space="preserve">, </w:t>
      </w:r>
      <w:r>
        <w:t>change the responsible road authority designated for</w:t>
      </w:r>
      <w:r w:rsidRPr="007A26B7">
        <w:t xml:space="preserve"> </w:t>
      </w:r>
      <w:r w:rsidR="00D47ACF">
        <w:t xml:space="preserve">certain </w:t>
      </w:r>
      <w:r>
        <w:t xml:space="preserve">road infrastructure, </w:t>
      </w:r>
      <w:r w:rsidRPr="007A26B7">
        <w:t xml:space="preserve">and </w:t>
      </w:r>
      <w:r>
        <w:t>introduce a new infringement for leaving large rubbish containers (i.e. skips) on the road. Each have been described below</w:t>
      </w:r>
      <w:r w:rsidRPr="007A26B7">
        <w:t>.</w:t>
      </w:r>
    </w:p>
    <w:p w14:paraId="510E132C" w14:textId="77777777" w:rsidR="00356347" w:rsidRPr="00AF1F3D" w:rsidRDefault="00356347" w:rsidP="00C95905">
      <w:pPr>
        <w:spacing w:before="100" w:beforeAutospacing="1"/>
        <w:rPr>
          <w:b/>
          <w:color w:val="515965" w:themeColor="text2" w:themeTint="BF"/>
        </w:rPr>
      </w:pPr>
      <w:r w:rsidRPr="00AF1F3D">
        <w:rPr>
          <w:b/>
          <w:color w:val="515965" w:themeColor="text2" w:themeTint="BF"/>
        </w:rPr>
        <w:t>Minimum requirements for applications for consent</w:t>
      </w:r>
    </w:p>
    <w:p w14:paraId="240271A0" w14:textId="3689C2EA" w:rsidR="00356347" w:rsidRDefault="00356347" w:rsidP="00356347">
      <w:r>
        <w:t>The Act specifies that works managers and infrastructure managers must apply for consent from the coordinating road authority before carrying out works on the road. I</w:t>
      </w:r>
      <w:r w:rsidRPr="00823B7C">
        <w:t>f a coordinating road authority does not respond to an application for consent to conduct proposed works within 20 business days, the</w:t>
      </w:r>
      <w:r w:rsidR="00112C8F">
        <w:t>n consent is ‘deemed’ to have been provided.</w:t>
      </w:r>
    </w:p>
    <w:p w14:paraId="0CCDDD85" w14:textId="5228F066" w:rsidR="00356347" w:rsidRDefault="00356347" w:rsidP="00356347">
      <w:r w:rsidRPr="00823B7C">
        <w:t>The</w:t>
      </w:r>
      <w:r>
        <w:t xml:space="preserve"> </w:t>
      </w:r>
      <w:r w:rsidRPr="00823B7C">
        <w:rPr>
          <w:i/>
        </w:rPr>
        <w:t>Roads and Ports Legislation Amendment (Road Safety and Other Matters) Act 2025</w:t>
      </w:r>
      <w:r w:rsidRPr="00823B7C">
        <w:t xml:space="preserve"> included amendments to the Act to provide that an application must be made in accordance with the regulations and include prescribed </w:t>
      </w:r>
      <w:r w:rsidR="003B44CF">
        <w:t>information</w:t>
      </w:r>
      <w:r w:rsidRPr="00823B7C">
        <w:t>.</w:t>
      </w:r>
      <w:r w:rsidRPr="00823B7C">
        <w:rPr>
          <w:vertAlign w:val="superscript"/>
        </w:rPr>
        <w:t xml:space="preserve"> </w:t>
      </w:r>
      <w:r w:rsidRPr="00823B7C">
        <w:rPr>
          <w:vertAlign w:val="superscript"/>
        </w:rPr>
        <w:footnoteReference w:id="2"/>
      </w:r>
      <w:r w:rsidRPr="00823B7C">
        <w:t xml:space="preserve"> The amendments specify that the coordinating road authority may refuse to consider the application until the applicant provides all the </w:t>
      </w:r>
      <w:r w:rsidR="00006C8C">
        <w:t>prescribed</w:t>
      </w:r>
      <w:r w:rsidRPr="00823B7C">
        <w:t xml:space="preserve"> information</w:t>
      </w:r>
      <w:r w:rsidR="0029712E">
        <w:t xml:space="preserve"> and is therefore considered complete</w:t>
      </w:r>
      <w:r w:rsidRPr="00823B7C">
        <w:t>.</w:t>
      </w:r>
    </w:p>
    <w:p w14:paraId="50B7FB5A" w14:textId="3B12BD63" w:rsidR="00356347" w:rsidRDefault="00356347" w:rsidP="00356347">
      <w:r>
        <w:t>T</w:t>
      </w:r>
      <w:r w:rsidRPr="00823B7C">
        <w:t xml:space="preserve">he regulations </w:t>
      </w:r>
      <w:r>
        <w:t xml:space="preserve">do not currently prescribe the </w:t>
      </w:r>
      <w:r w:rsidR="00161F75">
        <w:t>information</w:t>
      </w:r>
      <w:r>
        <w:t xml:space="preserve"> that must be included in an</w:t>
      </w:r>
      <w:r w:rsidRPr="00823B7C">
        <w:t xml:space="preserve"> application to allow a</w:t>
      </w:r>
      <w:r>
        <w:rPr>
          <w:rFonts w:ascii="Cambria" w:hAnsi="Cambria"/>
        </w:rPr>
        <w:t> </w:t>
      </w:r>
      <w:r w:rsidRPr="00823B7C">
        <w:t>coordinating road authority to clearly determine when an application is complete</w:t>
      </w:r>
      <w:r w:rsidR="00A07158">
        <w:t xml:space="preserve"> for the purposes of their power to refuse to consider an incomplete application</w:t>
      </w:r>
      <w:r w:rsidRPr="00823B7C">
        <w:t>. Applicants and coordinating road authorities may disagree about what constitutes completion, which may result in unnecessary delays and impact the commencement of works.</w:t>
      </w:r>
    </w:p>
    <w:p w14:paraId="3D3282D6" w14:textId="4B6ED220" w:rsidR="00356347" w:rsidRDefault="006E37F9" w:rsidP="00356347">
      <w:r>
        <w:t>T</w:t>
      </w:r>
      <w:r w:rsidR="00356347">
        <w:t xml:space="preserve">he Department considers it necessary to amend the regulations to introduce the minimum </w:t>
      </w:r>
      <w:r w:rsidR="00BF6068" w:rsidRPr="005650CC">
        <w:t>require</w:t>
      </w:r>
      <w:r w:rsidR="00BF6068">
        <w:t xml:space="preserve">d information to be included in </w:t>
      </w:r>
      <w:r w:rsidR="00356347" w:rsidRPr="005650CC">
        <w:t>applications for consent for works</w:t>
      </w:r>
      <w:r w:rsidR="00356347">
        <w:t>. After consultation with relevant teams within the Department, it is proposed that these requirements include:</w:t>
      </w:r>
    </w:p>
    <w:p w14:paraId="4C7753EF" w14:textId="18EDB89F" w:rsidR="00727D56" w:rsidRDefault="00E153A1" w:rsidP="005D15EA">
      <w:pPr>
        <w:pStyle w:val="ListParagraph"/>
        <w:numPr>
          <w:ilvl w:val="0"/>
          <w:numId w:val="36"/>
        </w:numPr>
      </w:pPr>
      <w:r>
        <w:lastRenderedPageBreak/>
        <w:t xml:space="preserve">information about who is proposing to conduct the works (name, address </w:t>
      </w:r>
      <w:r w:rsidR="00342B08">
        <w:t xml:space="preserve">and contact details of the infrastructure manager </w:t>
      </w:r>
      <w:r w:rsidR="00B97F1D">
        <w:t>or</w:t>
      </w:r>
      <w:r w:rsidR="00342B08">
        <w:t xml:space="preserve"> works manager)</w:t>
      </w:r>
      <w:r w:rsidR="00F508DC">
        <w:t>,</w:t>
      </w:r>
    </w:p>
    <w:p w14:paraId="78530A2C" w14:textId="43B2D9A5" w:rsidR="00F508DC" w:rsidRDefault="00F508DC" w:rsidP="005D15EA">
      <w:pPr>
        <w:pStyle w:val="ListParagraph"/>
        <w:numPr>
          <w:ilvl w:val="0"/>
          <w:numId w:val="36"/>
        </w:numPr>
      </w:pPr>
      <w:r>
        <w:t xml:space="preserve">a description of </w:t>
      </w:r>
      <w:r w:rsidR="005B19A3">
        <w:t>the proposed works, the</w:t>
      </w:r>
      <w:r>
        <w:t xml:space="preserve"> site location </w:t>
      </w:r>
      <w:r w:rsidR="006F4C66">
        <w:t>and</w:t>
      </w:r>
      <w:r w:rsidR="0072432B">
        <w:t xml:space="preserve"> </w:t>
      </w:r>
      <w:r w:rsidR="006A45C8">
        <w:t>the expected commencement and completion dates</w:t>
      </w:r>
      <w:r w:rsidR="005A6DBB">
        <w:t>,</w:t>
      </w:r>
    </w:p>
    <w:p w14:paraId="2C4F3E5F" w14:textId="242737C6" w:rsidR="00E71993" w:rsidRDefault="00E71993" w:rsidP="005D15EA">
      <w:pPr>
        <w:pStyle w:val="ListParagraph"/>
        <w:numPr>
          <w:ilvl w:val="0"/>
          <w:numId w:val="36"/>
        </w:numPr>
      </w:pPr>
      <w:r>
        <w:t xml:space="preserve">a report </w:t>
      </w:r>
      <w:r w:rsidR="001142F9">
        <w:t>describing how the works and infrastructure management principles have been considered,</w:t>
      </w:r>
    </w:p>
    <w:p w14:paraId="0EA728FD" w14:textId="49C6EC34" w:rsidR="007E5604" w:rsidRDefault="00666716" w:rsidP="005D15EA">
      <w:pPr>
        <w:pStyle w:val="ListParagraph"/>
        <w:numPr>
          <w:ilvl w:val="0"/>
          <w:numId w:val="36"/>
        </w:numPr>
      </w:pPr>
      <w:r>
        <w:t>c</w:t>
      </w:r>
      <w:r w:rsidR="007E5604">
        <w:t>opies of:</w:t>
      </w:r>
    </w:p>
    <w:p w14:paraId="1BF00B66" w14:textId="77777777" w:rsidR="00AE0ADA" w:rsidRDefault="00166258" w:rsidP="005D15EA">
      <w:pPr>
        <w:pStyle w:val="ListParagraph"/>
        <w:numPr>
          <w:ilvl w:val="1"/>
          <w:numId w:val="36"/>
        </w:numPr>
      </w:pPr>
      <w:r>
        <w:t xml:space="preserve">any </w:t>
      </w:r>
      <w:r w:rsidR="00436F49">
        <w:t>Memorandum of Authorisations</w:t>
      </w:r>
      <w:r w:rsidR="00436F49">
        <w:rPr>
          <w:rStyle w:val="FootnoteReference"/>
        </w:rPr>
        <w:footnoteReference w:id="3"/>
      </w:r>
      <w:r w:rsidR="00436F49">
        <w:t xml:space="preserve"> obtained in relation to the proposed works,</w:t>
      </w:r>
    </w:p>
    <w:p w14:paraId="13DD685B" w14:textId="0BDFB43F" w:rsidR="001E58DB" w:rsidRDefault="00AE0ADA" w:rsidP="005D15EA">
      <w:pPr>
        <w:pStyle w:val="ListParagraph"/>
        <w:numPr>
          <w:ilvl w:val="1"/>
          <w:numId w:val="36"/>
        </w:numPr>
      </w:pPr>
      <w:r>
        <w:t xml:space="preserve">construction drawings </w:t>
      </w:r>
      <w:r w:rsidR="00AA66AF">
        <w:t xml:space="preserve">in relation to the worksite </w:t>
      </w:r>
      <w:r w:rsidR="00C84CAF">
        <w:t>prepared by an appropriately qualified person,</w:t>
      </w:r>
      <w:r w:rsidR="003842C9">
        <w:t xml:space="preserve"> and</w:t>
      </w:r>
    </w:p>
    <w:p w14:paraId="0E813857" w14:textId="20129DCB" w:rsidR="005040D6" w:rsidRPr="005650CC" w:rsidRDefault="002D22A2" w:rsidP="0092107C">
      <w:pPr>
        <w:pStyle w:val="ListParagraph"/>
        <w:numPr>
          <w:ilvl w:val="1"/>
          <w:numId w:val="36"/>
        </w:numPr>
      </w:pPr>
      <w:r>
        <w:t xml:space="preserve">evidence </w:t>
      </w:r>
      <w:r w:rsidR="00FC72B2">
        <w:t xml:space="preserve">that the infrastructure manager or works manager has </w:t>
      </w:r>
      <w:r>
        <w:t>public liability insurance.</w:t>
      </w:r>
    </w:p>
    <w:p w14:paraId="55D22F19" w14:textId="77777777" w:rsidR="00356347" w:rsidRPr="00AF1F3D" w:rsidRDefault="00356347" w:rsidP="00C95905">
      <w:pPr>
        <w:spacing w:before="100" w:beforeAutospacing="1"/>
        <w:rPr>
          <w:b/>
          <w:color w:val="515965" w:themeColor="text2" w:themeTint="BF"/>
        </w:rPr>
      </w:pPr>
      <w:r w:rsidRPr="00AF1F3D">
        <w:rPr>
          <w:b/>
          <w:color w:val="515965" w:themeColor="text2" w:themeTint="BF"/>
        </w:rPr>
        <w:t>Responsibility for bridge structures over railway lines</w:t>
      </w:r>
    </w:p>
    <w:p w14:paraId="7B65A660" w14:textId="290ACBC0" w:rsidR="00356347" w:rsidRDefault="00356347" w:rsidP="00356347">
      <w:pPr>
        <w:keepLines/>
      </w:pPr>
      <w:r w:rsidRPr="00227E21">
        <w:t xml:space="preserve">The Victorian Infrastructure Delivery Authority (VIDA) has experienced challenges </w:t>
      </w:r>
      <w:r w:rsidR="00593CBF">
        <w:t xml:space="preserve">upon the completion of projects </w:t>
      </w:r>
      <w:r>
        <w:t>where</w:t>
      </w:r>
      <w:r w:rsidRPr="00227E21">
        <w:t xml:space="preserve"> the responsible road authority under the Act is not always the most appropriate entity to take ownership of </w:t>
      </w:r>
      <w:r>
        <w:t>some assets</w:t>
      </w:r>
      <w:r w:rsidRPr="00227E21">
        <w:t xml:space="preserve">. This has resulted in bespoke agreements and, in some cases, assets being orphaned with no entity taking responsibility for maintenance. </w:t>
      </w:r>
      <w:r w:rsidR="004B3E14">
        <w:t>This has become a frequent proble</w:t>
      </w:r>
      <w:r w:rsidR="004154F2">
        <w:t xml:space="preserve">m for </w:t>
      </w:r>
      <w:r w:rsidR="00A63AB5">
        <w:t>b</w:t>
      </w:r>
      <w:r w:rsidRPr="00227E21">
        <w:t>ridges that support municipal roads or pedestrian crossings over railway</w:t>
      </w:r>
      <w:r>
        <w:t xml:space="preserve">. </w:t>
      </w:r>
      <w:r w:rsidRPr="00652D2E">
        <w:t xml:space="preserve">To address these concerns, the </w:t>
      </w:r>
      <w:r w:rsidRPr="00652D2E">
        <w:rPr>
          <w:i/>
        </w:rPr>
        <w:t>Roads and Ports Legislation Amendment (Road Safety and Other Matters) Act 2025</w:t>
      </w:r>
      <w:r w:rsidRPr="00652D2E">
        <w:t xml:space="preserve"> amended the Act to enable the regulations to prescribe </w:t>
      </w:r>
      <w:r>
        <w:t>a different responsible road authority for road infrastructure</w:t>
      </w:r>
      <w:r w:rsidRPr="00652D2E">
        <w:t xml:space="preserve">. </w:t>
      </w:r>
    </w:p>
    <w:p w14:paraId="05AC97FB" w14:textId="13C629B7" w:rsidR="00356347" w:rsidRPr="00652D2E" w:rsidRDefault="00356347" w:rsidP="00356347">
      <w:r w:rsidRPr="00652D2E">
        <w:t>Now that the necessary regulation</w:t>
      </w:r>
      <w:r w:rsidR="001F02DB">
        <w:t>-</w:t>
      </w:r>
      <w:r w:rsidRPr="00652D2E">
        <w:t xml:space="preserve">making power exists, the Department </w:t>
      </w:r>
      <w:r>
        <w:t>proposes</w:t>
      </w:r>
      <w:r w:rsidRPr="00652D2E">
        <w:t xml:space="preserve"> to prescribe the </w:t>
      </w:r>
      <w:r w:rsidR="00084985">
        <w:t>HTfV</w:t>
      </w:r>
      <w:r w:rsidRPr="00652D2E">
        <w:t xml:space="preserve"> to be the responsible road authority for bridges supporting roads (and pedestrians) over railway lines, where those structures would otherwise have been the responsibility of municipal councils. The road</w:t>
      </w:r>
      <w:r w:rsidR="00061788">
        <w:t>way</w:t>
      </w:r>
      <w:r w:rsidR="00C6594E">
        <w:t>s</w:t>
      </w:r>
      <w:r w:rsidRPr="00652D2E">
        <w:t xml:space="preserve"> and </w:t>
      </w:r>
      <w:r w:rsidR="00B5048D" w:rsidRPr="00652D2E">
        <w:t>footpaths would</w:t>
      </w:r>
      <w:r w:rsidRPr="00652D2E">
        <w:t xml:space="preserve"> remain the responsibility of the relevant municipal council.</w:t>
      </w:r>
    </w:p>
    <w:p w14:paraId="494F2943" w14:textId="77777777" w:rsidR="00356347" w:rsidRPr="00AF1F3D" w:rsidRDefault="00356347" w:rsidP="00C95905">
      <w:pPr>
        <w:spacing w:before="100" w:beforeAutospacing="1"/>
        <w:rPr>
          <w:b/>
          <w:color w:val="515965" w:themeColor="text2" w:themeTint="BF"/>
        </w:rPr>
      </w:pPr>
      <w:r w:rsidRPr="00AF1F3D">
        <w:rPr>
          <w:b/>
          <w:color w:val="515965" w:themeColor="text2" w:themeTint="BF"/>
        </w:rPr>
        <w:t>Infringement for placing rubbish containers on the road</w:t>
      </w:r>
    </w:p>
    <w:p w14:paraId="7CEEC834" w14:textId="16B506A4" w:rsidR="00356347" w:rsidRDefault="00356347" w:rsidP="00356347">
      <w:r w:rsidRPr="00FF0D14">
        <w:t xml:space="preserve">Under the Act, there </w:t>
      </w:r>
      <w:r w:rsidR="00D920A9">
        <w:t>is an</w:t>
      </w:r>
      <w:r w:rsidR="00D920A9" w:rsidRPr="00FF0D14">
        <w:t xml:space="preserve"> </w:t>
      </w:r>
      <w:r w:rsidRPr="00FF0D14">
        <w:t xml:space="preserve">offence for </w:t>
      </w:r>
      <w:r w:rsidR="00D920A9">
        <w:t xml:space="preserve">obstructing the road </w:t>
      </w:r>
      <w:r>
        <w:t xml:space="preserve">and powers for road authorities to remove </w:t>
      </w:r>
      <w:r w:rsidR="001804A0">
        <w:t xml:space="preserve">vehicles that have been left on the road </w:t>
      </w:r>
      <w:r>
        <w:t xml:space="preserve">and </w:t>
      </w:r>
      <w:r w:rsidR="001804A0">
        <w:t xml:space="preserve">to </w:t>
      </w:r>
      <w:r>
        <w:t>recover the costs</w:t>
      </w:r>
      <w:r w:rsidR="003F3613">
        <w:t xml:space="preserve"> associated with the removal of vehicles</w:t>
      </w:r>
      <w:r>
        <w:t>.</w:t>
      </w:r>
      <w:r w:rsidRPr="00FF0D14">
        <w:t xml:space="preserve"> </w:t>
      </w:r>
      <w:r>
        <w:t>T</w:t>
      </w:r>
      <w:r w:rsidRPr="00FF0D14">
        <w:t>he regulations</w:t>
      </w:r>
      <w:r w:rsidR="00CD50F4">
        <w:t xml:space="preserve"> create a separate offence for leaving objects (other than vehicles)</w:t>
      </w:r>
      <w:r w:rsidR="00CA2740">
        <w:t xml:space="preserve"> on roads and</w:t>
      </w:r>
      <w:r w:rsidRPr="00FF0D14">
        <w:t xml:space="preserve"> provide specific criteria which must be met </w:t>
      </w:r>
      <w:r w:rsidR="00CA2740">
        <w:t xml:space="preserve">for road authorities </w:t>
      </w:r>
      <w:r w:rsidRPr="00FF0D14">
        <w:t xml:space="preserve">to move an object and steps that must be taken before, during or after moving the object. The regulations also provide for setting an appropriate fee that the owner must pay to collect their object that has been moved. </w:t>
      </w:r>
    </w:p>
    <w:p w14:paraId="6F835D10" w14:textId="77777777" w:rsidR="00356347" w:rsidRDefault="00356347" w:rsidP="00356347">
      <w:r w:rsidRPr="00DC776A">
        <w:t xml:space="preserve">Feedback from within the Department suggests that the ability to provide a notice to the owner of a vehicle and charge a fee to recover the costs has been an effective mechanism to encourage owners of abandoned vehicles to remove them. </w:t>
      </w:r>
      <w:r>
        <w:t>However, while p</w:t>
      </w:r>
      <w:r w:rsidRPr="00DC776A">
        <w:t>arking related offences can</w:t>
      </w:r>
      <w:r>
        <w:t xml:space="preserve"> </w:t>
      </w:r>
      <w:r w:rsidRPr="00C515B3">
        <w:rPr>
          <w:i/>
        </w:rPr>
        <w:t>also</w:t>
      </w:r>
      <w:r w:rsidRPr="00DC776A">
        <w:t xml:space="preserve"> be enforced </w:t>
      </w:r>
      <w:r>
        <w:t>through</w:t>
      </w:r>
      <w:r w:rsidRPr="00DC776A">
        <w:t xml:space="preserve"> traffic infringement</w:t>
      </w:r>
      <w:r>
        <w:t>,</w:t>
      </w:r>
      <w:r w:rsidRPr="00DC776A">
        <w:t xml:space="preserve"> there is no equivalent infringement for the leaving of non-vehicle objects</w:t>
      </w:r>
      <w:r>
        <w:t>, despite the fact that large items such as rubbish containers (i.e. skips) can create significant obstructions</w:t>
      </w:r>
      <w:r w:rsidRPr="00DC776A">
        <w:t>. Such offences must be pursued in Court</w:t>
      </w:r>
      <w:r>
        <w:t>, which can be timely and costly.</w:t>
      </w:r>
    </w:p>
    <w:p w14:paraId="7A463D5E" w14:textId="0BDC71C4" w:rsidR="0064603A" w:rsidRDefault="00356347" w:rsidP="00356347">
      <w:pPr>
        <w:rPr>
          <w:rStyle w:val="Strong"/>
          <w:bCs w:val="0"/>
        </w:rPr>
      </w:pPr>
      <w:r>
        <w:t xml:space="preserve">To create a simpler and more effective deterrence mechanism, the Department proposes introducing an infringement for </w:t>
      </w:r>
      <w:r w:rsidRPr="00DC776A">
        <w:t xml:space="preserve">the offence </w:t>
      </w:r>
      <w:r>
        <w:t xml:space="preserve">of </w:t>
      </w:r>
      <w:r w:rsidRPr="00DC776A">
        <w:t>leaving a</w:t>
      </w:r>
      <w:r>
        <w:t xml:space="preserve"> </w:t>
      </w:r>
      <w:r w:rsidRPr="00DC776A">
        <w:t xml:space="preserve">rubbish </w:t>
      </w:r>
      <w:r>
        <w:t xml:space="preserve">container </w:t>
      </w:r>
      <w:r w:rsidRPr="00DC776A">
        <w:t>on the road</w:t>
      </w:r>
      <w:r>
        <w:t>.</w:t>
      </w:r>
    </w:p>
    <w:p w14:paraId="214C8D39" w14:textId="2821FA06" w:rsidR="007A2F8E" w:rsidRPr="009F24ED" w:rsidRDefault="00492F84" w:rsidP="009F24ED">
      <w:pPr>
        <w:spacing w:before="240"/>
        <w:rPr>
          <w:b/>
          <w:bCs/>
          <w:sz w:val="24"/>
          <w:szCs w:val="24"/>
        </w:rPr>
      </w:pPr>
      <w:r w:rsidRPr="009F24ED">
        <w:rPr>
          <w:b/>
          <w:bCs/>
          <w:sz w:val="24"/>
          <w:szCs w:val="24"/>
        </w:rPr>
        <w:t>Fee</w:t>
      </w:r>
      <w:r w:rsidR="00FA7E60" w:rsidRPr="009F24ED">
        <w:rPr>
          <w:b/>
          <w:bCs/>
          <w:sz w:val="24"/>
          <w:szCs w:val="24"/>
        </w:rPr>
        <w:t xml:space="preserve"> options</w:t>
      </w:r>
    </w:p>
    <w:p w14:paraId="57166937" w14:textId="053C4479" w:rsidR="00356347" w:rsidRDefault="00356347" w:rsidP="00356347">
      <w:r w:rsidRPr="00E908E2">
        <w:t>The adoption of the base case of no regulations</w:t>
      </w:r>
      <w:r>
        <w:t xml:space="preserve"> pertaining to fees </w:t>
      </w:r>
      <w:r w:rsidRPr="00E908E2">
        <w:t>would mean that taxpayers</w:t>
      </w:r>
      <w:r w:rsidR="00F5561A">
        <w:t>, through general state taxation,</w:t>
      </w:r>
      <w:r w:rsidRPr="00E908E2">
        <w:t xml:space="preserve"> fully fund the estimated cost of road management regulation once the current </w:t>
      </w:r>
      <w:r w:rsidRPr="00E908E2">
        <w:lastRenderedPageBreak/>
        <w:t xml:space="preserve">regulations expire. The estimated cost associated with this is $1,068,122 to $1,440,590 per annum just to process consent for works applications received by the metropolitan region of the Department, not to mention applications received by other regions and road authorities. </w:t>
      </w:r>
      <w:r>
        <w:t>The</w:t>
      </w:r>
      <w:r w:rsidRPr="00E908E2">
        <w:t xml:space="preserve"> Department considers </w:t>
      </w:r>
      <w:r>
        <w:t>that allowing the regulations to expire would</w:t>
      </w:r>
      <w:r w:rsidRPr="00E908E2">
        <w:t xml:space="preserve"> be the least efficient and equitable option available </w:t>
      </w:r>
      <w:r>
        <w:t>and is instead considering two broad options:</w:t>
      </w:r>
    </w:p>
    <w:p w14:paraId="11CF50E7" w14:textId="77777777" w:rsidR="00356347" w:rsidRPr="00B72369" w:rsidRDefault="00356347" w:rsidP="00356347">
      <w:r w:rsidRPr="003240E4">
        <w:rPr>
          <w:b/>
          <w:u w:val="single"/>
        </w:rPr>
        <w:t>Option 1:</w:t>
      </w:r>
      <w:r w:rsidRPr="00B72369">
        <w:t xml:space="preserve"> </w:t>
      </w:r>
      <w:r>
        <w:t>to r</w:t>
      </w:r>
      <w:r w:rsidRPr="00B72369">
        <w:t>etain fees at current levels (status quo</w:t>
      </w:r>
      <w:r>
        <w:t>)</w:t>
      </w:r>
    </w:p>
    <w:p w14:paraId="595F734D" w14:textId="1F0D7343" w:rsidR="00356347" w:rsidRPr="00957981" w:rsidRDefault="00356347" w:rsidP="00356347">
      <w:pPr>
        <w:rPr>
          <w:rStyle w:val="Bold"/>
          <w:b w:val="0"/>
          <w:color w:val="000000" w:themeColor="text1"/>
        </w:rPr>
      </w:pPr>
      <w:r>
        <w:t>U</w:t>
      </w:r>
      <w:r w:rsidRPr="006B7941">
        <w:t>nder this option there would be a $323,313 deficit per annum for</w:t>
      </w:r>
      <w:r w:rsidR="00697C60">
        <w:t xml:space="preserve"> the</w:t>
      </w:r>
      <w:r w:rsidRPr="006B7941">
        <w:t xml:space="preserve"> consent for works applications and property enquiries processed by the relevant metropolitan teams within the Department. </w:t>
      </w:r>
      <w:r w:rsidR="00241B6A">
        <w:t>However, t</w:t>
      </w:r>
      <w:r w:rsidRPr="006B7941">
        <w:t>h</w:t>
      </w:r>
      <w:r w:rsidR="005F36F2">
        <w:t>is</w:t>
      </w:r>
      <w:r w:rsidRPr="006B7941">
        <w:t xml:space="preserve"> figure does not include other regulatory costs and revenue data is not available. The </w:t>
      </w:r>
      <w:r w:rsidR="00AA0F94">
        <w:t>estimate</w:t>
      </w:r>
      <w:r w:rsidR="00AA0F94" w:rsidRPr="006B7941">
        <w:t xml:space="preserve"> </w:t>
      </w:r>
      <w:r w:rsidRPr="006B7941">
        <w:t>also does not take into account costs incurred and revenue received by other teams within the Department or other road authorities.</w:t>
      </w:r>
    </w:p>
    <w:p w14:paraId="3DD73274" w14:textId="77777777" w:rsidR="00356347" w:rsidRPr="00AF1F3D" w:rsidRDefault="00356347" w:rsidP="00C95905">
      <w:pPr>
        <w:spacing w:before="100" w:beforeAutospacing="1"/>
        <w:rPr>
          <w:b/>
          <w:color w:val="515965" w:themeColor="text2" w:themeTint="BF"/>
        </w:rPr>
      </w:pPr>
      <w:r w:rsidRPr="00AF1F3D">
        <w:rPr>
          <w:b/>
          <w:color w:val="515965" w:themeColor="text2" w:themeTint="BF"/>
        </w:rPr>
        <w:t>Fees for application for consent to the conduct of proposed works</w:t>
      </w:r>
    </w:p>
    <w:p w14:paraId="03B7720C" w14:textId="6DE79170" w:rsidR="00356347" w:rsidRDefault="00356347" w:rsidP="00356347">
      <w:r w:rsidRPr="003112FF">
        <w:t>Under the Act, written consent must be obtained from the coordinating road authority to conduct works in, on, under or over a road</w:t>
      </w:r>
      <w:r w:rsidR="001C0E9F">
        <w:t>. The Act</w:t>
      </w:r>
      <w:r w:rsidR="00013C2C">
        <w:t xml:space="preserve"> </w:t>
      </w:r>
      <w:r>
        <w:t>enable</w:t>
      </w:r>
      <w:r w:rsidR="001C0E9F">
        <w:t>s</w:t>
      </w:r>
      <w:r>
        <w:t xml:space="preserve"> the regulations to specify a fee to recover the costs involved with assessing the applications. </w:t>
      </w:r>
    </w:p>
    <w:p w14:paraId="2F9EEB09" w14:textId="1E23A94F" w:rsidR="00356347" w:rsidRDefault="00356347" w:rsidP="00356347">
      <w:r>
        <w:t>E</w:t>
      </w:r>
      <w:r w:rsidRPr="006B7941">
        <w:t>vidence suggests that costs for processing consent for works applications in the Department’s metropolitan region (up to $1,440,590 per annum) are not fully recovered through revenue from regulatory fees (up to $1,080,512 per annum). This means that the deficit would need to be sourced through general revenues and thus funded by the tax</w:t>
      </w:r>
      <w:r w:rsidR="00CD32E2">
        <w:t>-</w:t>
      </w:r>
      <w:r w:rsidRPr="006B7941">
        <w:t xml:space="preserve">paying community. </w:t>
      </w:r>
      <w:r w:rsidRPr="003112FF">
        <w:t xml:space="preserve">Based </w:t>
      </w:r>
      <w:r>
        <w:t xml:space="preserve">on this sample, there is an </w:t>
      </w:r>
      <w:r w:rsidRPr="003112FF">
        <w:t xml:space="preserve">estimated under-recovery of $202,725 to $360,078 per annum for applications for works in the metropolitan region. </w:t>
      </w:r>
    </w:p>
    <w:p w14:paraId="7EAB8657" w14:textId="77777777" w:rsidR="00356347" w:rsidRPr="00AF1F3D" w:rsidRDefault="00356347" w:rsidP="00C95905">
      <w:pPr>
        <w:spacing w:before="100" w:beforeAutospacing="1"/>
        <w:rPr>
          <w:b/>
          <w:color w:val="515965" w:themeColor="text2" w:themeTint="BF"/>
        </w:rPr>
      </w:pPr>
      <w:r w:rsidRPr="00AF1F3D">
        <w:rPr>
          <w:b/>
          <w:color w:val="515965" w:themeColor="text2" w:themeTint="BF"/>
        </w:rPr>
        <w:t>Fees for processing property enquiries</w:t>
      </w:r>
    </w:p>
    <w:p w14:paraId="154DC227" w14:textId="559F16F6" w:rsidR="00356347" w:rsidRDefault="00356347" w:rsidP="00356347">
      <w:r>
        <w:t>Under the General regulations, the</w:t>
      </w:r>
      <w:r w:rsidRPr="00602ACC">
        <w:t xml:space="preserve"> HTfV </w:t>
      </w:r>
      <w:r>
        <w:t xml:space="preserve">can charge a fee to </w:t>
      </w:r>
      <w:r w:rsidR="00C85D08">
        <w:t>re</w:t>
      </w:r>
      <w:r>
        <w:t xml:space="preserve">cover the administrative costs of </w:t>
      </w:r>
      <w:r w:rsidRPr="00602ACC">
        <w:t>provid</w:t>
      </w:r>
      <w:r>
        <w:t>ing</w:t>
      </w:r>
      <w:r w:rsidRPr="00602ACC">
        <w:t xml:space="preserve"> certain types of property information upon request</w:t>
      </w:r>
      <w:r>
        <w:t>. This could include</w:t>
      </w:r>
      <w:r w:rsidRPr="00602ACC">
        <w:t xml:space="preserve"> information about HTfV</w:t>
      </w:r>
      <w:r w:rsidR="00AF2BC3">
        <w:t>-</w:t>
      </w:r>
      <w:r w:rsidRPr="00602ACC">
        <w:t xml:space="preserve">approved proposals for works requiring the purchase or compulsory acquisition of land. </w:t>
      </w:r>
    </w:p>
    <w:p w14:paraId="631E0019" w14:textId="0E518036" w:rsidR="00356347" w:rsidRPr="00602ACC" w:rsidRDefault="00356347" w:rsidP="00356347">
      <w:r>
        <w:t>T</w:t>
      </w:r>
      <w:r w:rsidRPr="006B7941">
        <w:t xml:space="preserve">he processing costs for </w:t>
      </w:r>
      <w:r>
        <w:t xml:space="preserve">responding to </w:t>
      </w:r>
      <w:r w:rsidRPr="006B7941">
        <w:t xml:space="preserve">property enquiries in the Department’s metropolitan region (up to $55,440 per annum) are currently being recovered through the revenue raised through property enquiry fees ($92,206 per annum) at a surplus. </w:t>
      </w:r>
      <w:r>
        <w:t>T</w:t>
      </w:r>
      <w:r w:rsidRPr="00602ACC">
        <w:t xml:space="preserve">he Department has an estimated cost recovery surplus of $36,765.8 to $59,360.9 per annum for property enquiries in the metropolitan region. While data for the remaining regions was not available, the cost per application is </w:t>
      </w:r>
      <w:r w:rsidR="00FC7BA2">
        <w:t xml:space="preserve">likely to be </w:t>
      </w:r>
      <w:r w:rsidRPr="00602ACC">
        <w:t>comparable.</w:t>
      </w:r>
    </w:p>
    <w:p w14:paraId="10F6A630" w14:textId="77777777" w:rsidR="00356347" w:rsidRPr="00AF1F3D" w:rsidRDefault="00356347" w:rsidP="00C95905">
      <w:pPr>
        <w:spacing w:before="100" w:beforeAutospacing="1"/>
        <w:rPr>
          <w:b/>
          <w:color w:val="515965" w:themeColor="text2" w:themeTint="BF"/>
        </w:rPr>
      </w:pPr>
      <w:r w:rsidRPr="00AF1F3D">
        <w:rPr>
          <w:b/>
          <w:color w:val="515965" w:themeColor="text2" w:themeTint="BF"/>
        </w:rPr>
        <w:t>Fees for application for consent for hoardings and advertisements</w:t>
      </w:r>
    </w:p>
    <w:p w14:paraId="61523084" w14:textId="059CCF24" w:rsidR="00356347" w:rsidRDefault="00356347" w:rsidP="00356347">
      <w:r w:rsidRPr="006826D3">
        <w:t>Under the Act, written consent must be obtained from the coordinating road authority to place an advertising structure, sign or hoarding on or over a road or on a road reserve</w:t>
      </w:r>
      <w:r>
        <w:t xml:space="preserve">. </w:t>
      </w:r>
      <w:r w:rsidRPr="006826D3">
        <w:t>Given the absence of data on consents provided for signage across all road authorities it is difficult to provide a definitive total cost for the administration of the consent application process.</w:t>
      </w:r>
      <w:r>
        <w:t xml:space="preserve"> </w:t>
      </w:r>
      <w:r w:rsidRPr="006B7941">
        <w:t xml:space="preserve">In the absence of this data, it is suggested to retain fee units at the current levels. </w:t>
      </w:r>
    </w:p>
    <w:p w14:paraId="291C10D2" w14:textId="77777777" w:rsidR="00356347" w:rsidRPr="00B72369" w:rsidRDefault="00356347" w:rsidP="00356347">
      <w:r w:rsidRPr="003240E4">
        <w:rPr>
          <w:b/>
          <w:u w:val="single"/>
        </w:rPr>
        <w:t>Option 2:</w:t>
      </w:r>
      <w:r w:rsidRPr="00B72369">
        <w:t xml:space="preserve"> </w:t>
      </w:r>
      <w:r>
        <w:t>r</w:t>
      </w:r>
      <w:r w:rsidRPr="00B72369">
        <w:t>estructur</w:t>
      </w:r>
      <w:r>
        <w:t>e</w:t>
      </w:r>
      <w:r w:rsidRPr="00B72369">
        <w:t xml:space="preserve"> some fees to ensure that the costs of road management regulation are fully recovered</w:t>
      </w:r>
    </w:p>
    <w:p w14:paraId="34BE0C1A" w14:textId="10CF1E92" w:rsidR="00356347" w:rsidRPr="006B7941" w:rsidRDefault="00356347" w:rsidP="00356347">
      <w:r w:rsidRPr="006B7941">
        <w:t xml:space="preserve">This option would involve increasing some existing fees and reducing other existing fees to better reflect the costs incurred by regulators in undertaking various activities related to road management laws. By amending the existing fees, a more efficient and equitable fee structure </w:t>
      </w:r>
      <w:r w:rsidR="002E6B19">
        <w:t>w</w:t>
      </w:r>
      <w:r w:rsidRPr="006B7941">
        <w:t xml:space="preserve">ould be achieved and there </w:t>
      </w:r>
      <w:r w:rsidR="002E6B19">
        <w:t>w</w:t>
      </w:r>
      <w:r w:rsidRPr="006B7941">
        <w:t>ould be a closer alignment and more transparent relationship between fees charged and costs incurred.</w:t>
      </w:r>
    </w:p>
    <w:p w14:paraId="151119EF" w14:textId="5922FE16" w:rsidR="00356347" w:rsidRDefault="00356347" w:rsidP="00356347">
      <w:r>
        <w:lastRenderedPageBreak/>
        <w:t xml:space="preserve">Three sub-options have been identified as part of Option 2 based on </w:t>
      </w:r>
      <w:r w:rsidR="00F96AD3">
        <w:t xml:space="preserve">the </w:t>
      </w:r>
      <w:r>
        <w:t xml:space="preserve">three main categories </w:t>
      </w:r>
      <w:r w:rsidR="0000756C">
        <w:t>o</w:t>
      </w:r>
      <w:r>
        <w:t xml:space="preserve">f fees currently specified in the regulations. However, the </w:t>
      </w:r>
      <w:r w:rsidR="00CF569E">
        <w:t>D</w:t>
      </w:r>
      <w:r>
        <w:t>epartment would also welcome feedback on any other fees that could be introduced to enable full cost recovery.</w:t>
      </w:r>
    </w:p>
    <w:p w14:paraId="4C1C92B5" w14:textId="77777777" w:rsidR="00356347" w:rsidRPr="00AF1F3D" w:rsidRDefault="00356347" w:rsidP="00C95905">
      <w:pPr>
        <w:spacing w:before="100" w:beforeAutospacing="1"/>
        <w:rPr>
          <w:b/>
          <w:color w:val="515965" w:themeColor="text2" w:themeTint="BF"/>
        </w:rPr>
      </w:pPr>
      <w:r w:rsidRPr="00AF1F3D">
        <w:rPr>
          <w:b/>
          <w:color w:val="515965" w:themeColor="text2" w:themeTint="BF"/>
        </w:rPr>
        <w:t>Sub-option 2a: Increasing fees for application for consent to the conduct of proposed works</w:t>
      </w:r>
    </w:p>
    <w:p w14:paraId="7F34FC06" w14:textId="2D2067D5" w:rsidR="00356347" w:rsidRPr="006B7941" w:rsidRDefault="00356347" w:rsidP="00356347">
      <w:r w:rsidRPr="006B7941">
        <w:t>Under this sub-option, all fee</w:t>
      </w:r>
      <w:r w:rsidR="0098444E">
        <w:t>s</w:t>
      </w:r>
      <w:r w:rsidRPr="006B7941">
        <w:t xml:space="preserve"> for consent for works applications would be increased by 25 per cent. For example, the current fee for minor works conducted on a municipal road with a speed limit of not more than 50km/hour is 9.3</w:t>
      </w:r>
      <w:r w:rsidR="0098444E">
        <w:t xml:space="preserve"> fee units (</w:t>
      </w:r>
      <w:r w:rsidR="00D81BF6">
        <w:t>$</w:t>
      </w:r>
      <w:r w:rsidR="00D416B9">
        <w:t>156.33</w:t>
      </w:r>
      <w:r w:rsidR="00D81BF6">
        <w:t xml:space="preserve"> in 2025-2026)</w:t>
      </w:r>
      <w:r w:rsidRPr="006B7941">
        <w:t xml:space="preserve">. This </w:t>
      </w:r>
      <w:r w:rsidR="00D81BF6">
        <w:t xml:space="preserve">fee </w:t>
      </w:r>
      <w:r w:rsidRPr="006B7941">
        <w:t>would increase to 11.6 fee units</w:t>
      </w:r>
      <w:r w:rsidR="00D81BF6">
        <w:t xml:space="preserve"> under this sub-option</w:t>
      </w:r>
      <w:r w:rsidRPr="006B7941">
        <w:t>.</w:t>
      </w:r>
    </w:p>
    <w:p w14:paraId="2EB55CF4" w14:textId="0E135261" w:rsidR="00356347" w:rsidRPr="006B7941" w:rsidRDefault="00356347" w:rsidP="00356347">
      <w:r w:rsidRPr="006B7941">
        <w:t>The existing fee structure would remain the same under this sub-option</w:t>
      </w:r>
      <w:r w:rsidR="00937340">
        <w:t xml:space="preserve">. That is, there would continue to be </w:t>
      </w:r>
      <w:r w:rsidRPr="006B7941">
        <w:t xml:space="preserve">16 different categories </w:t>
      </w:r>
      <w:r w:rsidR="00937340">
        <w:t xml:space="preserve">of fees </w:t>
      </w:r>
      <w:r w:rsidRPr="006B7941">
        <w:t>based on the type of works and road</w:t>
      </w:r>
      <w:r w:rsidR="00C91A2E">
        <w:t>,</w:t>
      </w:r>
      <w:r w:rsidRPr="006B7941">
        <w:t xml:space="preserve"> and location of the works. This means all applicants </w:t>
      </w:r>
      <w:r w:rsidR="001B3B09">
        <w:t xml:space="preserve">would be required </w:t>
      </w:r>
      <w:r w:rsidR="002A3E44">
        <w:t xml:space="preserve">to pay higher fees </w:t>
      </w:r>
      <w:r w:rsidRPr="006B7941">
        <w:t>and all road authorities will achieve an increase in cost recovery.</w:t>
      </w:r>
    </w:p>
    <w:p w14:paraId="7EBBD055" w14:textId="00ACC97F" w:rsidR="00356347" w:rsidRPr="006B7941" w:rsidRDefault="00356347" w:rsidP="00356347">
      <w:r w:rsidRPr="006B7941">
        <w:t>Although</w:t>
      </w:r>
      <w:r w:rsidR="002A3E44">
        <w:t xml:space="preserve"> the value of a</w:t>
      </w:r>
      <w:r w:rsidRPr="006B7941">
        <w:t xml:space="preserve"> fee unit </w:t>
      </w:r>
      <w:r w:rsidR="002A3E44">
        <w:t xml:space="preserve">is </w:t>
      </w:r>
      <w:r w:rsidRPr="006B7941">
        <w:t xml:space="preserve">adjusted annually in accordance with the Government’s indexing policy, this additional increase would recover the </w:t>
      </w:r>
      <w:r w:rsidR="0015609B">
        <w:t xml:space="preserve">full </w:t>
      </w:r>
      <w:r w:rsidRPr="006B7941">
        <w:t xml:space="preserve">cost of processing applications, conducting site inspections and other necessary administrative activities. </w:t>
      </w:r>
    </w:p>
    <w:p w14:paraId="063448F7" w14:textId="77777777" w:rsidR="00356347" w:rsidRPr="00AF1F3D" w:rsidRDefault="00356347" w:rsidP="00C95905">
      <w:pPr>
        <w:spacing w:before="100" w:beforeAutospacing="1"/>
        <w:rPr>
          <w:b/>
          <w:color w:val="515965" w:themeColor="text2" w:themeTint="BF"/>
        </w:rPr>
      </w:pPr>
      <w:r w:rsidRPr="00AF1F3D">
        <w:rPr>
          <w:b/>
          <w:color w:val="515965" w:themeColor="text2" w:themeTint="BF"/>
        </w:rPr>
        <w:t>Sub-option 2b: Reducing fees for processing property enquiries</w:t>
      </w:r>
    </w:p>
    <w:p w14:paraId="1EDFD76B" w14:textId="7FBAC840" w:rsidR="00356347" w:rsidRPr="006B7941" w:rsidRDefault="00356347" w:rsidP="00356347">
      <w:r w:rsidRPr="006B7941">
        <w:t xml:space="preserve">Under this sub-option, the fee for property enquiries would be reduced from 1.27 fee units to 1 fee unit. </w:t>
      </w:r>
    </w:p>
    <w:p w14:paraId="0C57D361" w14:textId="77777777" w:rsidR="00356347" w:rsidRPr="006B7941" w:rsidRDefault="00356347" w:rsidP="00356347">
      <w:r w:rsidRPr="006B7941">
        <w:t xml:space="preserve">This reduction is </w:t>
      </w:r>
      <w:r>
        <w:t xml:space="preserve">in response </w:t>
      </w:r>
      <w:r w:rsidRPr="006B7941">
        <w:t>to the minimal time and analysis involved in assessing the majority of property enquiries. Although some enquiries will require substantially more time due to referrals and more in-depth analysis, the Department expects cost recovery would likely still be achieved under this sub-option for the metropolitan region.</w:t>
      </w:r>
    </w:p>
    <w:p w14:paraId="2054E9DC" w14:textId="77777777" w:rsidR="00356347" w:rsidRPr="00AF1F3D" w:rsidRDefault="00356347" w:rsidP="00C95905">
      <w:pPr>
        <w:spacing w:before="100" w:beforeAutospacing="1"/>
        <w:rPr>
          <w:b/>
          <w:color w:val="515965" w:themeColor="text2" w:themeTint="BF"/>
        </w:rPr>
      </w:pPr>
      <w:r w:rsidRPr="00AF1F3D">
        <w:rPr>
          <w:b/>
          <w:color w:val="515965" w:themeColor="text2" w:themeTint="BF"/>
        </w:rPr>
        <w:t>Sub-option 2c: Removing fees for application for consent for hoardings and advertisements</w:t>
      </w:r>
    </w:p>
    <w:p w14:paraId="749C6A8B" w14:textId="77777777" w:rsidR="00356347" w:rsidRPr="006B7941" w:rsidRDefault="00356347" w:rsidP="00356347">
      <w:r w:rsidRPr="006B7941">
        <w:t xml:space="preserve">Under this sub-option, the fee for hoardings and advertisements applications would be removed. </w:t>
      </w:r>
    </w:p>
    <w:p w14:paraId="2FB05D98" w14:textId="77777777" w:rsidR="00356347" w:rsidRPr="006B7941" w:rsidRDefault="00356347" w:rsidP="00356347">
      <w:r w:rsidRPr="006B7941">
        <w:t>The Department does not charge a fee for the assessment of applications and councils hold limited data about costs incurred and recovered for these assessments. Based on the feedback received, the potential cost under-recovery for road authorities under this sub-option could be approximately $2,000 per annum in some cases.</w:t>
      </w:r>
    </w:p>
    <w:p w14:paraId="1C0356E1" w14:textId="77777777" w:rsidR="00356347" w:rsidRPr="006B7941" w:rsidRDefault="00356347" w:rsidP="00356347">
      <w:r w:rsidRPr="006B7941">
        <w:t>Many applications for signage will progress through the planning permit system. Based on the limited data available, it is expected that removal of this fee under the regulations will not result in any significant cost under-recovery for road authorities.</w:t>
      </w:r>
    </w:p>
    <w:p w14:paraId="4728B43A" w14:textId="63B94596" w:rsidR="00356347" w:rsidRPr="009F24ED" w:rsidRDefault="00356347" w:rsidP="00AB0387">
      <w:pPr>
        <w:keepNext/>
        <w:spacing w:before="240"/>
        <w:rPr>
          <w:b/>
          <w:bCs/>
          <w:sz w:val="24"/>
          <w:szCs w:val="24"/>
        </w:rPr>
      </w:pPr>
      <w:r w:rsidRPr="009F24ED">
        <w:rPr>
          <w:b/>
          <w:bCs/>
          <w:sz w:val="24"/>
          <w:szCs w:val="24"/>
        </w:rPr>
        <w:t>Options analysis</w:t>
      </w:r>
      <w:r w:rsidR="00B02317">
        <w:rPr>
          <w:b/>
          <w:bCs/>
          <w:sz w:val="24"/>
          <w:szCs w:val="24"/>
        </w:rPr>
        <w:t xml:space="preserve"> (excluding fees)</w:t>
      </w:r>
    </w:p>
    <w:p w14:paraId="7F9701A3" w14:textId="77777777" w:rsidR="00356347" w:rsidRDefault="00356347" w:rsidP="00AB0387">
      <w:pPr>
        <w:keepNext/>
      </w:pPr>
      <w:r w:rsidRPr="002B2EF7">
        <w:t>Given the limited quantitative data available, a M</w:t>
      </w:r>
      <w:r>
        <w:t>ulti-</w:t>
      </w:r>
      <w:r w:rsidRPr="002B2EF7">
        <w:t>C</w:t>
      </w:r>
      <w:r>
        <w:t xml:space="preserve">riteria </w:t>
      </w:r>
      <w:r w:rsidRPr="002B2EF7">
        <w:t>A</w:t>
      </w:r>
      <w:r>
        <w:t>nalysis (MCA)</w:t>
      </w:r>
      <w:r w:rsidRPr="002B2EF7">
        <w:t xml:space="preserve"> provides a structured way of evaluating the overall costs and benefits of options against weighted criteria that are chosen based on their relative importance in achieving the objectives.</w:t>
      </w:r>
    </w:p>
    <w:p w14:paraId="27B7D234" w14:textId="1564ED83" w:rsidR="00555BF9" w:rsidRDefault="00ED6AE0" w:rsidP="00AB0387">
      <w:pPr>
        <w:keepNext/>
      </w:pPr>
      <w:r>
        <w:t xml:space="preserve">The following tables </w:t>
      </w:r>
      <w:r w:rsidR="00CC1413">
        <w:t>outline the criteria, and their relevant weightings,</w:t>
      </w:r>
      <w:r w:rsidR="0017331B">
        <w:t xml:space="preserve"> and the scoring framework</w:t>
      </w:r>
      <w:r w:rsidR="00CC1413">
        <w:t xml:space="preserve"> that the Department proposes to use to assess the </w:t>
      </w:r>
      <w:r w:rsidR="004F6D01">
        <w:t>feasible options identified.</w:t>
      </w:r>
    </w:p>
    <w:p w14:paraId="5BF866B9" w14:textId="77777777" w:rsidR="00555BF9" w:rsidRDefault="00555BF9">
      <w:r>
        <w:br w:type="page"/>
      </w:r>
    </w:p>
    <w:p w14:paraId="5F26D1FC" w14:textId="77E5E1AC" w:rsidR="00356347" w:rsidRPr="00A95829" w:rsidRDefault="00356347" w:rsidP="00AB0387">
      <w:pPr>
        <w:pStyle w:val="Caption"/>
        <w:keepNext/>
      </w:pPr>
      <w:r w:rsidRPr="00A95829">
        <w:lastRenderedPageBreak/>
        <w:t>MCA framework criteria and weightings</w:t>
      </w:r>
    </w:p>
    <w:tbl>
      <w:tblPr>
        <w:tblStyle w:val="TableGrid"/>
        <w:tblW w:w="5000" w:type="pct"/>
        <w:tblLook w:val="04A0" w:firstRow="1" w:lastRow="0" w:firstColumn="1" w:lastColumn="0" w:noHBand="0" w:noVBand="1"/>
      </w:tblPr>
      <w:tblGrid>
        <w:gridCol w:w="3120"/>
        <w:gridCol w:w="6379"/>
        <w:gridCol w:w="1273"/>
      </w:tblGrid>
      <w:tr w:rsidR="00356347" w:rsidRPr="00A95829" w14:paraId="12CB551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8" w:type="pct"/>
          </w:tcPr>
          <w:p w14:paraId="6F528F7A" w14:textId="77777777" w:rsidR="00356347" w:rsidRPr="00A95829" w:rsidRDefault="00356347" w:rsidP="002F58C1">
            <w:r w:rsidRPr="00A95829">
              <w:t>Criterion</w:t>
            </w:r>
          </w:p>
        </w:tc>
        <w:tc>
          <w:tcPr>
            <w:tcW w:w="2961" w:type="pct"/>
          </w:tcPr>
          <w:p w14:paraId="4D5740D8" w14:textId="77777777" w:rsidR="00356347" w:rsidRPr="00A95829" w:rsidRDefault="00356347" w:rsidP="002F58C1">
            <w:pPr>
              <w:cnfStyle w:val="100000000000" w:firstRow="1" w:lastRow="0" w:firstColumn="0" w:lastColumn="0" w:oddVBand="0" w:evenVBand="0" w:oddHBand="0" w:evenHBand="0" w:firstRowFirstColumn="0" w:firstRowLastColumn="0" w:lastRowFirstColumn="0" w:lastRowLastColumn="0"/>
            </w:pPr>
            <w:r w:rsidRPr="00A95829">
              <w:t>Description</w:t>
            </w:r>
          </w:p>
        </w:tc>
        <w:tc>
          <w:tcPr>
            <w:tcW w:w="591" w:type="pct"/>
          </w:tcPr>
          <w:p w14:paraId="275F6C52" w14:textId="77777777" w:rsidR="00356347" w:rsidRPr="00A95829" w:rsidRDefault="00356347" w:rsidP="002F58C1">
            <w:pPr>
              <w:cnfStyle w:val="100000000000" w:firstRow="1" w:lastRow="0" w:firstColumn="0" w:lastColumn="0" w:oddVBand="0" w:evenVBand="0" w:oddHBand="0" w:evenHBand="0" w:firstRowFirstColumn="0" w:firstRowLastColumn="0" w:lastRowFirstColumn="0" w:lastRowLastColumn="0"/>
            </w:pPr>
            <w:r w:rsidRPr="00A95829">
              <w:t>Weight</w:t>
            </w:r>
          </w:p>
        </w:tc>
      </w:tr>
      <w:tr w:rsidR="00356347" w:rsidRPr="00A95829" w14:paraId="01E08931" w14:textId="77777777">
        <w:tc>
          <w:tcPr>
            <w:cnfStyle w:val="001000000000" w:firstRow="0" w:lastRow="0" w:firstColumn="1" w:lastColumn="0" w:oddVBand="0" w:evenVBand="0" w:oddHBand="0" w:evenHBand="0" w:firstRowFirstColumn="0" w:firstRowLastColumn="0" w:lastRowFirstColumn="0" w:lastRowLastColumn="0"/>
            <w:tcW w:w="1448" w:type="pct"/>
            <w:shd w:val="clear" w:color="auto" w:fill="03A59D" w:themeFill="accent2"/>
          </w:tcPr>
          <w:p w14:paraId="1D8B2766" w14:textId="77777777" w:rsidR="00356347" w:rsidRPr="00A95829" w:rsidRDefault="00356347">
            <w:pPr>
              <w:rPr>
                <w:rFonts w:ascii="VIC" w:hAnsi="VIC"/>
              </w:rPr>
            </w:pPr>
            <w:r w:rsidRPr="00A95829">
              <w:rPr>
                <w:rFonts w:ascii="VIC" w:hAnsi="VIC"/>
              </w:rPr>
              <w:t>Benefits</w:t>
            </w:r>
          </w:p>
        </w:tc>
        <w:tc>
          <w:tcPr>
            <w:tcW w:w="2961" w:type="pct"/>
            <w:shd w:val="clear" w:color="auto" w:fill="03A59D" w:themeFill="accent2"/>
          </w:tcPr>
          <w:p w14:paraId="7E732CB2" w14:textId="77777777" w:rsidR="00356347" w:rsidRPr="00A95829" w:rsidRDefault="00356347">
            <w:pPr>
              <w:cnfStyle w:val="000000000000" w:firstRow="0" w:lastRow="0" w:firstColumn="0" w:lastColumn="0" w:oddVBand="0" w:evenVBand="0" w:oddHBand="0" w:evenHBand="0" w:firstRowFirstColumn="0" w:firstRowLastColumn="0" w:lastRowFirstColumn="0" w:lastRowLastColumn="0"/>
              <w:rPr>
                <w:rFonts w:ascii="VIC" w:hAnsi="VIC"/>
              </w:rPr>
            </w:pPr>
          </w:p>
        </w:tc>
        <w:tc>
          <w:tcPr>
            <w:tcW w:w="591" w:type="pct"/>
            <w:shd w:val="clear" w:color="auto" w:fill="03A59D" w:themeFill="accent2"/>
          </w:tcPr>
          <w:p w14:paraId="2386B528" w14:textId="77777777" w:rsidR="00356347" w:rsidRPr="00A95829" w:rsidRDefault="00356347">
            <w:pPr>
              <w:cnfStyle w:val="000000000000" w:firstRow="0" w:lastRow="0" w:firstColumn="0" w:lastColumn="0" w:oddVBand="0" w:evenVBand="0" w:oddHBand="0" w:evenHBand="0" w:firstRowFirstColumn="0" w:firstRowLastColumn="0" w:lastRowFirstColumn="0" w:lastRowLastColumn="0"/>
              <w:rPr>
                <w:rFonts w:ascii="VIC" w:hAnsi="VIC"/>
                <w:b/>
              </w:rPr>
            </w:pPr>
            <w:r w:rsidRPr="00A95829">
              <w:rPr>
                <w:rFonts w:ascii="VIC" w:hAnsi="VIC"/>
                <w:b/>
              </w:rPr>
              <w:t>50%</w:t>
            </w:r>
          </w:p>
        </w:tc>
      </w:tr>
      <w:tr w:rsidR="00356347" w:rsidRPr="00A95829" w14:paraId="35837ED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8" w:type="pct"/>
          </w:tcPr>
          <w:p w14:paraId="1DFBBF1F" w14:textId="77777777" w:rsidR="00356347" w:rsidRPr="00A95829" w:rsidRDefault="00356347">
            <w:pPr>
              <w:rPr>
                <w:rFonts w:ascii="VIC" w:hAnsi="VIC"/>
                <w:b w:val="0"/>
              </w:rPr>
            </w:pPr>
            <w:r w:rsidRPr="00A95829">
              <w:rPr>
                <w:rFonts w:ascii="VIC" w:hAnsi="VIC"/>
                <w:b w:val="0"/>
              </w:rPr>
              <w:t>Protection of public roads</w:t>
            </w:r>
          </w:p>
        </w:tc>
        <w:tc>
          <w:tcPr>
            <w:tcW w:w="2961" w:type="pct"/>
          </w:tcPr>
          <w:p w14:paraId="5DDFC315" w14:textId="77777777" w:rsidR="00356347" w:rsidRPr="00A95829"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A95829">
              <w:rPr>
                <w:rFonts w:ascii="VIC" w:hAnsi="VIC"/>
              </w:rPr>
              <w:t>The extent to which the option discourages unauthorised and unreasonable damage to public roads.</w:t>
            </w:r>
          </w:p>
        </w:tc>
        <w:tc>
          <w:tcPr>
            <w:tcW w:w="591" w:type="pct"/>
          </w:tcPr>
          <w:p w14:paraId="6C4BDDA9" w14:textId="77777777" w:rsidR="00356347" w:rsidRPr="00A95829"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A95829">
              <w:rPr>
                <w:rFonts w:ascii="VIC" w:hAnsi="VIC"/>
              </w:rPr>
              <w:t>20%</w:t>
            </w:r>
          </w:p>
        </w:tc>
      </w:tr>
      <w:tr w:rsidR="00356347" w:rsidRPr="00A95829" w14:paraId="3B935986" w14:textId="77777777">
        <w:tc>
          <w:tcPr>
            <w:cnfStyle w:val="001000000000" w:firstRow="0" w:lastRow="0" w:firstColumn="1" w:lastColumn="0" w:oddVBand="0" w:evenVBand="0" w:oddHBand="0" w:evenHBand="0" w:firstRowFirstColumn="0" w:firstRowLastColumn="0" w:lastRowFirstColumn="0" w:lastRowLastColumn="0"/>
            <w:tcW w:w="1448" w:type="pct"/>
          </w:tcPr>
          <w:p w14:paraId="10A63EC0" w14:textId="77777777" w:rsidR="00356347" w:rsidRPr="00A95829" w:rsidRDefault="00356347">
            <w:pPr>
              <w:rPr>
                <w:rFonts w:ascii="VIC" w:hAnsi="VIC"/>
                <w:b w:val="0"/>
              </w:rPr>
            </w:pPr>
            <w:r w:rsidRPr="00A95829">
              <w:rPr>
                <w:rFonts w:ascii="VIC" w:hAnsi="VIC"/>
                <w:b w:val="0"/>
              </w:rPr>
              <w:t>Management of public roads, including works</w:t>
            </w:r>
          </w:p>
        </w:tc>
        <w:tc>
          <w:tcPr>
            <w:tcW w:w="2961" w:type="pct"/>
          </w:tcPr>
          <w:p w14:paraId="54C1FF26" w14:textId="77777777" w:rsidR="00356347" w:rsidRPr="00A95829"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A95829">
              <w:rPr>
                <w:rFonts w:ascii="VIC" w:hAnsi="VIC"/>
              </w:rPr>
              <w:t xml:space="preserve">The extent to which the option allows road authorities to effectively manage public roads and enable those carrying out works to do so efficiently. The approach taken is that the lower the burden on all parties, the more efficient the management. </w:t>
            </w:r>
          </w:p>
        </w:tc>
        <w:tc>
          <w:tcPr>
            <w:tcW w:w="591" w:type="pct"/>
          </w:tcPr>
          <w:p w14:paraId="316645DF" w14:textId="77777777" w:rsidR="00356347" w:rsidRPr="00A95829"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A95829">
              <w:rPr>
                <w:rFonts w:ascii="VIC" w:hAnsi="VIC"/>
              </w:rPr>
              <w:t>20%</w:t>
            </w:r>
          </w:p>
        </w:tc>
      </w:tr>
      <w:tr w:rsidR="00356347" w:rsidRPr="00A95829" w14:paraId="683154C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8" w:type="pct"/>
          </w:tcPr>
          <w:p w14:paraId="1EDE3788" w14:textId="77777777" w:rsidR="00356347" w:rsidRPr="00A95829" w:rsidRDefault="00356347">
            <w:pPr>
              <w:rPr>
                <w:rFonts w:ascii="VIC" w:hAnsi="VIC"/>
                <w:b w:val="0"/>
              </w:rPr>
            </w:pPr>
            <w:r w:rsidRPr="00A95829">
              <w:rPr>
                <w:rFonts w:ascii="VIC" w:hAnsi="VIC"/>
                <w:b w:val="0"/>
              </w:rPr>
              <w:t>Maintenance of public roads</w:t>
            </w:r>
          </w:p>
        </w:tc>
        <w:tc>
          <w:tcPr>
            <w:tcW w:w="2961" w:type="pct"/>
          </w:tcPr>
          <w:p w14:paraId="4E052BAE" w14:textId="77777777" w:rsidR="00356347" w:rsidRPr="00A95829"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A95829">
              <w:rPr>
                <w:rFonts w:ascii="VIC" w:hAnsi="VIC"/>
              </w:rPr>
              <w:t>The extent to which the option facilitates effective and efficient maintenance of public roads.</w:t>
            </w:r>
          </w:p>
        </w:tc>
        <w:tc>
          <w:tcPr>
            <w:tcW w:w="591" w:type="pct"/>
          </w:tcPr>
          <w:p w14:paraId="376992CB" w14:textId="77777777" w:rsidR="00356347" w:rsidRPr="00A95829"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A95829">
              <w:rPr>
                <w:rFonts w:ascii="VIC" w:hAnsi="VIC"/>
              </w:rPr>
              <w:t>5%</w:t>
            </w:r>
          </w:p>
        </w:tc>
      </w:tr>
      <w:tr w:rsidR="00356347" w:rsidRPr="00A95829" w14:paraId="1EB5AE9F" w14:textId="77777777">
        <w:tc>
          <w:tcPr>
            <w:cnfStyle w:val="001000000000" w:firstRow="0" w:lastRow="0" w:firstColumn="1" w:lastColumn="0" w:oddVBand="0" w:evenVBand="0" w:oddHBand="0" w:evenHBand="0" w:firstRowFirstColumn="0" w:firstRowLastColumn="0" w:lastRowFirstColumn="0" w:lastRowLastColumn="0"/>
            <w:tcW w:w="1448" w:type="pct"/>
          </w:tcPr>
          <w:p w14:paraId="478D563E" w14:textId="77777777" w:rsidR="00356347" w:rsidRPr="00A95829" w:rsidRDefault="00356347">
            <w:pPr>
              <w:rPr>
                <w:rFonts w:ascii="VIC" w:hAnsi="VIC"/>
                <w:b w:val="0"/>
              </w:rPr>
            </w:pPr>
            <w:r w:rsidRPr="00A95829">
              <w:rPr>
                <w:rFonts w:ascii="VIC" w:hAnsi="VIC"/>
                <w:b w:val="0"/>
              </w:rPr>
              <w:t>Safety</w:t>
            </w:r>
          </w:p>
        </w:tc>
        <w:tc>
          <w:tcPr>
            <w:tcW w:w="2961" w:type="pct"/>
          </w:tcPr>
          <w:p w14:paraId="1432521B" w14:textId="547903E7" w:rsidR="00356347" w:rsidRPr="00A95829"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A95829">
              <w:rPr>
                <w:rFonts w:ascii="VIC" w:hAnsi="VIC"/>
              </w:rPr>
              <w:t xml:space="preserve">The extent to which the option prevents negative road safety outcomes. </w:t>
            </w:r>
          </w:p>
        </w:tc>
        <w:tc>
          <w:tcPr>
            <w:tcW w:w="591" w:type="pct"/>
          </w:tcPr>
          <w:p w14:paraId="69849785" w14:textId="77777777" w:rsidR="00356347" w:rsidRPr="00A95829"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A95829">
              <w:rPr>
                <w:rFonts w:ascii="VIC" w:hAnsi="VIC"/>
              </w:rPr>
              <w:t>5%</w:t>
            </w:r>
          </w:p>
        </w:tc>
      </w:tr>
      <w:tr w:rsidR="00356347" w:rsidRPr="00A95829" w14:paraId="766451E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8" w:type="pct"/>
            <w:shd w:val="clear" w:color="auto" w:fill="03A59D" w:themeFill="accent2"/>
          </w:tcPr>
          <w:p w14:paraId="3AF8D36B" w14:textId="77777777" w:rsidR="00356347" w:rsidRPr="00A95829" w:rsidRDefault="00356347">
            <w:pPr>
              <w:rPr>
                <w:rFonts w:ascii="VIC" w:hAnsi="VIC"/>
              </w:rPr>
            </w:pPr>
            <w:r w:rsidRPr="00A95829">
              <w:rPr>
                <w:rFonts w:ascii="VIC" w:hAnsi="VIC"/>
              </w:rPr>
              <w:t>Costs</w:t>
            </w:r>
          </w:p>
        </w:tc>
        <w:tc>
          <w:tcPr>
            <w:tcW w:w="2961" w:type="pct"/>
            <w:shd w:val="clear" w:color="auto" w:fill="03A59D" w:themeFill="accent2"/>
          </w:tcPr>
          <w:p w14:paraId="76D3788C" w14:textId="77777777" w:rsidR="00356347" w:rsidRPr="00A95829" w:rsidRDefault="00356347">
            <w:pPr>
              <w:cnfStyle w:val="000000010000" w:firstRow="0" w:lastRow="0" w:firstColumn="0" w:lastColumn="0" w:oddVBand="0" w:evenVBand="0" w:oddHBand="0" w:evenHBand="1" w:firstRowFirstColumn="0" w:firstRowLastColumn="0" w:lastRowFirstColumn="0" w:lastRowLastColumn="0"/>
              <w:rPr>
                <w:rFonts w:ascii="VIC" w:hAnsi="VIC"/>
              </w:rPr>
            </w:pPr>
          </w:p>
        </w:tc>
        <w:tc>
          <w:tcPr>
            <w:tcW w:w="591" w:type="pct"/>
            <w:shd w:val="clear" w:color="auto" w:fill="03A59D" w:themeFill="accent2"/>
          </w:tcPr>
          <w:p w14:paraId="29C49A68" w14:textId="77777777" w:rsidR="00356347" w:rsidRPr="00A95829" w:rsidRDefault="00356347">
            <w:pPr>
              <w:cnfStyle w:val="000000010000" w:firstRow="0" w:lastRow="0" w:firstColumn="0" w:lastColumn="0" w:oddVBand="0" w:evenVBand="0" w:oddHBand="0" w:evenHBand="1" w:firstRowFirstColumn="0" w:firstRowLastColumn="0" w:lastRowFirstColumn="0" w:lastRowLastColumn="0"/>
              <w:rPr>
                <w:rFonts w:ascii="VIC" w:hAnsi="VIC"/>
                <w:b/>
              </w:rPr>
            </w:pPr>
            <w:r w:rsidRPr="00A95829">
              <w:rPr>
                <w:rFonts w:ascii="VIC" w:hAnsi="VIC"/>
                <w:b/>
              </w:rPr>
              <w:t>50%</w:t>
            </w:r>
          </w:p>
        </w:tc>
      </w:tr>
      <w:tr w:rsidR="00356347" w:rsidRPr="00A95829" w14:paraId="26FE5A7C" w14:textId="77777777">
        <w:tc>
          <w:tcPr>
            <w:cnfStyle w:val="001000000000" w:firstRow="0" w:lastRow="0" w:firstColumn="1" w:lastColumn="0" w:oddVBand="0" w:evenVBand="0" w:oddHBand="0" w:evenHBand="0" w:firstRowFirstColumn="0" w:firstRowLastColumn="0" w:lastRowFirstColumn="0" w:lastRowLastColumn="0"/>
            <w:tcW w:w="1448" w:type="pct"/>
          </w:tcPr>
          <w:p w14:paraId="01A63D99" w14:textId="77777777" w:rsidR="00356347" w:rsidRPr="00A95829" w:rsidRDefault="00356347">
            <w:pPr>
              <w:rPr>
                <w:rFonts w:ascii="VIC" w:hAnsi="VIC"/>
                <w:b w:val="0"/>
              </w:rPr>
            </w:pPr>
            <w:r w:rsidRPr="00A95829">
              <w:rPr>
                <w:rFonts w:ascii="VIC" w:hAnsi="VIC"/>
                <w:b w:val="0"/>
              </w:rPr>
              <w:t>Entities carrying out works</w:t>
            </w:r>
          </w:p>
        </w:tc>
        <w:tc>
          <w:tcPr>
            <w:tcW w:w="2961" w:type="pct"/>
          </w:tcPr>
          <w:p w14:paraId="6195B8AC" w14:textId="77777777" w:rsidR="00356347" w:rsidRPr="00A95829"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A95829">
              <w:rPr>
                <w:rFonts w:ascii="VIC" w:hAnsi="VIC"/>
              </w:rPr>
              <w:t>The extent to which the option reduces the costs incurred by entities carrying out works on public roads. Reducing the cost to these parties provides for a more efficient delivery of services and therefore reduced costs to the community.</w:t>
            </w:r>
          </w:p>
        </w:tc>
        <w:tc>
          <w:tcPr>
            <w:tcW w:w="591" w:type="pct"/>
          </w:tcPr>
          <w:p w14:paraId="47DA9120" w14:textId="77777777" w:rsidR="00356347" w:rsidRPr="00A95829"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A95829">
              <w:rPr>
                <w:rFonts w:ascii="VIC" w:hAnsi="VIC"/>
              </w:rPr>
              <w:t>25%</w:t>
            </w:r>
          </w:p>
        </w:tc>
      </w:tr>
      <w:tr w:rsidR="00356347" w:rsidRPr="00A95829" w14:paraId="40BD875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8" w:type="pct"/>
          </w:tcPr>
          <w:p w14:paraId="06E20311" w14:textId="77777777" w:rsidR="00356347" w:rsidRPr="00A95829" w:rsidRDefault="00356347">
            <w:pPr>
              <w:rPr>
                <w:rFonts w:ascii="VIC" w:hAnsi="VIC"/>
                <w:b w:val="0"/>
              </w:rPr>
            </w:pPr>
            <w:r w:rsidRPr="00A95829">
              <w:rPr>
                <w:rFonts w:ascii="VIC" w:hAnsi="VIC"/>
                <w:b w:val="0"/>
              </w:rPr>
              <w:t>Road authorities</w:t>
            </w:r>
          </w:p>
        </w:tc>
        <w:tc>
          <w:tcPr>
            <w:tcW w:w="2961" w:type="pct"/>
          </w:tcPr>
          <w:p w14:paraId="279C699C" w14:textId="77777777" w:rsidR="00356347" w:rsidRPr="00A95829"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A95829">
              <w:rPr>
                <w:rFonts w:ascii="VIC" w:hAnsi="VIC"/>
              </w:rPr>
              <w:t>The extent to which the option minimises the costs incurred by road authorities in the performance of their functions under the Act.</w:t>
            </w:r>
          </w:p>
        </w:tc>
        <w:tc>
          <w:tcPr>
            <w:tcW w:w="591" w:type="pct"/>
          </w:tcPr>
          <w:p w14:paraId="368C559F" w14:textId="77777777" w:rsidR="00356347" w:rsidRPr="00A95829"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A95829">
              <w:rPr>
                <w:rFonts w:ascii="VIC" w:hAnsi="VIC"/>
              </w:rPr>
              <w:t>15%</w:t>
            </w:r>
          </w:p>
        </w:tc>
      </w:tr>
      <w:tr w:rsidR="00356347" w:rsidRPr="00A95829" w14:paraId="4CC415A2" w14:textId="77777777">
        <w:tc>
          <w:tcPr>
            <w:cnfStyle w:val="001000000000" w:firstRow="0" w:lastRow="0" w:firstColumn="1" w:lastColumn="0" w:oddVBand="0" w:evenVBand="0" w:oddHBand="0" w:evenHBand="0" w:firstRowFirstColumn="0" w:firstRowLastColumn="0" w:lastRowFirstColumn="0" w:lastRowLastColumn="0"/>
            <w:tcW w:w="1448" w:type="pct"/>
          </w:tcPr>
          <w:p w14:paraId="41FDA829" w14:textId="77777777" w:rsidR="00356347" w:rsidRPr="00A95829" w:rsidRDefault="00356347">
            <w:pPr>
              <w:rPr>
                <w:rFonts w:ascii="VIC" w:hAnsi="VIC"/>
                <w:b w:val="0"/>
              </w:rPr>
            </w:pPr>
            <w:r w:rsidRPr="00A95829">
              <w:rPr>
                <w:rFonts w:ascii="VIC" w:hAnsi="VIC"/>
                <w:b w:val="0"/>
              </w:rPr>
              <w:t>Road users and the broader community</w:t>
            </w:r>
          </w:p>
        </w:tc>
        <w:tc>
          <w:tcPr>
            <w:tcW w:w="2961" w:type="pct"/>
          </w:tcPr>
          <w:p w14:paraId="3B291665" w14:textId="77777777" w:rsidR="00356347" w:rsidRPr="00A95829"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A95829">
              <w:rPr>
                <w:rFonts w:ascii="VIC" w:hAnsi="VIC"/>
              </w:rPr>
              <w:t>The extent to which the option minimises the costs to road users. The approach taken is that the lower the impact on road users, the higher the rating.</w:t>
            </w:r>
          </w:p>
        </w:tc>
        <w:tc>
          <w:tcPr>
            <w:tcW w:w="591" w:type="pct"/>
          </w:tcPr>
          <w:p w14:paraId="324CF0F1" w14:textId="77777777" w:rsidR="00356347" w:rsidRPr="00A95829"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A95829">
              <w:rPr>
                <w:rFonts w:ascii="VIC" w:hAnsi="VIC"/>
              </w:rPr>
              <w:t>10%</w:t>
            </w:r>
          </w:p>
        </w:tc>
      </w:tr>
    </w:tbl>
    <w:p w14:paraId="4CF52332" w14:textId="30F4B97D" w:rsidR="009A51CB" w:rsidRDefault="009A51CB" w:rsidP="00CC1413">
      <w:pPr>
        <w:pStyle w:val="Caption"/>
      </w:pPr>
      <w:r>
        <w:t>MCA scoring framework</w:t>
      </w:r>
    </w:p>
    <w:tbl>
      <w:tblPr>
        <w:tblStyle w:val="TableGrid"/>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977"/>
        <w:gridCol w:w="977"/>
        <w:gridCol w:w="979"/>
        <w:gridCol w:w="976"/>
        <w:gridCol w:w="987"/>
        <w:gridCol w:w="976"/>
        <w:gridCol w:w="978"/>
        <w:gridCol w:w="976"/>
        <w:gridCol w:w="978"/>
        <w:gridCol w:w="976"/>
        <w:gridCol w:w="972"/>
      </w:tblGrid>
      <w:tr w:rsidR="009A51CB" w:rsidRPr="00C34CF2" w14:paraId="26D83CE3" w14:textId="77777777" w:rsidTr="004F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pct"/>
            <w:gridSpan w:val="5"/>
            <w:shd w:val="clear" w:color="auto" w:fill="BBFDFA" w:themeFill="accent2" w:themeFillTint="33"/>
          </w:tcPr>
          <w:p w14:paraId="30B14921" w14:textId="77777777" w:rsidR="009A51CB" w:rsidRPr="00C34CF2" w:rsidRDefault="009A51CB">
            <w:pPr>
              <w:keepNext w:val="0"/>
            </w:pPr>
            <w:r w:rsidRPr="00C34CF2">
              <w:t>Negative</w:t>
            </w:r>
          </w:p>
        </w:tc>
        <w:tc>
          <w:tcPr>
            <w:tcW w:w="454" w:type="pct"/>
          </w:tcPr>
          <w:p w14:paraId="1C4F478A" w14:textId="77777777" w:rsidR="009A51CB" w:rsidRPr="00C34CF2" w:rsidRDefault="009A51CB">
            <w:pPr>
              <w:keepNext w:val="0"/>
              <w:cnfStyle w:val="100000000000" w:firstRow="1" w:lastRow="0" w:firstColumn="0" w:lastColumn="0" w:oddVBand="0" w:evenVBand="0" w:oddHBand="0" w:evenHBand="0" w:firstRowFirstColumn="0" w:firstRowLastColumn="0" w:lastRowFirstColumn="0" w:lastRowLastColumn="0"/>
            </w:pPr>
            <w:r w:rsidRPr="00C34CF2">
              <w:t>Neutral</w:t>
            </w:r>
          </w:p>
        </w:tc>
        <w:tc>
          <w:tcPr>
            <w:tcW w:w="2270" w:type="pct"/>
            <w:gridSpan w:val="5"/>
            <w:shd w:val="clear" w:color="auto" w:fill="59FFC9" w:themeFill="accent5" w:themeFillShade="BF"/>
          </w:tcPr>
          <w:p w14:paraId="287836BA" w14:textId="77777777" w:rsidR="009A51CB" w:rsidRPr="00C34CF2" w:rsidRDefault="009A51CB">
            <w:pPr>
              <w:keepNext w:val="0"/>
              <w:cnfStyle w:val="100000000000" w:firstRow="1" w:lastRow="0" w:firstColumn="0" w:lastColumn="0" w:oddVBand="0" w:evenVBand="0" w:oddHBand="0" w:evenHBand="0" w:firstRowFirstColumn="0" w:firstRowLastColumn="0" w:lastRowFirstColumn="0" w:lastRowLastColumn="0"/>
            </w:pPr>
            <w:r w:rsidRPr="00C34CF2">
              <w:t>Positive</w:t>
            </w:r>
          </w:p>
        </w:tc>
      </w:tr>
      <w:tr w:rsidR="009A51CB" w:rsidRPr="00C34CF2" w14:paraId="2BE2102F" w14:textId="77777777" w:rsidTr="004F6D01">
        <w:tc>
          <w:tcPr>
            <w:cnfStyle w:val="001000000000" w:firstRow="0" w:lastRow="0" w:firstColumn="1" w:lastColumn="0" w:oddVBand="0" w:evenVBand="0" w:oddHBand="0" w:evenHBand="0" w:firstRowFirstColumn="0" w:firstRowLastColumn="0" w:lastRowFirstColumn="0" w:lastRowLastColumn="0"/>
            <w:tcW w:w="454" w:type="pct"/>
            <w:shd w:val="clear" w:color="auto" w:fill="BBFDFA" w:themeFill="accent2" w:themeFillTint="33"/>
          </w:tcPr>
          <w:p w14:paraId="50A49699" w14:textId="77777777" w:rsidR="009A51CB" w:rsidRPr="00C34CF2" w:rsidRDefault="009A51CB">
            <w:pPr>
              <w:rPr>
                <w:b w:val="0"/>
              </w:rPr>
            </w:pPr>
            <w:r w:rsidRPr="00C34CF2">
              <w:rPr>
                <w:b w:val="0"/>
              </w:rPr>
              <w:t>-10</w:t>
            </w:r>
          </w:p>
        </w:tc>
        <w:tc>
          <w:tcPr>
            <w:tcW w:w="454" w:type="pct"/>
            <w:shd w:val="clear" w:color="auto" w:fill="BBFDFA" w:themeFill="accent2" w:themeFillTint="33"/>
          </w:tcPr>
          <w:p w14:paraId="55324605" w14:textId="77777777" w:rsidR="009A51CB" w:rsidRPr="00C34CF2" w:rsidRDefault="009A51CB">
            <w:pPr>
              <w:cnfStyle w:val="000000000000" w:firstRow="0" w:lastRow="0" w:firstColumn="0" w:lastColumn="0" w:oddVBand="0" w:evenVBand="0" w:oddHBand="0" w:evenHBand="0" w:firstRowFirstColumn="0" w:firstRowLastColumn="0" w:lastRowFirstColumn="0" w:lastRowLastColumn="0"/>
            </w:pPr>
            <w:r w:rsidRPr="00C34CF2">
              <w:t>-7</w:t>
            </w:r>
          </w:p>
        </w:tc>
        <w:tc>
          <w:tcPr>
            <w:tcW w:w="455" w:type="pct"/>
            <w:shd w:val="clear" w:color="auto" w:fill="BBFDFA" w:themeFill="accent2" w:themeFillTint="33"/>
          </w:tcPr>
          <w:p w14:paraId="04B510E0" w14:textId="77777777" w:rsidR="009A51CB" w:rsidRPr="00C34CF2" w:rsidRDefault="009A51CB">
            <w:pPr>
              <w:cnfStyle w:val="000000000000" w:firstRow="0" w:lastRow="0" w:firstColumn="0" w:lastColumn="0" w:oddVBand="0" w:evenVBand="0" w:oddHBand="0" w:evenHBand="0" w:firstRowFirstColumn="0" w:firstRowLastColumn="0" w:lastRowFirstColumn="0" w:lastRowLastColumn="0"/>
            </w:pPr>
            <w:r w:rsidRPr="00C34CF2">
              <w:t>-5</w:t>
            </w:r>
          </w:p>
        </w:tc>
        <w:tc>
          <w:tcPr>
            <w:tcW w:w="454" w:type="pct"/>
            <w:shd w:val="clear" w:color="auto" w:fill="BBFDFA" w:themeFill="accent2" w:themeFillTint="33"/>
          </w:tcPr>
          <w:p w14:paraId="315519CC" w14:textId="77777777" w:rsidR="009A51CB" w:rsidRPr="00C34CF2" w:rsidRDefault="009A51CB">
            <w:pPr>
              <w:cnfStyle w:val="000000000000" w:firstRow="0" w:lastRow="0" w:firstColumn="0" w:lastColumn="0" w:oddVBand="0" w:evenVBand="0" w:oddHBand="0" w:evenHBand="0" w:firstRowFirstColumn="0" w:firstRowLastColumn="0" w:lastRowFirstColumn="0" w:lastRowLastColumn="0"/>
            </w:pPr>
            <w:r w:rsidRPr="00C34CF2">
              <w:t>-3</w:t>
            </w:r>
          </w:p>
        </w:tc>
        <w:tc>
          <w:tcPr>
            <w:tcW w:w="458" w:type="pct"/>
            <w:shd w:val="clear" w:color="auto" w:fill="BBFDFA" w:themeFill="accent2" w:themeFillTint="33"/>
          </w:tcPr>
          <w:p w14:paraId="28CB7855" w14:textId="77777777" w:rsidR="009A51CB" w:rsidRPr="00C34CF2" w:rsidRDefault="009A51CB">
            <w:pPr>
              <w:cnfStyle w:val="000000000000" w:firstRow="0" w:lastRow="0" w:firstColumn="0" w:lastColumn="0" w:oddVBand="0" w:evenVBand="0" w:oddHBand="0" w:evenHBand="0" w:firstRowFirstColumn="0" w:firstRowLastColumn="0" w:lastRowFirstColumn="0" w:lastRowLastColumn="0"/>
            </w:pPr>
            <w:r w:rsidRPr="00C34CF2">
              <w:t>-1</w:t>
            </w:r>
          </w:p>
        </w:tc>
        <w:tc>
          <w:tcPr>
            <w:tcW w:w="454" w:type="pct"/>
          </w:tcPr>
          <w:p w14:paraId="20D42AD3" w14:textId="77777777" w:rsidR="009A51CB" w:rsidRPr="00C34CF2" w:rsidRDefault="009A51CB">
            <w:pPr>
              <w:cnfStyle w:val="000000000000" w:firstRow="0" w:lastRow="0" w:firstColumn="0" w:lastColumn="0" w:oddVBand="0" w:evenVBand="0" w:oddHBand="0" w:evenHBand="0" w:firstRowFirstColumn="0" w:firstRowLastColumn="0" w:lastRowFirstColumn="0" w:lastRowLastColumn="0"/>
            </w:pPr>
            <w:r w:rsidRPr="00C34CF2">
              <w:t>0</w:t>
            </w:r>
          </w:p>
        </w:tc>
        <w:tc>
          <w:tcPr>
            <w:tcW w:w="455" w:type="pct"/>
            <w:shd w:val="clear" w:color="auto" w:fill="59FFC9" w:themeFill="accent5" w:themeFillShade="BF"/>
          </w:tcPr>
          <w:p w14:paraId="067BA13F" w14:textId="77777777" w:rsidR="009A51CB" w:rsidRPr="00C34CF2" w:rsidRDefault="009A51CB">
            <w:pPr>
              <w:cnfStyle w:val="000000000000" w:firstRow="0" w:lastRow="0" w:firstColumn="0" w:lastColumn="0" w:oddVBand="0" w:evenVBand="0" w:oddHBand="0" w:evenHBand="0" w:firstRowFirstColumn="0" w:firstRowLastColumn="0" w:lastRowFirstColumn="0" w:lastRowLastColumn="0"/>
            </w:pPr>
            <w:r w:rsidRPr="00C34CF2">
              <w:t>1</w:t>
            </w:r>
          </w:p>
        </w:tc>
        <w:tc>
          <w:tcPr>
            <w:tcW w:w="454" w:type="pct"/>
            <w:shd w:val="clear" w:color="auto" w:fill="59FFC9" w:themeFill="accent5" w:themeFillShade="BF"/>
          </w:tcPr>
          <w:p w14:paraId="4FE59107" w14:textId="77777777" w:rsidR="009A51CB" w:rsidRPr="00C34CF2" w:rsidRDefault="009A51CB">
            <w:pPr>
              <w:cnfStyle w:val="000000000000" w:firstRow="0" w:lastRow="0" w:firstColumn="0" w:lastColumn="0" w:oddVBand="0" w:evenVBand="0" w:oddHBand="0" w:evenHBand="0" w:firstRowFirstColumn="0" w:firstRowLastColumn="0" w:lastRowFirstColumn="0" w:lastRowLastColumn="0"/>
            </w:pPr>
            <w:r w:rsidRPr="00C34CF2">
              <w:t>3</w:t>
            </w:r>
          </w:p>
        </w:tc>
        <w:tc>
          <w:tcPr>
            <w:tcW w:w="455" w:type="pct"/>
            <w:shd w:val="clear" w:color="auto" w:fill="59FFC9" w:themeFill="accent5" w:themeFillShade="BF"/>
          </w:tcPr>
          <w:p w14:paraId="34F99AA7" w14:textId="77777777" w:rsidR="009A51CB" w:rsidRPr="00C34CF2" w:rsidRDefault="009A51CB">
            <w:pPr>
              <w:cnfStyle w:val="000000000000" w:firstRow="0" w:lastRow="0" w:firstColumn="0" w:lastColumn="0" w:oddVBand="0" w:evenVBand="0" w:oddHBand="0" w:evenHBand="0" w:firstRowFirstColumn="0" w:firstRowLastColumn="0" w:lastRowFirstColumn="0" w:lastRowLastColumn="0"/>
            </w:pPr>
            <w:r w:rsidRPr="00C34CF2">
              <w:t>5</w:t>
            </w:r>
          </w:p>
        </w:tc>
        <w:tc>
          <w:tcPr>
            <w:tcW w:w="454" w:type="pct"/>
            <w:shd w:val="clear" w:color="auto" w:fill="59FFC9" w:themeFill="accent5" w:themeFillShade="BF"/>
          </w:tcPr>
          <w:p w14:paraId="66AEBBBA" w14:textId="77777777" w:rsidR="009A51CB" w:rsidRPr="00C34CF2" w:rsidRDefault="009A51CB">
            <w:pPr>
              <w:cnfStyle w:val="000000000000" w:firstRow="0" w:lastRow="0" w:firstColumn="0" w:lastColumn="0" w:oddVBand="0" w:evenVBand="0" w:oddHBand="0" w:evenHBand="0" w:firstRowFirstColumn="0" w:firstRowLastColumn="0" w:lastRowFirstColumn="0" w:lastRowLastColumn="0"/>
            </w:pPr>
            <w:r w:rsidRPr="00C34CF2">
              <w:t>7</w:t>
            </w:r>
          </w:p>
        </w:tc>
        <w:tc>
          <w:tcPr>
            <w:tcW w:w="453" w:type="pct"/>
            <w:shd w:val="clear" w:color="auto" w:fill="59FFC9" w:themeFill="accent5" w:themeFillShade="BF"/>
          </w:tcPr>
          <w:p w14:paraId="5864BE36" w14:textId="77777777" w:rsidR="009A51CB" w:rsidRPr="00C34CF2" w:rsidRDefault="009A51CB">
            <w:pPr>
              <w:cnfStyle w:val="000000000000" w:firstRow="0" w:lastRow="0" w:firstColumn="0" w:lastColumn="0" w:oddVBand="0" w:evenVBand="0" w:oddHBand="0" w:evenHBand="0" w:firstRowFirstColumn="0" w:firstRowLastColumn="0" w:lastRowFirstColumn="0" w:lastRowLastColumn="0"/>
            </w:pPr>
            <w:r w:rsidRPr="00C34CF2">
              <w:t>10</w:t>
            </w:r>
          </w:p>
        </w:tc>
      </w:tr>
      <w:tr w:rsidR="009A51CB" w:rsidRPr="00C34CF2" w14:paraId="6BECAB3E" w14:textId="77777777" w:rsidTr="004F6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 w:type="pct"/>
            <w:shd w:val="clear" w:color="auto" w:fill="BBFDFA" w:themeFill="accent2" w:themeFillTint="33"/>
          </w:tcPr>
          <w:p w14:paraId="1A93AA80" w14:textId="77777777" w:rsidR="009A51CB" w:rsidRPr="00C34CF2" w:rsidRDefault="009A51CB">
            <w:pPr>
              <w:rPr>
                <w:b w:val="0"/>
              </w:rPr>
            </w:pPr>
            <w:r w:rsidRPr="00C34CF2">
              <w:rPr>
                <w:b w:val="0"/>
              </w:rPr>
              <w:t>Very high</w:t>
            </w:r>
          </w:p>
        </w:tc>
        <w:tc>
          <w:tcPr>
            <w:tcW w:w="454" w:type="pct"/>
            <w:shd w:val="clear" w:color="auto" w:fill="BBFDFA" w:themeFill="accent2" w:themeFillTint="33"/>
          </w:tcPr>
          <w:p w14:paraId="2E00B8A8" w14:textId="77777777" w:rsidR="009A51CB" w:rsidRPr="00C34CF2" w:rsidRDefault="009A51CB">
            <w:pPr>
              <w:cnfStyle w:val="000000010000" w:firstRow="0" w:lastRow="0" w:firstColumn="0" w:lastColumn="0" w:oddVBand="0" w:evenVBand="0" w:oddHBand="0" w:evenHBand="1" w:firstRowFirstColumn="0" w:firstRowLastColumn="0" w:lastRowFirstColumn="0" w:lastRowLastColumn="0"/>
            </w:pPr>
            <w:r w:rsidRPr="00C34CF2">
              <w:t>High</w:t>
            </w:r>
          </w:p>
        </w:tc>
        <w:tc>
          <w:tcPr>
            <w:tcW w:w="455" w:type="pct"/>
            <w:shd w:val="clear" w:color="auto" w:fill="BBFDFA" w:themeFill="accent2" w:themeFillTint="33"/>
          </w:tcPr>
          <w:p w14:paraId="6CB8DBCC" w14:textId="77777777" w:rsidR="009A51CB" w:rsidRPr="00C34CF2" w:rsidRDefault="009A51CB">
            <w:pPr>
              <w:cnfStyle w:val="000000010000" w:firstRow="0" w:lastRow="0" w:firstColumn="0" w:lastColumn="0" w:oddVBand="0" w:evenVBand="0" w:oddHBand="0" w:evenHBand="1" w:firstRowFirstColumn="0" w:firstRowLastColumn="0" w:lastRowFirstColumn="0" w:lastRowLastColumn="0"/>
            </w:pPr>
            <w:r w:rsidRPr="00C34CF2">
              <w:t>Medium</w:t>
            </w:r>
          </w:p>
        </w:tc>
        <w:tc>
          <w:tcPr>
            <w:tcW w:w="454" w:type="pct"/>
            <w:shd w:val="clear" w:color="auto" w:fill="BBFDFA" w:themeFill="accent2" w:themeFillTint="33"/>
          </w:tcPr>
          <w:p w14:paraId="0AD507FD" w14:textId="77777777" w:rsidR="009A51CB" w:rsidRPr="00C34CF2" w:rsidRDefault="009A51CB">
            <w:pPr>
              <w:cnfStyle w:val="000000010000" w:firstRow="0" w:lastRow="0" w:firstColumn="0" w:lastColumn="0" w:oddVBand="0" w:evenVBand="0" w:oddHBand="0" w:evenHBand="1" w:firstRowFirstColumn="0" w:firstRowLastColumn="0" w:lastRowFirstColumn="0" w:lastRowLastColumn="0"/>
            </w:pPr>
            <w:r w:rsidRPr="00C34CF2">
              <w:t>Low</w:t>
            </w:r>
          </w:p>
        </w:tc>
        <w:tc>
          <w:tcPr>
            <w:tcW w:w="458" w:type="pct"/>
            <w:shd w:val="clear" w:color="auto" w:fill="BBFDFA" w:themeFill="accent2" w:themeFillTint="33"/>
          </w:tcPr>
          <w:p w14:paraId="29A03786" w14:textId="77777777" w:rsidR="009A51CB" w:rsidRPr="00C34CF2" w:rsidRDefault="009A51CB">
            <w:pPr>
              <w:cnfStyle w:val="000000010000" w:firstRow="0" w:lastRow="0" w:firstColumn="0" w:lastColumn="0" w:oddVBand="0" w:evenVBand="0" w:oddHBand="0" w:evenHBand="1" w:firstRowFirstColumn="0" w:firstRowLastColumn="0" w:lastRowFirstColumn="0" w:lastRowLastColumn="0"/>
            </w:pPr>
            <w:r w:rsidRPr="00C34CF2">
              <w:t>Very low</w:t>
            </w:r>
          </w:p>
        </w:tc>
        <w:tc>
          <w:tcPr>
            <w:tcW w:w="454" w:type="pct"/>
          </w:tcPr>
          <w:p w14:paraId="027ED584" w14:textId="77777777" w:rsidR="009A51CB" w:rsidRPr="00C34CF2" w:rsidRDefault="009A51CB">
            <w:pPr>
              <w:cnfStyle w:val="000000010000" w:firstRow="0" w:lastRow="0" w:firstColumn="0" w:lastColumn="0" w:oddVBand="0" w:evenVBand="0" w:oddHBand="0" w:evenHBand="1" w:firstRowFirstColumn="0" w:firstRowLastColumn="0" w:lastRowFirstColumn="0" w:lastRowLastColumn="0"/>
            </w:pPr>
            <w:r w:rsidRPr="00C34CF2">
              <w:t>Nil</w:t>
            </w:r>
          </w:p>
        </w:tc>
        <w:tc>
          <w:tcPr>
            <w:tcW w:w="455" w:type="pct"/>
            <w:shd w:val="clear" w:color="auto" w:fill="59FFC9" w:themeFill="accent5" w:themeFillShade="BF"/>
          </w:tcPr>
          <w:p w14:paraId="56D1E784" w14:textId="77777777" w:rsidR="009A51CB" w:rsidRPr="00C34CF2" w:rsidRDefault="009A51CB">
            <w:pPr>
              <w:cnfStyle w:val="000000010000" w:firstRow="0" w:lastRow="0" w:firstColumn="0" w:lastColumn="0" w:oddVBand="0" w:evenVBand="0" w:oddHBand="0" w:evenHBand="1" w:firstRowFirstColumn="0" w:firstRowLastColumn="0" w:lastRowFirstColumn="0" w:lastRowLastColumn="0"/>
            </w:pPr>
            <w:r w:rsidRPr="00C34CF2">
              <w:t>Very low</w:t>
            </w:r>
          </w:p>
        </w:tc>
        <w:tc>
          <w:tcPr>
            <w:tcW w:w="454" w:type="pct"/>
            <w:shd w:val="clear" w:color="auto" w:fill="59FFC9" w:themeFill="accent5" w:themeFillShade="BF"/>
          </w:tcPr>
          <w:p w14:paraId="4DABA67F" w14:textId="77777777" w:rsidR="009A51CB" w:rsidRPr="00C34CF2" w:rsidRDefault="009A51CB">
            <w:pPr>
              <w:cnfStyle w:val="000000010000" w:firstRow="0" w:lastRow="0" w:firstColumn="0" w:lastColumn="0" w:oddVBand="0" w:evenVBand="0" w:oddHBand="0" w:evenHBand="1" w:firstRowFirstColumn="0" w:firstRowLastColumn="0" w:lastRowFirstColumn="0" w:lastRowLastColumn="0"/>
            </w:pPr>
            <w:r w:rsidRPr="00C34CF2">
              <w:t>Low</w:t>
            </w:r>
          </w:p>
        </w:tc>
        <w:tc>
          <w:tcPr>
            <w:tcW w:w="455" w:type="pct"/>
            <w:shd w:val="clear" w:color="auto" w:fill="59FFC9" w:themeFill="accent5" w:themeFillShade="BF"/>
          </w:tcPr>
          <w:p w14:paraId="4D1F2410" w14:textId="77777777" w:rsidR="009A51CB" w:rsidRPr="00C34CF2" w:rsidRDefault="009A51CB">
            <w:pPr>
              <w:cnfStyle w:val="000000010000" w:firstRow="0" w:lastRow="0" w:firstColumn="0" w:lastColumn="0" w:oddVBand="0" w:evenVBand="0" w:oddHBand="0" w:evenHBand="1" w:firstRowFirstColumn="0" w:firstRowLastColumn="0" w:lastRowFirstColumn="0" w:lastRowLastColumn="0"/>
            </w:pPr>
            <w:r w:rsidRPr="00C34CF2">
              <w:t>Medium</w:t>
            </w:r>
          </w:p>
        </w:tc>
        <w:tc>
          <w:tcPr>
            <w:tcW w:w="454" w:type="pct"/>
            <w:shd w:val="clear" w:color="auto" w:fill="59FFC9" w:themeFill="accent5" w:themeFillShade="BF"/>
          </w:tcPr>
          <w:p w14:paraId="3EB7500E" w14:textId="77777777" w:rsidR="009A51CB" w:rsidRPr="00C34CF2" w:rsidRDefault="009A51CB">
            <w:pPr>
              <w:cnfStyle w:val="000000010000" w:firstRow="0" w:lastRow="0" w:firstColumn="0" w:lastColumn="0" w:oddVBand="0" w:evenVBand="0" w:oddHBand="0" w:evenHBand="1" w:firstRowFirstColumn="0" w:firstRowLastColumn="0" w:lastRowFirstColumn="0" w:lastRowLastColumn="0"/>
            </w:pPr>
            <w:r w:rsidRPr="00C34CF2">
              <w:t>High</w:t>
            </w:r>
          </w:p>
        </w:tc>
        <w:tc>
          <w:tcPr>
            <w:tcW w:w="453" w:type="pct"/>
            <w:shd w:val="clear" w:color="auto" w:fill="59FFC9" w:themeFill="accent5" w:themeFillShade="BF"/>
          </w:tcPr>
          <w:p w14:paraId="1987058D" w14:textId="77777777" w:rsidR="009A51CB" w:rsidRPr="00C34CF2" w:rsidRDefault="009A51CB">
            <w:pPr>
              <w:cnfStyle w:val="000000010000" w:firstRow="0" w:lastRow="0" w:firstColumn="0" w:lastColumn="0" w:oddVBand="0" w:evenVBand="0" w:oddHBand="0" w:evenHBand="1" w:firstRowFirstColumn="0" w:firstRowLastColumn="0" w:lastRowFirstColumn="0" w:lastRowLastColumn="0"/>
            </w:pPr>
            <w:r w:rsidRPr="00C34CF2">
              <w:t>Very High</w:t>
            </w:r>
          </w:p>
        </w:tc>
      </w:tr>
    </w:tbl>
    <w:p w14:paraId="4B687FA7" w14:textId="7334863D" w:rsidR="00555BF9" w:rsidRDefault="004F6D01" w:rsidP="00356347">
      <w:r w:rsidRPr="001A5D5E">
        <w:t xml:space="preserve">Using the MCA criteria and weightings outlined above, the Department has </w:t>
      </w:r>
      <w:r w:rsidR="00FD19AD">
        <w:t>calculated</w:t>
      </w:r>
      <w:r w:rsidRPr="001A5D5E">
        <w:t xml:space="preserve"> </w:t>
      </w:r>
      <w:r>
        <w:t>an overall</w:t>
      </w:r>
      <w:r w:rsidRPr="001A5D5E">
        <w:t xml:space="preserve"> scor</w:t>
      </w:r>
      <w:r>
        <w:t xml:space="preserve">e of </w:t>
      </w:r>
      <w:r w:rsidR="002F7607">
        <w:t>2</w:t>
      </w:r>
      <w:r>
        <w:t>.</w:t>
      </w:r>
      <w:r w:rsidR="002F7607">
        <w:t>1</w:t>
      </w:r>
      <w:r>
        <w:t>5</w:t>
      </w:r>
      <w:r w:rsidRPr="001A5D5E">
        <w:t xml:space="preserve"> for </w:t>
      </w:r>
      <w:r w:rsidRPr="001A5D5E">
        <w:rPr>
          <w:b/>
        </w:rPr>
        <w:t>Option 1</w:t>
      </w:r>
      <w:r w:rsidRPr="001A5D5E">
        <w:t>.</w:t>
      </w:r>
    </w:p>
    <w:p w14:paraId="410ECE18" w14:textId="77777777" w:rsidR="00555BF9" w:rsidRDefault="00555BF9">
      <w:r>
        <w:br w:type="page"/>
      </w:r>
    </w:p>
    <w:p w14:paraId="2D58464E" w14:textId="226CEABB" w:rsidR="00356347" w:rsidRPr="001A5D5E" w:rsidRDefault="00ED2D4F" w:rsidP="00CC1413">
      <w:pPr>
        <w:pStyle w:val="Caption"/>
      </w:pPr>
      <w:r>
        <w:lastRenderedPageBreak/>
        <w:t>Summary of assessment</w:t>
      </w:r>
    </w:p>
    <w:tbl>
      <w:tblPr>
        <w:tblStyle w:val="TableGrid"/>
        <w:tblW w:w="5000" w:type="pct"/>
        <w:tblLook w:val="04A0" w:firstRow="1" w:lastRow="0" w:firstColumn="1" w:lastColumn="0" w:noHBand="0" w:noVBand="1"/>
      </w:tblPr>
      <w:tblGrid>
        <w:gridCol w:w="7394"/>
        <w:gridCol w:w="1590"/>
        <w:gridCol w:w="1788"/>
      </w:tblGrid>
      <w:tr w:rsidR="00356347" w:rsidRPr="00DD68C0" w14:paraId="1F2DEBC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2" w:type="pct"/>
          </w:tcPr>
          <w:p w14:paraId="2E8DE080" w14:textId="77777777" w:rsidR="00356347" w:rsidRPr="00DD68C0" w:rsidRDefault="00356347"/>
        </w:tc>
        <w:tc>
          <w:tcPr>
            <w:tcW w:w="1568" w:type="pct"/>
            <w:gridSpan w:val="2"/>
          </w:tcPr>
          <w:p w14:paraId="13EA50E4" w14:textId="77777777" w:rsidR="00356347" w:rsidRPr="00DD68C0" w:rsidRDefault="00356347">
            <w:pPr>
              <w:cnfStyle w:val="100000000000" w:firstRow="1" w:lastRow="0" w:firstColumn="0" w:lastColumn="0" w:oddVBand="0" w:evenVBand="0" w:oddHBand="0" w:evenHBand="0" w:firstRowFirstColumn="0" w:firstRowLastColumn="0" w:lastRowFirstColumn="0" w:lastRowLastColumn="0"/>
            </w:pPr>
            <w:r w:rsidRPr="00DD68C0">
              <w:t>Option 1</w:t>
            </w:r>
          </w:p>
        </w:tc>
      </w:tr>
      <w:tr w:rsidR="00356347" w:rsidRPr="00DD68C0" w14:paraId="6F18A3D4" w14:textId="77777777">
        <w:tc>
          <w:tcPr>
            <w:cnfStyle w:val="001000000000" w:firstRow="0" w:lastRow="0" w:firstColumn="1" w:lastColumn="0" w:oddVBand="0" w:evenVBand="0" w:oddHBand="0" w:evenHBand="0" w:firstRowFirstColumn="0" w:firstRowLastColumn="0" w:lastRowFirstColumn="0" w:lastRowLastColumn="0"/>
            <w:tcW w:w="3432" w:type="pct"/>
          </w:tcPr>
          <w:p w14:paraId="3FBA3C68" w14:textId="77777777" w:rsidR="00356347" w:rsidRPr="00DD68C0" w:rsidRDefault="00356347">
            <w:pPr>
              <w:rPr>
                <w:rFonts w:ascii="VIC" w:hAnsi="VIC"/>
              </w:rPr>
            </w:pPr>
            <w:r w:rsidRPr="00DD68C0">
              <w:rPr>
                <w:rFonts w:ascii="VIC" w:hAnsi="VIC"/>
              </w:rPr>
              <w:t>Criteria</w:t>
            </w:r>
          </w:p>
        </w:tc>
        <w:tc>
          <w:tcPr>
            <w:tcW w:w="738" w:type="pct"/>
          </w:tcPr>
          <w:p w14:paraId="66AC2DD5" w14:textId="77777777" w:rsidR="00356347" w:rsidRPr="00DD68C0"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DD68C0">
              <w:rPr>
                <w:rFonts w:ascii="VIC" w:hAnsi="VIC"/>
              </w:rPr>
              <w:t>Raw</w:t>
            </w:r>
          </w:p>
        </w:tc>
        <w:tc>
          <w:tcPr>
            <w:tcW w:w="830" w:type="pct"/>
          </w:tcPr>
          <w:p w14:paraId="76672C3A" w14:textId="77777777" w:rsidR="00356347" w:rsidRPr="00DD68C0"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DD68C0">
              <w:rPr>
                <w:rFonts w:ascii="VIC" w:hAnsi="VIC"/>
              </w:rPr>
              <w:t>Weighted</w:t>
            </w:r>
          </w:p>
        </w:tc>
      </w:tr>
      <w:tr w:rsidR="00356347" w:rsidRPr="00DD68C0" w14:paraId="4B59A87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2" w:type="pct"/>
          </w:tcPr>
          <w:p w14:paraId="1F51F879" w14:textId="77777777" w:rsidR="00356347" w:rsidRPr="00DD68C0" w:rsidRDefault="00356347">
            <w:pPr>
              <w:rPr>
                <w:rFonts w:ascii="VIC" w:hAnsi="VIC"/>
              </w:rPr>
            </w:pPr>
            <w:r w:rsidRPr="00DD68C0">
              <w:rPr>
                <w:rFonts w:ascii="VIC" w:hAnsi="VIC"/>
              </w:rPr>
              <w:t xml:space="preserve">Protection of roads </w:t>
            </w:r>
            <w:r w:rsidRPr="00DD68C0">
              <w:rPr>
                <w:rFonts w:ascii="VIC" w:hAnsi="VIC"/>
                <w:b w:val="0"/>
              </w:rPr>
              <w:t>(20% weighting)</w:t>
            </w:r>
          </w:p>
        </w:tc>
        <w:tc>
          <w:tcPr>
            <w:tcW w:w="738" w:type="pct"/>
          </w:tcPr>
          <w:p w14:paraId="26B6088F" w14:textId="5C64AC34" w:rsidR="00356347" w:rsidRPr="00DD68C0" w:rsidRDefault="00DB17EA">
            <w:pPr>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5</w:t>
            </w:r>
          </w:p>
        </w:tc>
        <w:tc>
          <w:tcPr>
            <w:tcW w:w="830" w:type="pct"/>
          </w:tcPr>
          <w:p w14:paraId="30731E2E" w14:textId="1D2F2202" w:rsidR="00356347" w:rsidRPr="00DD68C0"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DD68C0">
              <w:rPr>
                <w:rFonts w:ascii="VIC" w:hAnsi="VIC"/>
              </w:rPr>
              <w:t>1</w:t>
            </w:r>
          </w:p>
        </w:tc>
      </w:tr>
      <w:tr w:rsidR="00356347" w:rsidRPr="00DD68C0" w14:paraId="1E842000" w14:textId="77777777">
        <w:tc>
          <w:tcPr>
            <w:cnfStyle w:val="001000000000" w:firstRow="0" w:lastRow="0" w:firstColumn="1" w:lastColumn="0" w:oddVBand="0" w:evenVBand="0" w:oddHBand="0" w:evenHBand="0" w:firstRowFirstColumn="0" w:firstRowLastColumn="0" w:lastRowFirstColumn="0" w:lastRowLastColumn="0"/>
            <w:tcW w:w="3432" w:type="pct"/>
          </w:tcPr>
          <w:p w14:paraId="49A0002B" w14:textId="77777777" w:rsidR="00356347" w:rsidRPr="00DD68C0" w:rsidRDefault="00356347">
            <w:pPr>
              <w:rPr>
                <w:rFonts w:ascii="VIC" w:hAnsi="VIC"/>
                <w:b w:val="0"/>
              </w:rPr>
            </w:pPr>
            <w:r w:rsidRPr="00DD68C0">
              <w:rPr>
                <w:rFonts w:ascii="VIC" w:hAnsi="VIC"/>
              </w:rPr>
              <w:t xml:space="preserve">Management of roads </w:t>
            </w:r>
            <w:r w:rsidRPr="00DD68C0">
              <w:rPr>
                <w:rFonts w:ascii="VIC" w:hAnsi="VIC"/>
                <w:b w:val="0"/>
              </w:rPr>
              <w:t>(20% weighting)</w:t>
            </w:r>
          </w:p>
        </w:tc>
        <w:tc>
          <w:tcPr>
            <w:tcW w:w="738" w:type="pct"/>
          </w:tcPr>
          <w:p w14:paraId="1A335AE6" w14:textId="77777777" w:rsidR="00356347" w:rsidRPr="00DD68C0"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DD68C0">
              <w:rPr>
                <w:rFonts w:ascii="VIC" w:hAnsi="VIC"/>
              </w:rPr>
              <w:t>8</w:t>
            </w:r>
          </w:p>
        </w:tc>
        <w:tc>
          <w:tcPr>
            <w:tcW w:w="830" w:type="pct"/>
          </w:tcPr>
          <w:p w14:paraId="3F32E4E6" w14:textId="77777777" w:rsidR="00356347" w:rsidRPr="00DD68C0"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DD68C0">
              <w:rPr>
                <w:rFonts w:ascii="VIC" w:hAnsi="VIC"/>
              </w:rPr>
              <w:t>1.6</w:t>
            </w:r>
          </w:p>
        </w:tc>
      </w:tr>
      <w:tr w:rsidR="00356347" w:rsidRPr="00DD68C0" w14:paraId="2F25E69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2" w:type="pct"/>
          </w:tcPr>
          <w:p w14:paraId="4DCC6EAD" w14:textId="77777777" w:rsidR="00356347" w:rsidRPr="00DD68C0" w:rsidRDefault="00356347">
            <w:pPr>
              <w:rPr>
                <w:rFonts w:ascii="VIC" w:hAnsi="VIC"/>
              </w:rPr>
            </w:pPr>
            <w:r w:rsidRPr="00DD68C0">
              <w:rPr>
                <w:rFonts w:ascii="VIC" w:hAnsi="VIC"/>
              </w:rPr>
              <w:t xml:space="preserve">Maintenance of roads </w:t>
            </w:r>
            <w:r w:rsidRPr="00DD68C0">
              <w:rPr>
                <w:rFonts w:ascii="VIC" w:hAnsi="VIC"/>
                <w:b w:val="0"/>
              </w:rPr>
              <w:t>(5% weighted)</w:t>
            </w:r>
          </w:p>
        </w:tc>
        <w:tc>
          <w:tcPr>
            <w:tcW w:w="738" w:type="pct"/>
          </w:tcPr>
          <w:p w14:paraId="36BEB20C" w14:textId="34385568" w:rsidR="00356347" w:rsidRPr="00DD68C0" w:rsidRDefault="00DB17EA">
            <w:pPr>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6</w:t>
            </w:r>
          </w:p>
        </w:tc>
        <w:tc>
          <w:tcPr>
            <w:tcW w:w="830" w:type="pct"/>
          </w:tcPr>
          <w:p w14:paraId="4CC14FF9" w14:textId="703156D6" w:rsidR="00356347" w:rsidRPr="00DD68C0" w:rsidRDefault="009566A4">
            <w:pPr>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0.</w:t>
            </w:r>
            <w:r w:rsidR="002F7607">
              <w:rPr>
                <w:rFonts w:ascii="VIC" w:hAnsi="VIC"/>
              </w:rPr>
              <w:t>3</w:t>
            </w:r>
          </w:p>
        </w:tc>
      </w:tr>
      <w:tr w:rsidR="00356347" w:rsidRPr="00DD68C0" w14:paraId="7FAFDF7F" w14:textId="77777777">
        <w:tc>
          <w:tcPr>
            <w:cnfStyle w:val="001000000000" w:firstRow="0" w:lastRow="0" w:firstColumn="1" w:lastColumn="0" w:oddVBand="0" w:evenVBand="0" w:oddHBand="0" w:evenHBand="0" w:firstRowFirstColumn="0" w:firstRowLastColumn="0" w:lastRowFirstColumn="0" w:lastRowLastColumn="0"/>
            <w:tcW w:w="3432" w:type="pct"/>
          </w:tcPr>
          <w:p w14:paraId="5C0BEE3E" w14:textId="77777777" w:rsidR="00356347" w:rsidRPr="00DD68C0" w:rsidRDefault="00356347">
            <w:pPr>
              <w:rPr>
                <w:rFonts w:ascii="VIC" w:hAnsi="VIC"/>
              </w:rPr>
            </w:pPr>
            <w:r w:rsidRPr="00DD68C0">
              <w:rPr>
                <w:rFonts w:ascii="VIC" w:hAnsi="VIC"/>
              </w:rPr>
              <w:t xml:space="preserve">Safety </w:t>
            </w:r>
            <w:r w:rsidRPr="00DD68C0">
              <w:rPr>
                <w:rFonts w:ascii="VIC" w:hAnsi="VIC"/>
                <w:b w:val="0"/>
              </w:rPr>
              <w:t>(5% weighted)</w:t>
            </w:r>
          </w:p>
        </w:tc>
        <w:tc>
          <w:tcPr>
            <w:tcW w:w="738" w:type="pct"/>
          </w:tcPr>
          <w:p w14:paraId="50BFB3FD" w14:textId="2FDD4AB3" w:rsidR="00356347" w:rsidRPr="00DD68C0" w:rsidRDefault="00DB17EA">
            <w:pPr>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5</w:t>
            </w:r>
          </w:p>
        </w:tc>
        <w:tc>
          <w:tcPr>
            <w:tcW w:w="830" w:type="pct"/>
          </w:tcPr>
          <w:p w14:paraId="6568C73A" w14:textId="578791B6" w:rsidR="00356347" w:rsidRPr="00DD68C0" w:rsidRDefault="00FA19FC">
            <w:pPr>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0</w:t>
            </w:r>
            <w:r w:rsidR="00356347" w:rsidRPr="00DD68C0">
              <w:rPr>
                <w:rFonts w:ascii="VIC" w:hAnsi="VIC"/>
              </w:rPr>
              <w:t>.</w:t>
            </w:r>
            <w:r w:rsidR="002F7607">
              <w:rPr>
                <w:rFonts w:ascii="VIC" w:hAnsi="VIC"/>
              </w:rPr>
              <w:t>2</w:t>
            </w:r>
            <w:r w:rsidR="00356347" w:rsidRPr="00DD68C0">
              <w:rPr>
                <w:rFonts w:ascii="VIC" w:hAnsi="VIC"/>
              </w:rPr>
              <w:t>5</w:t>
            </w:r>
          </w:p>
        </w:tc>
      </w:tr>
      <w:tr w:rsidR="00356347" w:rsidRPr="00DD68C0" w14:paraId="548B33E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2" w:type="pct"/>
          </w:tcPr>
          <w:p w14:paraId="191E0CC4" w14:textId="77777777" w:rsidR="00356347" w:rsidRPr="00DD68C0" w:rsidRDefault="00356347">
            <w:pPr>
              <w:rPr>
                <w:rFonts w:ascii="VIC" w:hAnsi="VIC"/>
                <w:b w:val="0"/>
              </w:rPr>
            </w:pPr>
            <w:r w:rsidRPr="00DD68C0">
              <w:rPr>
                <w:rFonts w:ascii="VIC" w:hAnsi="VIC"/>
              </w:rPr>
              <w:t>Costs – entities carrying out works</w:t>
            </w:r>
            <w:r w:rsidRPr="00DD68C0">
              <w:rPr>
                <w:rFonts w:ascii="VIC" w:hAnsi="VIC"/>
                <w:b w:val="0"/>
              </w:rPr>
              <w:t xml:space="preserve"> (25% weighting)</w:t>
            </w:r>
          </w:p>
        </w:tc>
        <w:tc>
          <w:tcPr>
            <w:tcW w:w="738" w:type="pct"/>
          </w:tcPr>
          <w:p w14:paraId="30DC77F9" w14:textId="06EDE769" w:rsidR="00356347" w:rsidRPr="00DD68C0" w:rsidRDefault="00DB17EA">
            <w:pPr>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-3</w:t>
            </w:r>
          </w:p>
        </w:tc>
        <w:tc>
          <w:tcPr>
            <w:tcW w:w="830" w:type="pct"/>
          </w:tcPr>
          <w:p w14:paraId="14F34AD9" w14:textId="19BE5DA5" w:rsidR="00356347" w:rsidRPr="00DD68C0" w:rsidRDefault="00AD3A06">
            <w:pPr>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-0</w:t>
            </w:r>
            <w:r w:rsidR="00356347" w:rsidRPr="00DD68C0">
              <w:rPr>
                <w:rFonts w:ascii="VIC" w:hAnsi="VIC"/>
              </w:rPr>
              <w:t>.</w:t>
            </w:r>
            <w:r>
              <w:rPr>
                <w:rFonts w:ascii="VIC" w:hAnsi="VIC"/>
              </w:rPr>
              <w:t>7</w:t>
            </w:r>
            <w:r w:rsidR="00356347" w:rsidRPr="00DD68C0">
              <w:rPr>
                <w:rFonts w:ascii="VIC" w:hAnsi="VIC"/>
              </w:rPr>
              <w:t>5</w:t>
            </w:r>
          </w:p>
        </w:tc>
      </w:tr>
      <w:tr w:rsidR="00356347" w:rsidRPr="00DD68C0" w14:paraId="51BD2A43" w14:textId="77777777">
        <w:tc>
          <w:tcPr>
            <w:cnfStyle w:val="001000000000" w:firstRow="0" w:lastRow="0" w:firstColumn="1" w:lastColumn="0" w:oddVBand="0" w:evenVBand="0" w:oddHBand="0" w:evenHBand="0" w:firstRowFirstColumn="0" w:firstRowLastColumn="0" w:lastRowFirstColumn="0" w:lastRowLastColumn="0"/>
            <w:tcW w:w="3432" w:type="pct"/>
          </w:tcPr>
          <w:p w14:paraId="7B542E23" w14:textId="77777777" w:rsidR="00356347" w:rsidRPr="00DD68C0" w:rsidRDefault="00356347">
            <w:pPr>
              <w:rPr>
                <w:rFonts w:ascii="VIC" w:hAnsi="VIC"/>
              </w:rPr>
            </w:pPr>
            <w:r w:rsidRPr="00DD68C0">
              <w:rPr>
                <w:rFonts w:ascii="VIC" w:hAnsi="VIC"/>
              </w:rPr>
              <w:t xml:space="preserve">Costs – road authorities </w:t>
            </w:r>
            <w:r w:rsidRPr="00DD68C0">
              <w:rPr>
                <w:rFonts w:ascii="VIC" w:hAnsi="VIC"/>
                <w:b w:val="0"/>
              </w:rPr>
              <w:t>(15% weighting)</w:t>
            </w:r>
          </w:p>
        </w:tc>
        <w:tc>
          <w:tcPr>
            <w:tcW w:w="738" w:type="pct"/>
          </w:tcPr>
          <w:p w14:paraId="677AFE82" w14:textId="371B3C1D" w:rsidR="00356347" w:rsidRPr="00DD68C0" w:rsidRDefault="00DB17EA">
            <w:pPr>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-1</w:t>
            </w:r>
          </w:p>
        </w:tc>
        <w:tc>
          <w:tcPr>
            <w:tcW w:w="830" w:type="pct"/>
          </w:tcPr>
          <w:p w14:paraId="74829C90" w14:textId="1F1BB594" w:rsidR="00356347" w:rsidRPr="00DD68C0" w:rsidRDefault="00EC709B">
            <w:pPr>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-0</w:t>
            </w:r>
            <w:r w:rsidR="00356347" w:rsidRPr="00DD68C0">
              <w:rPr>
                <w:rFonts w:ascii="VIC" w:hAnsi="VIC"/>
              </w:rPr>
              <w:t>.</w:t>
            </w:r>
            <w:r>
              <w:rPr>
                <w:rFonts w:ascii="VIC" w:hAnsi="VIC"/>
              </w:rPr>
              <w:t>1</w:t>
            </w:r>
            <w:r w:rsidR="00356347" w:rsidRPr="00DD68C0">
              <w:rPr>
                <w:rFonts w:ascii="VIC" w:hAnsi="VIC"/>
              </w:rPr>
              <w:t>5</w:t>
            </w:r>
          </w:p>
        </w:tc>
      </w:tr>
      <w:tr w:rsidR="00356347" w:rsidRPr="00DD68C0" w14:paraId="0949DA4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2" w:type="pct"/>
          </w:tcPr>
          <w:p w14:paraId="610B202F" w14:textId="77777777" w:rsidR="00356347" w:rsidRPr="00DD68C0" w:rsidRDefault="00356347">
            <w:pPr>
              <w:rPr>
                <w:rFonts w:ascii="VIC" w:hAnsi="VIC"/>
              </w:rPr>
            </w:pPr>
            <w:r w:rsidRPr="00DD68C0">
              <w:rPr>
                <w:rFonts w:ascii="VIC" w:hAnsi="VIC"/>
              </w:rPr>
              <w:t xml:space="preserve">Costs – road users </w:t>
            </w:r>
            <w:r w:rsidRPr="00DD68C0">
              <w:rPr>
                <w:rFonts w:ascii="VIC" w:hAnsi="VIC"/>
                <w:b w:val="0"/>
              </w:rPr>
              <w:t>(10% weighting)</w:t>
            </w:r>
          </w:p>
        </w:tc>
        <w:tc>
          <w:tcPr>
            <w:tcW w:w="738" w:type="pct"/>
          </w:tcPr>
          <w:p w14:paraId="02DE8EBC" w14:textId="0511B31B" w:rsidR="00356347" w:rsidRPr="00DD68C0" w:rsidRDefault="00DB17EA">
            <w:pPr>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-1</w:t>
            </w:r>
          </w:p>
        </w:tc>
        <w:tc>
          <w:tcPr>
            <w:tcW w:w="830" w:type="pct"/>
          </w:tcPr>
          <w:p w14:paraId="2F1665BD" w14:textId="1310B91A" w:rsidR="00356347" w:rsidRPr="00DD68C0" w:rsidRDefault="00EC709B">
            <w:pPr>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w:t>
            </w:r>
            <w:r w:rsidR="00FA19FC">
              <w:rPr>
                <w:rFonts w:ascii="VIC" w:hAnsi="VIC"/>
              </w:rPr>
              <w:t>0</w:t>
            </w:r>
            <w:r w:rsidR="00356347" w:rsidRPr="00DD68C0">
              <w:rPr>
                <w:rFonts w:ascii="VIC" w:hAnsi="VIC"/>
              </w:rPr>
              <w:t>.</w:t>
            </w:r>
            <w:r>
              <w:rPr>
                <w:rFonts w:ascii="VIC" w:hAnsi="VIC"/>
              </w:rPr>
              <w:t>1</w:t>
            </w:r>
          </w:p>
        </w:tc>
      </w:tr>
      <w:tr w:rsidR="00356347" w:rsidRPr="00DD68C0" w14:paraId="35438574" w14:textId="77777777">
        <w:tc>
          <w:tcPr>
            <w:cnfStyle w:val="001000000000" w:firstRow="0" w:lastRow="0" w:firstColumn="1" w:lastColumn="0" w:oddVBand="0" w:evenVBand="0" w:oddHBand="0" w:evenHBand="0" w:firstRowFirstColumn="0" w:firstRowLastColumn="0" w:lastRowFirstColumn="0" w:lastRowLastColumn="0"/>
            <w:tcW w:w="3432" w:type="pct"/>
          </w:tcPr>
          <w:p w14:paraId="7147C5BC" w14:textId="77777777" w:rsidR="00356347" w:rsidRPr="00DD68C0" w:rsidRDefault="00356347">
            <w:pPr>
              <w:rPr>
                <w:rFonts w:ascii="VIC" w:hAnsi="VIC"/>
              </w:rPr>
            </w:pPr>
            <w:r w:rsidRPr="00DD68C0">
              <w:rPr>
                <w:rFonts w:ascii="VIC" w:hAnsi="VIC"/>
              </w:rPr>
              <w:t>Total</w:t>
            </w:r>
          </w:p>
        </w:tc>
        <w:tc>
          <w:tcPr>
            <w:tcW w:w="738" w:type="pct"/>
          </w:tcPr>
          <w:p w14:paraId="6979A55F" w14:textId="0399C6F5" w:rsidR="00356347" w:rsidRPr="00DD68C0" w:rsidRDefault="00DB17EA">
            <w:pPr>
              <w:cnfStyle w:val="000000000000" w:firstRow="0" w:lastRow="0" w:firstColumn="0" w:lastColumn="0" w:oddVBand="0" w:evenVBand="0" w:oddHBand="0" w:evenHBand="0" w:firstRowFirstColumn="0" w:firstRowLastColumn="0" w:lastRowFirstColumn="0" w:lastRowLastColumn="0"/>
              <w:rPr>
                <w:rFonts w:ascii="VIC" w:hAnsi="VIC"/>
                <w:b/>
              </w:rPr>
            </w:pPr>
            <w:r>
              <w:rPr>
                <w:rFonts w:ascii="VIC" w:hAnsi="VIC"/>
                <w:b/>
              </w:rPr>
              <w:t>19</w:t>
            </w:r>
          </w:p>
        </w:tc>
        <w:tc>
          <w:tcPr>
            <w:tcW w:w="830" w:type="pct"/>
          </w:tcPr>
          <w:p w14:paraId="7ACA12E3" w14:textId="661DFF56" w:rsidR="00356347" w:rsidRPr="00DD68C0" w:rsidRDefault="00EC709B">
            <w:pPr>
              <w:cnfStyle w:val="000000000000" w:firstRow="0" w:lastRow="0" w:firstColumn="0" w:lastColumn="0" w:oddVBand="0" w:evenVBand="0" w:oddHBand="0" w:evenHBand="0" w:firstRowFirstColumn="0" w:firstRowLastColumn="0" w:lastRowFirstColumn="0" w:lastRowLastColumn="0"/>
              <w:rPr>
                <w:rFonts w:ascii="VIC" w:hAnsi="VIC"/>
                <w:b/>
              </w:rPr>
            </w:pPr>
            <w:r>
              <w:rPr>
                <w:rFonts w:ascii="VIC" w:hAnsi="VIC"/>
                <w:b/>
              </w:rPr>
              <w:t>2</w:t>
            </w:r>
            <w:r w:rsidR="00356347" w:rsidRPr="00DD68C0">
              <w:rPr>
                <w:rFonts w:ascii="VIC" w:hAnsi="VIC"/>
                <w:b/>
              </w:rPr>
              <w:t>.</w:t>
            </w:r>
            <w:r>
              <w:rPr>
                <w:rFonts w:ascii="VIC" w:hAnsi="VIC"/>
                <w:b/>
              </w:rPr>
              <w:t>1</w:t>
            </w:r>
            <w:r w:rsidR="00356347" w:rsidRPr="00DD68C0">
              <w:rPr>
                <w:rFonts w:ascii="VIC" w:hAnsi="VIC"/>
                <w:b/>
              </w:rPr>
              <w:t>5</w:t>
            </w:r>
          </w:p>
        </w:tc>
      </w:tr>
    </w:tbl>
    <w:p w14:paraId="3CACDAE9" w14:textId="171D0718" w:rsidR="004F7412" w:rsidRDefault="00B02317" w:rsidP="009F24ED">
      <w:pPr>
        <w:spacing w:before="240"/>
        <w:rPr>
          <w:b/>
          <w:bCs/>
          <w:sz w:val="24"/>
          <w:szCs w:val="24"/>
        </w:rPr>
      </w:pPr>
      <w:r>
        <w:rPr>
          <w:b/>
          <w:bCs/>
          <w:sz w:val="24"/>
          <w:szCs w:val="24"/>
        </w:rPr>
        <w:t>O</w:t>
      </w:r>
      <w:r w:rsidR="0080046B" w:rsidRPr="009F24ED">
        <w:rPr>
          <w:b/>
          <w:bCs/>
          <w:sz w:val="24"/>
          <w:szCs w:val="24"/>
        </w:rPr>
        <w:t>ptions analysis</w:t>
      </w:r>
      <w:r>
        <w:rPr>
          <w:b/>
          <w:bCs/>
          <w:sz w:val="24"/>
          <w:szCs w:val="24"/>
        </w:rPr>
        <w:t xml:space="preserve"> (fees)</w:t>
      </w:r>
    </w:p>
    <w:p w14:paraId="2F33FE9E" w14:textId="1BE3DF62" w:rsidR="008318B9" w:rsidRPr="00DD7DFB" w:rsidRDefault="008318B9" w:rsidP="008318B9">
      <w:pPr>
        <w:keepNext/>
      </w:pPr>
      <w:r>
        <w:t>The following tables outline the criteria, and their relevant weightings, and the scoring framework that the Department proposes to use to assess the feasible options identified for the recovery</w:t>
      </w:r>
      <w:r w:rsidR="00BA0A2C">
        <w:t xml:space="preserve"> of regulatory costs</w:t>
      </w:r>
      <w:r>
        <w:t>.</w:t>
      </w:r>
    </w:p>
    <w:p w14:paraId="54F3EF95" w14:textId="77777777" w:rsidR="00356347" w:rsidRPr="00F03AAE" w:rsidRDefault="00356347" w:rsidP="00356347">
      <w:pPr>
        <w:pStyle w:val="Caption"/>
      </w:pPr>
      <w:r w:rsidRPr="00F03AAE">
        <w:t>MCA framework criteria and weightings for fees</w:t>
      </w:r>
    </w:p>
    <w:tbl>
      <w:tblPr>
        <w:tblStyle w:val="TableGrid"/>
        <w:tblW w:w="5000" w:type="pct"/>
        <w:tblLook w:val="04A0" w:firstRow="1" w:lastRow="0" w:firstColumn="1" w:lastColumn="0" w:noHBand="0" w:noVBand="1"/>
      </w:tblPr>
      <w:tblGrid>
        <w:gridCol w:w="1560"/>
        <w:gridCol w:w="7939"/>
        <w:gridCol w:w="1273"/>
      </w:tblGrid>
      <w:tr w:rsidR="00356347" w:rsidRPr="00F03AAE" w14:paraId="09CE345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 w:type="pct"/>
          </w:tcPr>
          <w:p w14:paraId="2D3B1427" w14:textId="77777777" w:rsidR="00356347" w:rsidRPr="00F03AAE" w:rsidRDefault="00356347">
            <w:r w:rsidRPr="00F03AAE">
              <w:t>Criterion</w:t>
            </w:r>
          </w:p>
        </w:tc>
        <w:tc>
          <w:tcPr>
            <w:tcW w:w="3685" w:type="pct"/>
          </w:tcPr>
          <w:p w14:paraId="4E80DAA8" w14:textId="77777777" w:rsidR="00356347" w:rsidRPr="00F03AAE" w:rsidRDefault="00356347">
            <w:pPr>
              <w:cnfStyle w:val="100000000000" w:firstRow="1" w:lastRow="0" w:firstColumn="0" w:lastColumn="0" w:oddVBand="0" w:evenVBand="0" w:oddHBand="0" w:evenHBand="0" w:firstRowFirstColumn="0" w:firstRowLastColumn="0" w:lastRowFirstColumn="0" w:lastRowLastColumn="0"/>
            </w:pPr>
            <w:r w:rsidRPr="00F03AAE">
              <w:t>Description</w:t>
            </w:r>
          </w:p>
        </w:tc>
        <w:tc>
          <w:tcPr>
            <w:tcW w:w="591" w:type="pct"/>
          </w:tcPr>
          <w:p w14:paraId="40514B9A" w14:textId="77777777" w:rsidR="00356347" w:rsidRPr="00F03AAE" w:rsidRDefault="00356347">
            <w:pPr>
              <w:cnfStyle w:val="100000000000" w:firstRow="1" w:lastRow="0" w:firstColumn="0" w:lastColumn="0" w:oddVBand="0" w:evenVBand="0" w:oddHBand="0" w:evenHBand="0" w:firstRowFirstColumn="0" w:firstRowLastColumn="0" w:lastRowFirstColumn="0" w:lastRowLastColumn="0"/>
            </w:pPr>
            <w:r w:rsidRPr="00F03AAE">
              <w:t>Weight</w:t>
            </w:r>
          </w:p>
        </w:tc>
      </w:tr>
      <w:tr w:rsidR="00356347" w:rsidRPr="00F03AAE" w14:paraId="08C0B611" w14:textId="77777777">
        <w:tc>
          <w:tcPr>
            <w:cnfStyle w:val="001000000000" w:firstRow="0" w:lastRow="0" w:firstColumn="1" w:lastColumn="0" w:oddVBand="0" w:evenVBand="0" w:oddHBand="0" w:evenHBand="0" w:firstRowFirstColumn="0" w:firstRowLastColumn="0" w:lastRowFirstColumn="0" w:lastRowLastColumn="0"/>
            <w:tcW w:w="724" w:type="pct"/>
          </w:tcPr>
          <w:p w14:paraId="46BB3FA1" w14:textId="77777777" w:rsidR="00356347" w:rsidRPr="00F03AAE" w:rsidRDefault="00356347">
            <w:pPr>
              <w:rPr>
                <w:rFonts w:ascii="VIC" w:hAnsi="VIC"/>
                <w:b w:val="0"/>
              </w:rPr>
            </w:pPr>
            <w:r w:rsidRPr="00F03AAE">
              <w:rPr>
                <w:rFonts w:ascii="VIC" w:hAnsi="VIC"/>
                <w:b w:val="0"/>
              </w:rPr>
              <w:t>Efficiency</w:t>
            </w:r>
          </w:p>
        </w:tc>
        <w:tc>
          <w:tcPr>
            <w:tcW w:w="3685" w:type="pct"/>
          </w:tcPr>
          <w:p w14:paraId="1884E2A6" w14:textId="77777777" w:rsidR="00356347" w:rsidRPr="00F03AAE"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F03AAE">
              <w:rPr>
                <w:rFonts w:ascii="VIC" w:hAnsi="VIC"/>
              </w:rPr>
              <w:t>The extent to which the option promotes or improves the way the resources are allocated within the economy. This is generally achieved when the prices charged reflect the actual costs of service provision. In this case, regulatory fees need to reflect the cost of regulation to avoid the distortions associated with the recovery of costs from the general taxpayer.</w:t>
            </w:r>
          </w:p>
        </w:tc>
        <w:tc>
          <w:tcPr>
            <w:tcW w:w="591" w:type="pct"/>
          </w:tcPr>
          <w:p w14:paraId="3CF7C801" w14:textId="77777777" w:rsidR="00356347" w:rsidRPr="00F03AAE"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F03AAE">
              <w:rPr>
                <w:rFonts w:ascii="VIC" w:hAnsi="VIC"/>
              </w:rPr>
              <w:t>35%</w:t>
            </w:r>
          </w:p>
        </w:tc>
      </w:tr>
      <w:tr w:rsidR="00356347" w:rsidRPr="00F03AAE" w14:paraId="1406306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 w:type="pct"/>
          </w:tcPr>
          <w:p w14:paraId="64156CA3" w14:textId="77777777" w:rsidR="00356347" w:rsidRPr="00F03AAE" w:rsidRDefault="00356347">
            <w:pPr>
              <w:rPr>
                <w:rFonts w:ascii="VIC" w:hAnsi="VIC"/>
                <w:b w:val="0"/>
              </w:rPr>
            </w:pPr>
            <w:r w:rsidRPr="00F03AAE">
              <w:rPr>
                <w:rFonts w:ascii="VIC" w:hAnsi="VIC"/>
                <w:b w:val="0"/>
              </w:rPr>
              <w:t>Equity</w:t>
            </w:r>
          </w:p>
        </w:tc>
        <w:tc>
          <w:tcPr>
            <w:tcW w:w="3685" w:type="pct"/>
          </w:tcPr>
          <w:p w14:paraId="24F5877A" w14:textId="77777777" w:rsidR="00356347" w:rsidRPr="00F03AAE"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F03AAE">
              <w:rPr>
                <w:rFonts w:ascii="VIC" w:hAnsi="VIC"/>
              </w:rPr>
              <w:t>Equity has multiple dimensions. Definitions of most relevance include: where users or entities that benefit from a good or service, or that give rise to regulation, pay for it; and where users with lower abilities to pay are able to afford government goods and services.</w:t>
            </w:r>
          </w:p>
        </w:tc>
        <w:tc>
          <w:tcPr>
            <w:tcW w:w="591" w:type="pct"/>
          </w:tcPr>
          <w:p w14:paraId="7A5B1A20" w14:textId="77777777" w:rsidR="00356347" w:rsidRPr="00F03AAE"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F03AAE">
              <w:rPr>
                <w:rFonts w:ascii="VIC" w:hAnsi="VIC"/>
              </w:rPr>
              <w:t>35%</w:t>
            </w:r>
          </w:p>
        </w:tc>
      </w:tr>
      <w:tr w:rsidR="00356347" w:rsidRPr="00F03AAE" w14:paraId="5E567DB9" w14:textId="77777777">
        <w:tc>
          <w:tcPr>
            <w:cnfStyle w:val="001000000000" w:firstRow="0" w:lastRow="0" w:firstColumn="1" w:lastColumn="0" w:oddVBand="0" w:evenVBand="0" w:oddHBand="0" w:evenHBand="0" w:firstRowFirstColumn="0" w:firstRowLastColumn="0" w:lastRowFirstColumn="0" w:lastRowLastColumn="0"/>
            <w:tcW w:w="724" w:type="pct"/>
          </w:tcPr>
          <w:p w14:paraId="4C7C36D6" w14:textId="77777777" w:rsidR="00356347" w:rsidRPr="00F03AAE" w:rsidRDefault="00356347">
            <w:pPr>
              <w:rPr>
                <w:rFonts w:ascii="VIC" w:hAnsi="VIC"/>
                <w:b w:val="0"/>
              </w:rPr>
            </w:pPr>
            <w:r w:rsidRPr="00F03AAE">
              <w:rPr>
                <w:rFonts w:ascii="VIC" w:hAnsi="VIC"/>
                <w:b w:val="0"/>
              </w:rPr>
              <w:t>Compliance and safety</w:t>
            </w:r>
          </w:p>
        </w:tc>
        <w:tc>
          <w:tcPr>
            <w:tcW w:w="3685" w:type="pct"/>
          </w:tcPr>
          <w:p w14:paraId="545091E6" w14:textId="2EC1E0CE" w:rsidR="00356347" w:rsidRPr="00F03AAE"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F03AAE">
              <w:rPr>
                <w:rFonts w:ascii="VIC" w:hAnsi="VIC"/>
              </w:rPr>
              <w:t>Minimising the impact on safety is a key objective of the regulations. If cost recovery and fee setting choices have negative impacts on compliance or reduce regulatory effectiveness, then it is reasonable to expect there may be negative impacts on safety outcomes.</w:t>
            </w:r>
          </w:p>
        </w:tc>
        <w:tc>
          <w:tcPr>
            <w:tcW w:w="591" w:type="pct"/>
          </w:tcPr>
          <w:p w14:paraId="31F9FC72" w14:textId="77777777" w:rsidR="00356347" w:rsidRPr="00F03AAE"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F03AAE">
              <w:rPr>
                <w:rFonts w:ascii="VIC" w:hAnsi="VIC"/>
              </w:rPr>
              <w:t>15%</w:t>
            </w:r>
          </w:p>
        </w:tc>
      </w:tr>
      <w:tr w:rsidR="00356347" w:rsidRPr="00F03AAE" w14:paraId="6BE1D8F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 w:type="pct"/>
          </w:tcPr>
          <w:p w14:paraId="37221A05" w14:textId="77777777" w:rsidR="00356347" w:rsidRPr="00F03AAE" w:rsidRDefault="00356347">
            <w:pPr>
              <w:rPr>
                <w:rFonts w:ascii="VIC" w:hAnsi="VIC"/>
                <w:b w:val="0"/>
              </w:rPr>
            </w:pPr>
            <w:r w:rsidRPr="00F03AAE">
              <w:rPr>
                <w:rFonts w:ascii="VIC" w:hAnsi="VIC"/>
                <w:b w:val="0"/>
              </w:rPr>
              <w:t>Small business and participation</w:t>
            </w:r>
          </w:p>
        </w:tc>
        <w:tc>
          <w:tcPr>
            <w:tcW w:w="3685" w:type="pct"/>
          </w:tcPr>
          <w:p w14:paraId="324CF64D" w14:textId="77777777" w:rsidR="00356347" w:rsidRPr="00F03AAE"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F03AAE">
              <w:rPr>
                <w:rFonts w:ascii="VIC" w:hAnsi="VIC"/>
              </w:rPr>
              <w:t>In setting regulations, it is government policy to give specific consideration to the potential impacts of proposed regulations on small business. This criterion describes the effect of the option on small business and assess the nature and extent of the impact on small businesses. This criterion is to assess the effect of the regulatory fee option on participation in the road management and works sector.</w:t>
            </w:r>
          </w:p>
        </w:tc>
        <w:tc>
          <w:tcPr>
            <w:tcW w:w="591" w:type="pct"/>
          </w:tcPr>
          <w:p w14:paraId="4D91C28F" w14:textId="77777777" w:rsidR="00356347" w:rsidRPr="00F03AAE"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F03AAE">
              <w:rPr>
                <w:rFonts w:ascii="VIC" w:hAnsi="VIC"/>
              </w:rPr>
              <w:t>15%</w:t>
            </w:r>
          </w:p>
        </w:tc>
      </w:tr>
    </w:tbl>
    <w:p w14:paraId="524C6C18" w14:textId="77777777" w:rsidR="00356347" w:rsidRPr="0065387D" w:rsidRDefault="00356347" w:rsidP="00BA0A2C">
      <w:pPr>
        <w:pStyle w:val="Caption"/>
        <w:keepNext/>
      </w:pPr>
      <w:r w:rsidRPr="0065387D">
        <w:lastRenderedPageBreak/>
        <w:t>MCA scoring framework for fees</w:t>
      </w:r>
    </w:p>
    <w:tbl>
      <w:tblPr>
        <w:tblStyle w:val="TableGrid"/>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71"/>
        <w:gridCol w:w="971"/>
        <w:gridCol w:w="1000"/>
        <w:gridCol w:w="972"/>
        <w:gridCol w:w="950"/>
        <w:gridCol w:w="996"/>
        <w:gridCol w:w="10"/>
        <w:gridCol w:w="968"/>
        <w:gridCol w:w="972"/>
        <w:gridCol w:w="1000"/>
        <w:gridCol w:w="972"/>
        <w:gridCol w:w="970"/>
      </w:tblGrid>
      <w:tr w:rsidR="00356347" w:rsidRPr="0065387D" w14:paraId="6FB3C761" w14:textId="77777777" w:rsidTr="00BA0A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pct"/>
            <w:gridSpan w:val="5"/>
            <w:shd w:val="clear" w:color="auto" w:fill="BBFDFA" w:themeFill="accent2" w:themeFillTint="33"/>
          </w:tcPr>
          <w:p w14:paraId="58DBA6C4" w14:textId="77777777" w:rsidR="00356347" w:rsidRPr="0065387D" w:rsidRDefault="00356347" w:rsidP="009A51CB">
            <w:r w:rsidRPr="0065387D">
              <w:t>Negative</w:t>
            </w:r>
          </w:p>
        </w:tc>
        <w:tc>
          <w:tcPr>
            <w:tcW w:w="467" w:type="pct"/>
            <w:gridSpan w:val="2"/>
          </w:tcPr>
          <w:p w14:paraId="7D998311" w14:textId="77777777" w:rsidR="00356347" w:rsidRPr="0065387D" w:rsidRDefault="00356347" w:rsidP="009A51CB">
            <w:pPr>
              <w:cnfStyle w:val="100000000000" w:firstRow="1" w:lastRow="0" w:firstColumn="0" w:lastColumn="0" w:oddVBand="0" w:evenVBand="0" w:oddHBand="0" w:evenHBand="0" w:firstRowFirstColumn="0" w:firstRowLastColumn="0" w:lastRowFirstColumn="0" w:lastRowLastColumn="0"/>
            </w:pPr>
            <w:r w:rsidRPr="0065387D">
              <w:t>Neutral</w:t>
            </w:r>
          </w:p>
        </w:tc>
        <w:tc>
          <w:tcPr>
            <w:tcW w:w="2271" w:type="pct"/>
            <w:gridSpan w:val="5"/>
            <w:shd w:val="clear" w:color="auto" w:fill="59FFC9" w:themeFill="accent5" w:themeFillShade="BF"/>
          </w:tcPr>
          <w:p w14:paraId="05462987" w14:textId="77777777" w:rsidR="00356347" w:rsidRPr="0065387D" w:rsidRDefault="00356347" w:rsidP="009A51CB">
            <w:pPr>
              <w:cnfStyle w:val="100000000000" w:firstRow="1" w:lastRow="0" w:firstColumn="0" w:lastColumn="0" w:oddVBand="0" w:evenVBand="0" w:oddHBand="0" w:evenHBand="0" w:firstRowFirstColumn="0" w:firstRowLastColumn="0" w:lastRowFirstColumn="0" w:lastRowLastColumn="0"/>
            </w:pPr>
            <w:r w:rsidRPr="0065387D">
              <w:t>Positive</w:t>
            </w:r>
          </w:p>
        </w:tc>
      </w:tr>
      <w:tr w:rsidR="00356347" w:rsidRPr="0065387D" w14:paraId="30B1B488" w14:textId="77777777" w:rsidTr="00BA0A2C">
        <w:tc>
          <w:tcPr>
            <w:cnfStyle w:val="001000000000" w:firstRow="0" w:lastRow="0" w:firstColumn="1" w:lastColumn="0" w:oddVBand="0" w:evenVBand="0" w:oddHBand="0" w:evenHBand="0" w:firstRowFirstColumn="0" w:firstRowLastColumn="0" w:lastRowFirstColumn="0" w:lastRowLastColumn="0"/>
            <w:tcW w:w="452" w:type="pct"/>
            <w:shd w:val="clear" w:color="auto" w:fill="BBFDFA" w:themeFill="accent2" w:themeFillTint="33"/>
          </w:tcPr>
          <w:p w14:paraId="5EF4BBF0" w14:textId="77777777" w:rsidR="00356347" w:rsidRPr="0065387D" w:rsidRDefault="00356347" w:rsidP="00BA0A2C">
            <w:pPr>
              <w:keepNext/>
              <w:rPr>
                <w:rFonts w:ascii="VIC" w:hAnsi="VIC"/>
                <w:b w:val="0"/>
              </w:rPr>
            </w:pPr>
            <w:r w:rsidRPr="0065387D">
              <w:rPr>
                <w:rFonts w:ascii="VIC" w:hAnsi="VIC"/>
                <w:b w:val="0"/>
              </w:rPr>
              <w:t>-10</w:t>
            </w:r>
          </w:p>
        </w:tc>
        <w:tc>
          <w:tcPr>
            <w:tcW w:w="452" w:type="pct"/>
            <w:shd w:val="clear" w:color="auto" w:fill="BBFDFA" w:themeFill="accent2" w:themeFillTint="33"/>
          </w:tcPr>
          <w:p w14:paraId="6DDACF02" w14:textId="77777777" w:rsidR="00356347" w:rsidRPr="0065387D" w:rsidRDefault="00356347" w:rsidP="00BA0A2C">
            <w:pPr>
              <w:keepNext/>
              <w:cnfStyle w:val="000000000000" w:firstRow="0" w:lastRow="0" w:firstColumn="0" w:lastColumn="0" w:oddVBand="0" w:evenVBand="0" w:oddHBand="0" w:evenHBand="0" w:firstRowFirstColumn="0" w:firstRowLastColumn="0" w:lastRowFirstColumn="0" w:lastRowLastColumn="0"/>
              <w:rPr>
                <w:rFonts w:ascii="VIC" w:hAnsi="VIC"/>
              </w:rPr>
            </w:pPr>
            <w:r w:rsidRPr="0065387D">
              <w:rPr>
                <w:rFonts w:ascii="VIC" w:hAnsi="VIC"/>
              </w:rPr>
              <w:t>-7</w:t>
            </w:r>
          </w:p>
        </w:tc>
        <w:tc>
          <w:tcPr>
            <w:tcW w:w="465" w:type="pct"/>
            <w:shd w:val="clear" w:color="auto" w:fill="BBFDFA" w:themeFill="accent2" w:themeFillTint="33"/>
          </w:tcPr>
          <w:p w14:paraId="7E448459" w14:textId="77777777" w:rsidR="00356347" w:rsidRPr="0065387D" w:rsidRDefault="00356347" w:rsidP="00BA0A2C">
            <w:pPr>
              <w:keepNext/>
              <w:cnfStyle w:val="000000000000" w:firstRow="0" w:lastRow="0" w:firstColumn="0" w:lastColumn="0" w:oddVBand="0" w:evenVBand="0" w:oddHBand="0" w:evenHBand="0" w:firstRowFirstColumn="0" w:firstRowLastColumn="0" w:lastRowFirstColumn="0" w:lastRowLastColumn="0"/>
              <w:rPr>
                <w:rFonts w:ascii="VIC" w:hAnsi="VIC"/>
              </w:rPr>
            </w:pPr>
            <w:r w:rsidRPr="0065387D">
              <w:rPr>
                <w:rFonts w:ascii="VIC" w:hAnsi="VIC"/>
              </w:rPr>
              <w:t>-5</w:t>
            </w:r>
          </w:p>
        </w:tc>
        <w:tc>
          <w:tcPr>
            <w:tcW w:w="452" w:type="pct"/>
            <w:shd w:val="clear" w:color="auto" w:fill="BBFDFA" w:themeFill="accent2" w:themeFillTint="33"/>
          </w:tcPr>
          <w:p w14:paraId="259637A8" w14:textId="77777777" w:rsidR="00356347" w:rsidRPr="0065387D" w:rsidRDefault="00356347" w:rsidP="00BA0A2C">
            <w:pPr>
              <w:keepNext/>
              <w:cnfStyle w:val="000000000000" w:firstRow="0" w:lastRow="0" w:firstColumn="0" w:lastColumn="0" w:oddVBand="0" w:evenVBand="0" w:oddHBand="0" w:evenHBand="0" w:firstRowFirstColumn="0" w:firstRowLastColumn="0" w:lastRowFirstColumn="0" w:lastRowLastColumn="0"/>
              <w:rPr>
                <w:rFonts w:ascii="VIC" w:hAnsi="VIC"/>
              </w:rPr>
            </w:pPr>
            <w:r w:rsidRPr="0065387D">
              <w:rPr>
                <w:rFonts w:ascii="VIC" w:hAnsi="VIC"/>
              </w:rPr>
              <w:t>-3</w:t>
            </w:r>
          </w:p>
        </w:tc>
        <w:tc>
          <w:tcPr>
            <w:tcW w:w="442" w:type="pct"/>
            <w:shd w:val="clear" w:color="auto" w:fill="BBFDFA" w:themeFill="accent2" w:themeFillTint="33"/>
          </w:tcPr>
          <w:p w14:paraId="0EE1DC1C" w14:textId="77777777" w:rsidR="00356347" w:rsidRPr="0065387D" w:rsidRDefault="00356347" w:rsidP="00BA0A2C">
            <w:pPr>
              <w:keepNext/>
              <w:cnfStyle w:val="000000000000" w:firstRow="0" w:lastRow="0" w:firstColumn="0" w:lastColumn="0" w:oddVBand="0" w:evenVBand="0" w:oddHBand="0" w:evenHBand="0" w:firstRowFirstColumn="0" w:firstRowLastColumn="0" w:lastRowFirstColumn="0" w:lastRowLastColumn="0"/>
              <w:rPr>
                <w:rFonts w:ascii="VIC" w:hAnsi="VIC"/>
              </w:rPr>
            </w:pPr>
            <w:r w:rsidRPr="0065387D">
              <w:rPr>
                <w:rFonts w:ascii="VIC" w:hAnsi="VIC"/>
              </w:rPr>
              <w:t>-1</w:t>
            </w:r>
          </w:p>
        </w:tc>
        <w:tc>
          <w:tcPr>
            <w:tcW w:w="463" w:type="pct"/>
          </w:tcPr>
          <w:p w14:paraId="09C5DADE" w14:textId="77777777" w:rsidR="00356347" w:rsidRPr="0065387D" w:rsidRDefault="00356347" w:rsidP="00BA0A2C">
            <w:pPr>
              <w:keepNext/>
              <w:cnfStyle w:val="000000000000" w:firstRow="0" w:lastRow="0" w:firstColumn="0" w:lastColumn="0" w:oddVBand="0" w:evenVBand="0" w:oddHBand="0" w:evenHBand="0" w:firstRowFirstColumn="0" w:firstRowLastColumn="0" w:lastRowFirstColumn="0" w:lastRowLastColumn="0"/>
              <w:rPr>
                <w:rFonts w:ascii="VIC" w:hAnsi="VIC"/>
              </w:rPr>
            </w:pPr>
            <w:r w:rsidRPr="0065387D">
              <w:rPr>
                <w:rFonts w:ascii="VIC" w:hAnsi="VIC"/>
              </w:rPr>
              <w:t>0</w:t>
            </w:r>
          </w:p>
        </w:tc>
        <w:tc>
          <w:tcPr>
            <w:tcW w:w="454" w:type="pct"/>
            <w:gridSpan w:val="2"/>
            <w:shd w:val="clear" w:color="auto" w:fill="59FFC9" w:themeFill="accent5" w:themeFillShade="BF"/>
          </w:tcPr>
          <w:p w14:paraId="066A2F13" w14:textId="77777777" w:rsidR="00356347" w:rsidRPr="0065387D" w:rsidRDefault="00356347" w:rsidP="00BA0A2C">
            <w:pPr>
              <w:keepNext/>
              <w:cnfStyle w:val="000000000000" w:firstRow="0" w:lastRow="0" w:firstColumn="0" w:lastColumn="0" w:oddVBand="0" w:evenVBand="0" w:oddHBand="0" w:evenHBand="0" w:firstRowFirstColumn="0" w:firstRowLastColumn="0" w:lastRowFirstColumn="0" w:lastRowLastColumn="0"/>
              <w:rPr>
                <w:rFonts w:ascii="VIC" w:hAnsi="VIC"/>
              </w:rPr>
            </w:pPr>
            <w:r w:rsidRPr="0065387D">
              <w:rPr>
                <w:rFonts w:ascii="VIC" w:hAnsi="VIC"/>
              </w:rPr>
              <w:t>1</w:t>
            </w:r>
          </w:p>
        </w:tc>
        <w:tc>
          <w:tcPr>
            <w:tcW w:w="452" w:type="pct"/>
            <w:shd w:val="clear" w:color="auto" w:fill="59FFC9" w:themeFill="accent5" w:themeFillShade="BF"/>
          </w:tcPr>
          <w:p w14:paraId="329C96C3" w14:textId="77777777" w:rsidR="00356347" w:rsidRPr="0065387D" w:rsidRDefault="00356347" w:rsidP="00BA0A2C">
            <w:pPr>
              <w:keepNext/>
              <w:cnfStyle w:val="000000000000" w:firstRow="0" w:lastRow="0" w:firstColumn="0" w:lastColumn="0" w:oddVBand="0" w:evenVBand="0" w:oddHBand="0" w:evenHBand="0" w:firstRowFirstColumn="0" w:firstRowLastColumn="0" w:lastRowFirstColumn="0" w:lastRowLastColumn="0"/>
              <w:rPr>
                <w:rFonts w:ascii="VIC" w:hAnsi="VIC"/>
              </w:rPr>
            </w:pPr>
            <w:r w:rsidRPr="0065387D">
              <w:rPr>
                <w:rFonts w:ascii="VIC" w:hAnsi="VIC"/>
              </w:rPr>
              <w:t>3</w:t>
            </w:r>
          </w:p>
        </w:tc>
        <w:tc>
          <w:tcPr>
            <w:tcW w:w="465" w:type="pct"/>
            <w:shd w:val="clear" w:color="auto" w:fill="59FFC9" w:themeFill="accent5" w:themeFillShade="BF"/>
          </w:tcPr>
          <w:p w14:paraId="3C508CC8" w14:textId="77777777" w:rsidR="00356347" w:rsidRPr="0065387D" w:rsidRDefault="00356347" w:rsidP="00BA0A2C">
            <w:pPr>
              <w:keepNext/>
              <w:cnfStyle w:val="000000000000" w:firstRow="0" w:lastRow="0" w:firstColumn="0" w:lastColumn="0" w:oddVBand="0" w:evenVBand="0" w:oddHBand="0" w:evenHBand="0" w:firstRowFirstColumn="0" w:firstRowLastColumn="0" w:lastRowFirstColumn="0" w:lastRowLastColumn="0"/>
              <w:rPr>
                <w:rFonts w:ascii="VIC" w:hAnsi="VIC"/>
              </w:rPr>
            </w:pPr>
            <w:r w:rsidRPr="0065387D">
              <w:rPr>
                <w:rFonts w:ascii="VIC" w:hAnsi="VIC"/>
              </w:rPr>
              <w:t>5</w:t>
            </w:r>
          </w:p>
        </w:tc>
        <w:tc>
          <w:tcPr>
            <w:tcW w:w="452" w:type="pct"/>
            <w:shd w:val="clear" w:color="auto" w:fill="59FFC9" w:themeFill="accent5" w:themeFillShade="BF"/>
          </w:tcPr>
          <w:p w14:paraId="7935BB9B" w14:textId="77777777" w:rsidR="00356347" w:rsidRPr="0065387D" w:rsidRDefault="00356347" w:rsidP="00BA0A2C">
            <w:pPr>
              <w:keepNext/>
              <w:cnfStyle w:val="000000000000" w:firstRow="0" w:lastRow="0" w:firstColumn="0" w:lastColumn="0" w:oddVBand="0" w:evenVBand="0" w:oddHBand="0" w:evenHBand="0" w:firstRowFirstColumn="0" w:firstRowLastColumn="0" w:lastRowFirstColumn="0" w:lastRowLastColumn="0"/>
              <w:rPr>
                <w:rFonts w:ascii="VIC" w:hAnsi="VIC"/>
              </w:rPr>
            </w:pPr>
            <w:r w:rsidRPr="0065387D">
              <w:rPr>
                <w:rFonts w:ascii="VIC" w:hAnsi="VIC"/>
              </w:rPr>
              <w:t>7</w:t>
            </w:r>
          </w:p>
        </w:tc>
        <w:tc>
          <w:tcPr>
            <w:tcW w:w="452" w:type="pct"/>
            <w:shd w:val="clear" w:color="auto" w:fill="59FFC9" w:themeFill="accent5" w:themeFillShade="BF"/>
          </w:tcPr>
          <w:p w14:paraId="1D6B192E" w14:textId="77777777" w:rsidR="00356347" w:rsidRPr="0065387D" w:rsidRDefault="00356347" w:rsidP="00BA0A2C">
            <w:pPr>
              <w:keepNext/>
              <w:cnfStyle w:val="000000000000" w:firstRow="0" w:lastRow="0" w:firstColumn="0" w:lastColumn="0" w:oddVBand="0" w:evenVBand="0" w:oddHBand="0" w:evenHBand="0" w:firstRowFirstColumn="0" w:firstRowLastColumn="0" w:lastRowFirstColumn="0" w:lastRowLastColumn="0"/>
              <w:rPr>
                <w:rFonts w:ascii="VIC" w:hAnsi="VIC"/>
              </w:rPr>
            </w:pPr>
            <w:r w:rsidRPr="0065387D">
              <w:rPr>
                <w:rFonts w:ascii="VIC" w:hAnsi="VIC"/>
              </w:rPr>
              <w:t>10</w:t>
            </w:r>
          </w:p>
        </w:tc>
      </w:tr>
      <w:tr w:rsidR="00356347" w:rsidRPr="0065387D" w14:paraId="6A81CE83" w14:textId="77777777" w:rsidTr="00BA0A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 w:type="pct"/>
            <w:shd w:val="clear" w:color="auto" w:fill="BBFDFA" w:themeFill="accent2" w:themeFillTint="33"/>
          </w:tcPr>
          <w:p w14:paraId="2C678F70" w14:textId="77777777" w:rsidR="00356347" w:rsidRPr="0065387D" w:rsidRDefault="00356347">
            <w:pPr>
              <w:rPr>
                <w:rFonts w:ascii="VIC" w:hAnsi="VIC"/>
                <w:b w:val="0"/>
              </w:rPr>
            </w:pPr>
            <w:r w:rsidRPr="0065387D">
              <w:rPr>
                <w:rFonts w:ascii="VIC" w:hAnsi="VIC"/>
                <w:b w:val="0"/>
              </w:rPr>
              <w:t>Very high</w:t>
            </w:r>
          </w:p>
        </w:tc>
        <w:tc>
          <w:tcPr>
            <w:tcW w:w="452" w:type="pct"/>
            <w:shd w:val="clear" w:color="auto" w:fill="BBFDFA" w:themeFill="accent2" w:themeFillTint="33"/>
          </w:tcPr>
          <w:p w14:paraId="1BF680D9" w14:textId="77777777" w:rsidR="00356347" w:rsidRPr="0065387D"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65387D">
              <w:rPr>
                <w:rFonts w:ascii="VIC" w:hAnsi="VIC"/>
              </w:rPr>
              <w:t>High</w:t>
            </w:r>
          </w:p>
        </w:tc>
        <w:tc>
          <w:tcPr>
            <w:tcW w:w="465" w:type="pct"/>
            <w:shd w:val="clear" w:color="auto" w:fill="BBFDFA" w:themeFill="accent2" w:themeFillTint="33"/>
          </w:tcPr>
          <w:p w14:paraId="5AB9D168" w14:textId="77777777" w:rsidR="00356347" w:rsidRPr="0065387D"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65387D">
              <w:rPr>
                <w:rFonts w:ascii="VIC" w:hAnsi="VIC"/>
              </w:rPr>
              <w:t>Medium</w:t>
            </w:r>
          </w:p>
        </w:tc>
        <w:tc>
          <w:tcPr>
            <w:tcW w:w="452" w:type="pct"/>
            <w:shd w:val="clear" w:color="auto" w:fill="BBFDFA" w:themeFill="accent2" w:themeFillTint="33"/>
          </w:tcPr>
          <w:p w14:paraId="25A3750C" w14:textId="77777777" w:rsidR="00356347" w:rsidRPr="0065387D"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65387D">
              <w:rPr>
                <w:rFonts w:ascii="VIC" w:hAnsi="VIC"/>
              </w:rPr>
              <w:t>Low</w:t>
            </w:r>
          </w:p>
        </w:tc>
        <w:tc>
          <w:tcPr>
            <w:tcW w:w="442" w:type="pct"/>
            <w:shd w:val="clear" w:color="auto" w:fill="BBFDFA" w:themeFill="accent2" w:themeFillTint="33"/>
          </w:tcPr>
          <w:p w14:paraId="0ACE2747" w14:textId="77777777" w:rsidR="00356347" w:rsidRPr="0065387D"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65387D">
              <w:rPr>
                <w:rFonts w:ascii="VIC" w:hAnsi="VIC"/>
              </w:rPr>
              <w:t>Very low</w:t>
            </w:r>
          </w:p>
        </w:tc>
        <w:tc>
          <w:tcPr>
            <w:tcW w:w="463" w:type="pct"/>
          </w:tcPr>
          <w:p w14:paraId="21C58112" w14:textId="77777777" w:rsidR="00356347" w:rsidRPr="0065387D"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65387D">
              <w:rPr>
                <w:rFonts w:ascii="VIC" w:hAnsi="VIC"/>
              </w:rPr>
              <w:t>Nil</w:t>
            </w:r>
          </w:p>
        </w:tc>
        <w:tc>
          <w:tcPr>
            <w:tcW w:w="454" w:type="pct"/>
            <w:gridSpan w:val="2"/>
            <w:shd w:val="clear" w:color="auto" w:fill="59FFC9" w:themeFill="accent5" w:themeFillShade="BF"/>
          </w:tcPr>
          <w:p w14:paraId="30F564CF" w14:textId="77777777" w:rsidR="00356347" w:rsidRPr="0065387D"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65387D">
              <w:rPr>
                <w:rFonts w:ascii="VIC" w:hAnsi="VIC"/>
              </w:rPr>
              <w:t>Very low</w:t>
            </w:r>
          </w:p>
        </w:tc>
        <w:tc>
          <w:tcPr>
            <w:tcW w:w="452" w:type="pct"/>
            <w:shd w:val="clear" w:color="auto" w:fill="59FFC9" w:themeFill="accent5" w:themeFillShade="BF"/>
          </w:tcPr>
          <w:p w14:paraId="512927CC" w14:textId="77777777" w:rsidR="00356347" w:rsidRPr="0065387D"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65387D">
              <w:rPr>
                <w:rFonts w:ascii="VIC" w:hAnsi="VIC"/>
              </w:rPr>
              <w:t>Low</w:t>
            </w:r>
          </w:p>
        </w:tc>
        <w:tc>
          <w:tcPr>
            <w:tcW w:w="465" w:type="pct"/>
            <w:shd w:val="clear" w:color="auto" w:fill="59FFC9" w:themeFill="accent5" w:themeFillShade="BF"/>
          </w:tcPr>
          <w:p w14:paraId="32E8ABB4" w14:textId="77777777" w:rsidR="00356347" w:rsidRPr="0065387D"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65387D">
              <w:rPr>
                <w:rFonts w:ascii="VIC" w:hAnsi="VIC"/>
              </w:rPr>
              <w:t>Medium</w:t>
            </w:r>
          </w:p>
        </w:tc>
        <w:tc>
          <w:tcPr>
            <w:tcW w:w="452" w:type="pct"/>
            <w:shd w:val="clear" w:color="auto" w:fill="59FFC9" w:themeFill="accent5" w:themeFillShade="BF"/>
          </w:tcPr>
          <w:p w14:paraId="230FF621" w14:textId="77777777" w:rsidR="00356347" w:rsidRPr="0065387D"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65387D">
              <w:rPr>
                <w:rFonts w:ascii="VIC" w:hAnsi="VIC"/>
              </w:rPr>
              <w:t>High</w:t>
            </w:r>
          </w:p>
        </w:tc>
        <w:tc>
          <w:tcPr>
            <w:tcW w:w="452" w:type="pct"/>
            <w:shd w:val="clear" w:color="auto" w:fill="59FFC9" w:themeFill="accent5" w:themeFillShade="BF"/>
          </w:tcPr>
          <w:p w14:paraId="36620C62" w14:textId="77777777" w:rsidR="00356347" w:rsidRPr="0065387D"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65387D">
              <w:rPr>
                <w:rFonts w:ascii="VIC" w:hAnsi="VIC"/>
              </w:rPr>
              <w:t>Very High</w:t>
            </w:r>
          </w:p>
        </w:tc>
      </w:tr>
    </w:tbl>
    <w:p w14:paraId="63DD7FDB" w14:textId="69097A4E" w:rsidR="00BA0A2C" w:rsidRPr="001A5D5E" w:rsidRDefault="00BA0A2C" w:rsidP="00BA0A2C">
      <w:r w:rsidRPr="001A5D5E">
        <w:t xml:space="preserve">Using the MCA criteria and weightings outlined above, the Department has </w:t>
      </w:r>
      <w:r w:rsidR="00FD19AD">
        <w:t>calculated</w:t>
      </w:r>
      <w:r w:rsidRPr="001A5D5E">
        <w:t xml:space="preserve"> </w:t>
      </w:r>
      <w:r>
        <w:t>an overall</w:t>
      </w:r>
      <w:r w:rsidRPr="001A5D5E">
        <w:t xml:space="preserve"> scor</w:t>
      </w:r>
      <w:r>
        <w:t xml:space="preserve">e of </w:t>
      </w:r>
      <w:r w:rsidR="00FD19AD">
        <w:t xml:space="preserve">1.45 </w:t>
      </w:r>
      <w:r w:rsidRPr="001A5D5E">
        <w:t xml:space="preserve">for </w:t>
      </w:r>
      <w:r w:rsidRPr="001A5D5E">
        <w:rPr>
          <w:b/>
        </w:rPr>
        <w:t>Option 1</w:t>
      </w:r>
      <w:r w:rsidR="00FD19AD">
        <w:rPr>
          <w:b/>
        </w:rPr>
        <w:t xml:space="preserve"> </w:t>
      </w:r>
      <w:r w:rsidR="00FD19AD" w:rsidRPr="00FD19AD">
        <w:t>and 1.85 for</w:t>
      </w:r>
      <w:r w:rsidR="00FD19AD">
        <w:rPr>
          <w:b/>
        </w:rPr>
        <w:t xml:space="preserve"> Option 2</w:t>
      </w:r>
      <w:r w:rsidRPr="001A5D5E">
        <w:t>.</w:t>
      </w:r>
    </w:p>
    <w:p w14:paraId="10DC594D" w14:textId="230325E7" w:rsidR="00356347" w:rsidRPr="00B427DE" w:rsidRDefault="00356347" w:rsidP="00356347">
      <w:pPr>
        <w:pStyle w:val="Caption"/>
      </w:pPr>
      <w:r>
        <w:t>Summary of assessment</w:t>
      </w:r>
    </w:p>
    <w:tbl>
      <w:tblPr>
        <w:tblStyle w:val="TableGrid"/>
        <w:tblW w:w="5000" w:type="pct"/>
        <w:tblLook w:val="04A0" w:firstRow="1" w:lastRow="0" w:firstColumn="1" w:lastColumn="0" w:noHBand="0" w:noVBand="1"/>
      </w:tblPr>
      <w:tblGrid>
        <w:gridCol w:w="1699"/>
        <w:gridCol w:w="750"/>
        <w:gridCol w:w="1032"/>
        <w:gridCol w:w="1032"/>
        <w:gridCol w:w="1032"/>
        <w:gridCol w:w="1032"/>
        <w:gridCol w:w="1032"/>
        <w:gridCol w:w="1032"/>
        <w:gridCol w:w="1286"/>
        <w:gridCol w:w="845"/>
      </w:tblGrid>
      <w:tr w:rsidR="00356347" w:rsidRPr="00CB39AC" w14:paraId="64D648F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 w:type="pct"/>
          </w:tcPr>
          <w:p w14:paraId="705A8D0D" w14:textId="77777777" w:rsidR="00356347" w:rsidRPr="00CB39AC" w:rsidRDefault="00356347"/>
        </w:tc>
        <w:tc>
          <w:tcPr>
            <w:tcW w:w="827" w:type="pct"/>
            <w:gridSpan w:val="2"/>
          </w:tcPr>
          <w:p w14:paraId="5CE220C2" w14:textId="77777777" w:rsidR="00356347" w:rsidRPr="00CB39AC" w:rsidRDefault="00356347">
            <w:pPr>
              <w:cnfStyle w:val="100000000000" w:firstRow="1" w:lastRow="0" w:firstColumn="0" w:lastColumn="0" w:oddVBand="0" w:evenVBand="0" w:oddHBand="0" w:evenHBand="0" w:firstRowFirstColumn="0" w:firstRowLastColumn="0" w:lastRowFirstColumn="0" w:lastRowLastColumn="0"/>
            </w:pPr>
            <w:r w:rsidRPr="00CB39AC">
              <w:t xml:space="preserve">Criterion 1 – Efficiency </w:t>
            </w:r>
            <w:r w:rsidRPr="00CB39AC">
              <w:br/>
              <w:t>(35% weighting)</w:t>
            </w:r>
          </w:p>
        </w:tc>
        <w:tc>
          <w:tcPr>
            <w:tcW w:w="958" w:type="pct"/>
            <w:gridSpan w:val="2"/>
          </w:tcPr>
          <w:p w14:paraId="6A0FA830" w14:textId="77777777" w:rsidR="00356347" w:rsidRPr="00CB39AC" w:rsidRDefault="00356347">
            <w:pPr>
              <w:cnfStyle w:val="100000000000" w:firstRow="1" w:lastRow="0" w:firstColumn="0" w:lastColumn="0" w:oddVBand="0" w:evenVBand="0" w:oddHBand="0" w:evenHBand="0" w:firstRowFirstColumn="0" w:firstRowLastColumn="0" w:lastRowFirstColumn="0" w:lastRowLastColumn="0"/>
            </w:pPr>
            <w:r w:rsidRPr="00CB39AC">
              <w:t xml:space="preserve">Criterion 2 – </w:t>
            </w:r>
            <w:r w:rsidRPr="00CB39AC">
              <w:br/>
              <w:t xml:space="preserve">Equity </w:t>
            </w:r>
            <w:r w:rsidRPr="00CB39AC">
              <w:br/>
              <w:t>(35% weighting)</w:t>
            </w:r>
          </w:p>
        </w:tc>
        <w:tc>
          <w:tcPr>
            <w:tcW w:w="958" w:type="pct"/>
            <w:gridSpan w:val="2"/>
          </w:tcPr>
          <w:p w14:paraId="75B420FC" w14:textId="77777777" w:rsidR="00356347" w:rsidRPr="00CB39AC" w:rsidRDefault="00356347">
            <w:pPr>
              <w:cnfStyle w:val="100000000000" w:firstRow="1" w:lastRow="0" w:firstColumn="0" w:lastColumn="0" w:oddVBand="0" w:evenVBand="0" w:oddHBand="0" w:evenHBand="0" w:firstRowFirstColumn="0" w:firstRowLastColumn="0" w:lastRowFirstColumn="0" w:lastRowLastColumn="0"/>
            </w:pPr>
            <w:r w:rsidRPr="00CB39AC">
              <w:t xml:space="preserve">Criterion 3 – Compliance and safety </w:t>
            </w:r>
            <w:r w:rsidRPr="00CB39AC">
              <w:br/>
              <w:t>(15% weighting)</w:t>
            </w:r>
          </w:p>
        </w:tc>
        <w:tc>
          <w:tcPr>
            <w:tcW w:w="1076" w:type="pct"/>
            <w:gridSpan w:val="2"/>
          </w:tcPr>
          <w:p w14:paraId="1A6264CD" w14:textId="77777777" w:rsidR="00356347" w:rsidRPr="00CB39AC" w:rsidRDefault="00356347">
            <w:pPr>
              <w:cnfStyle w:val="100000000000" w:firstRow="1" w:lastRow="0" w:firstColumn="0" w:lastColumn="0" w:oddVBand="0" w:evenVBand="0" w:oddHBand="0" w:evenHBand="0" w:firstRowFirstColumn="0" w:firstRowLastColumn="0" w:lastRowFirstColumn="0" w:lastRowLastColumn="0"/>
            </w:pPr>
            <w:r w:rsidRPr="00CB39AC">
              <w:t xml:space="preserve">Criterion 4 – </w:t>
            </w:r>
            <w:r w:rsidRPr="00CB39AC">
              <w:br/>
              <w:t xml:space="preserve">Small business and participation </w:t>
            </w:r>
            <w:r w:rsidRPr="00CB39AC">
              <w:br/>
              <w:t>(15% weighting)</w:t>
            </w:r>
          </w:p>
        </w:tc>
        <w:tc>
          <w:tcPr>
            <w:tcW w:w="392" w:type="pct"/>
          </w:tcPr>
          <w:p w14:paraId="4BC1CCB0" w14:textId="77777777" w:rsidR="00356347" w:rsidRPr="00CB39AC" w:rsidRDefault="00356347">
            <w:pPr>
              <w:cnfStyle w:val="100000000000" w:firstRow="1" w:lastRow="0" w:firstColumn="0" w:lastColumn="0" w:oddVBand="0" w:evenVBand="0" w:oddHBand="0" w:evenHBand="0" w:firstRowFirstColumn="0" w:firstRowLastColumn="0" w:lastRowFirstColumn="0" w:lastRowLastColumn="0"/>
            </w:pPr>
            <w:r w:rsidRPr="00CB39AC">
              <w:t>Total</w:t>
            </w:r>
          </w:p>
        </w:tc>
      </w:tr>
      <w:tr w:rsidR="00356347" w:rsidRPr="00CB39AC" w14:paraId="46E429C8" w14:textId="77777777">
        <w:tc>
          <w:tcPr>
            <w:cnfStyle w:val="001000000000" w:firstRow="0" w:lastRow="0" w:firstColumn="1" w:lastColumn="0" w:oddVBand="0" w:evenVBand="0" w:oddHBand="0" w:evenHBand="0" w:firstRowFirstColumn="0" w:firstRowLastColumn="0" w:lastRowFirstColumn="0" w:lastRowLastColumn="0"/>
            <w:tcW w:w="788" w:type="pct"/>
          </w:tcPr>
          <w:p w14:paraId="0BB9FB15" w14:textId="77777777" w:rsidR="00356347" w:rsidRPr="00CB39AC" w:rsidRDefault="00356347">
            <w:pPr>
              <w:rPr>
                <w:rFonts w:ascii="VIC" w:hAnsi="VIC"/>
              </w:rPr>
            </w:pPr>
          </w:p>
        </w:tc>
        <w:tc>
          <w:tcPr>
            <w:tcW w:w="348" w:type="pct"/>
          </w:tcPr>
          <w:p w14:paraId="78E215D0" w14:textId="77777777" w:rsidR="00356347" w:rsidRPr="00CB39AC"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CB39AC">
              <w:rPr>
                <w:rFonts w:ascii="VIC" w:hAnsi="VIC"/>
                <w:bCs/>
              </w:rPr>
              <w:t>Raw</w:t>
            </w:r>
          </w:p>
        </w:tc>
        <w:tc>
          <w:tcPr>
            <w:tcW w:w="479" w:type="pct"/>
          </w:tcPr>
          <w:p w14:paraId="146BCDD1" w14:textId="77777777" w:rsidR="00356347" w:rsidRPr="00CB39AC"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CB39AC">
              <w:rPr>
                <w:rFonts w:ascii="VIC" w:hAnsi="VIC"/>
                <w:bCs/>
              </w:rPr>
              <w:t>Weight</w:t>
            </w:r>
          </w:p>
        </w:tc>
        <w:tc>
          <w:tcPr>
            <w:tcW w:w="479" w:type="pct"/>
          </w:tcPr>
          <w:p w14:paraId="06C38B25" w14:textId="77777777" w:rsidR="00356347" w:rsidRPr="00CB39AC"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CB39AC">
              <w:rPr>
                <w:rFonts w:ascii="VIC" w:hAnsi="VIC"/>
                <w:bCs/>
              </w:rPr>
              <w:t>Raw</w:t>
            </w:r>
          </w:p>
        </w:tc>
        <w:tc>
          <w:tcPr>
            <w:tcW w:w="479" w:type="pct"/>
          </w:tcPr>
          <w:p w14:paraId="16BDB11B" w14:textId="77777777" w:rsidR="00356347" w:rsidRPr="00CB39AC"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CB39AC">
              <w:rPr>
                <w:rFonts w:ascii="VIC" w:hAnsi="VIC"/>
                <w:bCs/>
              </w:rPr>
              <w:t>Weight</w:t>
            </w:r>
          </w:p>
        </w:tc>
        <w:tc>
          <w:tcPr>
            <w:tcW w:w="479" w:type="pct"/>
          </w:tcPr>
          <w:p w14:paraId="06402829" w14:textId="77777777" w:rsidR="00356347" w:rsidRPr="00CB39AC"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CB39AC">
              <w:rPr>
                <w:rFonts w:ascii="VIC" w:hAnsi="VIC"/>
                <w:bCs/>
              </w:rPr>
              <w:t>Raw</w:t>
            </w:r>
          </w:p>
        </w:tc>
        <w:tc>
          <w:tcPr>
            <w:tcW w:w="479" w:type="pct"/>
          </w:tcPr>
          <w:p w14:paraId="66516E15" w14:textId="77777777" w:rsidR="00356347" w:rsidRPr="00CB39AC"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CB39AC">
              <w:rPr>
                <w:rFonts w:ascii="VIC" w:hAnsi="VIC"/>
                <w:bCs/>
              </w:rPr>
              <w:t>Weight</w:t>
            </w:r>
          </w:p>
        </w:tc>
        <w:tc>
          <w:tcPr>
            <w:tcW w:w="479" w:type="pct"/>
          </w:tcPr>
          <w:p w14:paraId="5CF8F684" w14:textId="77777777" w:rsidR="00356347" w:rsidRPr="00CB39AC"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CB39AC">
              <w:rPr>
                <w:rFonts w:ascii="VIC" w:hAnsi="VIC"/>
                <w:bCs/>
              </w:rPr>
              <w:t>Raw</w:t>
            </w:r>
          </w:p>
        </w:tc>
        <w:tc>
          <w:tcPr>
            <w:tcW w:w="597" w:type="pct"/>
          </w:tcPr>
          <w:p w14:paraId="56160C74" w14:textId="77777777" w:rsidR="00356347" w:rsidRPr="00CB39AC"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CB39AC">
              <w:rPr>
                <w:rFonts w:ascii="VIC" w:hAnsi="VIC"/>
                <w:bCs/>
              </w:rPr>
              <w:t>Weight</w:t>
            </w:r>
          </w:p>
        </w:tc>
        <w:tc>
          <w:tcPr>
            <w:tcW w:w="392" w:type="pct"/>
          </w:tcPr>
          <w:p w14:paraId="26E8AA90" w14:textId="77777777" w:rsidR="00356347" w:rsidRPr="00CB39AC" w:rsidRDefault="00356347">
            <w:pPr>
              <w:cnfStyle w:val="000000000000" w:firstRow="0" w:lastRow="0" w:firstColumn="0" w:lastColumn="0" w:oddVBand="0" w:evenVBand="0" w:oddHBand="0" w:evenHBand="0" w:firstRowFirstColumn="0" w:firstRowLastColumn="0" w:lastRowFirstColumn="0" w:lastRowLastColumn="0"/>
              <w:rPr>
                <w:rFonts w:ascii="VIC" w:hAnsi="VIC"/>
              </w:rPr>
            </w:pPr>
          </w:p>
        </w:tc>
      </w:tr>
      <w:tr w:rsidR="00356347" w:rsidRPr="00CB39AC" w14:paraId="7722B1A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 w:type="pct"/>
          </w:tcPr>
          <w:p w14:paraId="3A23C4D5" w14:textId="77777777" w:rsidR="00356347" w:rsidRPr="00CB39AC" w:rsidRDefault="00356347">
            <w:pPr>
              <w:rPr>
                <w:rFonts w:ascii="VIC" w:hAnsi="VIC"/>
              </w:rPr>
            </w:pPr>
            <w:r w:rsidRPr="00CB39AC">
              <w:rPr>
                <w:rFonts w:ascii="VIC" w:hAnsi="VIC"/>
              </w:rPr>
              <w:t xml:space="preserve">Option 1 </w:t>
            </w:r>
            <w:r w:rsidRPr="00CB39AC">
              <w:rPr>
                <w:rFonts w:ascii="VIC" w:hAnsi="VIC"/>
              </w:rPr>
              <w:br/>
              <w:t>(status quo)</w:t>
            </w:r>
          </w:p>
        </w:tc>
        <w:tc>
          <w:tcPr>
            <w:tcW w:w="348" w:type="pct"/>
          </w:tcPr>
          <w:p w14:paraId="0942FDCB" w14:textId="77777777" w:rsidR="00356347" w:rsidRPr="00CB39AC"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CB39AC">
              <w:rPr>
                <w:rFonts w:ascii="VIC" w:hAnsi="VIC"/>
              </w:rPr>
              <w:t>3</w:t>
            </w:r>
          </w:p>
        </w:tc>
        <w:tc>
          <w:tcPr>
            <w:tcW w:w="479" w:type="pct"/>
          </w:tcPr>
          <w:p w14:paraId="6A0F0320" w14:textId="77777777" w:rsidR="00356347" w:rsidRPr="00CB39AC"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CB39AC">
              <w:rPr>
                <w:rFonts w:ascii="VIC" w:hAnsi="VIC"/>
              </w:rPr>
              <w:t>1.05</w:t>
            </w:r>
          </w:p>
        </w:tc>
        <w:tc>
          <w:tcPr>
            <w:tcW w:w="479" w:type="pct"/>
          </w:tcPr>
          <w:p w14:paraId="5CF7CD2C" w14:textId="77777777" w:rsidR="00356347" w:rsidRPr="00CB39AC"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CB39AC">
              <w:rPr>
                <w:rFonts w:ascii="VIC" w:hAnsi="VIC"/>
              </w:rPr>
              <w:t>2</w:t>
            </w:r>
          </w:p>
        </w:tc>
        <w:tc>
          <w:tcPr>
            <w:tcW w:w="479" w:type="pct"/>
          </w:tcPr>
          <w:p w14:paraId="2986F610" w14:textId="77777777" w:rsidR="00356347" w:rsidRPr="00CB39AC"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CB39AC">
              <w:rPr>
                <w:rFonts w:ascii="VIC" w:hAnsi="VIC"/>
              </w:rPr>
              <w:t>0.70</w:t>
            </w:r>
          </w:p>
        </w:tc>
        <w:tc>
          <w:tcPr>
            <w:tcW w:w="479" w:type="pct"/>
          </w:tcPr>
          <w:p w14:paraId="399A9EED" w14:textId="77777777" w:rsidR="00356347" w:rsidRPr="00CB39AC"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CB39AC">
              <w:rPr>
                <w:rFonts w:ascii="VIC" w:hAnsi="VIC"/>
              </w:rPr>
              <w:t>-1</w:t>
            </w:r>
          </w:p>
        </w:tc>
        <w:tc>
          <w:tcPr>
            <w:tcW w:w="479" w:type="pct"/>
          </w:tcPr>
          <w:p w14:paraId="7BCFBF23" w14:textId="77777777" w:rsidR="00356347" w:rsidRPr="00CB39AC"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CB39AC">
              <w:rPr>
                <w:rFonts w:ascii="VIC" w:hAnsi="VIC"/>
              </w:rPr>
              <w:t>-0.15</w:t>
            </w:r>
          </w:p>
        </w:tc>
        <w:tc>
          <w:tcPr>
            <w:tcW w:w="479" w:type="pct"/>
          </w:tcPr>
          <w:p w14:paraId="6BE4A822" w14:textId="77777777" w:rsidR="00356347" w:rsidRPr="00CB39AC"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CB39AC">
              <w:rPr>
                <w:rFonts w:ascii="VIC" w:hAnsi="VIC"/>
              </w:rPr>
              <w:t>-1</w:t>
            </w:r>
          </w:p>
        </w:tc>
        <w:tc>
          <w:tcPr>
            <w:tcW w:w="597" w:type="pct"/>
          </w:tcPr>
          <w:p w14:paraId="3E131B76" w14:textId="77777777" w:rsidR="00356347" w:rsidRPr="00CB39AC" w:rsidRDefault="00356347">
            <w:pPr>
              <w:cnfStyle w:val="000000010000" w:firstRow="0" w:lastRow="0" w:firstColumn="0" w:lastColumn="0" w:oddVBand="0" w:evenVBand="0" w:oddHBand="0" w:evenHBand="1" w:firstRowFirstColumn="0" w:firstRowLastColumn="0" w:lastRowFirstColumn="0" w:lastRowLastColumn="0"/>
              <w:rPr>
                <w:rFonts w:ascii="VIC" w:hAnsi="VIC"/>
              </w:rPr>
            </w:pPr>
            <w:r w:rsidRPr="00CB39AC">
              <w:rPr>
                <w:rFonts w:ascii="VIC" w:hAnsi="VIC"/>
              </w:rPr>
              <w:t>-0.15</w:t>
            </w:r>
          </w:p>
        </w:tc>
        <w:tc>
          <w:tcPr>
            <w:tcW w:w="392" w:type="pct"/>
          </w:tcPr>
          <w:p w14:paraId="7E114220" w14:textId="77777777" w:rsidR="00356347" w:rsidRPr="00CB39AC" w:rsidRDefault="00356347">
            <w:pPr>
              <w:cnfStyle w:val="000000010000" w:firstRow="0" w:lastRow="0" w:firstColumn="0" w:lastColumn="0" w:oddVBand="0" w:evenVBand="0" w:oddHBand="0" w:evenHBand="1" w:firstRowFirstColumn="0" w:firstRowLastColumn="0" w:lastRowFirstColumn="0" w:lastRowLastColumn="0"/>
              <w:rPr>
                <w:rFonts w:ascii="VIC" w:hAnsi="VIC"/>
                <w:b/>
                <w:bCs/>
              </w:rPr>
            </w:pPr>
            <w:r w:rsidRPr="00CB39AC">
              <w:rPr>
                <w:rFonts w:ascii="VIC" w:hAnsi="VIC"/>
                <w:b/>
                <w:bCs/>
              </w:rPr>
              <w:t>1.45</w:t>
            </w:r>
          </w:p>
        </w:tc>
      </w:tr>
      <w:tr w:rsidR="00356347" w:rsidRPr="00CB39AC" w14:paraId="094C8A82" w14:textId="77777777">
        <w:tc>
          <w:tcPr>
            <w:cnfStyle w:val="001000000000" w:firstRow="0" w:lastRow="0" w:firstColumn="1" w:lastColumn="0" w:oddVBand="0" w:evenVBand="0" w:oddHBand="0" w:evenHBand="0" w:firstRowFirstColumn="0" w:firstRowLastColumn="0" w:lastRowFirstColumn="0" w:lastRowLastColumn="0"/>
            <w:tcW w:w="788" w:type="pct"/>
          </w:tcPr>
          <w:p w14:paraId="0906EAA1" w14:textId="77777777" w:rsidR="00356347" w:rsidRPr="00CB39AC" w:rsidRDefault="00356347">
            <w:pPr>
              <w:rPr>
                <w:rFonts w:ascii="VIC" w:hAnsi="VIC"/>
              </w:rPr>
            </w:pPr>
            <w:r w:rsidRPr="00CB39AC">
              <w:rPr>
                <w:rFonts w:ascii="VIC" w:hAnsi="VIC"/>
              </w:rPr>
              <w:t>Option 2</w:t>
            </w:r>
            <w:r w:rsidRPr="00CB39AC">
              <w:rPr>
                <w:rFonts w:ascii="VIC" w:hAnsi="VIC"/>
              </w:rPr>
              <w:br/>
              <w:t>(fee restructure)</w:t>
            </w:r>
          </w:p>
        </w:tc>
        <w:tc>
          <w:tcPr>
            <w:tcW w:w="348" w:type="pct"/>
          </w:tcPr>
          <w:p w14:paraId="6963DF8D" w14:textId="77777777" w:rsidR="00356347" w:rsidRPr="00CB39AC"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CB39AC">
              <w:rPr>
                <w:rFonts w:ascii="VIC" w:hAnsi="VIC"/>
              </w:rPr>
              <w:t>4</w:t>
            </w:r>
          </w:p>
        </w:tc>
        <w:tc>
          <w:tcPr>
            <w:tcW w:w="479" w:type="pct"/>
          </w:tcPr>
          <w:p w14:paraId="378425D9" w14:textId="77777777" w:rsidR="00356347" w:rsidRPr="00CB39AC"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CB39AC">
              <w:rPr>
                <w:rFonts w:ascii="VIC" w:hAnsi="VIC"/>
              </w:rPr>
              <w:t>1.40</w:t>
            </w:r>
          </w:p>
        </w:tc>
        <w:tc>
          <w:tcPr>
            <w:tcW w:w="479" w:type="pct"/>
          </w:tcPr>
          <w:p w14:paraId="63ACD8CF" w14:textId="77777777" w:rsidR="00356347" w:rsidRPr="00CB39AC"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CB39AC">
              <w:rPr>
                <w:rFonts w:ascii="VIC" w:hAnsi="VIC"/>
              </w:rPr>
              <w:t>3</w:t>
            </w:r>
          </w:p>
        </w:tc>
        <w:tc>
          <w:tcPr>
            <w:tcW w:w="479" w:type="pct"/>
          </w:tcPr>
          <w:p w14:paraId="79067B60" w14:textId="77777777" w:rsidR="00356347" w:rsidRPr="00CB39AC"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CB39AC">
              <w:rPr>
                <w:rFonts w:ascii="VIC" w:hAnsi="VIC"/>
              </w:rPr>
              <w:t>1.05</w:t>
            </w:r>
          </w:p>
        </w:tc>
        <w:tc>
          <w:tcPr>
            <w:tcW w:w="479" w:type="pct"/>
          </w:tcPr>
          <w:p w14:paraId="08B80D96" w14:textId="77777777" w:rsidR="00356347" w:rsidRPr="00CB39AC"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CB39AC">
              <w:rPr>
                <w:rFonts w:ascii="VIC" w:hAnsi="VIC"/>
              </w:rPr>
              <w:t>-2</w:t>
            </w:r>
          </w:p>
        </w:tc>
        <w:tc>
          <w:tcPr>
            <w:tcW w:w="479" w:type="pct"/>
          </w:tcPr>
          <w:p w14:paraId="17EDE2C6" w14:textId="77777777" w:rsidR="00356347" w:rsidRPr="00CB39AC"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CB39AC">
              <w:rPr>
                <w:rFonts w:ascii="VIC" w:hAnsi="VIC"/>
              </w:rPr>
              <w:t>-0.30</w:t>
            </w:r>
          </w:p>
        </w:tc>
        <w:tc>
          <w:tcPr>
            <w:tcW w:w="479" w:type="pct"/>
          </w:tcPr>
          <w:p w14:paraId="1C219103" w14:textId="77777777" w:rsidR="00356347" w:rsidRPr="00CB39AC"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CB39AC">
              <w:rPr>
                <w:rFonts w:ascii="VIC" w:hAnsi="VIC"/>
              </w:rPr>
              <w:t>-2</w:t>
            </w:r>
          </w:p>
        </w:tc>
        <w:tc>
          <w:tcPr>
            <w:tcW w:w="597" w:type="pct"/>
          </w:tcPr>
          <w:p w14:paraId="4EC4D3B7" w14:textId="77777777" w:rsidR="00356347" w:rsidRPr="00CB39AC" w:rsidRDefault="00356347">
            <w:pPr>
              <w:cnfStyle w:val="000000000000" w:firstRow="0" w:lastRow="0" w:firstColumn="0" w:lastColumn="0" w:oddVBand="0" w:evenVBand="0" w:oddHBand="0" w:evenHBand="0" w:firstRowFirstColumn="0" w:firstRowLastColumn="0" w:lastRowFirstColumn="0" w:lastRowLastColumn="0"/>
              <w:rPr>
                <w:rFonts w:ascii="VIC" w:hAnsi="VIC"/>
              </w:rPr>
            </w:pPr>
            <w:r w:rsidRPr="00CB39AC">
              <w:rPr>
                <w:rFonts w:ascii="VIC" w:hAnsi="VIC"/>
              </w:rPr>
              <w:t>-0.30</w:t>
            </w:r>
          </w:p>
        </w:tc>
        <w:tc>
          <w:tcPr>
            <w:tcW w:w="392" w:type="pct"/>
          </w:tcPr>
          <w:p w14:paraId="6FFAF316" w14:textId="77777777" w:rsidR="00356347" w:rsidRPr="00CB39AC" w:rsidRDefault="00356347">
            <w:pPr>
              <w:cnfStyle w:val="000000000000" w:firstRow="0" w:lastRow="0" w:firstColumn="0" w:lastColumn="0" w:oddVBand="0" w:evenVBand="0" w:oddHBand="0" w:evenHBand="0" w:firstRowFirstColumn="0" w:firstRowLastColumn="0" w:lastRowFirstColumn="0" w:lastRowLastColumn="0"/>
              <w:rPr>
                <w:rFonts w:ascii="VIC" w:hAnsi="VIC"/>
                <w:b/>
                <w:bCs/>
              </w:rPr>
            </w:pPr>
            <w:r w:rsidRPr="00CB39AC">
              <w:rPr>
                <w:rFonts w:ascii="VIC" w:hAnsi="VIC"/>
                <w:b/>
                <w:bCs/>
              </w:rPr>
              <w:t>1.85</w:t>
            </w:r>
          </w:p>
        </w:tc>
      </w:tr>
    </w:tbl>
    <w:p w14:paraId="586A45E9" w14:textId="77777777" w:rsidR="00356347" w:rsidRPr="009F24ED" w:rsidRDefault="00356347" w:rsidP="009F24ED">
      <w:pPr>
        <w:spacing w:before="240"/>
        <w:rPr>
          <w:b/>
          <w:bCs/>
          <w:sz w:val="24"/>
          <w:szCs w:val="24"/>
        </w:rPr>
      </w:pPr>
      <w:r w:rsidRPr="009F24ED">
        <w:rPr>
          <w:b/>
          <w:bCs/>
          <w:sz w:val="24"/>
          <w:szCs w:val="24"/>
        </w:rPr>
        <w:t>Preferred option</w:t>
      </w:r>
    </w:p>
    <w:p w14:paraId="0008EDB1" w14:textId="47550E0D" w:rsidR="00356347" w:rsidRPr="00852E99" w:rsidRDefault="00356347" w:rsidP="00356347">
      <w:r w:rsidRPr="00852E99">
        <w:t xml:space="preserve">The analysis shows </w:t>
      </w:r>
      <w:r w:rsidR="00D703FD">
        <w:t xml:space="preserve">that </w:t>
      </w:r>
      <w:r w:rsidRPr="00050C56">
        <w:rPr>
          <w:b/>
        </w:rPr>
        <w:t>Option 1</w:t>
      </w:r>
      <w:r w:rsidRPr="00852E99">
        <w:t xml:space="preserve"> provides significant overall benefits in comparison with the base case. </w:t>
      </w:r>
    </w:p>
    <w:p w14:paraId="71933DF2" w14:textId="79DE2EBB" w:rsidR="00356347" w:rsidRPr="00852E99" w:rsidRDefault="00356347" w:rsidP="00356347">
      <w:r w:rsidRPr="00852E99">
        <w:t xml:space="preserve">In addition to the benefits of remaking the Regulations in their current form (the status quo), there would be a small improvement in safety outcomes due to the transfer of responsibility for bridge structures to those with the most appropriate expertise. The changes would also deliver additional benefits for coordinating road authorities, while reducing the resourcing burden on councils. Although </w:t>
      </w:r>
      <w:r w:rsidR="00234E5A">
        <w:t xml:space="preserve">introducing minimum requirements for information to be included in applications for consent would create </w:t>
      </w:r>
      <w:r w:rsidRPr="00852E99">
        <w:t>a small increase in administrative burden on those proposing to conduct works, this is not considered to be significant and is outweighed by the overall benefits.</w:t>
      </w:r>
    </w:p>
    <w:p w14:paraId="38BC51EB" w14:textId="76E04F75" w:rsidR="00356347" w:rsidRDefault="00356347" w:rsidP="00356347">
      <w:r w:rsidRPr="00852E99">
        <w:t xml:space="preserve">Given the expected benefits over the base case and the status quo, </w:t>
      </w:r>
      <w:r w:rsidRPr="00852E99">
        <w:rPr>
          <w:b/>
        </w:rPr>
        <w:t>Option 1</w:t>
      </w:r>
      <w:r w:rsidRPr="00852E99">
        <w:t xml:space="preserve"> is the Department’s preferred option. </w:t>
      </w:r>
    </w:p>
    <w:p w14:paraId="2AFC195A" w14:textId="56DBA563" w:rsidR="008D1775" w:rsidRPr="009F24ED" w:rsidRDefault="00956738" w:rsidP="009F24ED">
      <w:pPr>
        <w:spacing w:before="240"/>
        <w:rPr>
          <w:b/>
          <w:bCs/>
          <w:sz w:val="24"/>
          <w:szCs w:val="24"/>
        </w:rPr>
      </w:pPr>
      <w:r w:rsidRPr="009F24ED">
        <w:rPr>
          <w:b/>
          <w:bCs/>
          <w:sz w:val="24"/>
          <w:szCs w:val="24"/>
        </w:rPr>
        <w:t>Preferred options (fees)</w:t>
      </w:r>
    </w:p>
    <w:p w14:paraId="21F02153" w14:textId="4161BC0C" w:rsidR="00356347" w:rsidRPr="00571456" w:rsidRDefault="00356347" w:rsidP="00356347">
      <w:r w:rsidRPr="00571456">
        <w:t xml:space="preserve">At this stage, the Department considers that there is insufficient evidence to support the implementation of Option 2 and therefore proposes </w:t>
      </w:r>
      <w:r w:rsidRPr="00571456">
        <w:rPr>
          <w:b/>
        </w:rPr>
        <w:t>Option 1</w:t>
      </w:r>
      <w:r w:rsidRPr="00571456">
        <w:t xml:space="preserve">. </w:t>
      </w:r>
    </w:p>
    <w:p w14:paraId="143B2F78" w14:textId="77777777" w:rsidR="00356347" w:rsidRPr="00571456" w:rsidRDefault="00356347" w:rsidP="00356347">
      <w:r w:rsidRPr="00571456">
        <w:t>The Department has undertaken an analysis of the costs of regulation based on a sample of costs incurred by several road authorities during recent years and considered different sub-options for restructuring fees. While the sample data suggests that Option 2 may result in more efficient and equitable outcomes than Option 1, the data is insufficient to illustrate whether Option 2 would enable adequate cost-recovery.</w:t>
      </w:r>
    </w:p>
    <w:p w14:paraId="3D98B88E" w14:textId="77777777" w:rsidR="00356347" w:rsidRPr="00571456" w:rsidRDefault="00356347" w:rsidP="00356347">
      <w:r w:rsidRPr="00571456">
        <w:lastRenderedPageBreak/>
        <w:t>The Department is seeking further data, evidence and feedback to understand the appropriateness of any restructuring of fees under the regulations. Option</w:t>
      </w:r>
      <w:r w:rsidRPr="00571456">
        <w:rPr>
          <w:rFonts w:ascii="Cambria" w:hAnsi="Cambria" w:cs="Cambria"/>
        </w:rPr>
        <w:t> </w:t>
      </w:r>
      <w:r w:rsidRPr="00571456">
        <w:t>2 is presented in this RIS to inform stakeholders of a probable future change to the regulations and initiate consultation on the proposal.</w:t>
      </w:r>
    </w:p>
    <w:p w14:paraId="26ECEEA3" w14:textId="77777777" w:rsidR="00356347" w:rsidRDefault="00356347" w:rsidP="00356347">
      <w:r w:rsidRPr="00571456">
        <w:t xml:space="preserve">Further investigation into the appropriateness of Option 2 should consider only recovering the directly attributed costs for the processing of consent for works applications to minimise the impacts on small business and participation. Further, any reduction or removal of fees for the processing of hoarding and advertising applications will require further consultation with stakeholders, particularly councils. </w:t>
      </w:r>
    </w:p>
    <w:p w14:paraId="6A8BAEE4" w14:textId="77777777" w:rsidR="00356347" w:rsidRPr="009F24ED" w:rsidRDefault="00356347" w:rsidP="009F24ED">
      <w:pPr>
        <w:spacing w:before="240"/>
        <w:rPr>
          <w:b/>
          <w:bCs/>
          <w:sz w:val="24"/>
          <w:szCs w:val="24"/>
        </w:rPr>
      </w:pPr>
      <w:r w:rsidRPr="009F24ED">
        <w:rPr>
          <w:b/>
          <w:bCs/>
          <w:sz w:val="24"/>
          <w:szCs w:val="24"/>
        </w:rPr>
        <w:t>Questions for stakeholders</w:t>
      </w:r>
    </w:p>
    <w:p w14:paraId="0BC14C34" w14:textId="77777777" w:rsidR="00356347" w:rsidRPr="00DA7366" w:rsidRDefault="00356347" w:rsidP="00356347">
      <w:pPr>
        <w:pStyle w:val="Style1"/>
        <w:contextualSpacing w:val="0"/>
        <w:rPr>
          <w:b/>
        </w:rPr>
      </w:pPr>
      <w:r w:rsidRPr="00DA7366">
        <w:rPr>
          <w:b/>
        </w:rPr>
        <w:t>Regulations (excluding fees):</w:t>
      </w:r>
    </w:p>
    <w:p w14:paraId="0170B643" w14:textId="3B3A9A31" w:rsidR="0029199A" w:rsidRDefault="00356347" w:rsidP="005D15EA">
      <w:pPr>
        <w:pStyle w:val="Style1"/>
        <w:numPr>
          <w:ilvl w:val="0"/>
          <w:numId w:val="35"/>
        </w:numPr>
      </w:pPr>
      <w:r w:rsidRPr="00BB1250">
        <w:t>Are there any</w:t>
      </w:r>
      <w:r w:rsidR="00940D4B">
        <w:t xml:space="preserve"> works related activities that are</w:t>
      </w:r>
      <w:r w:rsidRPr="00BB1250">
        <w:t xml:space="preserve"> exempt under the Regulations that should be modified and if so, why?</w:t>
      </w:r>
      <w:r w:rsidR="0029199A">
        <w:t xml:space="preserve"> </w:t>
      </w:r>
    </w:p>
    <w:p w14:paraId="21CDA68E" w14:textId="1E6D4D43" w:rsidR="00356347" w:rsidRPr="0092107C" w:rsidRDefault="00A92DC0" w:rsidP="0092107C">
      <w:pPr>
        <w:pStyle w:val="Style1"/>
        <w:ind w:left="709" w:firstLine="0"/>
        <w:rPr>
          <w:i/>
        </w:rPr>
      </w:pPr>
      <w:r w:rsidRPr="0092107C">
        <w:rPr>
          <w:i/>
        </w:rPr>
        <w:t>When answering the above question, please also consider whether there should be amendments to relevant definitions such as ‘minor works’, ‘traffic impact works’ and ‘service extension works’. For example, is 8.5 square metres of excavation an appropriate size under the definition of minor works? If not, what size would be more appropriate and why?</w:t>
      </w:r>
    </w:p>
    <w:p w14:paraId="7C8AF322" w14:textId="7D84D9F5" w:rsidR="002E5EE6" w:rsidRDefault="00E7518F" w:rsidP="00E7518F">
      <w:pPr>
        <w:pStyle w:val="Style1"/>
        <w:numPr>
          <w:ilvl w:val="0"/>
          <w:numId w:val="35"/>
        </w:numPr>
      </w:pPr>
      <w:r>
        <w:t>Are there any works related activities that should be exempt that are not already covered under the Regulations</w:t>
      </w:r>
      <w:r w:rsidR="0073610C">
        <w:t xml:space="preserve"> or the Act</w:t>
      </w:r>
      <w:r>
        <w:t>?</w:t>
      </w:r>
    </w:p>
    <w:p w14:paraId="697B4863" w14:textId="5AC2C1A0" w:rsidR="00356347" w:rsidRPr="00BB1250" w:rsidRDefault="00356347" w:rsidP="005D15EA">
      <w:pPr>
        <w:pStyle w:val="Style1"/>
        <w:numPr>
          <w:ilvl w:val="0"/>
          <w:numId w:val="35"/>
        </w:numPr>
      </w:pPr>
      <w:r w:rsidRPr="00BB1250">
        <w:t xml:space="preserve">Should utilities, public transport providers and/or other road authorities be required to notify </w:t>
      </w:r>
      <w:r w:rsidR="008B3157">
        <w:t xml:space="preserve">coordinating </w:t>
      </w:r>
      <w:r w:rsidRPr="00BB1250">
        <w:t>road authorities about planned works? What tangible benefits would be provided by receiving notification of planned works rather than completed works?</w:t>
      </w:r>
    </w:p>
    <w:p w14:paraId="3994DDA6" w14:textId="77777777" w:rsidR="00356347" w:rsidRPr="00BB1250" w:rsidRDefault="00356347" w:rsidP="005D15EA">
      <w:pPr>
        <w:pStyle w:val="Style1"/>
        <w:numPr>
          <w:ilvl w:val="0"/>
          <w:numId w:val="35"/>
        </w:numPr>
      </w:pPr>
      <w:r w:rsidRPr="00BB1250">
        <w:t>If compliance issues were addressed in relation to notification of completed works, would there still be regulatory gaps and if so, what are they?</w:t>
      </w:r>
    </w:p>
    <w:p w14:paraId="0AD50A27" w14:textId="77777777" w:rsidR="00562D0E" w:rsidRDefault="00356347" w:rsidP="00562D0E">
      <w:pPr>
        <w:pStyle w:val="Style1"/>
        <w:numPr>
          <w:ilvl w:val="0"/>
          <w:numId w:val="35"/>
        </w:numPr>
      </w:pPr>
      <w:r w:rsidRPr="00BB1250">
        <w:t>What data can be provided to demonstrate the scale of the impact of conditions imposed on consents by coordinating road authorities?</w:t>
      </w:r>
    </w:p>
    <w:p w14:paraId="4CDE4A09" w14:textId="25E69CD8" w:rsidR="00562D0E" w:rsidRPr="00562D0E" w:rsidRDefault="00562D0E" w:rsidP="00562D0E">
      <w:pPr>
        <w:pStyle w:val="Style1"/>
        <w:numPr>
          <w:ilvl w:val="0"/>
          <w:numId w:val="35"/>
        </w:numPr>
      </w:pPr>
      <w:r>
        <w:t xml:space="preserve">Do you agree with the </w:t>
      </w:r>
      <w:r w:rsidRPr="006545FF">
        <w:t>proposed minimum required information to</w:t>
      </w:r>
      <w:r w:rsidR="00066FE7">
        <w:t xml:space="preserve"> be</w:t>
      </w:r>
      <w:r w:rsidRPr="006545FF">
        <w:t xml:space="preserve"> include</w:t>
      </w:r>
      <w:r w:rsidR="00066FE7">
        <w:t>d</w:t>
      </w:r>
      <w:r w:rsidRPr="006545FF">
        <w:t xml:space="preserve"> in applications to conduct works on roads</w:t>
      </w:r>
      <w:r>
        <w:t>?</w:t>
      </w:r>
    </w:p>
    <w:p w14:paraId="112B5717" w14:textId="77777777" w:rsidR="00F17179" w:rsidRDefault="00356347" w:rsidP="00F17179">
      <w:pPr>
        <w:pStyle w:val="Style1"/>
        <w:numPr>
          <w:ilvl w:val="0"/>
          <w:numId w:val="35"/>
        </w:numPr>
      </w:pPr>
      <w:r w:rsidRPr="00BB1250">
        <w:t>What data is available to illustrate benefits to the community that would be offered by adjusting the prescribed periods for the assessment of applications of utility maintenance works that are also traffic impact works?</w:t>
      </w:r>
    </w:p>
    <w:p w14:paraId="7C787DED" w14:textId="48D0EAA6" w:rsidR="00936158" w:rsidRPr="00936158" w:rsidRDefault="005F0AD3" w:rsidP="00B34812">
      <w:pPr>
        <w:pStyle w:val="Style1"/>
        <w:numPr>
          <w:ilvl w:val="0"/>
          <w:numId w:val="35"/>
        </w:numPr>
      </w:pPr>
      <w:r>
        <w:t xml:space="preserve">The proposed Regulations introduce </w:t>
      </w:r>
      <w:r w:rsidR="00F416A3">
        <w:t xml:space="preserve">new </w:t>
      </w:r>
      <w:r w:rsidR="006D7B73">
        <w:t>offences for leaving a bulk rubbish container</w:t>
      </w:r>
      <w:r w:rsidR="00F95D0E">
        <w:t xml:space="preserve"> </w:t>
      </w:r>
      <w:r w:rsidR="00443F1E">
        <w:t xml:space="preserve">of </w:t>
      </w:r>
      <w:r w:rsidR="009745B8">
        <w:t xml:space="preserve">500 litres </w:t>
      </w:r>
      <w:r w:rsidR="00C25B5B">
        <w:t xml:space="preserve">or more </w:t>
      </w:r>
      <w:r w:rsidR="00F416A3">
        <w:t xml:space="preserve">and </w:t>
      </w:r>
      <w:r w:rsidR="00F95D0E">
        <w:t>a large object</w:t>
      </w:r>
      <w:r w:rsidR="001113C3">
        <w:t xml:space="preserve"> </w:t>
      </w:r>
      <w:r w:rsidR="009745B8">
        <w:t xml:space="preserve">of </w:t>
      </w:r>
      <w:r w:rsidR="009A2891">
        <w:t xml:space="preserve">500 litres or 500 kilograms </w:t>
      </w:r>
      <w:r w:rsidR="00C25B5B">
        <w:t xml:space="preserve">or more </w:t>
      </w:r>
      <w:r w:rsidR="001113C3">
        <w:t xml:space="preserve">on a roadway to which a clearway sign applies. </w:t>
      </w:r>
      <w:r w:rsidR="009A2891">
        <w:t xml:space="preserve">Do you </w:t>
      </w:r>
      <w:r w:rsidR="009B330C">
        <w:t>agree</w:t>
      </w:r>
      <w:r w:rsidR="009A2891">
        <w:t xml:space="preserve"> th</w:t>
      </w:r>
      <w:r w:rsidR="003E1587">
        <w:t xml:space="preserve">is </w:t>
      </w:r>
      <w:r w:rsidR="009A2891">
        <w:t xml:space="preserve">the right </w:t>
      </w:r>
      <w:r w:rsidR="009553DF">
        <w:t>capacity</w:t>
      </w:r>
      <w:r w:rsidR="00E653FB">
        <w:t xml:space="preserve"> and weight</w:t>
      </w:r>
      <w:r w:rsidR="009A2891">
        <w:t xml:space="preserve"> for these </w:t>
      </w:r>
      <w:r w:rsidR="00920238">
        <w:t>items</w:t>
      </w:r>
      <w:r w:rsidR="009A2891">
        <w:t>?</w:t>
      </w:r>
    </w:p>
    <w:p w14:paraId="46B8D270" w14:textId="77777777" w:rsidR="00356347" w:rsidRPr="00DA7366" w:rsidRDefault="00356347" w:rsidP="00356347">
      <w:pPr>
        <w:rPr>
          <w:b/>
        </w:rPr>
      </w:pPr>
      <w:r w:rsidRPr="00DA7366">
        <w:rPr>
          <w:b/>
        </w:rPr>
        <w:t>Fees:</w:t>
      </w:r>
    </w:p>
    <w:p w14:paraId="0F524CE0" w14:textId="4197A529" w:rsidR="00F17179" w:rsidRDefault="00B61894" w:rsidP="005D15EA">
      <w:pPr>
        <w:pStyle w:val="Style1"/>
        <w:numPr>
          <w:ilvl w:val="0"/>
          <w:numId w:val="35"/>
        </w:numPr>
      </w:pPr>
      <w:r w:rsidRPr="00B61894">
        <w:t>DTP would welcome any feedback on the appropriateness of the current fees for applications</w:t>
      </w:r>
      <w:r w:rsidR="007F2338">
        <w:t>:</w:t>
      </w:r>
      <w:r w:rsidRPr="00B61894">
        <w:t xml:space="preserve"> to conduct works on roads; for property enquiries; and to install hoardings and advertisements. </w:t>
      </w:r>
    </w:p>
    <w:p w14:paraId="05CF696C" w14:textId="7E97F0C0" w:rsidR="00356347" w:rsidRDefault="00171099" w:rsidP="00F17179">
      <w:pPr>
        <w:pStyle w:val="Style1"/>
        <w:numPr>
          <w:ilvl w:val="0"/>
          <w:numId w:val="35"/>
        </w:numPr>
      </w:pPr>
      <w:r>
        <w:t xml:space="preserve">DTP </w:t>
      </w:r>
      <w:r w:rsidR="00356347" w:rsidRPr="006B7941">
        <w:t>would welcome feedback on any other reasonable fees that should be considered to be charged to assist with cost recovery</w:t>
      </w:r>
      <w:r w:rsidR="00356347">
        <w:t>.</w:t>
      </w:r>
    </w:p>
    <w:p w14:paraId="28D004F5" w14:textId="4D77AF81" w:rsidR="00A34840" w:rsidRPr="0092107C" w:rsidRDefault="00A34840" w:rsidP="0092107C">
      <w:pPr>
        <w:pStyle w:val="ListBullet"/>
        <w:rPr>
          <w:b/>
        </w:rPr>
      </w:pPr>
      <w:r w:rsidRPr="0092107C">
        <w:rPr>
          <w:b/>
        </w:rPr>
        <w:t>Options</w:t>
      </w:r>
      <w:r>
        <w:rPr>
          <w:b/>
        </w:rPr>
        <w:t>:</w:t>
      </w:r>
    </w:p>
    <w:p w14:paraId="426AF3A5" w14:textId="77777777" w:rsidR="00A34840" w:rsidRPr="00AA0390" w:rsidRDefault="00A34840" w:rsidP="00A34840">
      <w:pPr>
        <w:pStyle w:val="Style1"/>
        <w:numPr>
          <w:ilvl w:val="0"/>
          <w:numId w:val="35"/>
        </w:numPr>
      </w:pPr>
      <w:r w:rsidRPr="00AA0390">
        <w:t>Do you agree with the range of feasible high-level options identified for consideration? If not, what other options should be considered?</w:t>
      </w:r>
    </w:p>
    <w:p w14:paraId="1C11DDEE" w14:textId="77777777" w:rsidR="00A34840" w:rsidRPr="00337E5A" w:rsidRDefault="00A34840" w:rsidP="00A34840">
      <w:pPr>
        <w:pStyle w:val="Style1"/>
        <w:numPr>
          <w:ilvl w:val="0"/>
          <w:numId w:val="35"/>
        </w:numPr>
      </w:pPr>
      <w:r w:rsidRPr="00AA0390">
        <w:t>Do you support the assessment of options in the multi-criteria analysis? If not, why? How would you score and weight each criterion for each option presented?</w:t>
      </w:r>
    </w:p>
    <w:p w14:paraId="010C076A" w14:textId="25FBF4FB" w:rsidR="00356347" w:rsidRPr="00AA0390" w:rsidRDefault="00356347" w:rsidP="005D15EA">
      <w:pPr>
        <w:pStyle w:val="Style1"/>
        <w:numPr>
          <w:ilvl w:val="0"/>
          <w:numId w:val="35"/>
        </w:numPr>
      </w:pPr>
      <w:r w:rsidRPr="00AA0390">
        <w:t xml:space="preserve">Do you agree that maintaining the current structure and level of cost recovery – as under </w:t>
      </w:r>
      <w:r w:rsidR="00E0263C">
        <w:t xml:space="preserve">fees </w:t>
      </w:r>
      <w:r w:rsidRPr="00AA0390">
        <w:t>Option 1</w:t>
      </w:r>
      <w:r w:rsidR="00585B02">
        <w:t xml:space="preserve"> </w:t>
      </w:r>
      <w:r w:rsidRPr="00AA0390">
        <w:t>– is the best option? If not, why? What is your preferred option?</w:t>
      </w:r>
    </w:p>
    <w:p w14:paraId="4585234E" w14:textId="3250E7DF" w:rsidR="00356347" w:rsidRPr="00AA0390" w:rsidRDefault="00356347" w:rsidP="005D15EA">
      <w:pPr>
        <w:pStyle w:val="Style1"/>
        <w:numPr>
          <w:ilvl w:val="0"/>
          <w:numId w:val="35"/>
        </w:numPr>
      </w:pPr>
      <w:r w:rsidRPr="00AA0390">
        <w:lastRenderedPageBreak/>
        <w:t xml:space="preserve">If </w:t>
      </w:r>
      <w:r w:rsidR="00E0263C">
        <w:t xml:space="preserve">fees </w:t>
      </w:r>
      <w:r w:rsidRPr="00AA0390">
        <w:t>Option 2</w:t>
      </w:r>
      <w:r w:rsidR="00AB1A4E">
        <w:t>,</w:t>
      </w:r>
      <w:r w:rsidRPr="00AA0390">
        <w:t xml:space="preserve"> were adopted, are there any changes that should be made to support efficient cost recovery?</w:t>
      </w:r>
    </w:p>
    <w:p w14:paraId="1FA85137" w14:textId="58BC2C9D" w:rsidR="00356347" w:rsidRDefault="00826E2F" w:rsidP="005D15EA">
      <w:pPr>
        <w:pStyle w:val="Style1"/>
        <w:numPr>
          <w:ilvl w:val="0"/>
          <w:numId w:val="35"/>
        </w:numPr>
      </w:pPr>
      <w:r>
        <w:t>DTP</w:t>
      </w:r>
      <w:r w:rsidRPr="00AA0390">
        <w:t xml:space="preserve"> </w:t>
      </w:r>
      <w:r w:rsidR="00356347" w:rsidRPr="00AA0390">
        <w:t>would welcome feedback on any increases or reductions to fees that should be considered to assist</w:t>
      </w:r>
      <w:r w:rsidR="00A34840">
        <w:t xml:space="preserve"> </w:t>
      </w:r>
      <w:r w:rsidR="00356347" w:rsidRPr="00AA0390">
        <w:t>with efficient cost recovery.</w:t>
      </w:r>
    </w:p>
    <w:p w14:paraId="221A976D" w14:textId="77777777" w:rsidR="00356347" w:rsidRPr="009F24ED" w:rsidRDefault="00356347" w:rsidP="009F24ED">
      <w:pPr>
        <w:spacing w:before="240"/>
        <w:rPr>
          <w:b/>
          <w:bCs/>
          <w:sz w:val="24"/>
          <w:szCs w:val="24"/>
        </w:rPr>
      </w:pPr>
      <w:r w:rsidRPr="009F24ED">
        <w:rPr>
          <w:b/>
          <w:bCs/>
          <w:sz w:val="24"/>
          <w:szCs w:val="24"/>
        </w:rPr>
        <w:t>Implementation</w:t>
      </w:r>
    </w:p>
    <w:p w14:paraId="23852BB3" w14:textId="5BAD9E12" w:rsidR="00356347" w:rsidRDefault="00356347" w:rsidP="000D0BEE">
      <w:r>
        <w:t>Following the formal RIS consultation period, the Department will</w:t>
      </w:r>
      <w:r w:rsidR="00B16AC1">
        <w:t xml:space="preserve"> </w:t>
      </w:r>
      <w:r>
        <w:t>review and consider submissions and comments,</w:t>
      </w:r>
      <w:r w:rsidR="00B16AC1">
        <w:t xml:space="preserve"> and </w:t>
      </w:r>
      <w:r>
        <w:t>make any necessary changes to the draft Regulations,</w:t>
      </w:r>
      <w:r w:rsidR="00B16AC1">
        <w:t xml:space="preserve"> before </w:t>
      </w:r>
      <w:r w:rsidR="00FE5ED6">
        <w:t xml:space="preserve">making its final recommendation </w:t>
      </w:r>
      <w:r>
        <w:t>to the Minister</w:t>
      </w:r>
      <w:r w:rsidR="00FE5ED6">
        <w:t>.</w:t>
      </w:r>
      <w:r w:rsidR="003062A7">
        <w:t xml:space="preserve"> </w:t>
      </w:r>
    </w:p>
    <w:p w14:paraId="1F8B1917" w14:textId="42F03FDE" w:rsidR="00356347" w:rsidRPr="00C1490B" w:rsidRDefault="00356347" w:rsidP="00356347">
      <w:r>
        <w:t xml:space="preserve">If the Minister approves the proposed Regulations, </w:t>
      </w:r>
      <w:r w:rsidR="003062A7">
        <w:t>a</w:t>
      </w:r>
      <w:r>
        <w:t xml:space="preserve"> </w:t>
      </w:r>
      <w:r w:rsidR="003062A7">
        <w:t xml:space="preserve">notice of decision will be published on the Victorian Public Notices website and </w:t>
      </w:r>
      <w:r>
        <w:t>they will be formally made by the Governor in Council. The new regulations will commence</w:t>
      </w:r>
      <w:r w:rsidR="00FB6B5A">
        <w:t xml:space="preserve"> in</w:t>
      </w:r>
      <w:r>
        <w:t xml:space="preserve"> early to mid-2026.</w:t>
      </w:r>
    </w:p>
    <w:p w14:paraId="364E4579" w14:textId="77777777" w:rsidR="00356347" w:rsidRPr="009F24ED" w:rsidRDefault="00356347" w:rsidP="001E6BB9">
      <w:pPr>
        <w:keepNext/>
        <w:spacing w:before="240"/>
        <w:rPr>
          <w:b/>
          <w:bCs/>
          <w:sz w:val="24"/>
          <w:szCs w:val="24"/>
        </w:rPr>
      </w:pPr>
      <w:r w:rsidRPr="009F24ED">
        <w:rPr>
          <w:b/>
          <w:bCs/>
          <w:sz w:val="24"/>
          <w:szCs w:val="24"/>
        </w:rPr>
        <w:t>Evaluation</w:t>
      </w:r>
    </w:p>
    <w:p w14:paraId="73CBFCAF" w14:textId="77777777" w:rsidR="00356347" w:rsidRPr="00C1490B" w:rsidRDefault="00356347" w:rsidP="001E6BB9">
      <w:pPr>
        <w:keepNext/>
      </w:pPr>
      <w:r>
        <w:t xml:space="preserve">Ten years after the proposed regulations come into force, the Department will consider whether the regulations are still necessary to achieve the objectives. If so, the Department will prepare a new RIS to review whether they are fit for purpose at that time. </w:t>
      </w:r>
    </w:p>
    <w:p w14:paraId="73A9BB95" w14:textId="77777777" w:rsidR="00356347" w:rsidRPr="009F24ED" w:rsidRDefault="00356347" w:rsidP="009F24ED">
      <w:pPr>
        <w:spacing w:before="240"/>
        <w:rPr>
          <w:b/>
          <w:bCs/>
          <w:sz w:val="24"/>
          <w:szCs w:val="24"/>
        </w:rPr>
      </w:pPr>
      <w:r w:rsidRPr="009F24ED">
        <w:rPr>
          <w:b/>
          <w:bCs/>
          <w:sz w:val="24"/>
          <w:szCs w:val="24"/>
        </w:rPr>
        <w:t>Consultation</w:t>
      </w:r>
    </w:p>
    <w:p w14:paraId="518E46A1" w14:textId="2DA9760E" w:rsidR="00356347" w:rsidRDefault="00356347" w:rsidP="00356347">
      <w:r>
        <w:t>Organisations that engaged in consultation during the preliminary consultation process:</w:t>
      </w:r>
    </w:p>
    <w:p w14:paraId="5A385FEF" w14:textId="77777777" w:rsidR="00356347" w:rsidRDefault="00356347" w:rsidP="005D15EA">
      <w:pPr>
        <w:pStyle w:val="ListBullet"/>
        <w:numPr>
          <w:ilvl w:val="0"/>
          <w:numId w:val="33"/>
        </w:numPr>
      </w:pPr>
      <w:r>
        <w:t>Councils</w:t>
      </w:r>
    </w:p>
    <w:p w14:paraId="3FC53EAC" w14:textId="77777777" w:rsidR="00356347" w:rsidRDefault="00356347" w:rsidP="005D15EA">
      <w:pPr>
        <w:pStyle w:val="ListBullet2"/>
        <w:numPr>
          <w:ilvl w:val="1"/>
          <w:numId w:val="13"/>
        </w:numPr>
      </w:pPr>
      <w:r>
        <w:t>Ballarat City Council</w:t>
      </w:r>
    </w:p>
    <w:p w14:paraId="0D022713" w14:textId="77777777" w:rsidR="00356347" w:rsidRDefault="00356347" w:rsidP="005D15EA">
      <w:pPr>
        <w:pStyle w:val="ListBullet2"/>
        <w:numPr>
          <w:ilvl w:val="1"/>
          <w:numId w:val="13"/>
        </w:numPr>
      </w:pPr>
      <w:r>
        <w:t>Bayside City Council</w:t>
      </w:r>
    </w:p>
    <w:p w14:paraId="26A1CE88" w14:textId="77777777" w:rsidR="00356347" w:rsidRDefault="00356347" w:rsidP="005D15EA">
      <w:pPr>
        <w:pStyle w:val="ListBullet2"/>
        <w:numPr>
          <w:ilvl w:val="1"/>
          <w:numId w:val="13"/>
        </w:numPr>
      </w:pPr>
      <w:r>
        <w:t>Casey City Council</w:t>
      </w:r>
    </w:p>
    <w:p w14:paraId="287D0DF3" w14:textId="77777777" w:rsidR="00356347" w:rsidRDefault="00356347" w:rsidP="005D15EA">
      <w:pPr>
        <w:pStyle w:val="ListBullet2"/>
        <w:numPr>
          <w:ilvl w:val="1"/>
          <w:numId w:val="13"/>
        </w:numPr>
      </w:pPr>
      <w:r>
        <w:t>East Gippsland Shire Council</w:t>
      </w:r>
    </w:p>
    <w:p w14:paraId="608CF53F" w14:textId="77777777" w:rsidR="00356347" w:rsidRDefault="00356347" w:rsidP="005D15EA">
      <w:pPr>
        <w:pStyle w:val="ListBullet2"/>
        <w:numPr>
          <w:ilvl w:val="1"/>
          <w:numId w:val="13"/>
        </w:numPr>
      </w:pPr>
      <w:r>
        <w:t>Glenelg Shire Council</w:t>
      </w:r>
    </w:p>
    <w:p w14:paraId="1AA96727" w14:textId="77777777" w:rsidR="00356347" w:rsidRDefault="00356347" w:rsidP="005D15EA">
      <w:pPr>
        <w:pStyle w:val="ListBullet2"/>
        <w:numPr>
          <w:ilvl w:val="1"/>
          <w:numId w:val="13"/>
        </w:numPr>
      </w:pPr>
      <w:r>
        <w:t>Melbourne City Council</w:t>
      </w:r>
    </w:p>
    <w:p w14:paraId="6FE700E8" w14:textId="77777777" w:rsidR="00356347" w:rsidRDefault="00356347" w:rsidP="005D15EA">
      <w:pPr>
        <w:pStyle w:val="ListBullet2"/>
        <w:numPr>
          <w:ilvl w:val="1"/>
          <w:numId w:val="13"/>
        </w:numPr>
      </w:pPr>
      <w:r>
        <w:t>Mildura Rural City Council</w:t>
      </w:r>
    </w:p>
    <w:p w14:paraId="0C1AB7E6" w14:textId="77777777" w:rsidR="00356347" w:rsidRDefault="00356347" w:rsidP="005D15EA">
      <w:pPr>
        <w:pStyle w:val="ListBullet2"/>
        <w:numPr>
          <w:ilvl w:val="1"/>
          <w:numId w:val="13"/>
        </w:numPr>
      </w:pPr>
      <w:r>
        <w:t>Monash City Council</w:t>
      </w:r>
    </w:p>
    <w:p w14:paraId="780DB084" w14:textId="77777777" w:rsidR="00356347" w:rsidRDefault="00356347" w:rsidP="005D15EA">
      <w:pPr>
        <w:pStyle w:val="ListBullet2"/>
        <w:numPr>
          <w:ilvl w:val="1"/>
          <w:numId w:val="13"/>
        </w:numPr>
      </w:pPr>
      <w:r>
        <w:t>Moyne Shire Council</w:t>
      </w:r>
    </w:p>
    <w:p w14:paraId="4039C079" w14:textId="77777777" w:rsidR="00356347" w:rsidRDefault="00356347" w:rsidP="005D15EA">
      <w:pPr>
        <w:pStyle w:val="ListBullet2"/>
        <w:numPr>
          <w:ilvl w:val="1"/>
          <w:numId w:val="13"/>
        </w:numPr>
      </w:pPr>
      <w:r>
        <w:t>Swan Hill Rural City Council</w:t>
      </w:r>
    </w:p>
    <w:p w14:paraId="0299BA00" w14:textId="77777777" w:rsidR="00356347" w:rsidRDefault="00356347" w:rsidP="005D15EA">
      <w:pPr>
        <w:pStyle w:val="ListBullet2"/>
        <w:numPr>
          <w:ilvl w:val="1"/>
          <w:numId w:val="13"/>
        </w:numPr>
      </w:pPr>
      <w:r>
        <w:t>Whitehorse City Council</w:t>
      </w:r>
    </w:p>
    <w:p w14:paraId="5E8155E2" w14:textId="77777777" w:rsidR="00356347" w:rsidRDefault="00356347" w:rsidP="005D15EA">
      <w:pPr>
        <w:pStyle w:val="ListBullet"/>
        <w:numPr>
          <w:ilvl w:val="0"/>
          <w:numId w:val="13"/>
        </w:numPr>
      </w:pPr>
      <w:r>
        <w:t xml:space="preserve">The </w:t>
      </w:r>
      <w:r w:rsidRPr="001F4908">
        <w:t>Municipal Association of Victoria</w:t>
      </w:r>
    </w:p>
    <w:p w14:paraId="22C8AEAD" w14:textId="77777777" w:rsidR="00356347" w:rsidRDefault="00356347" w:rsidP="005D15EA">
      <w:pPr>
        <w:pStyle w:val="ListBullet"/>
        <w:numPr>
          <w:ilvl w:val="0"/>
          <w:numId w:val="13"/>
        </w:numPr>
      </w:pPr>
      <w:r w:rsidRPr="00540572">
        <w:t xml:space="preserve">CitiPower Pty Ltd </w:t>
      </w:r>
      <w:r>
        <w:t>and</w:t>
      </w:r>
      <w:r w:rsidRPr="00540572">
        <w:t xml:space="preserve"> Powercor Australia Ltd </w:t>
      </w:r>
    </w:p>
    <w:p w14:paraId="07E1D8BA" w14:textId="77777777" w:rsidR="00356347" w:rsidRDefault="00356347" w:rsidP="005D15EA">
      <w:pPr>
        <w:pStyle w:val="ListBullet"/>
        <w:numPr>
          <w:ilvl w:val="0"/>
          <w:numId w:val="13"/>
        </w:numPr>
      </w:pPr>
      <w:r w:rsidRPr="00F64587">
        <w:t>Jemena Pty Ltd</w:t>
      </w:r>
      <w:r>
        <w:t xml:space="preserve"> and Zinfra Pty Ltd</w:t>
      </w:r>
    </w:p>
    <w:p w14:paraId="7E43FBAF" w14:textId="77777777" w:rsidR="00356347" w:rsidRDefault="00356347" w:rsidP="005D15EA">
      <w:pPr>
        <w:pStyle w:val="ListBullet"/>
        <w:numPr>
          <w:ilvl w:val="0"/>
          <w:numId w:val="13"/>
        </w:numPr>
      </w:pPr>
      <w:r>
        <w:t>T</w:t>
      </w:r>
      <w:r w:rsidRPr="008B4B18">
        <w:t>he Department of Energy, Environment and Climate Action (including on behalf of Parks Victoria</w:t>
      </w:r>
      <w:r>
        <w:t>)</w:t>
      </w:r>
    </w:p>
    <w:p w14:paraId="111B578C" w14:textId="77777777" w:rsidR="00356347" w:rsidRPr="009455E5" w:rsidRDefault="00356347" w:rsidP="005D15EA">
      <w:pPr>
        <w:pStyle w:val="ListBullet"/>
        <w:numPr>
          <w:ilvl w:val="0"/>
          <w:numId w:val="13"/>
        </w:numPr>
      </w:pPr>
      <w:r>
        <w:t xml:space="preserve">The </w:t>
      </w:r>
      <w:r w:rsidRPr="009455E5">
        <w:t>Department of Justice and Community Safety</w:t>
      </w:r>
    </w:p>
    <w:p w14:paraId="60FA49C8" w14:textId="77777777" w:rsidR="00356347" w:rsidRDefault="00356347" w:rsidP="005D15EA">
      <w:pPr>
        <w:pStyle w:val="ListBullet"/>
        <w:numPr>
          <w:ilvl w:val="0"/>
          <w:numId w:val="13"/>
        </w:numPr>
      </w:pPr>
      <w:r>
        <w:t>R</w:t>
      </w:r>
      <w:r w:rsidRPr="008B4B18">
        <w:t>elevant areas within the Department</w:t>
      </w:r>
    </w:p>
    <w:p w14:paraId="2E89309B" w14:textId="77777777" w:rsidR="006E6E33" w:rsidRPr="009F24ED" w:rsidRDefault="006E6E33" w:rsidP="009F24ED">
      <w:pPr>
        <w:spacing w:before="240"/>
        <w:rPr>
          <w:b/>
          <w:bCs/>
          <w:sz w:val="24"/>
          <w:szCs w:val="24"/>
        </w:rPr>
      </w:pPr>
      <w:r w:rsidRPr="009F24ED">
        <w:rPr>
          <w:b/>
          <w:bCs/>
          <w:sz w:val="24"/>
          <w:szCs w:val="24"/>
        </w:rPr>
        <w:t>How you can have your say</w:t>
      </w:r>
    </w:p>
    <w:p w14:paraId="601A7B02" w14:textId="77777777" w:rsidR="006E6E33" w:rsidRPr="00C34CF2" w:rsidRDefault="006E6E33" w:rsidP="006E6E33">
      <w:r w:rsidRPr="00C34CF2">
        <w:t>You are invited to make comments on the RIS and the proposed Regulations.</w:t>
      </w:r>
    </w:p>
    <w:p w14:paraId="72EDDE41" w14:textId="71A7F37A" w:rsidR="006E6E33" w:rsidRPr="00C34CF2" w:rsidRDefault="006E6E33" w:rsidP="006E6E33">
      <w:r w:rsidRPr="00C34CF2">
        <w:t xml:space="preserve">Submissions may present an analysis of alternative options and recommend changes to the proposed Regulations. </w:t>
      </w:r>
    </w:p>
    <w:p w14:paraId="2A745E59" w14:textId="77777777" w:rsidR="006E6E33" w:rsidRPr="00C34CF2" w:rsidRDefault="006E6E33" w:rsidP="006E6E33">
      <w:r w:rsidRPr="00C34CF2">
        <w:t xml:space="preserve">Submissions must be made in writing and submitted on the Engage Victoria website at </w:t>
      </w:r>
      <w:r w:rsidRPr="00555BF9">
        <w:rPr>
          <w:u w:val="single"/>
        </w:rPr>
        <w:t>engage.vic.gov.au</w:t>
      </w:r>
      <w:r w:rsidRPr="00555BF9">
        <w:t>.</w:t>
      </w:r>
      <w:r w:rsidRPr="00C34CF2">
        <w:t xml:space="preserve"> </w:t>
      </w:r>
    </w:p>
    <w:p w14:paraId="4D544430" w14:textId="53348A80" w:rsidR="006E6E33" w:rsidRPr="00C34CF2" w:rsidRDefault="006E6E33" w:rsidP="006E6E33">
      <w:r w:rsidRPr="00C34CF2">
        <w:lastRenderedPageBreak/>
        <w:t xml:space="preserve">Submissions must be provided on or before 11:59pm on </w:t>
      </w:r>
      <w:r w:rsidR="00555BF9">
        <w:t>5 May 2026.</w:t>
      </w:r>
      <w:r w:rsidRPr="00C34CF2">
        <w:t xml:space="preserve"> </w:t>
      </w:r>
    </w:p>
    <w:p w14:paraId="34C8C6B2" w14:textId="77777777" w:rsidR="006E6E33" w:rsidRPr="00C34CF2" w:rsidRDefault="006E6E33" w:rsidP="006E6E33">
      <w:r w:rsidRPr="00C34CF2">
        <w:t>Please note that all submissions will be treated as public information unless you request otherwise.</w:t>
      </w:r>
    </w:p>
    <w:p w14:paraId="157B6BAA" w14:textId="77777777" w:rsidR="006E6E33" w:rsidRPr="00C34CF2" w:rsidRDefault="006E6E33" w:rsidP="006E6E33">
      <w:r w:rsidRPr="00C34CF2">
        <w:t xml:space="preserve">You should be aware that all submissions are subject to the </w:t>
      </w:r>
      <w:r w:rsidRPr="00C34CF2">
        <w:rPr>
          <w:i/>
          <w:iCs/>
        </w:rPr>
        <w:t>Freedom of Information Act 1982</w:t>
      </w:r>
      <w:r w:rsidRPr="00C34CF2">
        <w:t>.</w:t>
      </w:r>
    </w:p>
    <w:p w14:paraId="4E232558" w14:textId="5FB55D31" w:rsidR="00356347" w:rsidRDefault="006E6E33">
      <w:pPr>
        <w:rPr>
          <w:rFonts w:asciiTheme="majorHAnsi" w:eastAsiaTheme="majorEastAsia" w:hAnsiTheme="majorHAnsi" w:cstheme="majorBidi"/>
          <w:b/>
          <w:color w:val="075D5F" w:themeColor="accent1"/>
          <w:sz w:val="28"/>
          <w:szCs w:val="50"/>
        </w:rPr>
      </w:pPr>
      <w:r w:rsidRPr="00C34CF2">
        <w:t>Personal information may be used to contact you regarding your submission and the outcomes of the consultation. Please clearly state in your submission if you do not wish for this to occur.</w:t>
      </w:r>
      <w:r w:rsidR="00356347">
        <w:br w:type="page"/>
      </w:r>
    </w:p>
    <w:p w14:paraId="78CFE0DD" w14:textId="358DAA27" w:rsidR="00C34CF2" w:rsidRPr="00C34CF2" w:rsidRDefault="00C34CF2" w:rsidP="005C2762">
      <w:pPr>
        <w:pStyle w:val="Heading1-Numbered"/>
      </w:pPr>
      <w:bookmarkStart w:id="5" w:name="_Toc226448266"/>
      <w:r w:rsidRPr="00C34CF2">
        <w:lastRenderedPageBreak/>
        <w:t>Introduction</w:t>
      </w:r>
      <w:bookmarkEnd w:id="1"/>
      <w:bookmarkEnd w:id="5"/>
    </w:p>
    <w:p w14:paraId="59F273B2" w14:textId="77777777" w:rsidR="00C34CF2" w:rsidRPr="00C34CF2" w:rsidRDefault="00C34CF2" w:rsidP="009547CB">
      <w:pPr>
        <w:pStyle w:val="Heading2-Numbered"/>
      </w:pPr>
      <w:bookmarkStart w:id="6" w:name="_Toc209440255"/>
      <w:bookmarkStart w:id="7" w:name="_Ref210735971"/>
      <w:bookmarkStart w:id="8" w:name="_Toc226448267"/>
      <w:r w:rsidRPr="00C34CF2">
        <w:t>The road network, roles and responsibilities</w:t>
      </w:r>
      <w:bookmarkEnd w:id="6"/>
      <w:bookmarkEnd w:id="7"/>
      <w:bookmarkEnd w:id="8"/>
    </w:p>
    <w:p w14:paraId="454D65C8" w14:textId="2A71811B" w:rsidR="00C34CF2" w:rsidRPr="00C34CF2" w:rsidRDefault="00C34CF2" w:rsidP="00C34CF2">
      <w:r w:rsidRPr="00C34CF2">
        <w:t>Roads are the spine of the public and private transport systems. They connect communities and provide a convenient way to access services such as healthcare, education and employment. Much of the Victorian economy depends on the efficient and effective management of the roads. Almost all goods in the metropolitan area and more than 80 per cent of goods in country Victoria are transported by road.</w:t>
      </w:r>
      <w:r w:rsidRPr="00C34CF2">
        <w:rPr>
          <w:vertAlign w:val="superscript"/>
        </w:rPr>
        <w:footnoteReference w:id="4"/>
      </w:r>
      <w:r w:rsidRPr="00C34CF2">
        <w:t xml:space="preserve"> The freight and logistics sector contributes $21 billion to Victoria’s economy and employs about 2</w:t>
      </w:r>
      <w:r w:rsidR="00DD4641">
        <w:t>4</w:t>
      </w:r>
      <w:r w:rsidRPr="00C34CF2">
        <w:t>0,000 Victorians.</w:t>
      </w:r>
      <w:r w:rsidR="00231BAA">
        <w:rPr>
          <w:rStyle w:val="FootnoteReference"/>
        </w:rPr>
        <w:footnoteReference w:id="5"/>
      </w:r>
    </w:p>
    <w:p w14:paraId="454675A2" w14:textId="2ECA1BAA" w:rsidR="00C34CF2" w:rsidRPr="00C34CF2" w:rsidRDefault="00C34CF2" w:rsidP="00C34CF2">
      <w:r w:rsidRPr="00C34CF2">
        <w:t>Responsibility for</w:t>
      </w:r>
      <w:r w:rsidR="001236E0">
        <w:t>,</w:t>
      </w:r>
      <w:r w:rsidRPr="00C34CF2">
        <w:t xml:space="preserve"> </w:t>
      </w:r>
      <w:r w:rsidR="0091131D">
        <w:t>and power to control</w:t>
      </w:r>
      <w:r w:rsidR="001236E0">
        <w:t>,</w:t>
      </w:r>
      <w:r w:rsidR="0091131D">
        <w:t xml:space="preserve"> the activities that take place on </w:t>
      </w:r>
      <w:r w:rsidR="00470950">
        <w:t xml:space="preserve">Victoria’s public </w:t>
      </w:r>
      <w:r w:rsidRPr="00C34CF2">
        <w:t xml:space="preserve">roads is set out in the </w:t>
      </w:r>
      <w:r w:rsidRPr="00C34CF2">
        <w:rPr>
          <w:i/>
        </w:rPr>
        <w:t>Road Management Act 2004</w:t>
      </w:r>
      <w:r w:rsidRPr="00C34CF2">
        <w:t xml:space="preserve"> (the Act). </w:t>
      </w:r>
      <w:r w:rsidR="0063576C">
        <w:t xml:space="preserve">The Act distinguishes between the ‘responsible road authority’ </w:t>
      </w:r>
      <w:r w:rsidR="00A02B73">
        <w:t xml:space="preserve">which </w:t>
      </w:r>
      <w:r w:rsidR="00BD7C6B">
        <w:t>has</w:t>
      </w:r>
      <w:r w:rsidR="0063576C">
        <w:t xml:space="preserve"> </w:t>
      </w:r>
      <w:r w:rsidR="005F1220">
        <w:t>operational</w:t>
      </w:r>
      <w:r w:rsidR="0063576C">
        <w:t xml:space="preserve"> function</w:t>
      </w:r>
      <w:r w:rsidR="005F1220">
        <w:t>s</w:t>
      </w:r>
      <w:r w:rsidR="0063576C">
        <w:t xml:space="preserve"> </w:t>
      </w:r>
      <w:r w:rsidR="00E66B20">
        <w:t>(</w:t>
      </w:r>
      <w:r w:rsidR="00662C22">
        <w:t>including</w:t>
      </w:r>
      <w:r w:rsidR="0063576C">
        <w:t xml:space="preserve"> providing and maintaining</w:t>
      </w:r>
      <w:r w:rsidR="00D77659">
        <w:t xml:space="preserve"> roads</w:t>
      </w:r>
      <w:r w:rsidR="00A02B73">
        <w:t>)</w:t>
      </w:r>
      <w:r w:rsidR="0063576C">
        <w:t xml:space="preserve"> and the ‘coordinating road authority’ which </w:t>
      </w:r>
      <w:r w:rsidR="00A07454">
        <w:t>has</w:t>
      </w:r>
      <w:r w:rsidR="0063576C">
        <w:t xml:space="preserve"> coordination functions </w:t>
      </w:r>
      <w:r w:rsidR="00B31879">
        <w:t>(</w:t>
      </w:r>
      <w:r w:rsidR="00662C22">
        <w:t>including</w:t>
      </w:r>
      <w:r w:rsidR="0063576C">
        <w:t xml:space="preserve"> approving the installation of infrastructure and works on the road</w:t>
      </w:r>
      <w:r w:rsidR="00B31879">
        <w:t>)</w:t>
      </w:r>
      <w:r w:rsidR="0063576C">
        <w:t>.</w:t>
      </w:r>
      <w:r w:rsidR="00662C22">
        <w:t xml:space="preserve"> </w:t>
      </w:r>
      <w:r w:rsidRPr="00C34CF2">
        <w:t>The Head, Transport for Victoria (HTfV) is responsible for managing freeways (excluding privately operated freeways) and arterial roads which make up around 15% of roads in the state.</w:t>
      </w:r>
      <w:r w:rsidRPr="00C34CF2">
        <w:rPr>
          <w:vertAlign w:val="superscript"/>
        </w:rPr>
        <w:footnoteReference w:id="6"/>
      </w:r>
      <w:r w:rsidRPr="00C34CF2">
        <w:t xml:space="preserve"> Privately operated freeways are managed by private corporations. Municipal roads are managed by the 79 councils across Victoria and comprise the majority of roads in Victoria. </w:t>
      </w:r>
    </w:p>
    <w:p w14:paraId="3B1BA8BC" w14:textId="3C12BDB2" w:rsidR="00C34CF2" w:rsidRPr="007D2402" w:rsidRDefault="00690C7A" w:rsidP="00690C7A">
      <w:pPr>
        <w:pStyle w:val="Caption"/>
      </w:pPr>
      <w:bookmarkStart w:id="9" w:name="_Ref204166271"/>
      <w:bookmarkStart w:id="10" w:name="_Toc209440421"/>
      <w:bookmarkStart w:id="11" w:name="_Toc226448349"/>
      <w:r>
        <w:t xml:space="preserve">Table </w:t>
      </w:r>
      <w:r w:rsidR="005A7DAB">
        <w:fldChar w:fldCharType="begin"/>
      </w:r>
      <w:r w:rsidR="005A7DAB">
        <w:instrText xml:space="preserve"> SEQ Table \* ARABIC </w:instrText>
      </w:r>
      <w:r w:rsidR="005A7DAB">
        <w:fldChar w:fldCharType="separate"/>
      </w:r>
      <w:r w:rsidR="00F170D0">
        <w:rPr>
          <w:noProof/>
        </w:rPr>
        <w:t>1</w:t>
      </w:r>
      <w:r w:rsidR="005A7DAB">
        <w:rPr>
          <w:noProof/>
        </w:rPr>
        <w:fldChar w:fldCharType="end"/>
      </w:r>
      <w:r>
        <w:t xml:space="preserve"> </w:t>
      </w:r>
      <w:r w:rsidR="00CD59FF">
        <w:t xml:space="preserve">– </w:t>
      </w:r>
      <w:r w:rsidR="00C34CF2" w:rsidRPr="007D2402">
        <w:t>Road types and responsible road authorities Victoria</w:t>
      </w:r>
      <w:bookmarkEnd w:id="9"/>
      <w:bookmarkEnd w:id="10"/>
      <w:bookmarkEnd w:id="11"/>
    </w:p>
    <w:tbl>
      <w:tblPr>
        <w:tblStyle w:val="GridTable1Light-Accent3"/>
        <w:tblW w:w="0" w:type="auto"/>
        <w:tblLook w:val="04A0" w:firstRow="1" w:lastRow="0" w:firstColumn="1" w:lastColumn="0" w:noHBand="0" w:noVBand="1"/>
      </w:tblPr>
      <w:tblGrid>
        <w:gridCol w:w="2187"/>
        <w:gridCol w:w="3827"/>
        <w:gridCol w:w="4358"/>
      </w:tblGrid>
      <w:tr w:rsidR="00C34CF2" w:rsidRPr="00C34CF2" w14:paraId="15A09BE4" w14:textId="77777777">
        <w:trPr>
          <w:cnfStyle w:val="100000000000" w:firstRow="1" w:lastRow="0" w:firstColumn="0" w:lastColumn="0" w:oddVBand="0" w:evenVBand="0" w:oddHBand="0" w:evenHBand="0" w:firstRowFirstColumn="0" w:firstRowLastColumn="0" w:lastRowFirstColumn="0" w:lastRowLastColumn="0"/>
          <w:cantSplit/>
          <w:trHeight w:val="532"/>
          <w:tblHeader/>
        </w:trPr>
        <w:tc>
          <w:tcPr>
            <w:cnfStyle w:val="001000000000" w:firstRow="0" w:lastRow="0" w:firstColumn="1" w:lastColumn="0" w:oddVBand="0" w:evenVBand="0" w:oddHBand="0" w:evenHBand="0" w:firstRowFirstColumn="0" w:firstRowLastColumn="0" w:lastRowFirstColumn="0" w:lastRowLastColumn="0"/>
            <w:tcW w:w="2187" w:type="dxa"/>
            <w:hideMark/>
          </w:tcPr>
          <w:p w14:paraId="2F2508D1" w14:textId="77777777" w:rsidR="00C34CF2" w:rsidRPr="00C34CF2" w:rsidRDefault="00C34CF2" w:rsidP="00C34CF2">
            <w:pPr>
              <w:spacing w:after="120"/>
            </w:pPr>
            <w:r w:rsidRPr="00C34CF2">
              <w:t>Road type</w:t>
            </w:r>
          </w:p>
        </w:tc>
        <w:tc>
          <w:tcPr>
            <w:tcW w:w="3827" w:type="dxa"/>
          </w:tcPr>
          <w:p w14:paraId="3AD00F92" w14:textId="77777777" w:rsidR="00C34CF2" w:rsidRPr="00C34CF2" w:rsidRDefault="00C34CF2" w:rsidP="00C34CF2">
            <w:pPr>
              <w:spacing w:after="120"/>
              <w:cnfStyle w:val="100000000000" w:firstRow="1" w:lastRow="0" w:firstColumn="0" w:lastColumn="0" w:oddVBand="0" w:evenVBand="0" w:oddHBand="0" w:evenHBand="0" w:firstRowFirstColumn="0" w:firstRowLastColumn="0" w:lastRowFirstColumn="0" w:lastRowLastColumn="0"/>
            </w:pPr>
            <w:r w:rsidRPr="00C34CF2">
              <w:t>Coordinating road authority</w:t>
            </w:r>
          </w:p>
        </w:tc>
        <w:tc>
          <w:tcPr>
            <w:tcW w:w="4358" w:type="dxa"/>
          </w:tcPr>
          <w:p w14:paraId="5AF21F1E" w14:textId="77777777" w:rsidR="00C34CF2" w:rsidRPr="00C34CF2" w:rsidRDefault="00C34CF2" w:rsidP="00C34CF2">
            <w:pPr>
              <w:spacing w:after="120"/>
              <w:cnfStyle w:val="100000000000" w:firstRow="1" w:lastRow="0" w:firstColumn="0" w:lastColumn="0" w:oddVBand="0" w:evenVBand="0" w:oddHBand="0" w:evenHBand="0" w:firstRowFirstColumn="0" w:firstRowLastColumn="0" w:lastRowFirstColumn="0" w:lastRowLastColumn="0"/>
            </w:pPr>
            <w:r w:rsidRPr="00C34CF2">
              <w:t>Responsible road authority</w:t>
            </w:r>
          </w:p>
        </w:tc>
      </w:tr>
      <w:tr w:rsidR="00C34CF2" w:rsidRPr="00C34CF2" w14:paraId="027E2DBE" w14:textId="77777777">
        <w:trPr>
          <w:cantSplit/>
          <w:trHeight w:val="389"/>
        </w:trPr>
        <w:tc>
          <w:tcPr>
            <w:cnfStyle w:val="001000000000" w:firstRow="0" w:lastRow="0" w:firstColumn="1" w:lastColumn="0" w:oddVBand="0" w:evenVBand="0" w:oddHBand="0" w:evenHBand="0" w:firstRowFirstColumn="0" w:firstRowLastColumn="0" w:lastRowFirstColumn="0" w:lastRowLastColumn="0"/>
            <w:tcW w:w="2187" w:type="dxa"/>
            <w:hideMark/>
          </w:tcPr>
          <w:p w14:paraId="4D893313" w14:textId="77777777" w:rsidR="00C34CF2" w:rsidRPr="00C34CF2" w:rsidRDefault="00C34CF2" w:rsidP="00C34CF2">
            <w:pPr>
              <w:spacing w:after="120"/>
            </w:pPr>
            <w:r w:rsidRPr="00C34CF2">
              <w:t xml:space="preserve">Freeway (not privately operated) </w:t>
            </w:r>
          </w:p>
        </w:tc>
        <w:tc>
          <w:tcPr>
            <w:tcW w:w="3827" w:type="dxa"/>
          </w:tcPr>
          <w:p w14:paraId="2379310D"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r w:rsidRPr="00C34CF2">
              <w:t>Head, Transport for Victoria</w:t>
            </w:r>
          </w:p>
        </w:tc>
        <w:tc>
          <w:tcPr>
            <w:tcW w:w="4358" w:type="dxa"/>
          </w:tcPr>
          <w:p w14:paraId="7B5B8EB2"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r w:rsidRPr="00C34CF2">
              <w:t>Head, Transport for Victoria</w:t>
            </w:r>
          </w:p>
        </w:tc>
      </w:tr>
      <w:tr w:rsidR="00C34CF2" w:rsidRPr="00C34CF2" w14:paraId="4AA1C262" w14:textId="77777777">
        <w:trPr>
          <w:cantSplit/>
          <w:trHeight w:val="326"/>
        </w:trPr>
        <w:tc>
          <w:tcPr>
            <w:cnfStyle w:val="001000000000" w:firstRow="0" w:lastRow="0" w:firstColumn="1" w:lastColumn="0" w:oddVBand="0" w:evenVBand="0" w:oddHBand="0" w:evenHBand="0" w:firstRowFirstColumn="0" w:firstRowLastColumn="0" w:lastRowFirstColumn="0" w:lastRowLastColumn="0"/>
            <w:tcW w:w="2187" w:type="dxa"/>
            <w:vMerge w:val="restart"/>
          </w:tcPr>
          <w:p w14:paraId="3DAD74DE" w14:textId="77777777" w:rsidR="00C34CF2" w:rsidRPr="00C34CF2" w:rsidRDefault="00C34CF2" w:rsidP="00C34CF2">
            <w:pPr>
              <w:spacing w:after="120"/>
            </w:pPr>
            <w:r w:rsidRPr="00C34CF2">
              <w:t>Arterial road</w:t>
            </w:r>
          </w:p>
        </w:tc>
        <w:tc>
          <w:tcPr>
            <w:tcW w:w="3827" w:type="dxa"/>
            <w:vMerge w:val="restart"/>
          </w:tcPr>
          <w:p w14:paraId="42692DE2"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r w:rsidRPr="00C34CF2">
              <w:t>Head, Transport for Victoria</w:t>
            </w:r>
          </w:p>
        </w:tc>
        <w:tc>
          <w:tcPr>
            <w:tcW w:w="4358" w:type="dxa"/>
          </w:tcPr>
          <w:p w14:paraId="581221A6"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r w:rsidRPr="00C34CF2">
              <w:t>Roadway used by through traffic: Head, Transport for Victoria</w:t>
            </w:r>
          </w:p>
        </w:tc>
      </w:tr>
      <w:tr w:rsidR="00C34CF2" w:rsidRPr="00C34CF2" w14:paraId="03A2E23B" w14:textId="77777777">
        <w:trPr>
          <w:cantSplit/>
          <w:trHeight w:val="326"/>
        </w:trPr>
        <w:tc>
          <w:tcPr>
            <w:cnfStyle w:val="001000000000" w:firstRow="0" w:lastRow="0" w:firstColumn="1" w:lastColumn="0" w:oddVBand="0" w:evenVBand="0" w:oddHBand="0" w:evenHBand="0" w:firstRowFirstColumn="0" w:firstRowLastColumn="0" w:lastRowFirstColumn="0" w:lastRowLastColumn="0"/>
            <w:tcW w:w="2187" w:type="dxa"/>
            <w:vMerge/>
          </w:tcPr>
          <w:p w14:paraId="3AAB04B7" w14:textId="77777777" w:rsidR="00C34CF2" w:rsidRPr="00C34CF2" w:rsidRDefault="00C34CF2" w:rsidP="00C34CF2">
            <w:pPr>
              <w:spacing w:after="120"/>
            </w:pPr>
          </w:p>
        </w:tc>
        <w:tc>
          <w:tcPr>
            <w:tcW w:w="3827" w:type="dxa"/>
            <w:vMerge/>
          </w:tcPr>
          <w:p w14:paraId="4DE0B586"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p>
        </w:tc>
        <w:tc>
          <w:tcPr>
            <w:tcW w:w="4358" w:type="dxa"/>
          </w:tcPr>
          <w:p w14:paraId="40A0B5BD" w14:textId="0938AD36"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r w:rsidRPr="00C34CF2">
              <w:t xml:space="preserve">(Urban) </w:t>
            </w:r>
            <w:r w:rsidR="00F20D2E">
              <w:t>s</w:t>
            </w:r>
            <w:r w:rsidRPr="00C34CF2">
              <w:t>ervice roads, pathways and roadside: Council</w:t>
            </w:r>
          </w:p>
          <w:p w14:paraId="7068E840" w14:textId="17001A2E"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r w:rsidRPr="00C34CF2">
              <w:t xml:space="preserve">(Non-urban) </w:t>
            </w:r>
            <w:r w:rsidR="00F20D2E">
              <w:t>s</w:t>
            </w:r>
            <w:r w:rsidRPr="00C34CF2">
              <w:t>ervice roads, pathways: Council</w:t>
            </w:r>
          </w:p>
        </w:tc>
      </w:tr>
      <w:tr w:rsidR="00C34CF2" w:rsidRPr="00C34CF2" w14:paraId="1DF3890E" w14:textId="77777777">
        <w:trPr>
          <w:cantSplit/>
          <w:trHeight w:val="326"/>
        </w:trPr>
        <w:tc>
          <w:tcPr>
            <w:cnfStyle w:val="001000000000" w:firstRow="0" w:lastRow="0" w:firstColumn="1" w:lastColumn="0" w:oddVBand="0" w:evenVBand="0" w:oddHBand="0" w:evenHBand="0" w:firstRowFirstColumn="0" w:firstRowLastColumn="0" w:lastRowFirstColumn="0" w:lastRowLastColumn="0"/>
            <w:tcW w:w="2187" w:type="dxa"/>
            <w:vMerge w:val="restart"/>
          </w:tcPr>
          <w:p w14:paraId="1ACD9208" w14:textId="6F3C4754" w:rsidR="00C34CF2" w:rsidRPr="00C34CF2" w:rsidRDefault="00C34CF2" w:rsidP="00C34CF2">
            <w:pPr>
              <w:spacing w:after="120"/>
            </w:pPr>
            <w:r w:rsidRPr="00C34CF2">
              <w:t xml:space="preserve">Non-arterial State </w:t>
            </w:r>
            <w:r w:rsidR="00E948C1">
              <w:t>road</w:t>
            </w:r>
          </w:p>
        </w:tc>
        <w:tc>
          <w:tcPr>
            <w:tcW w:w="3827" w:type="dxa"/>
          </w:tcPr>
          <w:p w14:paraId="5B67F0E8"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r w:rsidRPr="00C34CF2">
              <w:t>Crown Land or National Park: Parks Victoria</w:t>
            </w:r>
          </w:p>
        </w:tc>
        <w:tc>
          <w:tcPr>
            <w:tcW w:w="4358" w:type="dxa"/>
          </w:tcPr>
          <w:p w14:paraId="3D91D05E"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r w:rsidRPr="00C34CF2">
              <w:t>Crown Land or National Park: Parks Victoria</w:t>
            </w:r>
          </w:p>
        </w:tc>
      </w:tr>
      <w:tr w:rsidR="00C34CF2" w:rsidRPr="00C34CF2" w14:paraId="64C462E5" w14:textId="77777777">
        <w:trPr>
          <w:cantSplit/>
          <w:trHeight w:val="326"/>
        </w:trPr>
        <w:tc>
          <w:tcPr>
            <w:cnfStyle w:val="001000000000" w:firstRow="0" w:lastRow="0" w:firstColumn="1" w:lastColumn="0" w:oddVBand="0" w:evenVBand="0" w:oddHBand="0" w:evenHBand="0" w:firstRowFirstColumn="0" w:firstRowLastColumn="0" w:lastRowFirstColumn="0" w:lastRowLastColumn="0"/>
            <w:tcW w:w="2187" w:type="dxa"/>
            <w:vMerge/>
          </w:tcPr>
          <w:p w14:paraId="22DDAEF0" w14:textId="77777777" w:rsidR="00C34CF2" w:rsidRPr="00C34CF2" w:rsidRDefault="00C34CF2" w:rsidP="00C34CF2">
            <w:pPr>
              <w:spacing w:after="120"/>
            </w:pPr>
          </w:p>
        </w:tc>
        <w:tc>
          <w:tcPr>
            <w:tcW w:w="3827" w:type="dxa"/>
          </w:tcPr>
          <w:p w14:paraId="2D8CE04A"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r w:rsidRPr="00C34CF2">
              <w:t xml:space="preserve">Land administered under </w:t>
            </w:r>
            <w:r w:rsidRPr="00C34CF2">
              <w:rPr>
                <w:i/>
              </w:rPr>
              <w:t>Alpine Resorts (Management) Act 1997</w:t>
            </w:r>
            <w:r w:rsidRPr="00C34CF2">
              <w:t>: Alpine Resorts Victora Board</w:t>
            </w:r>
          </w:p>
        </w:tc>
        <w:tc>
          <w:tcPr>
            <w:tcW w:w="4358" w:type="dxa"/>
          </w:tcPr>
          <w:p w14:paraId="10854C14"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r w:rsidRPr="00C34CF2">
              <w:t>Alpine Resorts Victora Board</w:t>
            </w:r>
          </w:p>
        </w:tc>
      </w:tr>
      <w:tr w:rsidR="00C34CF2" w:rsidRPr="00C34CF2" w14:paraId="5E095813" w14:textId="77777777">
        <w:trPr>
          <w:cantSplit/>
          <w:trHeight w:val="326"/>
        </w:trPr>
        <w:tc>
          <w:tcPr>
            <w:cnfStyle w:val="001000000000" w:firstRow="0" w:lastRow="0" w:firstColumn="1" w:lastColumn="0" w:oddVBand="0" w:evenVBand="0" w:oddHBand="0" w:evenHBand="0" w:firstRowFirstColumn="0" w:firstRowLastColumn="0" w:lastRowFirstColumn="0" w:lastRowLastColumn="0"/>
            <w:tcW w:w="2187" w:type="dxa"/>
            <w:vMerge/>
          </w:tcPr>
          <w:p w14:paraId="5D12DDE8" w14:textId="77777777" w:rsidR="00C34CF2" w:rsidRPr="00C34CF2" w:rsidRDefault="00C34CF2" w:rsidP="00C34CF2">
            <w:pPr>
              <w:spacing w:after="120"/>
            </w:pPr>
          </w:p>
        </w:tc>
        <w:tc>
          <w:tcPr>
            <w:tcW w:w="3827" w:type="dxa"/>
          </w:tcPr>
          <w:p w14:paraId="37D7EAA5" w14:textId="27E56E7B" w:rsidR="00C34CF2" w:rsidRPr="00C34CF2" w:rsidRDefault="00C60E46" w:rsidP="00C34CF2">
            <w:pPr>
              <w:spacing w:after="120"/>
              <w:cnfStyle w:val="000000000000" w:firstRow="0" w:lastRow="0" w:firstColumn="0" w:lastColumn="0" w:oddVBand="0" w:evenVBand="0" w:oddHBand="0" w:evenHBand="0" w:firstRowFirstColumn="0" w:firstRowLastColumn="0" w:lastRowFirstColumn="0" w:lastRowLastColumn="0"/>
            </w:pPr>
            <w:r>
              <w:t xml:space="preserve">If declared by the </w:t>
            </w:r>
            <w:r w:rsidR="00C34CF2" w:rsidRPr="00C34CF2">
              <w:t>Head, Transport for Victoria</w:t>
            </w:r>
          </w:p>
        </w:tc>
        <w:tc>
          <w:tcPr>
            <w:tcW w:w="4358" w:type="dxa"/>
          </w:tcPr>
          <w:p w14:paraId="71517BDA" w14:textId="27CC1CCF"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r w:rsidRPr="00C34CF2">
              <w:t>Head, Transport for Victoria</w:t>
            </w:r>
          </w:p>
        </w:tc>
      </w:tr>
      <w:tr w:rsidR="00C34CF2" w:rsidRPr="00C34CF2" w14:paraId="5D597355" w14:textId="77777777">
        <w:trPr>
          <w:cantSplit/>
          <w:trHeight w:val="389"/>
        </w:trPr>
        <w:tc>
          <w:tcPr>
            <w:cnfStyle w:val="001000000000" w:firstRow="0" w:lastRow="0" w:firstColumn="1" w:lastColumn="0" w:oddVBand="0" w:evenVBand="0" w:oddHBand="0" w:evenHBand="0" w:firstRowFirstColumn="0" w:firstRowLastColumn="0" w:lastRowFirstColumn="0" w:lastRowLastColumn="0"/>
            <w:tcW w:w="2187" w:type="dxa"/>
          </w:tcPr>
          <w:p w14:paraId="2784B0BD" w14:textId="77777777" w:rsidR="00C34CF2" w:rsidRPr="00C34CF2" w:rsidRDefault="00C34CF2" w:rsidP="00C34CF2">
            <w:pPr>
              <w:spacing w:after="120"/>
            </w:pPr>
            <w:r w:rsidRPr="00C34CF2">
              <w:lastRenderedPageBreak/>
              <w:t>Municipal</w:t>
            </w:r>
          </w:p>
        </w:tc>
        <w:tc>
          <w:tcPr>
            <w:tcW w:w="3827" w:type="dxa"/>
          </w:tcPr>
          <w:p w14:paraId="287D025A"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r w:rsidRPr="00C34CF2">
              <w:t>Council</w:t>
            </w:r>
          </w:p>
        </w:tc>
        <w:tc>
          <w:tcPr>
            <w:tcW w:w="4358" w:type="dxa"/>
          </w:tcPr>
          <w:p w14:paraId="5ECFF94E"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r w:rsidRPr="00C34CF2">
              <w:t>Council</w:t>
            </w:r>
          </w:p>
          <w:p w14:paraId="6B9C1188"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p>
        </w:tc>
      </w:tr>
      <w:tr w:rsidR="00C34CF2" w:rsidRPr="00C34CF2" w14:paraId="2D4140DA" w14:textId="77777777">
        <w:trPr>
          <w:cantSplit/>
          <w:trHeight w:val="326"/>
        </w:trPr>
        <w:tc>
          <w:tcPr>
            <w:cnfStyle w:val="001000000000" w:firstRow="0" w:lastRow="0" w:firstColumn="1" w:lastColumn="0" w:oddVBand="0" w:evenVBand="0" w:oddHBand="0" w:evenHBand="0" w:firstRowFirstColumn="0" w:firstRowLastColumn="0" w:lastRowFirstColumn="0" w:lastRowLastColumn="0"/>
            <w:tcW w:w="2187" w:type="dxa"/>
            <w:vMerge w:val="restart"/>
            <w:hideMark/>
          </w:tcPr>
          <w:p w14:paraId="4BAA777E" w14:textId="77777777" w:rsidR="00C34CF2" w:rsidRPr="00C34CF2" w:rsidRDefault="00C34CF2" w:rsidP="00C34CF2">
            <w:pPr>
              <w:spacing w:after="120"/>
            </w:pPr>
            <w:r w:rsidRPr="00C34CF2">
              <w:t xml:space="preserve">Privately </w:t>
            </w:r>
          </w:p>
          <w:p w14:paraId="65B70107" w14:textId="77777777" w:rsidR="00C34CF2" w:rsidRPr="00C34CF2" w:rsidRDefault="00C34CF2" w:rsidP="00C34CF2">
            <w:pPr>
              <w:spacing w:after="120"/>
            </w:pPr>
            <w:r w:rsidRPr="00C34CF2">
              <w:t>Operated Freeway</w:t>
            </w:r>
          </w:p>
        </w:tc>
        <w:tc>
          <w:tcPr>
            <w:tcW w:w="3827" w:type="dxa"/>
            <w:vMerge w:val="restart"/>
          </w:tcPr>
          <w:p w14:paraId="38AF44BB"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r w:rsidRPr="00C34CF2">
              <w:t>DTP, relevant corporation (varies)</w:t>
            </w:r>
          </w:p>
        </w:tc>
        <w:tc>
          <w:tcPr>
            <w:tcW w:w="4358" w:type="dxa"/>
          </w:tcPr>
          <w:p w14:paraId="36EC95F2"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r w:rsidRPr="00C34CF2">
              <w:t>EastLink: The EastLink Corporation (ConnectEast)</w:t>
            </w:r>
          </w:p>
        </w:tc>
      </w:tr>
      <w:tr w:rsidR="00C34CF2" w:rsidRPr="00C34CF2" w14:paraId="5D0FBF98" w14:textId="77777777">
        <w:trPr>
          <w:cantSplit/>
          <w:trHeight w:val="326"/>
        </w:trPr>
        <w:tc>
          <w:tcPr>
            <w:cnfStyle w:val="001000000000" w:firstRow="0" w:lastRow="0" w:firstColumn="1" w:lastColumn="0" w:oddVBand="0" w:evenVBand="0" w:oddHBand="0" w:evenHBand="0" w:firstRowFirstColumn="0" w:firstRowLastColumn="0" w:lastRowFirstColumn="0" w:lastRowLastColumn="0"/>
            <w:tcW w:w="2187" w:type="dxa"/>
            <w:vMerge/>
          </w:tcPr>
          <w:p w14:paraId="3B61C02A" w14:textId="77777777" w:rsidR="00C34CF2" w:rsidRPr="00C34CF2" w:rsidRDefault="00C34CF2" w:rsidP="00C34CF2">
            <w:pPr>
              <w:spacing w:after="120"/>
            </w:pPr>
          </w:p>
        </w:tc>
        <w:tc>
          <w:tcPr>
            <w:tcW w:w="3827" w:type="dxa"/>
            <w:vMerge/>
          </w:tcPr>
          <w:p w14:paraId="3015E459"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p>
        </w:tc>
        <w:tc>
          <w:tcPr>
            <w:tcW w:w="4358" w:type="dxa"/>
          </w:tcPr>
          <w:p w14:paraId="52E6030C"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r w:rsidRPr="00C34CF2">
              <w:t>Peninsula Link Freeway: The Peninsula Link Freeway Corporation (Southern Way)</w:t>
            </w:r>
          </w:p>
        </w:tc>
      </w:tr>
      <w:tr w:rsidR="00C34CF2" w:rsidRPr="00C34CF2" w14:paraId="4B483624" w14:textId="77777777">
        <w:trPr>
          <w:cantSplit/>
          <w:trHeight w:val="391"/>
        </w:trPr>
        <w:tc>
          <w:tcPr>
            <w:cnfStyle w:val="001000000000" w:firstRow="0" w:lastRow="0" w:firstColumn="1" w:lastColumn="0" w:oddVBand="0" w:evenVBand="0" w:oddHBand="0" w:evenHBand="0" w:firstRowFirstColumn="0" w:firstRowLastColumn="0" w:lastRowFirstColumn="0" w:lastRowLastColumn="0"/>
            <w:tcW w:w="2187" w:type="dxa"/>
            <w:vMerge/>
          </w:tcPr>
          <w:p w14:paraId="40361B10" w14:textId="77777777" w:rsidR="00C34CF2" w:rsidRPr="00C34CF2" w:rsidRDefault="00C34CF2" w:rsidP="00C34CF2">
            <w:pPr>
              <w:spacing w:after="120"/>
            </w:pPr>
          </w:p>
        </w:tc>
        <w:tc>
          <w:tcPr>
            <w:tcW w:w="3827" w:type="dxa"/>
            <w:vMerge/>
          </w:tcPr>
          <w:p w14:paraId="76B8FD6A"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p>
        </w:tc>
        <w:tc>
          <w:tcPr>
            <w:tcW w:w="4358" w:type="dxa"/>
          </w:tcPr>
          <w:p w14:paraId="31DECC16"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r w:rsidRPr="00C34CF2">
              <w:t>Link road: The Link Corporation (Transurban)</w:t>
            </w:r>
          </w:p>
        </w:tc>
      </w:tr>
      <w:tr w:rsidR="00C34CF2" w:rsidRPr="00C34CF2" w14:paraId="3BEB8308" w14:textId="77777777">
        <w:trPr>
          <w:cantSplit/>
          <w:trHeight w:val="391"/>
        </w:trPr>
        <w:tc>
          <w:tcPr>
            <w:cnfStyle w:val="001000000000" w:firstRow="0" w:lastRow="0" w:firstColumn="1" w:lastColumn="0" w:oddVBand="0" w:evenVBand="0" w:oddHBand="0" w:evenHBand="0" w:firstRowFirstColumn="0" w:firstRowLastColumn="0" w:lastRowFirstColumn="0" w:lastRowLastColumn="0"/>
            <w:tcW w:w="2187" w:type="dxa"/>
            <w:vMerge/>
          </w:tcPr>
          <w:p w14:paraId="2C51EE3A" w14:textId="77777777" w:rsidR="00C34CF2" w:rsidRPr="00C34CF2" w:rsidRDefault="00C34CF2" w:rsidP="00C34CF2">
            <w:pPr>
              <w:spacing w:after="120"/>
            </w:pPr>
          </w:p>
        </w:tc>
        <w:tc>
          <w:tcPr>
            <w:tcW w:w="3827" w:type="dxa"/>
            <w:vMerge/>
          </w:tcPr>
          <w:p w14:paraId="5E2CF72B"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p>
        </w:tc>
        <w:tc>
          <w:tcPr>
            <w:tcW w:w="4358" w:type="dxa"/>
          </w:tcPr>
          <w:p w14:paraId="7E130D20"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r w:rsidRPr="00C34CF2">
              <w:t>Extension road: The Extension Corporation (Transurban)</w:t>
            </w:r>
          </w:p>
        </w:tc>
      </w:tr>
      <w:tr w:rsidR="00C34CF2" w:rsidRPr="00C34CF2" w14:paraId="16C52B20" w14:textId="77777777">
        <w:trPr>
          <w:cantSplit/>
          <w:trHeight w:val="391"/>
        </w:trPr>
        <w:tc>
          <w:tcPr>
            <w:cnfStyle w:val="001000000000" w:firstRow="0" w:lastRow="0" w:firstColumn="1" w:lastColumn="0" w:oddVBand="0" w:evenVBand="0" w:oddHBand="0" w:evenHBand="0" w:firstRowFirstColumn="0" w:firstRowLastColumn="0" w:lastRowFirstColumn="0" w:lastRowLastColumn="0"/>
            <w:tcW w:w="2187" w:type="dxa"/>
            <w:vMerge/>
          </w:tcPr>
          <w:p w14:paraId="550E8DDE" w14:textId="77777777" w:rsidR="00C34CF2" w:rsidRPr="00C34CF2" w:rsidRDefault="00C34CF2" w:rsidP="00C34CF2">
            <w:pPr>
              <w:spacing w:after="120"/>
            </w:pPr>
          </w:p>
        </w:tc>
        <w:tc>
          <w:tcPr>
            <w:tcW w:w="3827" w:type="dxa"/>
            <w:vMerge/>
          </w:tcPr>
          <w:p w14:paraId="2A654DD3"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p>
        </w:tc>
        <w:tc>
          <w:tcPr>
            <w:tcW w:w="4358" w:type="dxa"/>
          </w:tcPr>
          <w:p w14:paraId="0B6758C5"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r w:rsidRPr="00C34CF2">
              <w:t>West Gate Tunnel Tollway: The West Gate Tunnel Corporation</w:t>
            </w:r>
          </w:p>
        </w:tc>
      </w:tr>
      <w:tr w:rsidR="00C34CF2" w:rsidRPr="00C34CF2" w14:paraId="314A4F87" w14:textId="77777777">
        <w:trPr>
          <w:cantSplit/>
          <w:trHeight w:val="391"/>
        </w:trPr>
        <w:tc>
          <w:tcPr>
            <w:cnfStyle w:val="001000000000" w:firstRow="0" w:lastRow="0" w:firstColumn="1" w:lastColumn="0" w:oddVBand="0" w:evenVBand="0" w:oddHBand="0" w:evenHBand="0" w:firstRowFirstColumn="0" w:firstRowLastColumn="0" w:lastRowFirstColumn="0" w:lastRowLastColumn="0"/>
            <w:tcW w:w="2187" w:type="dxa"/>
            <w:vMerge/>
          </w:tcPr>
          <w:p w14:paraId="25142EE3" w14:textId="77777777" w:rsidR="00C34CF2" w:rsidRPr="00C34CF2" w:rsidRDefault="00C34CF2" w:rsidP="00C34CF2">
            <w:pPr>
              <w:spacing w:after="120"/>
            </w:pPr>
          </w:p>
        </w:tc>
        <w:tc>
          <w:tcPr>
            <w:tcW w:w="3827" w:type="dxa"/>
            <w:vMerge/>
          </w:tcPr>
          <w:p w14:paraId="12578027"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p>
        </w:tc>
        <w:tc>
          <w:tcPr>
            <w:tcW w:w="4358" w:type="dxa"/>
          </w:tcPr>
          <w:p w14:paraId="41DC08CC"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r w:rsidRPr="00C34CF2">
              <w:t>North East Link: The North East Link State Tolling Corporation</w:t>
            </w:r>
          </w:p>
        </w:tc>
      </w:tr>
    </w:tbl>
    <w:p w14:paraId="757FC2EB" w14:textId="77777777" w:rsidR="00C34CF2" w:rsidRPr="00C34CF2" w:rsidRDefault="00C34CF2" w:rsidP="002D2C3B">
      <w:pPr>
        <w:pStyle w:val="Heading2-Numbered"/>
      </w:pPr>
      <w:bookmarkStart w:id="12" w:name="_Toc209440257"/>
      <w:bookmarkStart w:id="13" w:name="_Toc226448268"/>
      <w:r w:rsidRPr="00C34CF2">
        <w:t>Purpose of this document</w:t>
      </w:r>
      <w:bookmarkEnd w:id="12"/>
      <w:bookmarkEnd w:id="13"/>
    </w:p>
    <w:p w14:paraId="4165A762" w14:textId="77777777" w:rsidR="00C34CF2" w:rsidRPr="00C34CF2" w:rsidRDefault="00C34CF2" w:rsidP="002D2C3B">
      <w:pPr>
        <w:pStyle w:val="Heading3-Numbered"/>
      </w:pPr>
      <w:bookmarkStart w:id="14" w:name="_Toc209440258"/>
      <w:bookmarkStart w:id="15" w:name="_Toc226448269"/>
      <w:r w:rsidRPr="00C34CF2">
        <w:t>This RIS</w:t>
      </w:r>
      <w:bookmarkEnd w:id="14"/>
      <w:bookmarkEnd w:id="15"/>
    </w:p>
    <w:p w14:paraId="73D337BC" w14:textId="09D4A12A" w:rsidR="00C34CF2" w:rsidRPr="00C34CF2" w:rsidRDefault="00C34CF2" w:rsidP="00C34CF2">
      <w:r w:rsidRPr="00C34CF2">
        <w:t xml:space="preserve">In Victoria, regulations are automatically revoked 10 years after they are made. This mechanism, generally referred to as sunsetting, provides an opportunity for government to regularly review regulations to ensure they </w:t>
      </w:r>
      <w:r w:rsidR="00CB7906" w:rsidRPr="00C34CF2">
        <w:t xml:space="preserve">are still needed or if there are ways they could be improved. </w:t>
      </w:r>
    </w:p>
    <w:p w14:paraId="090E1F09" w14:textId="20E038D4" w:rsidR="00C34CF2" w:rsidRPr="00C34CF2" w:rsidRDefault="00C34CF2" w:rsidP="00C34CF2">
      <w:r w:rsidRPr="00C34CF2">
        <w:t xml:space="preserve">In accordance with the </w:t>
      </w:r>
      <w:r w:rsidRPr="00C34CF2">
        <w:rPr>
          <w:i/>
        </w:rPr>
        <w:t>Subordinate Legislation Act 1994</w:t>
      </w:r>
      <w:r w:rsidRPr="00C34CF2">
        <w:t xml:space="preserve"> (SL Act), the </w:t>
      </w:r>
      <w:r w:rsidRPr="00C34CF2">
        <w:rPr>
          <w:i/>
        </w:rPr>
        <w:t>Road Management (General) Regulations 2016</w:t>
      </w:r>
      <w:r w:rsidRPr="00C34CF2">
        <w:t xml:space="preserve"> </w:t>
      </w:r>
      <w:r w:rsidR="00A00503">
        <w:t>and</w:t>
      </w:r>
      <w:r w:rsidRPr="00C34CF2">
        <w:t xml:space="preserve"> </w:t>
      </w:r>
      <w:r w:rsidR="00A00503">
        <w:t>t</w:t>
      </w:r>
      <w:r w:rsidRPr="00C34CF2">
        <w:t xml:space="preserve">he </w:t>
      </w:r>
      <w:r w:rsidRPr="00C34CF2">
        <w:rPr>
          <w:i/>
        </w:rPr>
        <w:t>Road Management (Works and Infrastructure) Regulations 2015</w:t>
      </w:r>
      <w:r w:rsidRPr="00C34CF2">
        <w:t xml:space="preserve"> were originally due to sunset on 16 June 2025</w:t>
      </w:r>
      <w:r w:rsidR="004171F9">
        <w:t xml:space="preserve"> and 15 March 2026, respectively.</w:t>
      </w:r>
      <w:r w:rsidRPr="00C34CF2">
        <w:t xml:space="preserve"> </w:t>
      </w:r>
      <w:r w:rsidR="004171F9">
        <w:t>H</w:t>
      </w:r>
      <w:r w:rsidRPr="00C34CF2">
        <w:t>owever</w:t>
      </w:r>
      <w:r w:rsidR="004171F9">
        <w:t>,</w:t>
      </w:r>
      <w:r w:rsidRPr="00C34CF2">
        <w:t xml:space="preserve"> </w:t>
      </w:r>
      <w:r w:rsidR="004171F9">
        <w:t>both sets of</w:t>
      </w:r>
      <w:r w:rsidR="000D3A1E">
        <w:t>.</w:t>
      </w:r>
      <w:r w:rsidR="004171F9" w:rsidRPr="00C34CF2">
        <w:t xml:space="preserve"> </w:t>
      </w:r>
      <w:r w:rsidRPr="00C34CF2">
        <w:t>regulations have been extended under section 5A of the SL Act until 14 June 2026. Therefore, both sets of regulations will need to be remade in 2026.</w:t>
      </w:r>
    </w:p>
    <w:p w14:paraId="7DC959EF" w14:textId="77777777" w:rsidR="00C34CF2" w:rsidRPr="00C34CF2" w:rsidRDefault="00C34CF2" w:rsidP="00C34CF2">
      <w:r w:rsidRPr="00C34CF2">
        <w:t>The SL Act requires the preparation of a Regulatory Impact Statement (RIS) which is to be made available to the public with the proposed Regulations, to ensure that they have been subjected to adequate analysis and to help stakeholders comment on the proposed Regulations.</w:t>
      </w:r>
    </w:p>
    <w:p w14:paraId="308C1279" w14:textId="77777777" w:rsidR="00C34CF2" w:rsidRPr="00C34CF2" w:rsidRDefault="00C34CF2" w:rsidP="00C34CF2">
      <w:r w:rsidRPr="00C34CF2">
        <w:rPr>
          <w:noProof/>
        </w:rPr>
        <w:drawing>
          <wp:inline distT="0" distB="0" distL="0" distR="0" wp14:anchorId="093172F6" wp14:editId="7F75EFD9">
            <wp:extent cx="6611815" cy="900000"/>
            <wp:effectExtent l="38100" t="0" r="0" b="0"/>
            <wp:docPr id="165241685" name="Diagram 1" descr="This diagram represents the four stages of RIS development: Preliminary consultation, public consultation, consideration of submissions, and final decisio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0665DA7" w14:textId="75131743" w:rsidR="00C34CF2" w:rsidRPr="00C34CF2" w:rsidRDefault="00C34CF2" w:rsidP="00C34CF2">
      <w:r w:rsidRPr="00C34CF2">
        <w:t xml:space="preserve">To support the development of this RIS, the Department consulted </w:t>
      </w:r>
      <w:r w:rsidR="00C01A92">
        <w:t>impacted</w:t>
      </w:r>
      <w:r w:rsidR="00C01A92" w:rsidRPr="00C34CF2">
        <w:t xml:space="preserve"> </w:t>
      </w:r>
      <w:r w:rsidRPr="00C34CF2">
        <w:t xml:space="preserve">stakeholders to understand the issues affecting road management in Victoria. </w:t>
      </w:r>
      <w:r w:rsidR="007A6091">
        <w:t>Feedback and data were provided by</w:t>
      </w:r>
      <w:r w:rsidRPr="00C34CF2">
        <w:t xml:space="preserve"> relevant areas within the Department, </w:t>
      </w:r>
      <w:r w:rsidR="00672FE9">
        <w:t xml:space="preserve">and </w:t>
      </w:r>
      <w:r w:rsidR="005C6594">
        <w:t>a sample of</w:t>
      </w:r>
      <w:r w:rsidRPr="00C34CF2">
        <w:t xml:space="preserve"> Councils and utilities providers. </w:t>
      </w:r>
    </w:p>
    <w:p w14:paraId="728A657D" w14:textId="231AF449" w:rsidR="00C34CF2" w:rsidRPr="00C34CF2" w:rsidRDefault="00C34CF2" w:rsidP="00C34CF2">
      <w:r w:rsidRPr="00C34CF2">
        <w:t>The Department has released this RIS and proposed Regulations for broader public consultation.</w:t>
      </w:r>
      <w:r w:rsidRPr="00C34CF2">
        <w:br w:type="page"/>
      </w:r>
    </w:p>
    <w:p w14:paraId="426473BB" w14:textId="77777777" w:rsidR="00C34CF2" w:rsidRPr="00C34CF2" w:rsidRDefault="00C34CF2" w:rsidP="00051DE0">
      <w:pPr>
        <w:pStyle w:val="Heading1-Numbered"/>
      </w:pPr>
      <w:bookmarkStart w:id="16" w:name="_Toc209440263"/>
      <w:bookmarkStart w:id="17" w:name="_Ref212455421"/>
      <w:bookmarkStart w:id="18" w:name="_Ref212455435"/>
      <w:bookmarkStart w:id="19" w:name="_Ref212455443"/>
      <w:bookmarkStart w:id="20" w:name="_Ref212455450"/>
      <w:bookmarkStart w:id="21" w:name="_Ref212455461"/>
      <w:bookmarkStart w:id="22" w:name="_Toc226448270"/>
      <w:r w:rsidRPr="00C34CF2">
        <w:lastRenderedPageBreak/>
        <w:t>Background</w:t>
      </w:r>
      <w:bookmarkEnd w:id="16"/>
      <w:bookmarkEnd w:id="17"/>
      <w:bookmarkEnd w:id="18"/>
      <w:bookmarkEnd w:id="19"/>
      <w:bookmarkEnd w:id="20"/>
      <w:bookmarkEnd w:id="21"/>
      <w:bookmarkEnd w:id="22"/>
    </w:p>
    <w:p w14:paraId="22B8A893" w14:textId="77777777" w:rsidR="00C34CF2" w:rsidRPr="00C34CF2" w:rsidRDefault="00C34CF2" w:rsidP="00051DE0">
      <w:pPr>
        <w:pStyle w:val="Heading2-Numbered"/>
      </w:pPr>
      <w:bookmarkStart w:id="23" w:name="_Ref204179085"/>
      <w:bookmarkStart w:id="24" w:name="_Toc209440264"/>
      <w:bookmarkStart w:id="25" w:name="_Toc226448271"/>
      <w:r w:rsidRPr="00C34CF2">
        <w:t>The Road Management Act 2004</w:t>
      </w:r>
      <w:bookmarkEnd w:id="23"/>
      <w:bookmarkEnd w:id="24"/>
      <w:bookmarkEnd w:id="25"/>
    </w:p>
    <w:p w14:paraId="2127C880" w14:textId="77777777" w:rsidR="00C34CF2" w:rsidRPr="00C34CF2" w:rsidRDefault="00C34CF2" w:rsidP="00051DE0">
      <w:pPr>
        <w:pStyle w:val="Heading3-Numbered"/>
      </w:pPr>
      <w:bookmarkStart w:id="26" w:name="_Toc209440265"/>
      <w:bookmarkStart w:id="27" w:name="_Ref209517530"/>
      <w:bookmarkStart w:id="28" w:name="_Toc226448272"/>
      <w:r w:rsidRPr="00C34CF2">
        <w:t>Background to the Road Management Act</w:t>
      </w:r>
      <w:bookmarkEnd w:id="26"/>
      <w:bookmarkEnd w:id="27"/>
      <w:bookmarkEnd w:id="28"/>
    </w:p>
    <w:p w14:paraId="0E4399B7" w14:textId="77777777" w:rsidR="00C34CF2" w:rsidRPr="00C34CF2" w:rsidRDefault="00C34CF2" w:rsidP="00C34CF2">
      <w:pPr>
        <w:rPr>
          <w:bCs/>
        </w:rPr>
      </w:pPr>
      <w:r w:rsidRPr="00C34CF2">
        <w:t>Before the Act was in place, the management of roads in Victoria was governed by several separate pieces of legislation, including:</w:t>
      </w:r>
      <w:r w:rsidRPr="00C34CF2">
        <w:rPr>
          <w:bCs/>
        </w:rPr>
        <w:t xml:space="preserve"> </w:t>
      </w:r>
    </w:p>
    <w:p w14:paraId="526CB255" w14:textId="0CF47867" w:rsidR="00C34CF2" w:rsidRPr="00C34CF2" w:rsidRDefault="00C34CF2" w:rsidP="005D15EA">
      <w:pPr>
        <w:numPr>
          <w:ilvl w:val="0"/>
          <w:numId w:val="26"/>
        </w:numPr>
        <w:ind w:left="426"/>
        <w:rPr>
          <w:bCs/>
        </w:rPr>
      </w:pPr>
      <w:r w:rsidRPr="00C34CF2">
        <w:rPr>
          <w:bCs/>
        </w:rPr>
        <w:t xml:space="preserve">the </w:t>
      </w:r>
      <w:r w:rsidRPr="00C34CF2">
        <w:rPr>
          <w:bCs/>
          <w:i/>
        </w:rPr>
        <w:t>Transport Act 1983</w:t>
      </w:r>
      <w:r w:rsidRPr="00C34CF2">
        <w:rPr>
          <w:bCs/>
        </w:rPr>
        <w:t xml:space="preserve"> (now the </w:t>
      </w:r>
      <w:r w:rsidRPr="00C34CF2">
        <w:rPr>
          <w:bCs/>
          <w:i/>
        </w:rPr>
        <w:t>Transport (Compliance and Miscellaneous) Act 1983</w:t>
      </w:r>
      <w:r w:rsidRPr="00C34CF2">
        <w:rPr>
          <w:bCs/>
        </w:rPr>
        <w:t>), which covered various aspects of transport, including road management;</w:t>
      </w:r>
    </w:p>
    <w:p w14:paraId="2F025134" w14:textId="1132F645" w:rsidR="00C34CF2" w:rsidRPr="00C34CF2" w:rsidRDefault="00C34CF2" w:rsidP="005D15EA">
      <w:pPr>
        <w:numPr>
          <w:ilvl w:val="0"/>
          <w:numId w:val="26"/>
        </w:numPr>
        <w:ind w:left="426"/>
        <w:rPr>
          <w:bCs/>
        </w:rPr>
      </w:pPr>
      <w:r w:rsidRPr="00C34CF2">
        <w:rPr>
          <w:bCs/>
        </w:rPr>
        <w:t xml:space="preserve">the </w:t>
      </w:r>
      <w:r w:rsidRPr="00C34CF2">
        <w:rPr>
          <w:bCs/>
          <w:i/>
        </w:rPr>
        <w:t>Local Government Act 1989</w:t>
      </w:r>
      <w:r w:rsidRPr="00C34CF2">
        <w:rPr>
          <w:bCs/>
        </w:rPr>
        <w:t>, which include</w:t>
      </w:r>
      <w:r w:rsidR="0088433C">
        <w:rPr>
          <w:bCs/>
        </w:rPr>
        <w:t>s</w:t>
      </w:r>
      <w:r w:rsidRPr="00C34CF2">
        <w:rPr>
          <w:bCs/>
        </w:rPr>
        <w:t xml:space="preserve"> provisions related to local councils' responsibilities for road management; and</w:t>
      </w:r>
    </w:p>
    <w:p w14:paraId="06F20811" w14:textId="136A2F54" w:rsidR="00C34CF2" w:rsidRPr="00C34CF2" w:rsidRDefault="00C34CF2" w:rsidP="005D15EA">
      <w:pPr>
        <w:numPr>
          <w:ilvl w:val="0"/>
          <w:numId w:val="26"/>
        </w:numPr>
        <w:ind w:left="426"/>
        <w:rPr>
          <w:bCs/>
        </w:rPr>
      </w:pPr>
      <w:r w:rsidRPr="00C34CF2">
        <w:rPr>
          <w:bCs/>
        </w:rPr>
        <w:t xml:space="preserve">the </w:t>
      </w:r>
      <w:r w:rsidRPr="00C34CF2">
        <w:rPr>
          <w:bCs/>
          <w:i/>
        </w:rPr>
        <w:t>Road Safety Act 1986</w:t>
      </w:r>
      <w:r w:rsidRPr="00C34CF2">
        <w:rPr>
          <w:bCs/>
        </w:rPr>
        <w:t>,</w:t>
      </w:r>
      <w:r w:rsidRPr="00C34CF2">
        <w:rPr>
          <w:b/>
          <w:bCs/>
        </w:rPr>
        <w:t xml:space="preserve"> </w:t>
      </w:r>
      <w:r w:rsidRPr="00C34CF2">
        <w:rPr>
          <w:bCs/>
        </w:rPr>
        <w:t>which focuse</w:t>
      </w:r>
      <w:r w:rsidR="0088433C">
        <w:rPr>
          <w:bCs/>
        </w:rPr>
        <w:t>s</w:t>
      </w:r>
      <w:r w:rsidRPr="00C34CF2">
        <w:rPr>
          <w:bCs/>
        </w:rPr>
        <w:t xml:space="preserve"> primarily on road safety regulation</w:t>
      </w:r>
      <w:r w:rsidR="00F67A28">
        <w:rPr>
          <w:bCs/>
        </w:rPr>
        <w:t xml:space="preserve">, </w:t>
      </w:r>
      <w:r w:rsidR="00B14577">
        <w:rPr>
          <w:bCs/>
        </w:rPr>
        <w:t>but also include</w:t>
      </w:r>
      <w:r w:rsidR="00256FAA">
        <w:rPr>
          <w:bCs/>
        </w:rPr>
        <w:t>s</w:t>
      </w:r>
      <w:r w:rsidR="00B14577">
        <w:rPr>
          <w:bCs/>
        </w:rPr>
        <w:t xml:space="preserve"> matters related to traffic management</w:t>
      </w:r>
      <w:r w:rsidRPr="00C34CF2">
        <w:rPr>
          <w:bCs/>
        </w:rPr>
        <w:t>.</w:t>
      </w:r>
    </w:p>
    <w:p w14:paraId="0E2C354B" w14:textId="77777777" w:rsidR="00C34CF2" w:rsidRPr="00C34CF2" w:rsidRDefault="00C34CF2" w:rsidP="00C34CF2">
      <w:r w:rsidRPr="00C34CF2">
        <w:t>The fragmented nature of these laws led to inefficiencies and a lack of coordination in road management. There was a need for a more integrated and streamlined approach to manage the road network effectively.</w:t>
      </w:r>
    </w:p>
    <w:p w14:paraId="51052BCD" w14:textId="77777777" w:rsidR="00C34CF2" w:rsidRPr="00C34CF2" w:rsidRDefault="00C34CF2" w:rsidP="00C34CF2">
      <w:r w:rsidRPr="00C34CF2">
        <w:t>In addition, a 2001 High Court ruling meant that a long-standing immunity which protected road authorities from being liable in negligence for failing to repair a road (unless they had caused the damage), even if the resulting property damage or personal injury was foreseeable, no longer applied.</w:t>
      </w:r>
    </w:p>
    <w:p w14:paraId="4E6E4218" w14:textId="77777777" w:rsidR="00C34CF2" w:rsidRPr="00C34CF2" w:rsidRDefault="00C34CF2" w:rsidP="00C34CF2">
      <w:r w:rsidRPr="00C34CF2">
        <w:t>Ambiguity over ownership of, and responsibility for, public roads, combined with the newly imposed liability led the Government to consider how best to address the practical problems for the efficient management of the road network.</w:t>
      </w:r>
    </w:p>
    <w:p w14:paraId="76EA7EC3" w14:textId="197E52AA" w:rsidR="00C34CF2" w:rsidRPr="00C34CF2" w:rsidRDefault="00C34CF2" w:rsidP="00C34CF2">
      <w:r w:rsidRPr="00C34CF2">
        <w:rPr>
          <w:bCs/>
        </w:rPr>
        <w:t>The</w:t>
      </w:r>
      <w:r w:rsidRPr="00C34CF2">
        <w:t xml:space="preserve"> Act </w:t>
      </w:r>
      <w:r w:rsidR="00B23D5F">
        <w:t>was</w:t>
      </w:r>
      <w:r w:rsidR="00185BA9">
        <w:t xml:space="preserve"> </w:t>
      </w:r>
      <w:r w:rsidR="008D4787">
        <w:t>developed</w:t>
      </w:r>
      <w:r w:rsidRPr="00C34CF2">
        <w:t xml:space="preserve"> to establish a coordinated management system that would promote a road network at State and local levels that operates as part of an integrated and sustainable transport system. The Act sought to achieve this through measures including:</w:t>
      </w:r>
    </w:p>
    <w:p w14:paraId="1D0DFC33" w14:textId="77777777" w:rsidR="00C34CF2" w:rsidRPr="00C34CF2" w:rsidRDefault="00C34CF2" w:rsidP="005D15EA">
      <w:pPr>
        <w:numPr>
          <w:ilvl w:val="0"/>
          <w:numId w:val="20"/>
        </w:numPr>
        <w:ind w:left="426"/>
      </w:pPr>
      <w:r w:rsidRPr="00C34CF2">
        <w:t>Setting out the rights of road users;</w:t>
      </w:r>
    </w:p>
    <w:p w14:paraId="3C90DFA8" w14:textId="77777777" w:rsidR="00C34CF2" w:rsidRPr="00C34CF2" w:rsidRDefault="00C34CF2" w:rsidP="005D15EA">
      <w:pPr>
        <w:numPr>
          <w:ilvl w:val="0"/>
          <w:numId w:val="20"/>
        </w:numPr>
        <w:ind w:left="426"/>
      </w:pPr>
      <w:r w:rsidRPr="00C34CF2">
        <w:t>Establishing the legal process for creating, discontinuing and maintaining a register of public roads;</w:t>
      </w:r>
    </w:p>
    <w:p w14:paraId="1CE1138A" w14:textId="77777777" w:rsidR="00C34CF2" w:rsidRPr="00C34CF2" w:rsidRDefault="00C34CF2" w:rsidP="005D15EA">
      <w:pPr>
        <w:numPr>
          <w:ilvl w:val="0"/>
          <w:numId w:val="20"/>
        </w:numPr>
        <w:ind w:left="426"/>
      </w:pPr>
      <w:r w:rsidRPr="00C34CF2">
        <w:t>Setting out the powers and duties of road authorities in the management road infrastructure;</w:t>
      </w:r>
    </w:p>
    <w:p w14:paraId="01B75101" w14:textId="77777777" w:rsidR="00C34CF2" w:rsidRPr="00C34CF2" w:rsidRDefault="00C34CF2" w:rsidP="005D15EA">
      <w:pPr>
        <w:numPr>
          <w:ilvl w:val="0"/>
          <w:numId w:val="20"/>
        </w:numPr>
        <w:ind w:left="426"/>
      </w:pPr>
      <w:r w:rsidRPr="00C34CF2">
        <w:t>Enabling the Minister to create Codes of Practice (to provide practical guidance to road authorities and works and infrastructure managers in the performance of their functions and duties under the Act);</w:t>
      </w:r>
    </w:p>
    <w:p w14:paraId="70AB4BDB" w14:textId="77777777" w:rsidR="00C34CF2" w:rsidRPr="00C34CF2" w:rsidRDefault="00C34CF2" w:rsidP="005D15EA">
      <w:pPr>
        <w:numPr>
          <w:ilvl w:val="0"/>
          <w:numId w:val="20"/>
        </w:numPr>
        <w:ind w:left="426"/>
      </w:pPr>
      <w:r w:rsidRPr="00C34CF2">
        <w:t>Imposing a statutory duty on road authorities to inspect, maintain and repair public roads;</w:t>
      </w:r>
    </w:p>
    <w:p w14:paraId="768A0F1D" w14:textId="77777777" w:rsidR="00C34CF2" w:rsidRPr="00C34CF2" w:rsidRDefault="00C34CF2" w:rsidP="005D15EA">
      <w:pPr>
        <w:numPr>
          <w:ilvl w:val="0"/>
          <w:numId w:val="20"/>
        </w:numPr>
        <w:ind w:left="426"/>
      </w:pPr>
      <w:r w:rsidRPr="00C34CF2">
        <w:t>Facilitating the development of road management plans (to enable road authorities to set out the circumstances, the manner and the standards to which the road authority will perform its inspection, maintenance and repair responsibilities);</w:t>
      </w:r>
    </w:p>
    <w:p w14:paraId="2972B45D" w14:textId="77777777" w:rsidR="00C34CF2" w:rsidRPr="00C34CF2" w:rsidRDefault="00C34CF2" w:rsidP="005D15EA">
      <w:pPr>
        <w:numPr>
          <w:ilvl w:val="0"/>
          <w:numId w:val="20"/>
        </w:numPr>
        <w:ind w:left="426"/>
      </w:pPr>
      <w:r w:rsidRPr="00C34CF2">
        <w:t>Enabling road authorities to request landowners to provide development contributions;</w:t>
      </w:r>
    </w:p>
    <w:p w14:paraId="307E0BC2" w14:textId="3A2913BE" w:rsidR="00C34CF2" w:rsidRPr="00C34CF2" w:rsidRDefault="00C34CF2" w:rsidP="005D15EA">
      <w:pPr>
        <w:numPr>
          <w:ilvl w:val="0"/>
          <w:numId w:val="20"/>
        </w:numPr>
        <w:ind w:left="426"/>
      </w:pPr>
      <w:r w:rsidRPr="00C34CF2">
        <w:t xml:space="preserve">Prohibiting works from </w:t>
      </w:r>
      <w:r w:rsidR="00FE02D5">
        <w:t>being conducted</w:t>
      </w:r>
      <w:r w:rsidRPr="00C34CF2">
        <w:t xml:space="preserve"> on roads without consent from the relevant road authority; and</w:t>
      </w:r>
    </w:p>
    <w:p w14:paraId="6E95DF40" w14:textId="77777777" w:rsidR="00C34CF2" w:rsidRPr="00C34CF2" w:rsidRDefault="00C34CF2" w:rsidP="005D15EA">
      <w:pPr>
        <w:numPr>
          <w:ilvl w:val="0"/>
          <w:numId w:val="20"/>
        </w:numPr>
        <w:ind w:left="426"/>
      </w:pPr>
      <w:r w:rsidRPr="00C34CF2">
        <w:t>Clarifying when a road authority is and is not liable for matters related to the condition of a road and setting out the process for liability claims.</w:t>
      </w:r>
    </w:p>
    <w:p w14:paraId="06A288EC" w14:textId="57812B42" w:rsidR="00C34CF2" w:rsidRPr="00C34CF2" w:rsidRDefault="00C34CF2" w:rsidP="00DE0A3C">
      <w:pPr>
        <w:pStyle w:val="Heading3-Numbered"/>
      </w:pPr>
      <w:bookmarkStart w:id="29" w:name="_Toc209440266"/>
      <w:bookmarkStart w:id="30" w:name="_Ref210733032"/>
      <w:bookmarkStart w:id="31" w:name="_Ref210733388"/>
      <w:bookmarkStart w:id="32" w:name="_Toc226448273"/>
      <w:r w:rsidRPr="00C34CF2">
        <w:lastRenderedPageBreak/>
        <w:t>What the Road Management Act does</w:t>
      </w:r>
      <w:bookmarkEnd w:id="29"/>
      <w:bookmarkEnd w:id="30"/>
      <w:bookmarkEnd w:id="31"/>
      <w:bookmarkEnd w:id="32"/>
    </w:p>
    <w:p w14:paraId="246B8427" w14:textId="0928273D" w:rsidR="00C34CF2" w:rsidRPr="00C34CF2" w:rsidRDefault="00C34CF2" w:rsidP="00C34CF2">
      <w:r w:rsidRPr="00C34CF2">
        <w:t xml:space="preserve">The Act provides a comprehensive statutory framework for the management of public roads, as highlighted in section </w:t>
      </w:r>
      <w:r w:rsidRPr="00C34CF2">
        <w:fldChar w:fldCharType="begin"/>
      </w:r>
      <w:r w:rsidRPr="00C34CF2">
        <w:instrText xml:space="preserve"> REF _Ref209517530 \r \h </w:instrText>
      </w:r>
      <w:r w:rsidRPr="00C34CF2">
        <w:fldChar w:fldCharType="separate"/>
      </w:r>
      <w:r w:rsidR="00F170D0">
        <w:t>2.1.1</w:t>
      </w:r>
      <w:r w:rsidRPr="00C34CF2">
        <w:fldChar w:fldCharType="end"/>
      </w:r>
      <w:r w:rsidRPr="00C34CF2">
        <w:t>. The following sections describe some of the specific powers</w:t>
      </w:r>
      <w:r w:rsidR="000861F9">
        <w:t>, duties</w:t>
      </w:r>
      <w:r w:rsidRPr="00C34CF2">
        <w:t xml:space="preserve"> and functions </w:t>
      </w:r>
      <w:r w:rsidR="00203CFE">
        <w:t xml:space="preserve">contained in </w:t>
      </w:r>
      <w:r w:rsidRPr="00C34CF2">
        <w:t>the Act.</w:t>
      </w:r>
    </w:p>
    <w:p w14:paraId="4BB98B68" w14:textId="21A7B884" w:rsidR="00C34CF2" w:rsidRPr="00C63FF8" w:rsidRDefault="00C043AE" w:rsidP="00925B40">
      <w:pPr>
        <w:pStyle w:val="Heading4-Numbered"/>
        <w:rPr>
          <w14:textFill>
            <w14:solidFill>
              <w14:schemeClr w14:val="tx2">
                <w14:lumMod w14:val="75000"/>
                <w14:lumOff w14:val="25000"/>
                <w14:lumMod w14:val="75000"/>
                <w14:lumOff w14:val="25000"/>
                <w14:lumMod w14:val="75000"/>
              </w14:schemeClr>
            </w14:solidFill>
          </w14:textFill>
        </w:rPr>
      </w:pPr>
      <w:bookmarkStart w:id="33" w:name="_Ref210907542"/>
      <w:r w:rsidRPr="00C63FF8">
        <w:rPr>
          <w14:textFill>
            <w14:solidFill>
              <w14:schemeClr w14:val="tx2">
                <w14:lumMod w14:val="75000"/>
                <w14:lumOff w14:val="25000"/>
                <w14:lumMod w14:val="75000"/>
                <w14:lumOff w14:val="25000"/>
                <w14:lumMod w14:val="75000"/>
              </w14:schemeClr>
            </w14:solidFill>
          </w14:textFill>
        </w:rPr>
        <w:t>Duties of road authorities</w:t>
      </w:r>
      <w:bookmarkEnd w:id="33"/>
    </w:p>
    <w:p w14:paraId="2825FA50" w14:textId="4DF2C626" w:rsidR="00C34CF2" w:rsidRPr="00C34CF2" w:rsidRDefault="00C34CF2" w:rsidP="00C34CF2">
      <w:r w:rsidRPr="00C34CF2">
        <w:t>The Act addresses civil liability issues related to road management. A 2001 High Court ruling removed the immunity that protected road authorities from negligence claims for failing to repair roads, making them potentially liable for foreseeable property damage or personal injury. The Act clarifies the duties of road authorities to inspect, maintain, and repair public roads, and sets principles for courts to determine breaches of duty of care. It limits liability by stating</w:t>
      </w:r>
      <w:r w:rsidR="003957F4">
        <w:t xml:space="preserve"> that</w:t>
      </w:r>
      <w:r w:rsidRPr="00C34CF2">
        <w:t xml:space="preserve"> road authorities aren't liable for failing to remove hazards or repair defects unless they had actual knowledge of the risk. Additionally, the Act provides a policy defence for actions taken in accordance with a road management plan.</w:t>
      </w:r>
    </w:p>
    <w:p w14:paraId="54008742" w14:textId="6ABE942A" w:rsidR="00C34CF2" w:rsidRPr="00C34CF2" w:rsidRDefault="00C34CF2" w:rsidP="00C34CF2">
      <w:r w:rsidRPr="00C34CF2">
        <w:t>Under the Act, if someone wants to commence legal proceedings related to the condition of a public road or infrastructure, they must give written notice to the responsible road authority within 30 days (or longer if specified by regulations). This notice helps the road authority prepare a condition report, which can be used as evidence in court. The Act allows road authorities to inspect the specified road or infrastructure to create this report and outlines what information it should include, with additional details provided by regulations.</w:t>
      </w:r>
    </w:p>
    <w:p w14:paraId="3351D1A9" w14:textId="77777777" w:rsidR="00C34CF2" w:rsidRPr="00C63FF8" w:rsidRDefault="00C34CF2" w:rsidP="00925B40">
      <w:pPr>
        <w:pStyle w:val="Heading4-Numbered"/>
        <w:rPr>
          <w14:textFill>
            <w14:solidFill>
              <w14:schemeClr w14:val="tx2">
                <w14:lumMod w14:val="75000"/>
                <w14:lumOff w14:val="25000"/>
                <w14:lumMod w14:val="75000"/>
                <w14:lumOff w14:val="25000"/>
                <w14:lumMod w14:val="75000"/>
              </w14:schemeClr>
            </w14:solidFill>
          </w14:textFill>
        </w:rPr>
      </w:pPr>
      <w:bookmarkStart w:id="34" w:name="_Ref210741339"/>
      <w:r w:rsidRPr="00C63FF8">
        <w:rPr>
          <w14:textFill>
            <w14:solidFill>
              <w14:schemeClr w14:val="tx2">
                <w14:lumMod w14:val="75000"/>
                <w14:lumOff w14:val="25000"/>
                <w14:lumMod w14:val="75000"/>
                <w14:lumOff w14:val="25000"/>
                <w14:lumMod w14:val="75000"/>
              </w14:schemeClr>
            </w14:solidFill>
          </w14:textFill>
        </w:rPr>
        <w:t>Management of roads</w:t>
      </w:r>
      <w:bookmarkEnd w:id="34"/>
    </w:p>
    <w:p w14:paraId="64E4FC56" w14:textId="77777777" w:rsidR="00C34CF2" w:rsidRPr="00C34CF2" w:rsidRDefault="00C34CF2" w:rsidP="00C34CF2">
      <w:r w:rsidRPr="00C34CF2">
        <w:t xml:space="preserve">The Act provides for general functions and powers of road authorities for the purposes of managing public roads. For example, the Act facilitates the making of road management plans for the purposes of inspecting, maintaining and repairing roads. </w:t>
      </w:r>
    </w:p>
    <w:p w14:paraId="3FB15512" w14:textId="77777777" w:rsidR="00C34CF2" w:rsidRPr="00C34CF2" w:rsidRDefault="00C34CF2" w:rsidP="00C34CF2">
      <w:r w:rsidRPr="00C34CF2">
        <w:t xml:space="preserve">Division 5 of Part 4 of the Act empowers road authorities to make a road management plan on a voluntary basis. If a road authority decides to make a road management plan there are certain contents which may be included. These include relevant standards or policies for performing road management functions; details of the management system for inspecting, maintaining, and repairing public roads; and priorities of the road authority. </w:t>
      </w:r>
    </w:p>
    <w:p w14:paraId="1119679D" w14:textId="7C72E78D" w:rsidR="00C34CF2" w:rsidRPr="00C34CF2" w:rsidRDefault="00C34CF2" w:rsidP="00C34CF2">
      <w:r w:rsidRPr="00C34CF2">
        <w:t>While road authorities have a statutory duty to inspect, maintain and repair the public roads for which they are responsible, the purpose of the road management plan is to improve road safety and to prevent road authorities from being exposed to unlimited liability for the condition of those public roads. By making a road management plan, a road authority has committed to undertaking the inspection, maintenance and repair of its public roads within specified inspection and response times for specified hazard thresholds. Provided the road authority complies with its published inspection, maintenance and repair regime, the road management plan, via the Act, provides a defence against claims from any person seeking compensation f</w:t>
      </w:r>
      <w:r w:rsidR="005B2317">
        <w:t>or</w:t>
      </w:r>
      <w:r w:rsidRPr="00C34CF2">
        <w:t xml:space="preserve"> property damages, personal injury or other damages that has arisen because of an incident that is related to the condition of the road.</w:t>
      </w:r>
    </w:p>
    <w:p w14:paraId="16A89DDF" w14:textId="77777777" w:rsidR="00C34CF2" w:rsidRPr="00C34CF2" w:rsidRDefault="00C34CF2" w:rsidP="00C34CF2">
      <w:r w:rsidRPr="00C34CF2">
        <w:t>The Act also requires road authorities to keep a register of public roads for the purposes of documenting and making publicly available a record of the roads for which each authority is responsible (section 19). The Act prescribes matters which must and may be included in a register of public roads (Schedule 1). These include the name and classification of each public road, any toll zones and any instruments that fix or vary the boundaries of a road if applicable. The Act also allows the regulations to specify other matters to be included in the registers as needed (see Clause 1(k) of Schedule 1).</w:t>
      </w:r>
    </w:p>
    <w:p w14:paraId="5DBD3174" w14:textId="1BB75CEB" w:rsidR="00C34CF2" w:rsidRPr="00C34CF2" w:rsidRDefault="00C34CF2" w:rsidP="00C34CF2">
      <w:r w:rsidRPr="00C34CF2">
        <w:t xml:space="preserve">The </w:t>
      </w:r>
      <w:r w:rsidR="00DA6ED4">
        <w:t>process to be followed</w:t>
      </w:r>
      <w:r w:rsidRPr="00C34CF2">
        <w:t xml:space="preserve"> when discontinuing a road</w:t>
      </w:r>
      <w:r w:rsidR="00DA6ED4">
        <w:t xml:space="preserve"> is also set out under the Act. A</w:t>
      </w:r>
      <w:r w:rsidRPr="00C34CF2">
        <w:t xml:space="preserve"> discontinuing body must publish a public notice, consider any submissions received from the public in relation to the discontinuance, and arrange meetings to hear matters further if requested. The discontinuing body must also provide a copy of the public notice to each infrastructure manager responsible for infrastructure on the road and must have </w:t>
      </w:r>
      <w:r w:rsidRPr="00C34CF2">
        <w:lastRenderedPageBreak/>
        <w:t xml:space="preserve">regard to the works and infrastructure management principles (section 20(2) of the Act). The Act provides that these requirements do not apply if an exemption is specified in regulations or given by the relevant Minister. </w:t>
      </w:r>
    </w:p>
    <w:p w14:paraId="3E1F06E2" w14:textId="77777777" w:rsidR="00C34CF2" w:rsidRPr="00C63FF8" w:rsidRDefault="00C34CF2" w:rsidP="00925B40">
      <w:pPr>
        <w:pStyle w:val="Heading4-Numbered"/>
        <w:rPr>
          <w14:textFill>
            <w14:solidFill>
              <w14:schemeClr w14:val="tx2">
                <w14:lumMod w14:val="75000"/>
                <w14:lumOff w14:val="25000"/>
                <w14:lumMod w14:val="75000"/>
                <w14:lumOff w14:val="25000"/>
                <w14:lumMod w14:val="75000"/>
              </w14:schemeClr>
            </w14:solidFill>
          </w14:textFill>
        </w:rPr>
      </w:pPr>
      <w:bookmarkStart w:id="35" w:name="_Ref210909927"/>
      <w:r w:rsidRPr="00C63FF8">
        <w:rPr>
          <w14:textFill>
            <w14:solidFill>
              <w14:schemeClr w14:val="tx2">
                <w14:lumMod w14:val="75000"/>
                <w14:lumOff w14:val="25000"/>
                <w14:lumMod w14:val="75000"/>
                <w14:lumOff w14:val="25000"/>
                <w14:lumMod w14:val="75000"/>
              </w14:schemeClr>
            </w14:solidFill>
          </w14:textFill>
        </w:rPr>
        <w:t>Protection of roads</w:t>
      </w:r>
      <w:bookmarkEnd w:id="35"/>
    </w:p>
    <w:p w14:paraId="4757DA7A" w14:textId="79345D31" w:rsidR="00C34CF2" w:rsidRPr="00C34CF2" w:rsidRDefault="00C34CF2" w:rsidP="00C34CF2">
      <w:r w:rsidRPr="00C34CF2">
        <w:t xml:space="preserve">The Act provides for the protection of roads through various offences, powers, controls and enforcement provisions. For example, the Act </w:t>
      </w:r>
      <w:r w:rsidR="0072129B">
        <w:t>provides for</w:t>
      </w:r>
      <w:r w:rsidRPr="00C34CF2">
        <w:t xml:space="preserve"> the removal of abandoned vehicles and objects in certain circumstances. Under section 119A, the </w:t>
      </w:r>
      <w:r w:rsidR="00A80C85">
        <w:t>HTfV</w:t>
      </w:r>
      <w:r w:rsidRPr="00C34CF2">
        <w:t xml:space="preserve"> can move vehicles from roads if they are illegally parked, dangerous, or causing congestion, using reasonable force if necessary. State road authorities may also remove unregistered or abandoned vehicles from roads for which they are responsible. Road authorities must notify owners if their vehicle is moved. </w:t>
      </w:r>
    </w:p>
    <w:p w14:paraId="10655403" w14:textId="68E81264" w:rsidR="00C34CF2" w:rsidRPr="00C34CF2" w:rsidRDefault="00C34CF2" w:rsidP="00C34CF2">
      <w:r w:rsidRPr="00C34CF2">
        <w:t xml:space="preserve">Further, section 119B allows the </w:t>
      </w:r>
      <w:r w:rsidR="00A80C85">
        <w:t>HTfV</w:t>
      </w:r>
      <w:r w:rsidRPr="00C34CF2">
        <w:t xml:space="preserve"> to remove abandoned objects from roads and recover costs. These removal powers are generally limited to the </w:t>
      </w:r>
      <w:r w:rsidR="00A80C85">
        <w:t>HTfV</w:t>
      </w:r>
      <w:r w:rsidRPr="00C34CF2">
        <w:t xml:space="preserve">, however, similar powers are granted to </w:t>
      </w:r>
      <w:r w:rsidR="00B01E37">
        <w:t>s</w:t>
      </w:r>
      <w:r w:rsidRPr="00C34CF2">
        <w:t>tate road authorities under Schedule</w:t>
      </w:r>
      <w:r w:rsidRPr="00C34CF2">
        <w:rPr>
          <w:rFonts w:ascii="Cambria" w:hAnsi="Cambria" w:cs="Cambria"/>
        </w:rPr>
        <w:t> </w:t>
      </w:r>
      <w:r w:rsidRPr="00C34CF2">
        <w:t>3. In addition, section 62 creates an offence for obstructing the use of a road by persons or vehicles lawfully entitled to use the road. This offence not only aims to minimise damage to roads and related infrastructure, but also to save time and resources required to attend to and rectify preventable damage and interference. Offences relating to interference with roads as a result of conducting unauthorised works is discussed below.</w:t>
      </w:r>
    </w:p>
    <w:p w14:paraId="1A54BAD4" w14:textId="77777777" w:rsidR="00C34CF2" w:rsidRPr="00C63FF8" w:rsidRDefault="00C34CF2" w:rsidP="00925B40">
      <w:pPr>
        <w:pStyle w:val="Heading4-Numbered"/>
        <w:rPr>
          <w14:textFill>
            <w14:solidFill>
              <w14:schemeClr w14:val="tx2">
                <w14:lumMod w14:val="75000"/>
                <w14:lumOff w14:val="25000"/>
                <w14:lumMod w14:val="75000"/>
                <w14:lumOff w14:val="25000"/>
                <w14:lumMod w14:val="75000"/>
              </w14:schemeClr>
            </w14:solidFill>
          </w14:textFill>
        </w:rPr>
      </w:pPr>
      <w:bookmarkStart w:id="36" w:name="_Ref204181222"/>
      <w:r w:rsidRPr="00C63FF8">
        <w:rPr>
          <w14:textFill>
            <w14:solidFill>
              <w14:schemeClr w14:val="tx2">
                <w14:lumMod w14:val="75000"/>
                <w14:lumOff w14:val="25000"/>
                <w14:lumMod w14:val="75000"/>
                <w14:lumOff w14:val="25000"/>
                <w14:lumMod w14:val="75000"/>
              </w14:schemeClr>
            </w14:solidFill>
          </w14:textFill>
        </w:rPr>
        <w:t>Works on roads</w:t>
      </w:r>
      <w:bookmarkEnd w:id="36"/>
    </w:p>
    <w:p w14:paraId="3F901249" w14:textId="77777777" w:rsidR="00C34CF2" w:rsidRPr="00C34CF2" w:rsidRDefault="00C34CF2" w:rsidP="00C34CF2">
      <w:r w:rsidRPr="00C34CF2">
        <w:t xml:space="preserve">The Act defines works to include activities related to construction, maintenance or repair of roads and infrastructure, including excavation, tunnelling and installation. It protects against unauthorised works by requiring written consent from the coordinating road authority, with penalties for non-compliance. </w:t>
      </w:r>
    </w:p>
    <w:p w14:paraId="151A4800" w14:textId="77777777" w:rsidR="00C34CF2" w:rsidRPr="00C34CF2" w:rsidRDefault="00C34CF2" w:rsidP="00C34CF2">
      <w:r w:rsidRPr="00C34CF2">
        <w:t xml:space="preserve">Road authorities can impose conditions on consent to ensure safety and to minimise disruption. The Act prohibits conditions that conflict with regulations or industry standards. However, infrastructure managers and works managers are subject specified duties under the Act. </w:t>
      </w:r>
    </w:p>
    <w:p w14:paraId="2C48D46F" w14:textId="77777777" w:rsidR="00C34CF2" w:rsidRPr="00C34CF2" w:rsidRDefault="00C34CF2" w:rsidP="00C34CF2">
      <w:r w:rsidRPr="00C34CF2">
        <w:t>To avoid unnecessary burdens, the Act provides exemptions for low-risk works. The exemptions provided by the Act enable certain works to be carried out without the written consent of the relevant coordinating road authority, allowing for a more efficient and streamlined process. They also minimise the potential harms which may arise because of safety hazards, by allowing emergency works to be undertaken without additional administrative oversight.</w:t>
      </w:r>
    </w:p>
    <w:p w14:paraId="010A7527" w14:textId="77777777" w:rsidR="00C34CF2" w:rsidRPr="00C63FF8" w:rsidRDefault="00C34CF2" w:rsidP="00925B40">
      <w:pPr>
        <w:pStyle w:val="Heading4-Numbered"/>
        <w:rPr>
          <w14:textFill>
            <w14:solidFill>
              <w14:schemeClr w14:val="tx2">
                <w14:lumMod w14:val="75000"/>
                <w14:lumOff w14:val="25000"/>
                <w14:lumMod w14:val="75000"/>
                <w14:lumOff w14:val="25000"/>
                <w14:lumMod w14:val="75000"/>
              </w14:schemeClr>
            </w14:solidFill>
          </w14:textFill>
        </w:rPr>
      </w:pPr>
      <w:bookmarkStart w:id="37" w:name="_Ref210910651"/>
      <w:r w:rsidRPr="00C63FF8">
        <w:rPr>
          <w14:textFill>
            <w14:solidFill>
              <w14:schemeClr w14:val="tx2">
                <w14:lumMod w14:val="75000"/>
                <w14:lumOff w14:val="25000"/>
                <w14:lumMod w14:val="75000"/>
                <w14:lumOff w14:val="25000"/>
                <w14:lumMod w14:val="75000"/>
              </w14:schemeClr>
            </w14:solidFill>
          </w14:textFill>
        </w:rPr>
        <w:t>Other matters</w:t>
      </w:r>
      <w:bookmarkEnd w:id="37"/>
    </w:p>
    <w:p w14:paraId="093D0FF2" w14:textId="2A166E41" w:rsidR="00C34CF2" w:rsidRPr="00C34CF2" w:rsidRDefault="00C34CF2" w:rsidP="00C34CF2">
      <w:r w:rsidRPr="00C34CF2">
        <w:t xml:space="preserve">The Act also provides for other general matters relating to the management of public roads. For example, the Act prohibits placing a structure, device or hoarding for the purpose of advertisement on or over a road and placing a sign or bill on any piece of infrastructure on a road reserve without written consent from the coordinating road authority, unless they are authorised or permitted by or under the Act or </w:t>
      </w:r>
      <w:r w:rsidR="00C70632">
        <w:t xml:space="preserve">any </w:t>
      </w:r>
      <w:r w:rsidRPr="00C34CF2">
        <w:t>other</w:t>
      </w:r>
      <w:r w:rsidR="00C70632">
        <w:t xml:space="preserve"> legislation</w:t>
      </w:r>
      <w:r w:rsidRPr="00C34CF2">
        <w:t xml:space="preserve">. If someone does place an advertisement on the road or road reserve without written consent and they are directed by an authorised </w:t>
      </w:r>
      <w:r w:rsidR="008308ED">
        <w:t xml:space="preserve">officer </w:t>
      </w:r>
      <w:r w:rsidRPr="00C34CF2">
        <w:t xml:space="preserve">to remove it, they must remove it. This offence prevents drivers from becoming distracted and prevents the road reserve from becoming overcrowded, which could lead to safety hazards or obstruction of the road or pathway. </w:t>
      </w:r>
    </w:p>
    <w:p w14:paraId="069961EE" w14:textId="2192D357" w:rsidR="00C34CF2" w:rsidRPr="00C34CF2" w:rsidRDefault="00C34CF2" w:rsidP="00C34CF2">
      <w:r w:rsidRPr="00C34CF2">
        <w:t>The Act also empowers road authorities to recover costs associated with road management through several mechanisms. These mechanisms include charging fees for</w:t>
      </w:r>
      <w:r w:rsidR="00C23508">
        <w:t xml:space="preserve"> processing</w:t>
      </w:r>
      <w:r w:rsidRPr="00C34CF2">
        <w:t xml:space="preserve"> permits and applications related to road works or the use of road reserves, requiring service providers to contribute to the costs of repairing roads after infrastructure works, and seeking contributions from developers for road upgrades that support new developments. Road authorities can also recover costs for damage caused to road infrastructure and enforce compliance with permit conditions. </w:t>
      </w:r>
    </w:p>
    <w:p w14:paraId="454E8A1E" w14:textId="77777777" w:rsidR="00C34CF2" w:rsidRPr="00C34CF2" w:rsidRDefault="00C34CF2" w:rsidP="00925B40">
      <w:pPr>
        <w:pStyle w:val="Heading2-Numbered"/>
      </w:pPr>
      <w:bookmarkStart w:id="38" w:name="_Toc209440267"/>
      <w:bookmarkStart w:id="39" w:name="_Ref209603357"/>
      <w:bookmarkStart w:id="40" w:name="_Toc226448274"/>
      <w:r w:rsidRPr="00C34CF2">
        <w:lastRenderedPageBreak/>
        <w:t>The Regulations</w:t>
      </w:r>
      <w:bookmarkEnd w:id="38"/>
      <w:bookmarkEnd w:id="39"/>
      <w:bookmarkEnd w:id="40"/>
    </w:p>
    <w:p w14:paraId="711567E4" w14:textId="51478FC1" w:rsidR="00C34CF2" w:rsidRPr="00C34CF2" w:rsidRDefault="00C34CF2" w:rsidP="00C34CF2">
      <w:pPr>
        <w:rPr>
          <w:bCs/>
        </w:rPr>
      </w:pPr>
      <w:r w:rsidRPr="00C34CF2">
        <w:rPr>
          <w:bCs/>
        </w:rPr>
        <w:t xml:space="preserve">The </w:t>
      </w:r>
      <w:r w:rsidRPr="00C34CF2">
        <w:rPr>
          <w:bCs/>
          <w:i/>
        </w:rPr>
        <w:t xml:space="preserve">Road Management (Works and Infrastructure) Regulations 2015 </w:t>
      </w:r>
      <w:r w:rsidRPr="00C34CF2">
        <w:rPr>
          <w:bCs/>
        </w:rPr>
        <w:t>and the</w:t>
      </w:r>
      <w:r w:rsidRPr="00C34CF2">
        <w:rPr>
          <w:bCs/>
          <w:i/>
        </w:rPr>
        <w:t xml:space="preserve"> Road Management (General) Regulations 2016</w:t>
      </w:r>
      <w:r w:rsidRPr="00C34CF2">
        <w:rPr>
          <w:bCs/>
        </w:rPr>
        <w:t xml:space="preserve"> support the implementation of the framework provided by</w:t>
      </w:r>
      <w:r w:rsidR="00620537">
        <w:rPr>
          <w:bCs/>
        </w:rPr>
        <w:t xml:space="preserve"> the</w:t>
      </w:r>
      <w:r w:rsidRPr="00C34CF2">
        <w:rPr>
          <w:bCs/>
        </w:rPr>
        <w:t xml:space="preserve"> Act by setting out specific procedures and requirements for road management activities.</w:t>
      </w:r>
    </w:p>
    <w:p w14:paraId="5D3F86D2" w14:textId="77777777" w:rsidR="00C34CF2" w:rsidRPr="00C34CF2" w:rsidRDefault="00C34CF2" w:rsidP="00925B40">
      <w:pPr>
        <w:pStyle w:val="Heading3-Numbered"/>
      </w:pPr>
      <w:bookmarkStart w:id="41" w:name="_Toc209440268"/>
      <w:bookmarkStart w:id="42" w:name="_Ref209605102"/>
      <w:bookmarkStart w:id="43" w:name="_Toc226448275"/>
      <w:r w:rsidRPr="00C34CF2">
        <w:t>The Road Management (Works and Infrastructure) Regulations 2015</w:t>
      </w:r>
      <w:bookmarkEnd w:id="41"/>
      <w:bookmarkEnd w:id="42"/>
      <w:bookmarkEnd w:id="43"/>
    </w:p>
    <w:p w14:paraId="6923FCD4" w14:textId="77777777" w:rsidR="00C34CF2" w:rsidRPr="00C34CF2" w:rsidRDefault="00C34CF2" w:rsidP="00C34CF2">
      <w:pPr>
        <w:rPr>
          <w:b/>
          <w:color w:val="515965" w:themeColor="text2" w:themeTint="BF"/>
        </w:rPr>
      </w:pPr>
      <w:r w:rsidRPr="00C34CF2">
        <w:rPr>
          <w:b/>
          <w:color w:val="515965" w:themeColor="text2" w:themeTint="BF"/>
        </w:rPr>
        <w:t>Part 2 – Exemption from consent for works</w:t>
      </w:r>
    </w:p>
    <w:p w14:paraId="24A7495A" w14:textId="79309114" w:rsidR="00C34CF2" w:rsidRPr="00C34CF2" w:rsidRDefault="00C34CF2" w:rsidP="00C34CF2">
      <w:pPr>
        <w:rPr>
          <w:bCs/>
        </w:rPr>
      </w:pPr>
      <w:r w:rsidRPr="00C34CF2">
        <w:rPr>
          <w:bCs/>
        </w:rPr>
        <w:t xml:space="preserve">Part 2 of the </w:t>
      </w:r>
      <w:r w:rsidRPr="00C34CF2">
        <w:rPr>
          <w:bCs/>
          <w:i/>
        </w:rPr>
        <w:t>Road Management (Works and Infrastructure) Regulations 2015</w:t>
      </w:r>
      <w:r w:rsidRPr="00C34CF2">
        <w:rPr>
          <w:bCs/>
        </w:rPr>
        <w:t xml:space="preserve"> provides exemptions for certain entities from the requirement to obtain the written consent of the coordinating road authority to conduct specified works on a </w:t>
      </w:r>
      <w:r w:rsidRPr="00C34CF2">
        <w:t>road. The regulations also provide exemptions with respect to the giving of notice</w:t>
      </w:r>
      <w:r w:rsidR="009D6524">
        <w:t xml:space="preserve"> of</w:t>
      </w:r>
      <w:r w:rsidRPr="00C34CF2">
        <w:t xml:space="preserve"> the completion of works to</w:t>
      </w:r>
      <w:r w:rsidRPr="00C34CF2">
        <w:rPr>
          <w:bCs/>
        </w:rPr>
        <w:t xml:space="preserve"> the coordinating road authority. These exemptions allow certain entities, such as public transport providers and utilities, to conduct certain </w:t>
      </w:r>
      <w:r w:rsidR="008B7700">
        <w:rPr>
          <w:bCs/>
        </w:rPr>
        <w:t xml:space="preserve">types of </w:t>
      </w:r>
      <w:r w:rsidRPr="00C34CF2">
        <w:rPr>
          <w:bCs/>
        </w:rPr>
        <w:t>works more efficiently.</w:t>
      </w:r>
    </w:p>
    <w:p w14:paraId="40B5D098" w14:textId="6EB4336E" w:rsidR="00C34CF2" w:rsidRPr="00C34CF2" w:rsidRDefault="00C34CF2" w:rsidP="00C34CF2">
      <w:pPr>
        <w:rPr>
          <w:b/>
          <w:color w:val="515965" w:themeColor="text2" w:themeTint="BF"/>
        </w:rPr>
      </w:pPr>
      <w:r w:rsidRPr="00C34CF2">
        <w:rPr>
          <w:b/>
          <w:color w:val="515965" w:themeColor="text2" w:themeTint="BF"/>
        </w:rPr>
        <w:t xml:space="preserve">Part 3 – </w:t>
      </w:r>
      <w:r w:rsidR="002B2AD2">
        <w:rPr>
          <w:b/>
          <w:color w:val="515965" w:themeColor="text2" w:themeTint="BF"/>
        </w:rPr>
        <w:t>Consent for works</w:t>
      </w:r>
    </w:p>
    <w:p w14:paraId="1A103B53" w14:textId="5E3E333D" w:rsidR="00C34CF2" w:rsidRPr="00C34CF2" w:rsidRDefault="00C34CF2" w:rsidP="00C34CF2">
      <w:pPr>
        <w:rPr>
          <w:bCs/>
        </w:rPr>
      </w:pPr>
      <w:r w:rsidRPr="00C34CF2">
        <w:rPr>
          <w:bCs/>
        </w:rPr>
        <w:t>Part 3 of the regulations restrict the types of conditions on which a consent to conduct works may be given.</w:t>
      </w:r>
      <w:r w:rsidR="002B2AD2">
        <w:rPr>
          <w:bCs/>
        </w:rPr>
        <w:t xml:space="preserve"> </w:t>
      </w:r>
      <w:r w:rsidR="00761068">
        <w:rPr>
          <w:bCs/>
        </w:rPr>
        <w:t>It</w:t>
      </w:r>
      <w:r w:rsidR="00A36E20">
        <w:rPr>
          <w:bCs/>
        </w:rPr>
        <w:t xml:space="preserve"> also prescribes the particulars that must be included in applications for consent for certain works where non-road infrastructure that is the responsibility of another infrastructure manager is affected.</w:t>
      </w:r>
      <w:r w:rsidRPr="00C34CF2">
        <w:rPr>
          <w:bCs/>
        </w:rPr>
        <w:t xml:space="preserve"> </w:t>
      </w:r>
    </w:p>
    <w:p w14:paraId="084C324F" w14:textId="3D7D26D4" w:rsidR="00762567" w:rsidRPr="00C34CF2" w:rsidRDefault="00762567" w:rsidP="00762567">
      <w:pPr>
        <w:rPr>
          <w:bCs/>
        </w:rPr>
      </w:pPr>
      <w:r w:rsidRPr="00C34CF2">
        <w:rPr>
          <w:bCs/>
        </w:rPr>
        <w:t xml:space="preserve">Part </w:t>
      </w:r>
      <w:r>
        <w:rPr>
          <w:bCs/>
        </w:rPr>
        <w:t>3</w:t>
      </w:r>
      <w:r w:rsidRPr="00C34CF2">
        <w:rPr>
          <w:bCs/>
        </w:rPr>
        <w:t xml:space="preserve"> also prescribes additional information that is required to be included in applications for consent where the proposed works affect non-road infrastructure that is not the responsibility of the applicant.</w:t>
      </w:r>
    </w:p>
    <w:p w14:paraId="7BC0AC66" w14:textId="77777777" w:rsidR="00C34CF2" w:rsidRPr="00C34CF2" w:rsidRDefault="00C34CF2" w:rsidP="00C34CF2">
      <w:pPr>
        <w:rPr>
          <w:b/>
          <w:color w:val="515965" w:themeColor="text2" w:themeTint="BF"/>
        </w:rPr>
      </w:pPr>
      <w:r w:rsidRPr="00C34CF2">
        <w:rPr>
          <w:b/>
          <w:color w:val="515965" w:themeColor="text2" w:themeTint="BF"/>
        </w:rPr>
        <w:t>Part 4 – Prescribed periods</w:t>
      </w:r>
    </w:p>
    <w:p w14:paraId="29A2CFAC" w14:textId="67B0D5FB" w:rsidR="00C34CF2" w:rsidRPr="00C34CF2" w:rsidRDefault="00C34CF2" w:rsidP="00C34CF2">
      <w:pPr>
        <w:rPr>
          <w:bCs/>
        </w:rPr>
      </w:pPr>
      <w:r w:rsidRPr="00C34CF2">
        <w:rPr>
          <w:bCs/>
        </w:rPr>
        <w:t xml:space="preserve">Part 4 reduces the period a coordinating road authority </w:t>
      </w:r>
      <w:r w:rsidR="00142781">
        <w:rPr>
          <w:bCs/>
        </w:rPr>
        <w:t>needs</w:t>
      </w:r>
      <w:r w:rsidRPr="00C34CF2">
        <w:rPr>
          <w:bCs/>
        </w:rPr>
        <w:t xml:space="preserve"> to respond to certain applications for consent, before consent is deemed to have been given under the Act. This ensures planned works are not unreasonably delayed.</w:t>
      </w:r>
    </w:p>
    <w:p w14:paraId="08C2663E" w14:textId="77777777" w:rsidR="00C34CF2" w:rsidRPr="00C34CF2" w:rsidRDefault="00C34CF2" w:rsidP="00C34CF2">
      <w:pPr>
        <w:rPr>
          <w:b/>
          <w:color w:val="515965" w:themeColor="text2" w:themeTint="BF"/>
        </w:rPr>
      </w:pPr>
      <w:r w:rsidRPr="00C34CF2">
        <w:rPr>
          <w:b/>
          <w:color w:val="515965" w:themeColor="text2" w:themeTint="BF"/>
        </w:rPr>
        <w:t>Part 5 – Fees</w:t>
      </w:r>
    </w:p>
    <w:p w14:paraId="24D905DB" w14:textId="77777777" w:rsidR="00C34CF2" w:rsidRPr="00C34CF2" w:rsidRDefault="00C34CF2" w:rsidP="00C34CF2">
      <w:pPr>
        <w:rPr>
          <w:bCs/>
        </w:rPr>
      </w:pPr>
      <w:r w:rsidRPr="00C34CF2">
        <w:rPr>
          <w:bCs/>
        </w:rPr>
        <w:t xml:space="preserve">Part 5 sets out the fees for applications for consent for works. These fees vary based on the type of road, the part of the road and the nature of the works. </w:t>
      </w:r>
    </w:p>
    <w:p w14:paraId="34C27847" w14:textId="77777777" w:rsidR="00C34CF2" w:rsidRPr="00C34CF2" w:rsidRDefault="00C34CF2" w:rsidP="00DA17D3">
      <w:pPr>
        <w:pStyle w:val="Heading3-Numbered"/>
      </w:pPr>
      <w:bookmarkStart w:id="44" w:name="_Toc209440269"/>
      <w:bookmarkStart w:id="45" w:name="_Toc226448276"/>
      <w:r w:rsidRPr="00C34CF2">
        <w:t>The Road Management (General) Regulations 2016</w:t>
      </w:r>
      <w:bookmarkEnd w:id="44"/>
      <w:bookmarkEnd w:id="45"/>
    </w:p>
    <w:p w14:paraId="238D0DD7" w14:textId="77777777" w:rsidR="00C34CF2" w:rsidRPr="00C34CF2" w:rsidRDefault="00C34CF2" w:rsidP="00C34CF2">
      <w:pPr>
        <w:rPr>
          <w:b/>
          <w:color w:val="515965" w:themeColor="text2" w:themeTint="BF"/>
        </w:rPr>
      </w:pPr>
      <w:r w:rsidRPr="00C34CF2">
        <w:rPr>
          <w:b/>
          <w:color w:val="515965" w:themeColor="text2" w:themeTint="BF"/>
        </w:rPr>
        <w:t>Part 2 - Management of Roads</w:t>
      </w:r>
    </w:p>
    <w:p w14:paraId="7558C6F8" w14:textId="77777777" w:rsidR="00C34CF2" w:rsidRPr="00C34CF2" w:rsidRDefault="00C34CF2" w:rsidP="00C34CF2">
      <w:pPr>
        <w:rPr>
          <w:bCs/>
        </w:rPr>
      </w:pPr>
      <w:r w:rsidRPr="00C34CF2">
        <w:rPr>
          <w:bCs/>
        </w:rPr>
        <w:t>Part 2 of the Road Management (General) Regulations 2015 provide exemptions from specific consultation requirements for the discontinuance of certain roads. This streamlines the process and reduces administrative burdens for road authorities.</w:t>
      </w:r>
    </w:p>
    <w:p w14:paraId="69D61E70" w14:textId="77777777" w:rsidR="00C34CF2" w:rsidRPr="00C34CF2" w:rsidRDefault="00C34CF2" w:rsidP="00C34CF2">
      <w:pPr>
        <w:rPr>
          <w:b/>
          <w:color w:val="515965" w:themeColor="text2" w:themeTint="BF"/>
        </w:rPr>
      </w:pPr>
      <w:r w:rsidRPr="00C34CF2">
        <w:rPr>
          <w:b/>
          <w:color w:val="515965" w:themeColor="text2" w:themeTint="BF"/>
        </w:rPr>
        <w:t>Part 3 – Road Management Plans</w:t>
      </w:r>
    </w:p>
    <w:p w14:paraId="565AA2C0" w14:textId="77777777" w:rsidR="00C34CF2" w:rsidRPr="00C34CF2" w:rsidRDefault="00C34CF2" w:rsidP="00C34CF2">
      <w:pPr>
        <w:rPr>
          <w:bCs/>
        </w:rPr>
      </w:pPr>
      <w:r w:rsidRPr="00C34CF2">
        <w:rPr>
          <w:bCs/>
        </w:rPr>
        <w:t>Part 3 specifies the procedures for reviewing and amending road management plans. This ensures all road authorities follow a consistent and transparent process, leading to more reliable reviews and opportunities to adjust the plans at regular intervals. These steps also help to set clear expectations and responsibilities.</w:t>
      </w:r>
    </w:p>
    <w:p w14:paraId="6E228773" w14:textId="77777777" w:rsidR="00C34CF2" w:rsidRPr="00C34CF2" w:rsidRDefault="00C34CF2" w:rsidP="00C34CF2">
      <w:pPr>
        <w:rPr>
          <w:b/>
          <w:color w:val="515965" w:themeColor="text2" w:themeTint="BF"/>
        </w:rPr>
      </w:pPr>
      <w:r w:rsidRPr="00C34CF2">
        <w:rPr>
          <w:b/>
          <w:color w:val="515965" w:themeColor="text2" w:themeTint="BF"/>
        </w:rPr>
        <w:t>Part 4 – Notices of incident and condition reports</w:t>
      </w:r>
    </w:p>
    <w:p w14:paraId="3DB32F9A" w14:textId="11656A02" w:rsidR="00C34CF2" w:rsidRPr="006141EC" w:rsidRDefault="00C34CF2" w:rsidP="00C34CF2">
      <w:pPr>
        <w:rPr>
          <w:bCs/>
        </w:rPr>
      </w:pPr>
      <w:r w:rsidRPr="00C34CF2">
        <w:rPr>
          <w:bCs/>
        </w:rPr>
        <w:t>Part 4 outlines the details which must be included in a notice of an incident arising out of the condition of a public road or infrastructure (for example where a vehicle has been damaged as a result of the condition of the road). This part also prescribes the details a responsible road authority must include in a condition report, should it choose to prepare one.</w:t>
      </w:r>
    </w:p>
    <w:p w14:paraId="1E360548" w14:textId="627D6CC0" w:rsidR="00C34CF2" w:rsidRPr="00C34CF2" w:rsidRDefault="00C34CF2" w:rsidP="000D0BEE">
      <w:pPr>
        <w:keepNext/>
        <w:rPr>
          <w:b/>
          <w:color w:val="515965" w:themeColor="text2" w:themeTint="BF"/>
        </w:rPr>
      </w:pPr>
      <w:r w:rsidRPr="00C34CF2">
        <w:rPr>
          <w:b/>
          <w:color w:val="515965" w:themeColor="text2" w:themeTint="BF"/>
        </w:rPr>
        <w:lastRenderedPageBreak/>
        <w:t>Part 5 – Protection of roads and property</w:t>
      </w:r>
    </w:p>
    <w:p w14:paraId="197568EF" w14:textId="77777777" w:rsidR="00C34CF2" w:rsidRPr="00C34CF2" w:rsidRDefault="00C34CF2" w:rsidP="000D0BEE">
      <w:pPr>
        <w:keepNext/>
        <w:rPr>
          <w:bCs/>
        </w:rPr>
      </w:pPr>
      <w:r w:rsidRPr="00C34CF2">
        <w:rPr>
          <w:bCs/>
        </w:rPr>
        <w:t>Part 5 provides for the protection of roads and property by prohibiting interference, damage, or removal of road infrastructure without a permit. This includes actions like digging, covering, or defacing road infrastructure.</w:t>
      </w:r>
      <w:r w:rsidRPr="00C34CF2">
        <w:t xml:space="preserve"> Part 5 p</w:t>
      </w:r>
      <w:r w:rsidRPr="00C34CF2">
        <w:rPr>
          <w:bCs/>
        </w:rPr>
        <w:t>rohibits damage to, or interference with, construction zones and related equipment without a permit. These provisions assist in maintaining and protecting roads and road infrastructure.</w:t>
      </w:r>
    </w:p>
    <w:p w14:paraId="48476121" w14:textId="77777777" w:rsidR="00C34CF2" w:rsidRPr="00C34CF2" w:rsidRDefault="00C34CF2" w:rsidP="00C34CF2">
      <w:pPr>
        <w:rPr>
          <w:bCs/>
        </w:rPr>
      </w:pPr>
      <w:r w:rsidRPr="00C34CF2">
        <w:rPr>
          <w:bCs/>
        </w:rPr>
        <w:t>Part 5 also sets out requirements relating to the removal of vehicles, objects, substances and materials on roads. It also includes specific decision-making requirements in relation to the consideration of applications to place hoarding and advertisements on roads. These provisions also help to maintain the condition of roads and road infrastructure.</w:t>
      </w:r>
    </w:p>
    <w:p w14:paraId="756613B0" w14:textId="77777777" w:rsidR="00C34CF2" w:rsidRPr="00C34CF2" w:rsidRDefault="00C34CF2" w:rsidP="00C34CF2">
      <w:r w:rsidRPr="00C34CF2">
        <w:t>Under Part 5, activities such as climbing, jumping, or rappelling on bridges over freeways, arterial roads, or certain non-arterial State roads without authorisation are prohibited. The General Regulations also prohibit camping on road reserves or ancillary areas of freeways, arterial roads, or certain non-arterial State roads without authorisation (but does allow resting on the side of the road to prevent driver fatigue). These provisions help to reduce dangerous activities on or near roads and further protect roads and road infrastructure.</w:t>
      </w:r>
    </w:p>
    <w:p w14:paraId="680E4BEF" w14:textId="77777777" w:rsidR="00C34CF2" w:rsidRPr="00C34CF2" w:rsidRDefault="00C34CF2" w:rsidP="00C34CF2">
      <w:pPr>
        <w:rPr>
          <w:b/>
          <w:color w:val="515965" w:themeColor="text2" w:themeTint="BF"/>
        </w:rPr>
      </w:pPr>
      <w:r w:rsidRPr="00C34CF2">
        <w:rPr>
          <w:b/>
          <w:color w:val="515965" w:themeColor="text2" w:themeTint="BF"/>
        </w:rPr>
        <w:t>Part 6 – Road management infringement notices</w:t>
      </w:r>
    </w:p>
    <w:p w14:paraId="0783F98D" w14:textId="77777777" w:rsidR="00C34CF2" w:rsidRPr="00C34CF2" w:rsidRDefault="00C34CF2" w:rsidP="00C34CF2">
      <w:pPr>
        <w:rPr>
          <w:bCs/>
        </w:rPr>
      </w:pPr>
      <w:r w:rsidRPr="00C34CF2">
        <w:rPr>
          <w:bCs/>
        </w:rPr>
        <w:t>An infringement notice may be issued for several offences under Part 6. This enables a police officer or an authorised officer to serve an infringement notice with a fixed penalty amount, providing additional deterrence for individuals.</w:t>
      </w:r>
    </w:p>
    <w:p w14:paraId="6D095503" w14:textId="77777777" w:rsidR="00C34CF2" w:rsidRPr="00C34CF2" w:rsidRDefault="00C34CF2" w:rsidP="00C34CF2">
      <w:pPr>
        <w:rPr>
          <w:b/>
          <w:color w:val="515965" w:themeColor="text2" w:themeTint="BF"/>
        </w:rPr>
      </w:pPr>
      <w:r w:rsidRPr="00C34CF2">
        <w:rPr>
          <w:b/>
          <w:color w:val="515965" w:themeColor="text2" w:themeTint="BF"/>
        </w:rPr>
        <w:t>Part 7 – Fees and charges</w:t>
      </w:r>
    </w:p>
    <w:p w14:paraId="1A0F362C" w14:textId="21B24205" w:rsidR="00C34CF2" w:rsidRPr="00C34CF2" w:rsidRDefault="00C34CF2" w:rsidP="00C34CF2">
      <w:pPr>
        <w:rPr>
          <w:bCs/>
        </w:rPr>
      </w:pPr>
      <w:r w:rsidRPr="00C34CF2">
        <w:rPr>
          <w:bCs/>
        </w:rPr>
        <w:t>Part 7 specifies the fees for the provision of certain information relating to roads and properties, including property enquiries for the purposes of the preparation of a Section 32 statement</w:t>
      </w:r>
      <w:r w:rsidR="00D17D4E">
        <w:rPr>
          <w:bCs/>
        </w:rPr>
        <w:t>.</w:t>
      </w:r>
      <w:r w:rsidRPr="00C34CF2">
        <w:rPr>
          <w:bCs/>
          <w:vertAlign w:val="superscript"/>
        </w:rPr>
        <w:footnoteReference w:id="7"/>
      </w:r>
      <w:r w:rsidRPr="00C34CF2">
        <w:rPr>
          <w:bCs/>
        </w:rPr>
        <w:t xml:space="preserve"> These set fees provide consistency and transparency and enable cost recovery for road authorities. </w:t>
      </w:r>
    </w:p>
    <w:p w14:paraId="549E06FB" w14:textId="77777777" w:rsidR="00C34CF2" w:rsidRPr="00C34CF2" w:rsidRDefault="00C34CF2" w:rsidP="000D6467">
      <w:pPr>
        <w:pStyle w:val="Heading2-Numbered"/>
      </w:pPr>
      <w:bookmarkStart w:id="46" w:name="_Ref204180772"/>
      <w:bookmarkStart w:id="47" w:name="_Toc209440270"/>
      <w:bookmarkStart w:id="48" w:name="_Toc181976165"/>
      <w:bookmarkStart w:id="49" w:name="_Toc191547306"/>
      <w:bookmarkStart w:id="50" w:name="_Toc226448277"/>
      <w:r w:rsidRPr="00C34CF2">
        <w:t>Other relevant legislation</w:t>
      </w:r>
      <w:bookmarkEnd w:id="46"/>
      <w:bookmarkEnd w:id="47"/>
      <w:bookmarkEnd w:id="50"/>
    </w:p>
    <w:p w14:paraId="4D7EB296" w14:textId="77777777" w:rsidR="00C34CF2" w:rsidRPr="00C34CF2" w:rsidRDefault="00C34CF2" w:rsidP="00C34CF2">
      <w:r w:rsidRPr="00C34CF2">
        <w:t>There are several other Acts that are relevant to the management of roads:</w:t>
      </w:r>
    </w:p>
    <w:p w14:paraId="1095F172" w14:textId="73136554" w:rsidR="00C34CF2" w:rsidRPr="00C34CF2" w:rsidRDefault="00C34CF2" w:rsidP="005D15EA">
      <w:pPr>
        <w:numPr>
          <w:ilvl w:val="0"/>
          <w:numId w:val="14"/>
        </w:numPr>
        <w:rPr>
          <w:b/>
        </w:rPr>
      </w:pPr>
      <w:r w:rsidRPr="00C34CF2">
        <w:t xml:space="preserve">The </w:t>
      </w:r>
      <w:r w:rsidRPr="00C34CF2">
        <w:rPr>
          <w:b/>
          <w:color w:val="36383D" w:themeColor="accent6"/>
        </w:rPr>
        <w:t>Transport Integration Act</w:t>
      </w:r>
      <w:r w:rsidRPr="00C34CF2">
        <w:rPr>
          <w:color w:val="36383D" w:themeColor="accent6"/>
        </w:rPr>
        <w:t xml:space="preserve"> </w:t>
      </w:r>
      <w:r w:rsidRPr="00C34CF2">
        <w:rPr>
          <w:b/>
          <w:color w:val="36383D" w:themeColor="accent6"/>
        </w:rPr>
        <w:t xml:space="preserve">2010 </w:t>
      </w:r>
      <w:r w:rsidRPr="00C34CF2">
        <w:t xml:space="preserve">creates a framework for an integrated and socially, economically and environmentally sustainable transport system. It establishes and sets out the powers of the </w:t>
      </w:r>
      <w:r w:rsidR="00A80C85">
        <w:t>HTfV</w:t>
      </w:r>
      <w:r w:rsidRPr="00C34CF2">
        <w:t xml:space="preserve"> to coordinate, provide, operate and maintain the public transport system and the road system.</w:t>
      </w:r>
    </w:p>
    <w:p w14:paraId="635C6ACB" w14:textId="08BD0CC0" w:rsidR="00C34CF2" w:rsidRPr="00C34CF2" w:rsidRDefault="00C34CF2" w:rsidP="005D15EA">
      <w:pPr>
        <w:numPr>
          <w:ilvl w:val="0"/>
          <w:numId w:val="13"/>
        </w:numPr>
        <w:rPr>
          <w:b/>
        </w:rPr>
      </w:pPr>
      <w:r w:rsidRPr="00C34CF2">
        <w:t xml:space="preserve">The </w:t>
      </w:r>
      <w:r w:rsidRPr="00C34CF2">
        <w:rPr>
          <w:b/>
          <w:color w:val="36383D" w:themeColor="accent6"/>
        </w:rPr>
        <w:t xml:space="preserve">Local Government Act 1989 </w:t>
      </w:r>
      <w:r w:rsidRPr="00C34CF2">
        <w:t>governs the functions, powers and restrictions of Councils including those related to the management of roads.</w:t>
      </w:r>
      <w:r w:rsidRPr="00C34CF2">
        <w:rPr>
          <w:b/>
        </w:rPr>
        <w:t xml:space="preserve"> </w:t>
      </w:r>
      <w:r w:rsidRPr="00C34CF2">
        <w:t xml:space="preserve">During the passage of the </w:t>
      </w:r>
      <w:r w:rsidRPr="00C34CF2">
        <w:rPr>
          <w:i/>
        </w:rPr>
        <w:t>Road Management Act 2004</w:t>
      </w:r>
      <w:r w:rsidRPr="00C34CF2">
        <w:rPr>
          <w:bCs/>
        </w:rPr>
        <w:t xml:space="preserve">, </w:t>
      </w:r>
      <w:r w:rsidRPr="00C34CF2">
        <w:t xml:space="preserve">section 205(2) of the </w:t>
      </w:r>
      <w:r w:rsidRPr="00C34CF2">
        <w:rPr>
          <w:i/>
        </w:rPr>
        <w:t>Local Government Act 1989</w:t>
      </w:r>
      <w:r w:rsidRPr="00C34CF2">
        <w:t xml:space="preserve"> was amended to make it clear that the care and management of all roads for which councils were responsible were to be subject to the </w:t>
      </w:r>
      <w:r w:rsidRPr="00C34CF2">
        <w:rPr>
          <w:i/>
        </w:rPr>
        <w:t>Road Management Act 2004</w:t>
      </w:r>
      <w:r w:rsidRPr="00C34CF2">
        <w:t xml:space="preserve"> and the related Codes of Practice and Regulations. </w:t>
      </w:r>
    </w:p>
    <w:p w14:paraId="6B79D96A" w14:textId="4E6B2584" w:rsidR="00C34CF2" w:rsidRPr="00C34CF2" w:rsidRDefault="00C34CF2" w:rsidP="005D15EA">
      <w:pPr>
        <w:numPr>
          <w:ilvl w:val="0"/>
          <w:numId w:val="13"/>
        </w:numPr>
      </w:pPr>
      <w:r w:rsidRPr="00C34CF2">
        <w:t xml:space="preserve">The </w:t>
      </w:r>
      <w:r w:rsidRPr="00C34CF2">
        <w:rPr>
          <w:b/>
          <w:color w:val="36383D" w:themeColor="accent6"/>
        </w:rPr>
        <w:t xml:space="preserve">Major Transport Projects Facilitation Act 2009 </w:t>
      </w:r>
      <w:r w:rsidR="006E7DC3">
        <w:rPr>
          <w:color w:val="36383D" w:themeColor="accent6"/>
        </w:rPr>
        <w:t xml:space="preserve">provides a framework </w:t>
      </w:r>
      <w:r w:rsidR="0031729F">
        <w:rPr>
          <w:color w:val="36383D" w:themeColor="accent6"/>
        </w:rPr>
        <w:t xml:space="preserve">to streamline the delivery of major transport projects by </w:t>
      </w:r>
      <w:r w:rsidRPr="00C34CF2">
        <w:t>enabl</w:t>
      </w:r>
      <w:r w:rsidR="0031729F">
        <w:t>ing</w:t>
      </w:r>
      <w:r w:rsidRPr="00C34CF2">
        <w:t xml:space="preserve"> the Premier to declare a transport project with economic, social or environmental significance as a “major transport project”. </w:t>
      </w:r>
      <w:r w:rsidR="00311D7A">
        <w:t>Project authorities delivering d</w:t>
      </w:r>
      <w:r w:rsidR="00371F0D">
        <w:t>eclared</w:t>
      </w:r>
      <w:r w:rsidR="00217303">
        <w:t xml:space="preserve"> major </w:t>
      </w:r>
      <w:r w:rsidR="002A3E6D">
        <w:t xml:space="preserve">transport projects have </w:t>
      </w:r>
      <w:r w:rsidR="009E4804">
        <w:t>access to</w:t>
      </w:r>
      <w:r w:rsidR="00311D7A">
        <w:t xml:space="preserve"> </w:t>
      </w:r>
      <w:r w:rsidR="002B4176">
        <w:t>delivery powers</w:t>
      </w:r>
      <w:r w:rsidR="00D47D74">
        <w:t xml:space="preserve"> designed to improve</w:t>
      </w:r>
      <w:r w:rsidR="00D82A25">
        <w:t xml:space="preserve"> productivity and </w:t>
      </w:r>
      <w:r w:rsidR="00302A06">
        <w:t xml:space="preserve">timeliness. Such powers include </w:t>
      </w:r>
      <w:r w:rsidR="00D47D74">
        <w:t>the power to</w:t>
      </w:r>
      <w:r w:rsidRPr="00C34CF2">
        <w:t xml:space="preserve"> declare, discontinue, realign or close a road and move vehicles or objects from roads</w:t>
      </w:r>
      <w:r w:rsidR="00BE5C5F">
        <w:t>.</w:t>
      </w:r>
    </w:p>
    <w:p w14:paraId="3C96B863" w14:textId="77777777" w:rsidR="00C34CF2" w:rsidRPr="00C34CF2" w:rsidRDefault="00C34CF2" w:rsidP="005D15EA">
      <w:pPr>
        <w:numPr>
          <w:ilvl w:val="0"/>
          <w:numId w:val="13"/>
        </w:numPr>
      </w:pPr>
      <w:r w:rsidRPr="00C34CF2">
        <w:lastRenderedPageBreak/>
        <w:t xml:space="preserve">The </w:t>
      </w:r>
      <w:r w:rsidRPr="00C34CF2">
        <w:rPr>
          <w:b/>
          <w:color w:val="36383D" w:themeColor="accent6"/>
        </w:rPr>
        <w:t>Road Safety Act</w:t>
      </w:r>
      <w:r w:rsidRPr="00C34CF2">
        <w:rPr>
          <w:color w:val="36383D" w:themeColor="accent6"/>
        </w:rPr>
        <w:t xml:space="preserve"> </w:t>
      </w:r>
      <w:r w:rsidRPr="00C34CF2">
        <w:rPr>
          <w:b/>
          <w:color w:val="36383D" w:themeColor="accent6"/>
        </w:rPr>
        <w:t>1986</w:t>
      </w:r>
      <w:r w:rsidRPr="00C34CF2">
        <w:rPr>
          <w:color w:val="36383D" w:themeColor="accent6"/>
        </w:rPr>
        <w:t xml:space="preserve"> </w:t>
      </w:r>
      <w:r w:rsidRPr="00C34CF2">
        <w:t>provides for the safe, efficient and equitable use of the roads and sets out the obligations of road users. It improves the procedures for vehicle registration and driver licensing and prevents rebirthing of stolen vehicles</w:t>
      </w:r>
      <w:r w:rsidRPr="00C34CF2" w:rsidDel="00DF091A">
        <w:t>.</w:t>
      </w:r>
      <w:r w:rsidRPr="00C34CF2">
        <w:t xml:space="preserve"> It also ensures equitable distribution within the community of the costs of road use.</w:t>
      </w:r>
    </w:p>
    <w:p w14:paraId="7D2C719F" w14:textId="77777777" w:rsidR="00C34CF2" w:rsidRPr="00C34CF2" w:rsidRDefault="00C34CF2" w:rsidP="00C34CF2">
      <w:r w:rsidRPr="00C34CF2">
        <w:t xml:space="preserve">There are also a number of Acts that set out powers and requirements for the use and management of certain types of roads: </w:t>
      </w:r>
    </w:p>
    <w:p w14:paraId="2D0FE1CA" w14:textId="77777777" w:rsidR="00C34CF2" w:rsidRPr="00C34CF2" w:rsidRDefault="00C34CF2" w:rsidP="005D15EA">
      <w:pPr>
        <w:numPr>
          <w:ilvl w:val="0"/>
          <w:numId w:val="13"/>
        </w:numPr>
      </w:pPr>
      <w:r w:rsidRPr="00C34CF2">
        <w:t xml:space="preserve">The </w:t>
      </w:r>
      <w:r w:rsidRPr="00C34CF2">
        <w:rPr>
          <w:b/>
          <w:color w:val="36383D" w:themeColor="accent6"/>
        </w:rPr>
        <w:t>Alpine Resorts Act 1983</w:t>
      </w:r>
    </w:p>
    <w:p w14:paraId="5555D421" w14:textId="77777777" w:rsidR="00C34CF2" w:rsidRPr="00C34CF2" w:rsidRDefault="00C34CF2" w:rsidP="005D15EA">
      <w:pPr>
        <w:numPr>
          <w:ilvl w:val="0"/>
          <w:numId w:val="13"/>
        </w:numPr>
      </w:pPr>
      <w:r w:rsidRPr="00C34CF2">
        <w:t xml:space="preserve">The </w:t>
      </w:r>
      <w:r w:rsidRPr="00C34CF2">
        <w:rPr>
          <w:b/>
          <w:color w:val="36383D" w:themeColor="accent6"/>
        </w:rPr>
        <w:t>Alpine Resorts (Management) Act 1997</w:t>
      </w:r>
    </w:p>
    <w:p w14:paraId="58B7D658" w14:textId="77777777" w:rsidR="00C34CF2" w:rsidRPr="00C34CF2" w:rsidRDefault="00C34CF2" w:rsidP="005D15EA">
      <w:pPr>
        <w:numPr>
          <w:ilvl w:val="0"/>
          <w:numId w:val="13"/>
        </w:numPr>
        <w:rPr>
          <w:b/>
        </w:rPr>
      </w:pPr>
      <w:r w:rsidRPr="00C34CF2">
        <w:t xml:space="preserve">The </w:t>
      </w:r>
      <w:r w:rsidRPr="00C34CF2">
        <w:rPr>
          <w:b/>
          <w:color w:val="36383D" w:themeColor="accent6"/>
        </w:rPr>
        <w:t xml:space="preserve">Crown Land (Reserves) Act 1978 </w:t>
      </w:r>
    </w:p>
    <w:p w14:paraId="1FA6DE70" w14:textId="77777777" w:rsidR="00C34CF2" w:rsidRPr="00C34CF2" w:rsidRDefault="00C34CF2" w:rsidP="005D15EA">
      <w:pPr>
        <w:numPr>
          <w:ilvl w:val="0"/>
          <w:numId w:val="13"/>
        </w:numPr>
      </w:pPr>
      <w:r w:rsidRPr="00C34CF2">
        <w:t xml:space="preserve">The </w:t>
      </w:r>
      <w:r w:rsidRPr="00C34CF2">
        <w:rPr>
          <w:b/>
          <w:color w:val="36383D" w:themeColor="accent6"/>
        </w:rPr>
        <w:t>Eastlink Project Act 2004</w:t>
      </w:r>
    </w:p>
    <w:p w14:paraId="5FB03AD0" w14:textId="77777777" w:rsidR="00C34CF2" w:rsidRPr="00C34CF2" w:rsidRDefault="00C34CF2" w:rsidP="005D15EA">
      <w:pPr>
        <w:numPr>
          <w:ilvl w:val="0"/>
          <w:numId w:val="13"/>
        </w:numPr>
      </w:pPr>
      <w:r w:rsidRPr="00C34CF2">
        <w:t xml:space="preserve">The </w:t>
      </w:r>
      <w:r w:rsidRPr="00C34CF2">
        <w:rPr>
          <w:b/>
          <w:color w:val="36383D" w:themeColor="accent6"/>
        </w:rPr>
        <w:t>Forests Act 1958</w:t>
      </w:r>
    </w:p>
    <w:p w14:paraId="06CD2C63" w14:textId="77777777" w:rsidR="00C34CF2" w:rsidRPr="000D0BEE" w:rsidRDefault="00C34CF2" w:rsidP="005D15EA">
      <w:pPr>
        <w:numPr>
          <w:ilvl w:val="0"/>
          <w:numId w:val="13"/>
        </w:numPr>
        <w:rPr>
          <w:b/>
        </w:rPr>
      </w:pPr>
      <w:r w:rsidRPr="00C34CF2">
        <w:t xml:space="preserve">The </w:t>
      </w:r>
      <w:r w:rsidRPr="00C34CF2">
        <w:rPr>
          <w:b/>
          <w:color w:val="36383D" w:themeColor="accent6"/>
        </w:rPr>
        <w:t>Land Act 1958</w:t>
      </w:r>
    </w:p>
    <w:p w14:paraId="2B906E30" w14:textId="4F6EA058" w:rsidR="000C4654" w:rsidRPr="000C4654" w:rsidRDefault="000C4654" w:rsidP="005D15EA">
      <w:pPr>
        <w:numPr>
          <w:ilvl w:val="0"/>
          <w:numId w:val="13"/>
        </w:numPr>
        <w:rPr>
          <w:b/>
        </w:rPr>
      </w:pPr>
      <w:r>
        <w:t xml:space="preserve">The </w:t>
      </w:r>
      <w:r w:rsidRPr="0092107C">
        <w:rPr>
          <w:b/>
          <w:color w:val="36383D" w:themeColor="accent6"/>
        </w:rPr>
        <w:t>Land Conservation (Vehicle Control) Act 1972</w:t>
      </w:r>
    </w:p>
    <w:p w14:paraId="082C77E2" w14:textId="77777777" w:rsidR="00C34CF2" w:rsidRPr="00C34CF2" w:rsidRDefault="00C34CF2" w:rsidP="005D15EA">
      <w:pPr>
        <w:numPr>
          <w:ilvl w:val="0"/>
          <w:numId w:val="13"/>
        </w:numPr>
      </w:pPr>
      <w:r w:rsidRPr="00C34CF2">
        <w:t xml:space="preserve">The </w:t>
      </w:r>
      <w:r w:rsidRPr="00C34CF2">
        <w:rPr>
          <w:b/>
          <w:color w:val="36383D" w:themeColor="accent6"/>
        </w:rPr>
        <w:t>Melbourne City Link Act 1995</w:t>
      </w:r>
      <w:r w:rsidRPr="00C34CF2">
        <w:rPr>
          <w:color w:val="36383D" w:themeColor="accent6"/>
        </w:rPr>
        <w:t xml:space="preserve"> </w:t>
      </w:r>
    </w:p>
    <w:p w14:paraId="2CFFC922" w14:textId="77777777" w:rsidR="00C34CF2" w:rsidRPr="00C34CF2" w:rsidRDefault="00C34CF2" w:rsidP="005D15EA">
      <w:pPr>
        <w:numPr>
          <w:ilvl w:val="0"/>
          <w:numId w:val="13"/>
        </w:numPr>
        <w:rPr>
          <w:b/>
        </w:rPr>
      </w:pPr>
      <w:r w:rsidRPr="00C34CF2">
        <w:t xml:space="preserve">The </w:t>
      </w:r>
      <w:r w:rsidRPr="00C34CF2">
        <w:rPr>
          <w:b/>
          <w:color w:val="36383D" w:themeColor="accent6"/>
        </w:rPr>
        <w:t>National Parks Act 1975</w:t>
      </w:r>
    </w:p>
    <w:p w14:paraId="6BD3E162" w14:textId="77777777" w:rsidR="00C34CF2" w:rsidRPr="00C34CF2" w:rsidRDefault="00C34CF2" w:rsidP="005D15EA">
      <w:pPr>
        <w:numPr>
          <w:ilvl w:val="0"/>
          <w:numId w:val="13"/>
        </w:numPr>
      </w:pPr>
      <w:r w:rsidRPr="00C34CF2">
        <w:t xml:space="preserve">The </w:t>
      </w:r>
      <w:r w:rsidRPr="00C34CF2">
        <w:rPr>
          <w:b/>
          <w:color w:val="36383D" w:themeColor="accent6"/>
        </w:rPr>
        <w:t>North East Link Act 2020</w:t>
      </w:r>
    </w:p>
    <w:p w14:paraId="3A7A6A1B" w14:textId="77777777" w:rsidR="00C34CF2" w:rsidRPr="00C34CF2" w:rsidRDefault="00C34CF2" w:rsidP="005D15EA">
      <w:pPr>
        <w:numPr>
          <w:ilvl w:val="0"/>
          <w:numId w:val="13"/>
        </w:numPr>
      </w:pPr>
      <w:r w:rsidRPr="00C34CF2">
        <w:t xml:space="preserve">The </w:t>
      </w:r>
      <w:r w:rsidRPr="00C34CF2">
        <w:rPr>
          <w:b/>
          <w:color w:val="36383D" w:themeColor="accent6"/>
        </w:rPr>
        <w:t>West Gate Tunnel (Truck Bans and Traffic Management) Act 2019</w:t>
      </w:r>
    </w:p>
    <w:p w14:paraId="671A3A09" w14:textId="2628BBD0" w:rsidR="008A37FB" w:rsidRDefault="00C34CF2" w:rsidP="005D15EA">
      <w:pPr>
        <w:numPr>
          <w:ilvl w:val="0"/>
          <w:numId w:val="13"/>
        </w:numPr>
      </w:pPr>
      <w:r w:rsidRPr="00C34CF2">
        <w:t xml:space="preserve">The </w:t>
      </w:r>
      <w:r w:rsidRPr="00C34CF2">
        <w:rPr>
          <w:b/>
          <w:color w:val="36383D" w:themeColor="accent6"/>
        </w:rPr>
        <w:t>Wildlife Act 1975</w:t>
      </w:r>
    </w:p>
    <w:p w14:paraId="05876C29" w14:textId="77777777" w:rsidR="000E084A" w:rsidRDefault="008A37FB" w:rsidP="000E084A">
      <w:r>
        <w:t>Th</w:t>
      </w:r>
      <w:r w:rsidRPr="00C34CF2">
        <w:t xml:space="preserve">ere are also other laws which may </w:t>
      </w:r>
      <w:r w:rsidR="00301473">
        <w:t>contribute to the protection of road and road infrastructure</w:t>
      </w:r>
      <w:r w:rsidRPr="00C34CF2">
        <w:t>. For</w:t>
      </w:r>
      <w:r w:rsidR="00301473">
        <w:rPr>
          <w:rFonts w:ascii="Cambria" w:hAnsi="Cambria"/>
        </w:rPr>
        <w:t> </w:t>
      </w:r>
      <w:r w:rsidRPr="00C34CF2">
        <w:t xml:space="preserve">example, the </w:t>
      </w:r>
      <w:r w:rsidRPr="00C34CF2">
        <w:rPr>
          <w:i/>
        </w:rPr>
        <w:t>Crimes Act 1958</w:t>
      </w:r>
      <w:r w:rsidRPr="00C34CF2">
        <w:t xml:space="preserve"> prohibits theft, property damage, trespassing and reckless endangerment of life, all of which indirectly contributes to the protection and safety of the road network. The </w:t>
      </w:r>
      <w:r w:rsidRPr="00C34CF2">
        <w:rPr>
          <w:i/>
        </w:rPr>
        <w:t xml:space="preserve">Summary Offences Act 1966 </w:t>
      </w:r>
      <w:r w:rsidRPr="00C34CF2">
        <w:t>also</w:t>
      </w:r>
      <w:r w:rsidRPr="00C34CF2">
        <w:rPr>
          <w:i/>
        </w:rPr>
        <w:t xml:space="preserve"> </w:t>
      </w:r>
      <w:r w:rsidRPr="00C34CF2">
        <w:t>contains offences for wilful destruction and damage to property.</w:t>
      </w:r>
      <w:r w:rsidR="000E084A" w:rsidRPr="000E084A">
        <w:t xml:space="preserve"> </w:t>
      </w:r>
    </w:p>
    <w:p w14:paraId="54160C6C" w14:textId="77777777" w:rsidR="00C34CF2" w:rsidRPr="00C34CF2" w:rsidRDefault="00C34CF2" w:rsidP="000D6467">
      <w:pPr>
        <w:pStyle w:val="Heading2-Numbered"/>
      </w:pPr>
      <w:bookmarkStart w:id="51" w:name="_Toc189235792"/>
      <w:bookmarkStart w:id="52" w:name="_Ref203666371"/>
      <w:bookmarkStart w:id="53" w:name="_Ref203666377"/>
      <w:bookmarkStart w:id="54" w:name="_Ref203666449"/>
      <w:bookmarkStart w:id="55" w:name="_Toc209440271"/>
      <w:bookmarkStart w:id="56" w:name="_Toc181976166"/>
      <w:bookmarkStart w:id="57" w:name="_Toc191547307"/>
      <w:bookmarkStart w:id="58" w:name="_Toc226448278"/>
      <w:bookmarkEnd w:id="48"/>
      <w:bookmarkEnd w:id="49"/>
      <w:bookmarkEnd w:id="51"/>
      <w:r w:rsidRPr="00C34CF2">
        <w:t>Relevant policies and strategies</w:t>
      </w:r>
      <w:bookmarkEnd w:id="52"/>
      <w:bookmarkEnd w:id="53"/>
      <w:bookmarkEnd w:id="54"/>
      <w:bookmarkEnd w:id="55"/>
      <w:bookmarkEnd w:id="58"/>
    </w:p>
    <w:p w14:paraId="6CE76E36" w14:textId="0EE11F83" w:rsidR="00C34CF2" w:rsidRPr="00C34CF2" w:rsidRDefault="005305F4" w:rsidP="00C34CF2">
      <w:r>
        <w:t>Under</w:t>
      </w:r>
      <w:r w:rsidR="00C34CF2" w:rsidRPr="00C34CF2">
        <w:t xml:space="preserve"> the Act</w:t>
      </w:r>
      <w:r>
        <w:t xml:space="preserve">, </w:t>
      </w:r>
      <w:r w:rsidR="00444ADA">
        <w:t xml:space="preserve">published </w:t>
      </w:r>
      <w:r w:rsidR="00C34CF2" w:rsidRPr="00C34CF2">
        <w:t>Codes of Practice provide structured guidance for traffic management and road authority responsibilities. They help define operational boundaries between different authorities for public roads, including infrastructure like ramps, intersections, drainage, and public transport facilities. The codes also guide the implementation of clearways on arterial roads, the development of road management plans for maintenance and inspection duties, and the coordination of infrastructure within road reserves to ensure safety and liveability. Additionally, they offer practical advice for conducting roadworks safely. Each code is officially published in the Government Gazette and developed through public consultation.</w:t>
      </w:r>
      <w:r w:rsidR="00D577D6" w:rsidRPr="00D577D6">
        <w:rPr>
          <w:vertAlign w:val="superscript"/>
        </w:rPr>
        <w:t xml:space="preserve"> </w:t>
      </w:r>
      <w:r w:rsidR="00D577D6" w:rsidRPr="00C34CF2">
        <w:rPr>
          <w:vertAlign w:val="superscript"/>
        </w:rPr>
        <w:footnoteReference w:id="8"/>
      </w:r>
      <w:r w:rsidR="00C34CF2" w:rsidRPr="00C34CF2">
        <w:t xml:space="preserve"> The current Codes of Practice are:</w:t>
      </w:r>
    </w:p>
    <w:p w14:paraId="057C0BCD" w14:textId="57373092" w:rsidR="00C34CF2" w:rsidRPr="00C34CF2" w:rsidRDefault="00C34CF2" w:rsidP="005D15EA">
      <w:pPr>
        <w:numPr>
          <w:ilvl w:val="0"/>
          <w:numId w:val="27"/>
        </w:numPr>
      </w:pPr>
      <w:r w:rsidRPr="00C34CF2">
        <w:t>Operational responsibility for public roads</w:t>
      </w:r>
      <w:r w:rsidR="007C5A92">
        <w:t>,</w:t>
      </w:r>
    </w:p>
    <w:p w14:paraId="02DD6675" w14:textId="230335BE" w:rsidR="00C34CF2" w:rsidRPr="00C34CF2" w:rsidRDefault="00C34CF2" w:rsidP="005D15EA">
      <w:pPr>
        <w:numPr>
          <w:ilvl w:val="0"/>
          <w:numId w:val="27"/>
        </w:numPr>
      </w:pPr>
      <w:r w:rsidRPr="00C34CF2">
        <w:t>Clearways on declared arterial roads</w:t>
      </w:r>
      <w:r w:rsidR="007C5A92">
        <w:t>,</w:t>
      </w:r>
    </w:p>
    <w:p w14:paraId="02B045B6" w14:textId="3E5316E6" w:rsidR="00C34CF2" w:rsidRPr="00C34CF2" w:rsidRDefault="00C34CF2" w:rsidP="005D15EA">
      <w:pPr>
        <w:numPr>
          <w:ilvl w:val="0"/>
          <w:numId w:val="27"/>
        </w:numPr>
      </w:pPr>
      <w:r w:rsidRPr="00C34CF2">
        <w:t>Road management plans</w:t>
      </w:r>
      <w:r w:rsidR="007C5A92">
        <w:t>,</w:t>
      </w:r>
    </w:p>
    <w:p w14:paraId="3F6F1B3B" w14:textId="63BB3C3E" w:rsidR="00C34CF2" w:rsidRPr="00C34CF2" w:rsidRDefault="00C34CF2" w:rsidP="005D15EA">
      <w:pPr>
        <w:numPr>
          <w:ilvl w:val="0"/>
          <w:numId w:val="27"/>
        </w:numPr>
      </w:pPr>
      <w:r w:rsidRPr="00C34CF2">
        <w:t>Management of infrastructure in road reserves</w:t>
      </w:r>
      <w:r w:rsidR="007C5A92">
        <w:t xml:space="preserve">, and </w:t>
      </w:r>
    </w:p>
    <w:p w14:paraId="2474752E" w14:textId="69E01164" w:rsidR="00C34CF2" w:rsidRPr="00C34CF2" w:rsidRDefault="00C34CF2" w:rsidP="005D15EA">
      <w:pPr>
        <w:numPr>
          <w:ilvl w:val="0"/>
          <w:numId w:val="27"/>
        </w:numPr>
      </w:pPr>
      <w:r w:rsidRPr="00C34CF2">
        <w:t>Worksite safety traffic management</w:t>
      </w:r>
      <w:r w:rsidR="007C5A92">
        <w:t>.</w:t>
      </w:r>
    </w:p>
    <w:p w14:paraId="22C0343D" w14:textId="7D504244" w:rsidR="00C34CF2" w:rsidRPr="00C34CF2" w:rsidRDefault="00C34CF2" w:rsidP="00C34CF2">
      <w:r w:rsidRPr="00C34CF2">
        <w:lastRenderedPageBreak/>
        <w:t>The Department has also developed a range of overarching strategies that contribute to the broader context which shape the road network in Victoria.</w:t>
      </w:r>
    </w:p>
    <w:p w14:paraId="42A0C96C" w14:textId="77777777" w:rsidR="00C34CF2" w:rsidRPr="00C34CF2" w:rsidRDefault="00C34CF2" w:rsidP="00C34CF2">
      <w:r w:rsidRPr="00C34CF2">
        <w:t>The</w:t>
      </w:r>
      <w:r w:rsidRPr="00C34CF2">
        <w:rPr>
          <w:b/>
        </w:rPr>
        <w:t xml:space="preserve"> </w:t>
      </w:r>
      <w:r w:rsidRPr="00C34CF2">
        <w:rPr>
          <w:b/>
          <w:color w:val="36383D" w:themeColor="accent6"/>
        </w:rPr>
        <w:t>Movement and Place</w:t>
      </w:r>
      <w:r w:rsidRPr="00C34CF2">
        <w:rPr>
          <w:color w:val="36383D" w:themeColor="accent6"/>
        </w:rPr>
        <w:t xml:space="preserve"> </w:t>
      </w:r>
      <w:r w:rsidRPr="00C34CF2">
        <w:rPr>
          <w:b/>
          <w:color w:val="36383D" w:themeColor="accent6"/>
        </w:rPr>
        <w:t>Framework</w:t>
      </w:r>
      <w:r w:rsidRPr="00C34CF2">
        <w:rPr>
          <w:color w:val="36383D" w:themeColor="accent6"/>
        </w:rPr>
        <w:t xml:space="preserve"> </w:t>
      </w:r>
      <w:r w:rsidRPr="00C34CF2">
        <w:t>provides a consistent approach to assessing the performance of the road and transport network, identifying project requirements and assessing project solutions. The Framework is based on the principle that transport links not only move people from one destination to another, but they also serve as key places and destinations in their own right.</w:t>
      </w:r>
    </w:p>
    <w:p w14:paraId="2D5C1618" w14:textId="16EDCA32" w:rsidR="00C34CF2" w:rsidRPr="00C34CF2" w:rsidRDefault="00C34CF2" w:rsidP="00C34CF2">
      <w:r w:rsidRPr="00C34CF2">
        <w:t xml:space="preserve">The </w:t>
      </w:r>
      <w:r w:rsidRPr="00C34CF2">
        <w:rPr>
          <w:b/>
          <w:color w:val="36383D" w:themeColor="accent6"/>
        </w:rPr>
        <w:t>Principal Freight Network</w:t>
      </w:r>
      <w:r w:rsidRPr="00C34CF2">
        <w:rPr>
          <w:color w:val="36383D" w:themeColor="accent6"/>
        </w:rPr>
        <w:t xml:space="preserve"> </w:t>
      </w:r>
      <w:r w:rsidRPr="00C34CF2">
        <w:t xml:space="preserve">is the strategic network of current and recognised future freight places and connecting movement corridors that are of national, state or regional significance and accommodate freight of significant volume, value or importance. It facilitates the efficient, safe, sustainable and </w:t>
      </w:r>
      <w:r w:rsidR="009A7849">
        <w:t>economically beneficial</w:t>
      </w:r>
      <w:r w:rsidRPr="00C34CF2">
        <w:t xml:space="preserve"> movement of freight in Victoria, both now and in the future.</w:t>
      </w:r>
    </w:p>
    <w:p w14:paraId="40C852BD" w14:textId="77777777" w:rsidR="00C34CF2" w:rsidRPr="00C34CF2" w:rsidRDefault="00C34CF2" w:rsidP="00C34CF2">
      <w:r w:rsidRPr="00C34CF2">
        <w:t xml:space="preserve">The </w:t>
      </w:r>
      <w:r w:rsidRPr="00C34CF2">
        <w:rPr>
          <w:b/>
          <w:color w:val="36383D" w:themeColor="accent6"/>
        </w:rPr>
        <w:t xml:space="preserve">Victorian Freight Plan </w:t>
      </w:r>
      <w:r w:rsidRPr="00C34CF2">
        <w:t>will</w:t>
      </w:r>
      <w:r w:rsidRPr="00C34CF2">
        <w:rPr>
          <w:b/>
        </w:rPr>
        <w:t xml:space="preserve"> </w:t>
      </w:r>
      <w:r w:rsidRPr="00C34CF2">
        <w:t>provide a long-term blueprint to meet the vision of achieving an efficient, safe and sustainable freight and logistics system to enhance Victoria’s economic prosperity and liveability. It will also guide investment in the freight system to further strengthen the state’s freight advantage.</w:t>
      </w:r>
    </w:p>
    <w:p w14:paraId="601AE317" w14:textId="501740BD" w:rsidR="00C34CF2" w:rsidRPr="00C34CF2" w:rsidRDefault="00C34CF2" w:rsidP="00C34CF2">
      <w:r w:rsidRPr="00C34CF2">
        <w:t xml:space="preserve">The </w:t>
      </w:r>
      <w:r w:rsidRPr="00C34CF2">
        <w:rPr>
          <w:b/>
          <w:color w:val="36383D" w:themeColor="accent6"/>
        </w:rPr>
        <w:t xml:space="preserve">Strategic Cycling Corridors Network </w:t>
      </w:r>
      <w:r w:rsidRPr="00C34CF2">
        <w:t xml:space="preserve">is made up of routes for cycling that connect important destinations including the Central City, National Employment and Innovation Clusters, Metropolitan Activity Centres and other destinations of metropolitan and regional significance. Strategic Cycling Corridors (SCCs) can be on and off road, on municipal and </w:t>
      </w:r>
      <w:r w:rsidR="00E948C1">
        <w:t>State</w:t>
      </w:r>
      <w:r w:rsidRPr="00C34CF2">
        <w:t xml:space="preserve"> roads and are designed to provide a safe, lower stress cycling for transport experience. </w:t>
      </w:r>
    </w:p>
    <w:p w14:paraId="0286DFAC" w14:textId="77777777" w:rsidR="00C34CF2" w:rsidRPr="00C34CF2" w:rsidRDefault="00C34CF2" w:rsidP="00C34CF2">
      <w:pPr>
        <w:rPr>
          <w:b/>
        </w:rPr>
      </w:pPr>
      <w:r w:rsidRPr="00C34CF2">
        <w:t>The</w:t>
      </w:r>
      <w:r w:rsidRPr="00C34CF2">
        <w:rPr>
          <w:b/>
        </w:rPr>
        <w:t xml:space="preserve"> </w:t>
      </w:r>
      <w:r w:rsidRPr="00C34CF2">
        <w:rPr>
          <w:b/>
          <w:color w:val="36383D" w:themeColor="accent6"/>
        </w:rPr>
        <w:t xml:space="preserve">Victorian Cycling Strategy 2018-28 </w:t>
      </w:r>
      <w:r w:rsidRPr="00C34CF2">
        <w:t>vision is to increase the number, frequency and diversity of Victorians cycling for transport by investing in safer, lower-stress, better connected networks, prioritising SCCs and making cycling a more inclusive experience.</w:t>
      </w:r>
    </w:p>
    <w:p w14:paraId="0B3F75B2" w14:textId="77777777" w:rsidR="00C34CF2" w:rsidRPr="00C34CF2" w:rsidRDefault="00C34CF2" w:rsidP="00C34CF2">
      <w:r w:rsidRPr="00C34CF2">
        <w:t xml:space="preserve">The </w:t>
      </w:r>
      <w:r w:rsidRPr="00C34CF2">
        <w:rPr>
          <w:b/>
          <w:color w:val="36383D" w:themeColor="accent6"/>
        </w:rPr>
        <w:t>Plan for Victoria</w:t>
      </w:r>
      <w:r w:rsidRPr="00C34CF2">
        <w:rPr>
          <w:color w:val="36383D" w:themeColor="accent6"/>
        </w:rPr>
        <w:t xml:space="preserve"> </w:t>
      </w:r>
      <w:r w:rsidRPr="00C34CF2">
        <w:t xml:space="preserve">sets out the actions being taken to achieve a vibrant, accessible and connected community, valued for its diverse cultures, sustainable environmental practices and respect for the First Peoples of Victoria by 2050. The Plan includes actions to increase housing supply, increase accessibility to jobs, improve public places and protect the environment. </w:t>
      </w:r>
    </w:p>
    <w:p w14:paraId="0BADD836" w14:textId="11353743" w:rsidR="00250333" w:rsidRPr="00A46C0C" w:rsidRDefault="00C34CF2" w:rsidP="00C34CF2">
      <w:r w:rsidRPr="00C34CF2">
        <w:t>The</w:t>
      </w:r>
      <w:r w:rsidRPr="00C34CF2">
        <w:rPr>
          <w:b/>
        </w:rPr>
        <w:t xml:space="preserve"> </w:t>
      </w:r>
      <w:r w:rsidRPr="00C34CF2">
        <w:rPr>
          <w:b/>
          <w:color w:val="36383D" w:themeColor="accent6"/>
        </w:rPr>
        <w:t xml:space="preserve">Victorian Road Safety Strategy 2021-2030 </w:t>
      </w:r>
      <w:r w:rsidRPr="00C34CF2">
        <w:t>aims to halve road deaths by 2030 and put us on the path to</w:t>
      </w:r>
      <w:r w:rsidRPr="00C34CF2" w:rsidDel="00FA4529">
        <w:t xml:space="preserve"> </w:t>
      </w:r>
      <w:r w:rsidRPr="00C34CF2">
        <w:t xml:space="preserve">eliminating road deaths by 2050. It also seeks to reduce the incidence of serious injury resulting from road crashes. This includes designing roads to facilitate safe movement of people and goods, balanced with place-based needs and those of the community. </w:t>
      </w:r>
    </w:p>
    <w:p w14:paraId="4ACB3F9F" w14:textId="77777777" w:rsidR="00C34CF2" w:rsidRPr="00C34CF2" w:rsidRDefault="00C34CF2" w:rsidP="000D6467">
      <w:pPr>
        <w:pStyle w:val="Heading2-Numbered"/>
      </w:pPr>
      <w:bookmarkStart w:id="59" w:name="_Toc181976170"/>
      <w:bookmarkStart w:id="60" w:name="_Toc191547311"/>
      <w:bookmarkStart w:id="61" w:name="_Toc209440272"/>
      <w:bookmarkStart w:id="62" w:name="_Toc226448279"/>
      <w:bookmarkEnd w:id="56"/>
      <w:bookmarkEnd w:id="57"/>
      <w:r w:rsidRPr="00C34CF2">
        <w:t>Governance</w:t>
      </w:r>
      <w:bookmarkEnd w:id="59"/>
      <w:bookmarkEnd w:id="60"/>
      <w:bookmarkEnd w:id="61"/>
      <w:bookmarkEnd w:id="62"/>
    </w:p>
    <w:p w14:paraId="7254950E" w14:textId="77777777" w:rsidR="00C34CF2" w:rsidRPr="00C34CF2" w:rsidRDefault="00C34CF2" w:rsidP="00C34CF2">
      <w:r w:rsidRPr="00C34CF2">
        <w:t>A number of ministerial, government offices and agencies are involved in the oversight of road management in Victoria. These include:</w:t>
      </w:r>
    </w:p>
    <w:p w14:paraId="31E73DF6" w14:textId="77777777" w:rsidR="00C34CF2" w:rsidRPr="00C34CF2" w:rsidRDefault="00C34CF2" w:rsidP="005D15EA">
      <w:pPr>
        <w:numPr>
          <w:ilvl w:val="0"/>
          <w:numId w:val="21"/>
        </w:numPr>
        <w:ind w:left="426"/>
      </w:pPr>
      <w:r w:rsidRPr="00C34CF2">
        <w:t xml:space="preserve">The Minister for Roads and Road Safety and Minister for Ports and Freight </w:t>
      </w:r>
    </w:p>
    <w:p w14:paraId="0F40D439" w14:textId="77777777" w:rsidR="00C34CF2" w:rsidRPr="00C34CF2" w:rsidRDefault="00C34CF2" w:rsidP="005D15EA">
      <w:pPr>
        <w:numPr>
          <w:ilvl w:val="0"/>
          <w:numId w:val="21"/>
        </w:numPr>
        <w:ind w:left="426"/>
      </w:pPr>
      <w:r w:rsidRPr="00C34CF2">
        <w:t xml:space="preserve">The Minister for Transport Infrastructure and Minister for Public and Active Transport </w:t>
      </w:r>
    </w:p>
    <w:p w14:paraId="451A379E" w14:textId="77777777" w:rsidR="00C34CF2" w:rsidRPr="00C34CF2" w:rsidRDefault="00C34CF2" w:rsidP="005D15EA">
      <w:pPr>
        <w:numPr>
          <w:ilvl w:val="0"/>
          <w:numId w:val="21"/>
        </w:numPr>
        <w:ind w:left="426"/>
      </w:pPr>
      <w:r w:rsidRPr="00C34CF2">
        <w:t>The Minister for Planning</w:t>
      </w:r>
    </w:p>
    <w:p w14:paraId="08A33203" w14:textId="77777777" w:rsidR="00C27B1C" w:rsidRPr="00C34CF2" w:rsidRDefault="00C27B1C" w:rsidP="005D15EA">
      <w:pPr>
        <w:numPr>
          <w:ilvl w:val="0"/>
          <w:numId w:val="21"/>
        </w:numPr>
        <w:ind w:left="426"/>
      </w:pPr>
      <w:r w:rsidRPr="00C34CF2">
        <w:t>The Minister for Local Government</w:t>
      </w:r>
    </w:p>
    <w:p w14:paraId="4DE75EBE" w14:textId="198A0C06" w:rsidR="00850F4C" w:rsidRPr="00C34CF2" w:rsidRDefault="00850F4C" w:rsidP="005D15EA">
      <w:pPr>
        <w:numPr>
          <w:ilvl w:val="0"/>
          <w:numId w:val="21"/>
        </w:numPr>
        <w:ind w:left="426"/>
      </w:pPr>
      <w:r>
        <w:t xml:space="preserve">The Minister for </w:t>
      </w:r>
      <w:r w:rsidR="005754F9">
        <w:t>Environment</w:t>
      </w:r>
    </w:p>
    <w:p w14:paraId="5585B6BF" w14:textId="0D5941B1" w:rsidR="00E76E7D" w:rsidRPr="00C34CF2" w:rsidRDefault="00E76E7D" w:rsidP="005D15EA">
      <w:pPr>
        <w:numPr>
          <w:ilvl w:val="0"/>
          <w:numId w:val="21"/>
        </w:numPr>
        <w:ind w:left="426"/>
      </w:pPr>
      <w:r>
        <w:t>The Minister for the S</w:t>
      </w:r>
      <w:r w:rsidR="009E31DC">
        <w:t>t</w:t>
      </w:r>
      <w:r>
        <w:t>ate Electricity Commission</w:t>
      </w:r>
    </w:p>
    <w:p w14:paraId="208C5A6C" w14:textId="67D63DEF" w:rsidR="007A004A" w:rsidRDefault="007A004A" w:rsidP="005D15EA">
      <w:pPr>
        <w:numPr>
          <w:ilvl w:val="0"/>
          <w:numId w:val="21"/>
        </w:numPr>
        <w:ind w:left="426"/>
      </w:pPr>
      <w:r>
        <w:t>The Minister for Water</w:t>
      </w:r>
    </w:p>
    <w:p w14:paraId="184F47F9" w14:textId="2FE38E52" w:rsidR="007A004A" w:rsidRPr="00C34CF2" w:rsidRDefault="007A004A" w:rsidP="005D15EA">
      <w:pPr>
        <w:numPr>
          <w:ilvl w:val="0"/>
          <w:numId w:val="21"/>
        </w:numPr>
        <w:ind w:left="426"/>
      </w:pPr>
      <w:r>
        <w:t>The Minister for Energy and Resources</w:t>
      </w:r>
    </w:p>
    <w:p w14:paraId="10F84E97" w14:textId="2B2199EA" w:rsidR="00C34CF2" w:rsidRPr="00C34CF2" w:rsidRDefault="00C34CF2" w:rsidP="005D15EA">
      <w:pPr>
        <w:numPr>
          <w:ilvl w:val="0"/>
          <w:numId w:val="21"/>
        </w:numPr>
        <w:ind w:left="426"/>
      </w:pPr>
      <w:r w:rsidRPr="00C34CF2">
        <w:lastRenderedPageBreak/>
        <w:t>The Department of Transport and Planning – provides advice to the</w:t>
      </w:r>
      <w:r w:rsidR="00B23144">
        <w:t xml:space="preserve"> Minister for</w:t>
      </w:r>
      <w:r w:rsidRPr="00C34CF2">
        <w:t xml:space="preserve"> Roads and Road Safety</w:t>
      </w:r>
      <w:r w:rsidR="00D31A3C">
        <w:t>,</w:t>
      </w:r>
      <w:r w:rsidRPr="00C34CF2">
        <w:t xml:space="preserve"> </w:t>
      </w:r>
      <w:r w:rsidR="006E501B">
        <w:t>the</w:t>
      </w:r>
      <w:r w:rsidRPr="00C34CF2">
        <w:t xml:space="preserve"> Minister for Ports and Freight, the Minister for Transport Infrastructure and </w:t>
      </w:r>
      <w:r w:rsidR="00715245">
        <w:t xml:space="preserve">the </w:t>
      </w:r>
      <w:r w:rsidRPr="00C34CF2">
        <w:t xml:space="preserve">Minister for Public and Active Transport </w:t>
      </w:r>
    </w:p>
    <w:p w14:paraId="29E4E4B6" w14:textId="45BA5CAB" w:rsidR="00C34CF2" w:rsidRPr="00C34CF2" w:rsidRDefault="00C34CF2" w:rsidP="005D15EA">
      <w:pPr>
        <w:numPr>
          <w:ilvl w:val="0"/>
          <w:numId w:val="21"/>
        </w:numPr>
        <w:ind w:left="426"/>
      </w:pPr>
      <w:r w:rsidRPr="00C34CF2">
        <w:t xml:space="preserve">The Department of Energy, Environment and Climate Action – provides advice to the Minister for Environment, </w:t>
      </w:r>
      <w:r w:rsidR="00F7197F">
        <w:t xml:space="preserve">the </w:t>
      </w:r>
      <w:r w:rsidRPr="00C34CF2">
        <w:t xml:space="preserve">Minister for Water, </w:t>
      </w:r>
      <w:r w:rsidR="00F7197F">
        <w:t xml:space="preserve">the </w:t>
      </w:r>
      <w:r w:rsidRPr="00C34CF2">
        <w:t xml:space="preserve">Minister for State Electricity Commission and </w:t>
      </w:r>
      <w:r w:rsidR="00D31A3C">
        <w:t xml:space="preserve">the </w:t>
      </w:r>
      <w:r w:rsidRPr="00C34CF2">
        <w:t>Minister for Energy and Resources</w:t>
      </w:r>
    </w:p>
    <w:p w14:paraId="53927A7D" w14:textId="77777777" w:rsidR="00C34CF2" w:rsidRPr="00C34CF2" w:rsidRDefault="00C34CF2" w:rsidP="005D15EA">
      <w:pPr>
        <w:numPr>
          <w:ilvl w:val="0"/>
          <w:numId w:val="21"/>
        </w:numPr>
        <w:ind w:left="426"/>
      </w:pPr>
      <w:r w:rsidRPr="00C34CF2">
        <w:t>The Department of Government Services – provides advice to the Minister for Local Government</w:t>
      </w:r>
    </w:p>
    <w:p w14:paraId="27F22BFB" w14:textId="77777777" w:rsidR="00C34CF2" w:rsidRPr="00C34CF2" w:rsidRDefault="00C34CF2" w:rsidP="005D15EA">
      <w:pPr>
        <w:numPr>
          <w:ilvl w:val="0"/>
          <w:numId w:val="22"/>
        </w:numPr>
        <w:ind w:left="426" w:hanging="426"/>
      </w:pPr>
      <w:r w:rsidRPr="00C34CF2">
        <w:t>Parks Victoria</w:t>
      </w:r>
    </w:p>
    <w:p w14:paraId="4194A39D" w14:textId="431A60D4" w:rsidR="00C34CF2" w:rsidRPr="00C34CF2" w:rsidRDefault="00C34CF2" w:rsidP="005D15EA">
      <w:pPr>
        <w:numPr>
          <w:ilvl w:val="0"/>
          <w:numId w:val="23"/>
        </w:numPr>
        <w:ind w:left="426" w:hanging="426"/>
      </w:pPr>
      <w:r w:rsidRPr="00C34CF2">
        <w:t>Alpine Resorts Victoria</w:t>
      </w:r>
    </w:p>
    <w:p w14:paraId="7E55867D" w14:textId="77777777" w:rsidR="00C34CF2" w:rsidRPr="00C34CF2" w:rsidRDefault="00C34CF2" w:rsidP="005D15EA">
      <w:pPr>
        <w:numPr>
          <w:ilvl w:val="0"/>
          <w:numId w:val="23"/>
        </w:numPr>
        <w:ind w:left="426" w:hanging="426"/>
      </w:pPr>
      <w:r w:rsidRPr="00C34CF2">
        <w:t>Municipal Councils</w:t>
      </w:r>
    </w:p>
    <w:p w14:paraId="7B91D47B" w14:textId="77777777" w:rsidR="00C8457F" w:rsidRPr="00C34CF2" w:rsidRDefault="00C8457F" w:rsidP="00C8457F">
      <w:pPr>
        <w:pStyle w:val="Heading2-Numbered"/>
      </w:pPr>
      <w:bookmarkStart w:id="63" w:name="_Toc209440259"/>
      <w:bookmarkStart w:id="64" w:name="_Ref204172835"/>
      <w:bookmarkStart w:id="65" w:name="_Ref204172845"/>
      <w:bookmarkStart w:id="66" w:name="_Toc209440273"/>
      <w:bookmarkStart w:id="67" w:name="_Toc226448280"/>
      <w:r w:rsidRPr="00C34CF2">
        <w:t xml:space="preserve">Previous </w:t>
      </w:r>
      <w:r>
        <w:t>reviews</w:t>
      </w:r>
      <w:bookmarkEnd w:id="63"/>
      <w:bookmarkEnd w:id="67"/>
    </w:p>
    <w:p w14:paraId="24915CA2" w14:textId="32BB3F3A" w:rsidR="00C8457F" w:rsidRPr="00855515" w:rsidRDefault="00C8457F" w:rsidP="00C8457F">
      <w:pPr>
        <w:pStyle w:val="Heading3-Numbered"/>
      </w:pPr>
      <w:bookmarkStart w:id="68" w:name="_Toc226448281"/>
      <w:r w:rsidRPr="00855515">
        <w:t xml:space="preserve">The </w:t>
      </w:r>
      <w:r>
        <w:t>R</w:t>
      </w:r>
      <w:r w:rsidRPr="00855515">
        <w:t xml:space="preserve">oad </w:t>
      </w:r>
      <w:r>
        <w:t>M</w:t>
      </w:r>
      <w:r w:rsidRPr="00855515">
        <w:t>anagement (</w:t>
      </w:r>
      <w:r>
        <w:t>W</w:t>
      </w:r>
      <w:r w:rsidRPr="00855515">
        <w:t xml:space="preserve">orks and </w:t>
      </w:r>
      <w:r>
        <w:t>I</w:t>
      </w:r>
      <w:r w:rsidRPr="00855515">
        <w:t xml:space="preserve">nfrastructure) </w:t>
      </w:r>
      <w:r>
        <w:t>R</w:t>
      </w:r>
      <w:r w:rsidRPr="00855515">
        <w:t>egulations 2015</w:t>
      </w:r>
      <w:bookmarkEnd w:id="68"/>
      <w:r w:rsidRPr="00855515">
        <w:t xml:space="preserve"> </w:t>
      </w:r>
    </w:p>
    <w:p w14:paraId="779B86B1" w14:textId="77777777" w:rsidR="00C8457F" w:rsidRPr="00C34CF2" w:rsidRDefault="00C8457F" w:rsidP="00C8457F">
      <w:r w:rsidRPr="00C34CF2">
        <w:t xml:space="preserve">The </w:t>
      </w:r>
      <w:r w:rsidRPr="00C34CF2">
        <w:rPr>
          <w:i/>
        </w:rPr>
        <w:t>Road Management (Works and Infrastructure) Regulations 2015</w:t>
      </w:r>
      <w:r w:rsidRPr="00C34CF2">
        <w:t xml:space="preserve"> came into operation on 20 June 2015, replacing the </w:t>
      </w:r>
      <w:r w:rsidRPr="00C34CF2">
        <w:rPr>
          <w:i/>
        </w:rPr>
        <w:t>Road Management (Works and Infrastructure) Regulations 2005</w:t>
      </w:r>
      <w:r w:rsidRPr="00C34CF2">
        <w:t xml:space="preserve">. </w:t>
      </w:r>
    </w:p>
    <w:p w14:paraId="248B3E52" w14:textId="77777777" w:rsidR="00C8457F" w:rsidRPr="00C34CF2" w:rsidRDefault="00C8457F" w:rsidP="00C8457F">
      <w:r>
        <w:t>T</w:t>
      </w:r>
      <w:r w:rsidRPr="00C34CF2">
        <w:t>he current W&amp;I Regulations were made in the general form of the previous regulations, with some minor amendments to:</w:t>
      </w:r>
    </w:p>
    <w:p w14:paraId="0CE299BF" w14:textId="77777777" w:rsidR="00C8457F" w:rsidRPr="00C34CF2" w:rsidRDefault="00C8457F" w:rsidP="005D15EA">
      <w:pPr>
        <w:numPr>
          <w:ilvl w:val="0"/>
          <w:numId w:val="19"/>
        </w:numPr>
      </w:pPr>
      <w:r w:rsidRPr="00C34CF2">
        <w:t>Limit the definition of “minor works” so that it excludes minor works that are conducted by any parties other than utilities, public transport providers and road authorities;</w:t>
      </w:r>
    </w:p>
    <w:p w14:paraId="6C30F293" w14:textId="77777777" w:rsidR="00C8457F" w:rsidRPr="00C34CF2" w:rsidRDefault="00C8457F" w:rsidP="005D15EA">
      <w:pPr>
        <w:numPr>
          <w:ilvl w:val="0"/>
          <w:numId w:val="19"/>
        </w:numPr>
      </w:pPr>
      <w:r w:rsidRPr="00C34CF2">
        <w:t>Expand the definition of “traffic impact works” to include works conducted within 20 metres of a children’s crossing or bus lane, works on arterial roads within specified times and works likely to cause specified delays to trams or buses;</w:t>
      </w:r>
    </w:p>
    <w:p w14:paraId="2CD6E877" w14:textId="66016F0B" w:rsidR="00C8457F" w:rsidRPr="00C34CF2" w:rsidRDefault="00C8457F" w:rsidP="005D15EA">
      <w:pPr>
        <w:numPr>
          <w:ilvl w:val="0"/>
          <w:numId w:val="19"/>
        </w:numPr>
      </w:pPr>
      <w:r w:rsidRPr="00C34CF2">
        <w:t>Clarify that the existing exemption from the requirement to obtain consent to carry out the inspection of water valves and fire hydrants extends to water corporations as well as fire authorities;</w:t>
      </w:r>
    </w:p>
    <w:p w14:paraId="4BA0E8D5" w14:textId="368BDCAF" w:rsidR="00C8457F" w:rsidRPr="00C34CF2" w:rsidRDefault="00C8457F" w:rsidP="005D15EA">
      <w:pPr>
        <w:numPr>
          <w:ilvl w:val="0"/>
          <w:numId w:val="19"/>
        </w:numPr>
      </w:pPr>
      <w:r w:rsidRPr="00C34CF2">
        <w:t xml:space="preserve">Clarify that a road authority must not impose on a consent for works a condition requiring an indemnity that extends beyond </w:t>
      </w:r>
      <w:r w:rsidR="00206E98">
        <w:t xml:space="preserve">the </w:t>
      </w:r>
      <w:r w:rsidRPr="00C34CF2">
        <w:t>12-month warranty period; and</w:t>
      </w:r>
    </w:p>
    <w:p w14:paraId="771117C8" w14:textId="595D32F7" w:rsidR="00C8457F" w:rsidRPr="00C34CF2" w:rsidRDefault="00C8457F" w:rsidP="005D15EA">
      <w:pPr>
        <w:numPr>
          <w:ilvl w:val="0"/>
          <w:numId w:val="19"/>
        </w:numPr>
      </w:pPr>
      <w:r w:rsidRPr="00C34CF2">
        <w:t xml:space="preserve">Remove the requirement to include particulars of any proposed traffic management plan with an application for consent </w:t>
      </w:r>
      <w:r w:rsidR="00206E98">
        <w:t xml:space="preserve">for works </w:t>
      </w:r>
      <w:r w:rsidRPr="00C34CF2">
        <w:t>in circumstances where the proposed works affect non-road infrastructure.</w:t>
      </w:r>
    </w:p>
    <w:p w14:paraId="65CA3CC7" w14:textId="77777777" w:rsidR="00C8457F" w:rsidRPr="00940388" w:rsidRDefault="00C8457F" w:rsidP="00C8457F">
      <w:pPr>
        <w:pStyle w:val="Heading3-Numbered"/>
      </w:pPr>
      <w:bookmarkStart w:id="69" w:name="_Toc226448282"/>
      <w:r w:rsidRPr="00940388">
        <w:t>The Road Management (General) Regulations 2016</w:t>
      </w:r>
      <w:bookmarkEnd w:id="69"/>
    </w:p>
    <w:p w14:paraId="1A8A9881" w14:textId="77777777" w:rsidR="00C8457F" w:rsidRPr="00C34CF2" w:rsidRDefault="00C8457F" w:rsidP="00C8457F">
      <w:r w:rsidRPr="00C34CF2">
        <w:t xml:space="preserve">The </w:t>
      </w:r>
      <w:r w:rsidRPr="00C34CF2">
        <w:rPr>
          <w:i/>
        </w:rPr>
        <w:t>Road Management (General) Regulations 2016</w:t>
      </w:r>
      <w:r w:rsidRPr="00C34CF2">
        <w:t xml:space="preserve"> came into operation on 18 March 2016 and replaced the previous </w:t>
      </w:r>
      <w:r w:rsidRPr="00C34CF2">
        <w:rPr>
          <w:i/>
        </w:rPr>
        <w:t>Road Management (General) Regulations 2005</w:t>
      </w:r>
      <w:r w:rsidRPr="00C34CF2">
        <w:t xml:space="preserve">. </w:t>
      </w:r>
    </w:p>
    <w:p w14:paraId="52094A27" w14:textId="77777777" w:rsidR="00C8457F" w:rsidRPr="00C34CF2" w:rsidRDefault="00C8457F" w:rsidP="00C8457F">
      <w:r>
        <w:t>T</w:t>
      </w:r>
      <w:r w:rsidRPr="00C34CF2">
        <w:t>he current General Regulations were made in the general form of the previous regulations, with the exception of amendments to:</w:t>
      </w:r>
    </w:p>
    <w:p w14:paraId="496EAA56" w14:textId="77777777" w:rsidR="00C8457F" w:rsidRPr="00C34CF2" w:rsidRDefault="00C8457F" w:rsidP="005D15EA">
      <w:pPr>
        <w:numPr>
          <w:ilvl w:val="0"/>
          <w:numId w:val="18"/>
        </w:numPr>
        <w:ind w:left="567"/>
      </w:pPr>
      <w:r w:rsidRPr="00C34CF2">
        <w:t>Remove the requirement for road authorities to advertise the intention to review road management plans in the Government Gazette;</w:t>
      </w:r>
    </w:p>
    <w:p w14:paraId="35897BDC" w14:textId="77777777" w:rsidR="00C8457F" w:rsidRPr="00C34CF2" w:rsidRDefault="00C8457F" w:rsidP="005D15EA">
      <w:pPr>
        <w:numPr>
          <w:ilvl w:val="0"/>
          <w:numId w:val="18"/>
        </w:numPr>
        <w:ind w:left="567"/>
      </w:pPr>
      <w:r w:rsidRPr="00C34CF2">
        <w:t>Introduce the ability for road authorities to charge a consent application fee for installation of hoarding or advertisements on roads;</w:t>
      </w:r>
    </w:p>
    <w:p w14:paraId="76617FDC" w14:textId="77777777" w:rsidR="00C8457F" w:rsidRPr="00C34CF2" w:rsidRDefault="00C8457F" w:rsidP="005D15EA">
      <w:pPr>
        <w:numPr>
          <w:ilvl w:val="0"/>
          <w:numId w:val="18"/>
        </w:numPr>
        <w:ind w:left="567"/>
      </w:pPr>
      <w:r w:rsidRPr="00C34CF2">
        <w:t>Remove the ability to charge fees for written permits issued for interference with roads and construction zones;</w:t>
      </w:r>
    </w:p>
    <w:p w14:paraId="15730C11" w14:textId="77777777" w:rsidR="00C8457F" w:rsidRPr="00C34CF2" w:rsidRDefault="00C8457F" w:rsidP="005D15EA">
      <w:pPr>
        <w:numPr>
          <w:ilvl w:val="0"/>
          <w:numId w:val="18"/>
        </w:numPr>
        <w:ind w:left="567"/>
      </w:pPr>
      <w:r w:rsidRPr="00C34CF2">
        <w:lastRenderedPageBreak/>
        <w:t>Enable stakeholders to make submissions in relation to the discontinuance of certain roads;</w:t>
      </w:r>
    </w:p>
    <w:p w14:paraId="79A2A670" w14:textId="77777777" w:rsidR="00C8457F" w:rsidRPr="00C34CF2" w:rsidRDefault="00C8457F" w:rsidP="005D15EA">
      <w:pPr>
        <w:numPr>
          <w:ilvl w:val="0"/>
          <w:numId w:val="18"/>
        </w:numPr>
        <w:ind w:left="567"/>
      </w:pPr>
      <w:r w:rsidRPr="00C34CF2">
        <w:t>Extend the scope of the offence for ‘damage’ to roads to include damage not directly caused by a vehicle (for example, heavy objects dragged across the road);</w:t>
      </w:r>
    </w:p>
    <w:p w14:paraId="6FD814B7" w14:textId="77777777" w:rsidR="00C8457F" w:rsidRPr="00C34CF2" w:rsidRDefault="00C8457F" w:rsidP="005D15EA">
      <w:pPr>
        <w:numPr>
          <w:ilvl w:val="0"/>
          <w:numId w:val="18"/>
        </w:numPr>
        <w:ind w:left="567"/>
      </w:pPr>
      <w:r w:rsidRPr="00C34CF2">
        <w:t>Clarify what constitutes interference with a road or construction zone and activities that do not apply;</w:t>
      </w:r>
    </w:p>
    <w:p w14:paraId="4F9F9E66" w14:textId="77777777" w:rsidR="00C8457F" w:rsidRPr="00C34CF2" w:rsidRDefault="00C8457F" w:rsidP="005D15EA">
      <w:pPr>
        <w:numPr>
          <w:ilvl w:val="0"/>
          <w:numId w:val="18"/>
        </w:numPr>
        <w:ind w:left="567"/>
      </w:pPr>
      <w:r w:rsidRPr="00C34CF2">
        <w:t>Extend the scope of restrictions on camping on the road reserve and increase the penalty associated with the offence;</w:t>
      </w:r>
    </w:p>
    <w:p w14:paraId="398C9AE1" w14:textId="77777777" w:rsidR="00C8457F" w:rsidRPr="00C34CF2" w:rsidRDefault="00C8457F" w:rsidP="005D15EA">
      <w:pPr>
        <w:numPr>
          <w:ilvl w:val="0"/>
          <w:numId w:val="18"/>
        </w:numPr>
        <w:ind w:left="567"/>
      </w:pPr>
      <w:r w:rsidRPr="00C34CF2">
        <w:t>Enable a road authority to give notice to responsible persons to remove materials left on a road within a specified timeframe and in accordance with any conditions;</w:t>
      </w:r>
    </w:p>
    <w:p w14:paraId="621E6BD3" w14:textId="10048EE5" w:rsidR="00C8457F" w:rsidRPr="00C34CF2" w:rsidRDefault="001410A7" w:rsidP="005D15EA">
      <w:pPr>
        <w:numPr>
          <w:ilvl w:val="0"/>
          <w:numId w:val="18"/>
        </w:numPr>
        <w:ind w:left="567"/>
      </w:pPr>
      <w:r>
        <w:t>Enable a road authority to quickly remove items</w:t>
      </w:r>
      <w:r w:rsidR="00AD2972">
        <w:t xml:space="preserve"> that are of low value (less than $500) from the road</w:t>
      </w:r>
      <w:r w:rsidR="00552C4E">
        <w:t xml:space="preserve"> </w:t>
      </w:r>
      <w:r w:rsidR="006108D4">
        <w:t xml:space="preserve">and dispose of the item </w:t>
      </w:r>
      <w:r w:rsidR="00552C4E">
        <w:t xml:space="preserve">without having to </w:t>
      </w:r>
      <w:r w:rsidR="006108D4">
        <w:t>notify the owner or wait</w:t>
      </w:r>
      <w:r w:rsidR="00504B50">
        <w:t xml:space="preserve"> 14 days</w:t>
      </w:r>
      <w:r w:rsidR="001E2BFB">
        <w:t xml:space="preserve"> </w:t>
      </w:r>
    </w:p>
    <w:p w14:paraId="441B5F6F" w14:textId="19EAB319" w:rsidR="00C8457F" w:rsidRPr="00C34CF2" w:rsidRDefault="00C8457F" w:rsidP="005D15EA">
      <w:pPr>
        <w:numPr>
          <w:ilvl w:val="0"/>
          <w:numId w:val="18"/>
        </w:numPr>
        <w:ind w:left="567"/>
      </w:pPr>
      <w:r w:rsidRPr="00C34CF2">
        <w:t xml:space="preserve">Provide further clarification of existing regulations; remove duplication or redundant items; change some </w:t>
      </w:r>
      <w:r w:rsidR="00EA6377">
        <w:t xml:space="preserve">offence </w:t>
      </w:r>
      <w:r w:rsidRPr="00C34CF2">
        <w:t>penalt</w:t>
      </w:r>
      <w:r w:rsidR="00EA6377">
        <w:t>ies</w:t>
      </w:r>
      <w:r w:rsidRPr="00C34CF2">
        <w:t>; and provide for the online publication of road management plans.</w:t>
      </w:r>
    </w:p>
    <w:p w14:paraId="692900BC" w14:textId="77777777" w:rsidR="00C8457F" w:rsidRPr="00C34CF2" w:rsidRDefault="00C8457F" w:rsidP="005D15EA">
      <w:pPr>
        <w:numPr>
          <w:ilvl w:val="0"/>
          <w:numId w:val="13"/>
        </w:numPr>
      </w:pPr>
      <w:r w:rsidRPr="00C34CF2">
        <w:br w:type="page"/>
      </w:r>
    </w:p>
    <w:p w14:paraId="78793543" w14:textId="77777777" w:rsidR="00C34CF2" w:rsidRPr="00C34CF2" w:rsidRDefault="00C34CF2" w:rsidP="00335FE0">
      <w:pPr>
        <w:pStyle w:val="Heading1-Numbered"/>
      </w:pPr>
      <w:bookmarkStart w:id="70" w:name="_Toc226448283"/>
      <w:r w:rsidRPr="00C34CF2">
        <w:lastRenderedPageBreak/>
        <w:t>Nature and extent of the problem</w:t>
      </w:r>
      <w:bookmarkEnd w:id="64"/>
      <w:bookmarkEnd w:id="65"/>
      <w:bookmarkEnd w:id="66"/>
      <w:bookmarkEnd w:id="70"/>
    </w:p>
    <w:p w14:paraId="3E450212" w14:textId="5BFE4577" w:rsidR="00824A98" w:rsidRDefault="007A313D" w:rsidP="00C34CF2">
      <w:r w:rsidRPr="007A313D">
        <w:t>This chapter outlines the nature and scale of the problem the proposed Regulations seek to address</w:t>
      </w:r>
      <w:r w:rsidR="00C34CF2" w:rsidRPr="00C34CF2">
        <w:t xml:space="preserve">. </w:t>
      </w:r>
      <w:r w:rsidR="00381F06">
        <w:t xml:space="preserve">Section </w:t>
      </w:r>
      <w:r w:rsidR="005D3BD3">
        <w:fldChar w:fldCharType="begin"/>
      </w:r>
      <w:r w:rsidR="005D3BD3">
        <w:instrText xml:space="preserve"> REF _Ref210731534 \r \h </w:instrText>
      </w:r>
      <w:r w:rsidR="005D3BD3">
        <w:fldChar w:fldCharType="separate"/>
      </w:r>
      <w:r w:rsidR="00F170D0">
        <w:t>3.1</w:t>
      </w:r>
      <w:r w:rsidR="005D3BD3">
        <w:fldChar w:fldCharType="end"/>
      </w:r>
      <w:r w:rsidR="005D3BD3">
        <w:t xml:space="preserve"> will d</w:t>
      </w:r>
      <w:r w:rsidR="00396741">
        <w:t>emonstrate</w:t>
      </w:r>
      <w:r w:rsidR="00BF6FB1">
        <w:t xml:space="preserve"> </w:t>
      </w:r>
      <w:r w:rsidR="005309F6">
        <w:t xml:space="preserve">why it is necessary for government to intervene in the management of public roads. </w:t>
      </w:r>
      <w:r w:rsidR="00BF6FB1">
        <w:t xml:space="preserve">Section </w:t>
      </w:r>
      <w:r w:rsidR="00511B28">
        <w:fldChar w:fldCharType="begin"/>
      </w:r>
      <w:r w:rsidR="00511B28">
        <w:instrText xml:space="preserve"> REF _Ref210732518 \r \h </w:instrText>
      </w:r>
      <w:r w:rsidR="00511B28">
        <w:fldChar w:fldCharType="separate"/>
      </w:r>
      <w:r w:rsidR="00F170D0">
        <w:t>3.2</w:t>
      </w:r>
      <w:r w:rsidR="00511B28">
        <w:fldChar w:fldCharType="end"/>
      </w:r>
      <w:r w:rsidR="00511B28">
        <w:t xml:space="preserve"> will </w:t>
      </w:r>
      <w:r w:rsidR="00E34F0B">
        <w:t>describe the</w:t>
      </w:r>
      <w:r w:rsidR="00C6108D">
        <w:t xml:space="preserve"> rationale behind the </w:t>
      </w:r>
      <w:r w:rsidR="00560621">
        <w:t xml:space="preserve">specific </w:t>
      </w:r>
      <w:r w:rsidR="00CD69FC">
        <w:t>Regulations</w:t>
      </w:r>
      <w:r w:rsidR="00AD0A0F">
        <w:t xml:space="preserve"> subject to this review</w:t>
      </w:r>
      <w:r w:rsidR="00CD69FC">
        <w:t xml:space="preserve">. </w:t>
      </w:r>
      <w:r w:rsidR="00D87F03">
        <w:t xml:space="preserve">Section </w:t>
      </w:r>
      <w:r w:rsidR="00AC7C0B">
        <w:fldChar w:fldCharType="begin"/>
      </w:r>
      <w:r w:rsidR="00AC7C0B">
        <w:instrText xml:space="preserve"> REF _Ref210733248 \r \h </w:instrText>
      </w:r>
      <w:r w:rsidR="00AC7C0B">
        <w:fldChar w:fldCharType="separate"/>
      </w:r>
      <w:r w:rsidR="00F170D0">
        <w:t>3.3</w:t>
      </w:r>
      <w:r w:rsidR="00AC7C0B">
        <w:fldChar w:fldCharType="end"/>
      </w:r>
      <w:r w:rsidR="00AC7C0B">
        <w:t xml:space="preserve"> will identify the feedback the Department received about the effectiveness</w:t>
      </w:r>
      <w:r w:rsidR="00824A98">
        <w:t xml:space="preserve"> of the current regulations. </w:t>
      </w:r>
      <w:r w:rsidR="009A5B14">
        <w:t>Finally, s</w:t>
      </w:r>
      <w:r w:rsidR="00DB70A2">
        <w:t xml:space="preserve">ection </w:t>
      </w:r>
      <w:r w:rsidR="00DB70A2">
        <w:fldChar w:fldCharType="begin"/>
      </w:r>
      <w:r w:rsidR="00DB70A2">
        <w:instrText xml:space="preserve"> REF _Ref210733806 \r \h </w:instrText>
      </w:r>
      <w:r w:rsidR="00DB70A2">
        <w:fldChar w:fldCharType="separate"/>
      </w:r>
      <w:r w:rsidR="00F170D0">
        <w:t>3.4</w:t>
      </w:r>
      <w:r w:rsidR="00DB70A2">
        <w:fldChar w:fldCharType="end"/>
      </w:r>
      <w:r w:rsidR="00885694">
        <w:t xml:space="preserve"> will </w:t>
      </w:r>
      <w:r w:rsidR="00B5022D">
        <w:t xml:space="preserve">provide a separate </w:t>
      </w:r>
      <w:r w:rsidR="00FA6E21">
        <w:t xml:space="preserve">analysis </w:t>
      </w:r>
      <w:r w:rsidR="00590E8A">
        <w:t>outlining t</w:t>
      </w:r>
      <w:r w:rsidR="008948FA">
        <w:t xml:space="preserve">he </w:t>
      </w:r>
      <w:r w:rsidR="00590E8A">
        <w:t xml:space="preserve">costs </w:t>
      </w:r>
      <w:r w:rsidR="00B243B2">
        <w:t xml:space="preserve">incurred </w:t>
      </w:r>
      <w:r w:rsidR="00E76291">
        <w:t>by road authorities</w:t>
      </w:r>
      <w:r w:rsidR="00B674FF">
        <w:t xml:space="preserve"> while </w:t>
      </w:r>
      <w:r w:rsidR="00873C0F">
        <w:t>performing</w:t>
      </w:r>
      <w:r w:rsidR="00610792">
        <w:t xml:space="preserve"> road </w:t>
      </w:r>
      <w:r w:rsidR="005166A2">
        <w:t>management</w:t>
      </w:r>
      <w:r w:rsidR="00932229">
        <w:t xml:space="preserve"> </w:t>
      </w:r>
      <w:r w:rsidR="00873C0F">
        <w:t>functions</w:t>
      </w:r>
      <w:r w:rsidR="00932229">
        <w:t xml:space="preserve"> </w:t>
      </w:r>
      <w:r w:rsidR="008948FA">
        <w:t xml:space="preserve">and </w:t>
      </w:r>
      <w:r w:rsidR="001360D6">
        <w:t xml:space="preserve">the </w:t>
      </w:r>
      <w:r w:rsidR="001C25FE">
        <w:t>need to recover those</w:t>
      </w:r>
      <w:r w:rsidR="008948FA">
        <w:t xml:space="preserve"> </w:t>
      </w:r>
      <w:r w:rsidR="00885694">
        <w:t>cost</w:t>
      </w:r>
      <w:r w:rsidR="001C25FE">
        <w:t>s.</w:t>
      </w:r>
    </w:p>
    <w:p w14:paraId="7B1A12E5" w14:textId="49682FDE" w:rsidR="00C34CF2" w:rsidRPr="00C34CF2" w:rsidRDefault="004F1937" w:rsidP="00335FE0">
      <w:pPr>
        <w:pStyle w:val="Heading2-Numbered"/>
      </w:pPr>
      <w:bookmarkStart w:id="71" w:name="_Toc209440274"/>
      <w:bookmarkStart w:id="72" w:name="_Ref210731534"/>
      <w:bookmarkStart w:id="73" w:name="_Ref213419201"/>
      <w:bookmarkStart w:id="74" w:name="_Toc226448284"/>
      <w:r>
        <w:t>General r</w:t>
      </w:r>
      <w:r w:rsidR="00C34CF2" w:rsidRPr="00C34CF2">
        <w:t>ationale for government regulation of public road</w:t>
      </w:r>
      <w:bookmarkEnd w:id="71"/>
      <w:bookmarkEnd w:id="72"/>
      <w:r w:rsidR="00257F87">
        <w:t xml:space="preserve"> management</w:t>
      </w:r>
      <w:bookmarkEnd w:id="73"/>
      <w:bookmarkEnd w:id="74"/>
    </w:p>
    <w:p w14:paraId="24A49D87" w14:textId="1D2FDBD5" w:rsidR="00257F87" w:rsidRPr="00C34CF2" w:rsidRDefault="00F97CE0" w:rsidP="00257F87">
      <w:r>
        <w:t xml:space="preserve">This section </w:t>
      </w:r>
      <w:r w:rsidR="00607DF6">
        <w:t xml:space="preserve">seeks </w:t>
      </w:r>
      <w:r>
        <w:t xml:space="preserve">to demonstrate why government needs to </w:t>
      </w:r>
      <w:r w:rsidR="00C123EB">
        <w:t>regulate the way roads are managed in Victoria.</w:t>
      </w:r>
      <w:r w:rsidR="00DF2A2E">
        <w:t xml:space="preserve"> </w:t>
      </w:r>
      <w:r w:rsidR="000E4A05">
        <w:t>S</w:t>
      </w:r>
      <w:r w:rsidR="00C34CF2" w:rsidRPr="00C34CF2">
        <w:t xml:space="preserve">ignificant efforts have been made to address the behaviour of road users through the </w:t>
      </w:r>
      <w:r w:rsidR="00C34CF2" w:rsidRPr="00C34CF2">
        <w:rPr>
          <w:i/>
        </w:rPr>
        <w:t>Road Safety Act 1986</w:t>
      </w:r>
      <w:r w:rsidR="000E4A05">
        <w:t>.</w:t>
      </w:r>
      <w:r w:rsidR="00C34CF2" w:rsidRPr="00C34CF2">
        <w:t xml:space="preserve"> </w:t>
      </w:r>
      <w:r w:rsidR="000E4A05">
        <w:t>However, r</w:t>
      </w:r>
      <w:r w:rsidR="00C34CF2" w:rsidRPr="00C34CF2">
        <w:t xml:space="preserve">oad safety legislation does not typically </w:t>
      </w:r>
      <w:r w:rsidR="00762CF8">
        <w:t xml:space="preserve">regulate </w:t>
      </w:r>
      <w:r w:rsidR="00FC6522">
        <w:t xml:space="preserve">the </w:t>
      </w:r>
      <w:r w:rsidR="007F0B1D">
        <w:t xml:space="preserve">way that </w:t>
      </w:r>
      <w:r w:rsidR="001421D1">
        <w:t xml:space="preserve">public </w:t>
      </w:r>
      <w:r w:rsidR="007F0B1D">
        <w:t>roads are created, declared, discontinued, maintained and protected from physical damage</w:t>
      </w:r>
      <w:r w:rsidR="00A03F74">
        <w:t xml:space="preserve"> — </w:t>
      </w:r>
      <w:r w:rsidR="001421D1">
        <w:t>in other words, how they are managed.</w:t>
      </w:r>
      <w:bookmarkStart w:id="75" w:name="_Ref207114034"/>
      <w:bookmarkStart w:id="76" w:name="_Toc209440275"/>
      <w:r w:rsidR="00DF2A2E">
        <w:t xml:space="preserve"> </w:t>
      </w:r>
      <w:r w:rsidR="00B70CDB">
        <w:t>E</w:t>
      </w:r>
      <w:r w:rsidR="00257F87" w:rsidRPr="00C34CF2">
        <w:t xml:space="preserve">ffective </w:t>
      </w:r>
      <w:r w:rsidR="005F317C">
        <w:t xml:space="preserve">legislative </w:t>
      </w:r>
      <w:r w:rsidR="00FA0AFC">
        <w:t xml:space="preserve">oversight of the </w:t>
      </w:r>
      <w:r w:rsidR="00257F87" w:rsidRPr="00C34CF2">
        <w:t xml:space="preserve">management </w:t>
      </w:r>
      <w:r w:rsidR="00560C45">
        <w:t xml:space="preserve">of public roads </w:t>
      </w:r>
      <w:r w:rsidR="00A20FEC">
        <w:t xml:space="preserve">is necessary </w:t>
      </w:r>
      <w:r w:rsidR="0042543E">
        <w:t xml:space="preserve">to </w:t>
      </w:r>
      <w:r w:rsidR="00806AA8">
        <w:t xml:space="preserve">reduce </w:t>
      </w:r>
      <w:r w:rsidR="00583A0E">
        <w:t xml:space="preserve">the </w:t>
      </w:r>
      <w:r w:rsidR="00AB58C3">
        <w:t xml:space="preserve">incidence and severity of </w:t>
      </w:r>
      <w:r w:rsidR="00F14433">
        <w:t>safety harms, environmental harms,</w:t>
      </w:r>
      <w:r w:rsidR="00F468AA">
        <w:t xml:space="preserve"> social harms and economic harms</w:t>
      </w:r>
      <w:r w:rsidR="00AB58C3">
        <w:t xml:space="preserve"> in and around roads</w:t>
      </w:r>
      <w:r w:rsidR="00F468AA">
        <w:t>.</w:t>
      </w:r>
    </w:p>
    <w:p w14:paraId="0FD51C12" w14:textId="5FF69EA7" w:rsidR="00E76D9B" w:rsidRDefault="00257F87" w:rsidP="00E76D9B">
      <w:pPr>
        <w:pStyle w:val="Heading3-Numbered"/>
      </w:pPr>
      <w:bookmarkStart w:id="77" w:name="_Toc226448285"/>
      <w:bookmarkEnd w:id="75"/>
      <w:bookmarkEnd w:id="76"/>
      <w:r>
        <w:t>Safety</w:t>
      </w:r>
      <w:bookmarkEnd w:id="77"/>
    </w:p>
    <w:p w14:paraId="050D29F9" w14:textId="209EE702" w:rsidR="00C34CF2" w:rsidRPr="00C34CF2" w:rsidRDefault="007C01B8" w:rsidP="00C34CF2">
      <w:r>
        <w:t xml:space="preserve">The </w:t>
      </w:r>
      <w:r w:rsidR="00740EA1">
        <w:t>danger</w:t>
      </w:r>
      <w:r>
        <w:t>s</w:t>
      </w:r>
      <w:r w:rsidR="00740EA1">
        <w:t xml:space="preserve"> faced by road user</w:t>
      </w:r>
      <w:r w:rsidR="00F20675">
        <w:t>s</w:t>
      </w:r>
      <w:r>
        <w:t xml:space="preserve"> are not limited to the behaviour of other road users</w:t>
      </w:r>
      <w:r w:rsidR="00AA3AD4">
        <w:t xml:space="preserve">. The road infrastructure itself can also present significant </w:t>
      </w:r>
      <w:r w:rsidR="00654550">
        <w:t>risk</w:t>
      </w:r>
      <w:r w:rsidR="003C3DC9">
        <w:t>s</w:t>
      </w:r>
      <w:r w:rsidR="00654550">
        <w:t xml:space="preserve"> to </w:t>
      </w:r>
      <w:r w:rsidR="00AA3AD4">
        <w:t>safety</w:t>
      </w:r>
      <w:r w:rsidR="00074A57">
        <w:t xml:space="preserve">. </w:t>
      </w:r>
      <w:r w:rsidR="00987310">
        <w:t>In fact, r</w:t>
      </w:r>
      <w:r w:rsidR="009F78EE" w:rsidRPr="00C34CF2">
        <w:t>esearch undertaken by the Monash University Accident Research Centre (MUARC) found that road infrastructure factors play a role in 28.8 per cent of serious injury crashes.</w:t>
      </w:r>
      <w:r w:rsidR="008D6EC3" w:rsidRPr="00C34CF2">
        <w:rPr>
          <w:vertAlign w:val="superscript"/>
        </w:rPr>
        <w:footnoteReference w:id="9"/>
      </w:r>
      <w:r w:rsidR="009F78EE" w:rsidRPr="00C34CF2">
        <w:t xml:space="preserve"> </w:t>
      </w:r>
      <w:r w:rsidR="00C34CF2" w:rsidRPr="00C34CF2">
        <w:t>Without</w:t>
      </w:r>
      <w:r w:rsidR="007E3FBF">
        <w:t xml:space="preserve"> an</w:t>
      </w:r>
      <w:r w:rsidR="00C34CF2" w:rsidRPr="00C34CF2">
        <w:t xml:space="preserve"> </w:t>
      </w:r>
      <w:r w:rsidR="007E3FBF">
        <w:t xml:space="preserve">administrative framework </w:t>
      </w:r>
      <w:r w:rsidR="00006899">
        <w:t xml:space="preserve">enabling road authorities to establish </w:t>
      </w:r>
      <w:r w:rsidR="003A65EE">
        <w:t>plans</w:t>
      </w:r>
      <w:r w:rsidR="00DD750C">
        <w:t xml:space="preserve"> and accountability mechanisms</w:t>
      </w:r>
      <w:r w:rsidR="003A65EE">
        <w:t xml:space="preserve"> for how they will maintain </w:t>
      </w:r>
      <w:r w:rsidR="00DD750C">
        <w:t>the quality of the roads, roads might degrade over time</w:t>
      </w:r>
      <w:r w:rsidR="00E215DC">
        <w:t xml:space="preserve">. </w:t>
      </w:r>
      <w:r w:rsidR="00A9799C">
        <w:t xml:space="preserve">Road </w:t>
      </w:r>
      <w:r w:rsidR="00A9799C" w:rsidRPr="00C34CF2">
        <w:t>surface condition (</w:t>
      </w:r>
      <w:r w:rsidR="00D6707B">
        <w:t xml:space="preserve">such as </w:t>
      </w:r>
      <w:r w:rsidR="00A9799C" w:rsidRPr="00C34CF2">
        <w:t xml:space="preserve">potholes, poor road conditions, changing surface or texture) was a contributing factor in 6.4 per cent of </w:t>
      </w:r>
      <w:r w:rsidR="00143104">
        <w:t xml:space="preserve">serious injury </w:t>
      </w:r>
      <w:r w:rsidR="00A9799C" w:rsidRPr="00C34CF2">
        <w:t>crashes</w:t>
      </w:r>
      <w:r w:rsidR="00FF5A0B">
        <w:t>.</w:t>
      </w:r>
      <w:r w:rsidR="00E63809" w:rsidRPr="00C34CF2">
        <w:rPr>
          <w:vertAlign w:val="superscript"/>
        </w:rPr>
        <w:footnoteReference w:id="10"/>
      </w:r>
      <w:r w:rsidR="00E63809" w:rsidRPr="00E63809">
        <w:t xml:space="preserve"> </w:t>
      </w:r>
      <w:r w:rsidR="00E63809" w:rsidRPr="00C34CF2">
        <w:t>Un-monitored works or otherwise unauthorised interference with roads and related infrastructure can lead to similarly unsafe outcomes</w:t>
      </w:r>
      <w:r w:rsidR="005638DA">
        <w:t>.</w:t>
      </w:r>
      <w:r w:rsidR="00B367BC">
        <w:t xml:space="preserve"> For example, f</w:t>
      </w:r>
      <w:r w:rsidR="00A34158">
        <w:t>o</w:t>
      </w:r>
      <w:r w:rsidR="00A9799C" w:rsidRPr="00C34CF2">
        <w:t>reign substances on roads</w:t>
      </w:r>
      <w:r w:rsidR="00A34158">
        <w:t xml:space="preserve"> </w:t>
      </w:r>
      <w:r w:rsidR="00132FFC">
        <w:t xml:space="preserve">contributed to </w:t>
      </w:r>
      <w:r w:rsidR="00A9799C" w:rsidRPr="00C34CF2">
        <w:t>4.6 per cent</w:t>
      </w:r>
      <w:r w:rsidR="001E2BFB">
        <w:t xml:space="preserve"> of serious</w:t>
      </w:r>
      <w:r w:rsidR="007306FA">
        <w:t xml:space="preserve"> injury crashes</w:t>
      </w:r>
      <w:r w:rsidR="00A34158">
        <w:t xml:space="preserve"> and</w:t>
      </w:r>
      <w:r w:rsidR="00C34CF2" w:rsidRPr="00C34CF2">
        <w:t xml:space="preserve"> obscured vision caused by objects or roadworks </w:t>
      </w:r>
      <w:r w:rsidR="00562F72">
        <w:t xml:space="preserve">contributed to </w:t>
      </w:r>
      <w:r w:rsidR="00C34CF2" w:rsidRPr="00C34CF2">
        <w:t>3.1 per cent</w:t>
      </w:r>
      <w:r w:rsidR="00562F72">
        <w:t xml:space="preserve"> of </w:t>
      </w:r>
      <w:r w:rsidR="009805AD">
        <w:t xml:space="preserve">serious injury </w:t>
      </w:r>
      <w:r w:rsidR="00562F72">
        <w:t>crashes</w:t>
      </w:r>
      <w:r w:rsidR="009D147F">
        <w:t>.</w:t>
      </w:r>
      <w:r w:rsidR="00C34CF2" w:rsidRPr="00C34CF2">
        <w:rPr>
          <w:vertAlign w:val="superscript"/>
        </w:rPr>
        <w:footnoteReference w:id="11"/>
      </w:r>
      <w:r w:rsidR="00D6707B">
        <w:t xml:space="preserve"> </w:t>
      </w:r>
    </w:p>
    <w:p w14:paraId="3AB24555" w14:textId="77777777" w:rsidR="00EF353C" w:rsidRDefault="00C34CF2" w:rsidP="00C34CF2">
      <w:pPr>
        <w:pStyle w:val="Heading3-Numbered"/>
      </w:pPr>
      <w:bookmarkStart w:id="78" w:name="_Toc226448286"/>
      <w:r w:rsidRPr="001E2D1F">
        <w:t>Environmental</w:t>
      </w:r>
      <w:bookmarkEnd w:id="78"/>
    </w:p>
    <w:p w14:paraId="5F527058" w14:textId="683EFB09" w:rsidR="001E2D1F" w:rsidRDefault="00974F14" w:rsidP="001E2D1F">
      <w:r w:rsidRPr="00C34CF2">
        <w:t>If works were carried out unfettered and without guidance, the natural environment could sustain potentially irreversible damage.</w:t>
      </w:r>
      <w:r>
        <w:t xml:space="preserve"> </w:t>
      </w:r>
      <w:r w:rsidR="00220F4E">
        <w:t xml:space="preserve">For example, works </w:t>
      </w:r>
      <w:r w:rsidR="00757703">
        <w:t>carried out</w:t>
      </w:r>
      <w:r w:rsidR="00FE0E89">
        <w:t xml:space="preserve"> on the roadside </w:t>
      </w:r>
      <w:r w:rsidR="00C34CF2" w:rsidRPr="00C34CF2">
        <w:t xml:space="preserve">often involve the removal of earth. Certain types of works may also necessitate the removal or alteration of vegetation, </w:t>
      </w:r>
      <w:r w:rsidR="00854A82">
        <w:t xml:space="preserve">which can disrupt the surrounding ecosystem and </w:t>
      </w:r>
      <w:r w:rsidR="00C34CF2" w:rsidRPr="00C34CF2">
        <w:t xml:space="preserve">impact native wildlife habitats. </w:t>
      </w:r>
      <w:r w:rsidR="000E1DBF">
        <w:t xml:space="preserve">Failing to keep the roads well maintained </w:t>
      </w:r>
      <w:r w:rsidR="00342442">
        <w:t xml:space="preserve">and failing to effectively manage roadworks </w:t>
      </w:r>
      <w:r w:rsidR="00394F64">
        <w:t xml:space="preserve">could also contribute to </w:t>
      </w:r>
      <w:r w:rsidR="00B3373F">
        <w:t>increased</w:t>
      </w:r>
      <w:r w:rsidR="0034198D">
        <w:t xml:space="preserve"> </w:t>
      </w:r>
      <w:r w:rsidR="00B3373F">
        <w:t>traffic congestion</w:t>
      </w:r>
      <w:r w:rsidR="0034198D">
        <w:t>, increas</w:t>
      </w:r>
      <w:r w:rsidR="003F6D2A">
        <w:t>ing</w:t>
      </w:r>
      <w:r w:rsidR="0034198D">
        <w:t xml:space="preserve"> g</w:t>
      </w:r>
      <w:r w:rsidR="009A3E05">
        <w:t>reenhouse gas emissions</w:t>
      </w:r>
      <w:r w:rsidR="003F6D2A">
        <w:t xml:space="preserve"> and other pollutants.</w:t>
      </w:r>
      <w:r w:rsidR="006C1289">
        <w:rPr>
          <w:rStyle w:val="FootnoteReference"/>
        </w:rPr>
        <w:footnoteReference w:id="12"/>
      </w:r>
      <w:r w:rsidR="008D2D86">
        <w:t xml:space="preserve"> </w:t>
      </w:r>
    </w:p>
    <w:p w14:paraId="192CA029" w14:textId="77777777" w:rsidR="00C34CF2" w:rsidRPr="00C34CF2" w:rsidRDefault="00C34CF2" w:rsidP="001E2D1F">
      <w:pPr>
        <w:pStyle w:val="Heading3-Numbered"/>
      </w:pPr>
      <w:bookmarkStart w:id="79" w:name="_Toc226448287"/>
      <w:r w:rsidRPr="00257F87">
        <w:t>Social</w:t>
      </w:r>
      <w:bookmarkEnd w:id="79"/>
    </w:p>
    <w:p w14:paraId="2F85BD5D" w14:textId="5E35FE93" w:rsidR="00C34CF2" w:rsidRPr="00C34CF2" w:rsidRDefault="00C34CF2" w:rsidP="00C34CF2">
      <w:r w:rsidRPr="00C34CF2">
        <w:t xml:space="preserve">The social impacts of poor or inadequate management of public roads can be significant and long-lasting. This is particularly the case where a person is injured or killed, with effects felt by their immediate family members and friends, as well as sections of the broader community. Traffic delays caused by poor road </w:t>
      </w:r>
      <w:r w:rsidRPr="00C34CF2">
        <w:lastRenderedPageBreak/>
        <w:t xml:space="preserve">conditions </w:t>
      </w:r>
      <w:r w:rsidR="00AA5E6D">
        <w:t xml:space="preserve">or poorly managed roadworks </w:t>
      </w:r>
      <w:r w:rsidR="008C4635">
        <w:t>can also contribute to</w:t>
      </w:r>
      <w:r w:rsidRPr="00C34CF2">
        <w:t xml:space="preserve"> los</w:t>
      </w:r>
      <w:r w:rsidR="008C4635">
        <w:t>t</w:t>
      </w:r>
      <w:r w:rsidRPr="00C34CF2">
        <w:t xml:space="preserve"> wages</w:t>
      </w:r>
      <w:r w:rsidR="00DC75E5">
        <w:t>,</w:t>
      </w:r>
      <w:r w:rsidR="00C44B25">
        <w:t xml:space="preserve"> poor</w:t>
      </w:r>
      <w:r w:rsidR="00B75EE2">
        <w:t>er</w:t>
      </w:r>
      <w:r w:rsidR="00C44B25">
        <w:t xml:space="preserve"> health outcomes</w:t>
      </w:r>
      <w:r w:rsidR="00B75EE2">
        <w:t>, increased stress</w:t>
      </w:r>
      <w:r w:rsidR="00C44B25">
        <w:t xml:space="preserve"> and </w:t>
      </w:r>
      <w:r w:rsidR="003027DF">
        <w:t xml:space="preserve">reduced time available </w:t>
      </w:r>
      <w:r w:rsidR="0012054F">
        <w:t>for caring duti</w:t>
      </w:r>
      <w:r w:rsidR="003F43FF">
        <w:t xml:space="preserve">es </w:t>
      </w:r>
      <w:r w:rsidR="0012054F">
        <w:t>or</w:t>
      </w:r>
      <w:r w:rsidR="003F43FF">
        <w:t xml:space="preserve"> to</w:t>
      </w:r>
      <w:r w:rsidR="0012054F">
        <w:t xml:space="preserve"> enjoy </w:t>
      </w:r>
      <w:r w:rsidR="00B75EE2">
        <w:t>with friends and family.</w:t>
      </w:r>
    </w:p>
    <w:p w14:paraId="7A6BD662" w14:textId="77777777" w:rsidR="00C34CF2" w:rsidRPr="00C34CF2" w:rsidRDefault="00C34CF2" w:rsidP="00033F4F">
      <w:pPr>
        <w:pStyle w:val="Heading3-Numbered"/>
      </w:pPr>
      <w:bookmarkStart w:id="80" w:name="_Toc226448288"/>
      <w:r w:rsidRPr="00CF7E0A">
        <w:t>Economic</w:t>
      </w:r>
      <w:bookmarkEnd w:id="80"/>
    </w:p>
    <w:p w14:paraId="24910D64" w14:textId="3D378613" w:rsidR="002E17D5" w:rsidRDefault="00535165" w:rsidP="00203287">
      <w:r>
        <w:t>Poor road management</w:t>
      </w:r>
      <w:r w:rsidR="00133057">
        <w:t xml:space="preserve"> </w:t>
      </w:r>
      <w:r w:rsidR="0032532E">
        <w:t>can have a significant impact on</w:t>
      </w:r>
      <w:r w:rsidR="00133057">
        <w:t xml:space="preserve"> the economy. </w:t>
      </w:r>
      <w:r w:rsidR="002C4DF5" w:rsidRPr="00C34CF2">
        <w:t>Modelling undertaken by the Bureau of Infrastructure and Transport Economics (BITRE) suggests that road crashes cost the Victorian community approximately $6.3 billion each year</w:t>
      </w:r>
      <w:r w:rsidR="008E155E">
        <w:t>.</w:t>
      </w:r>
      <w:r w:rsidR="002C4DF5" w:rsidRPr="00C34CF2">
        <w:rPr>
          <w:vertAlign w:val="superscript"/>
        </w:rPr>
        <w:footnoteReference w:id="13"/>
      </w:r>
      <w:r w:rsidR="002C4DF5" w:rsidRPr="00C34CF2">
        <w:t xml:space="preserve"> The </w:t>
      </w:r>
      <w:r w:rsidR="00A029DD">
        <w:t>proportion of these</w:t>
      </w:r>
      <w:r w:rsidR="002C4DF5" w:rsidRPr="00C34CF2">
        <w:t xml:space="preserve"> attributable to </w:t>
      </w:r>
      <w:r w:rsidR="00D1414A">
        <w:t>the physical</w:t>
      </w:r>
      <w:r w:rsidR="002C4DF5" w:rsidRPr="00C34CF2">
        <w:t xml:space="preserve"> condition</w:t>
      </w:r>
      <w:r w:rsidR="00D1414A">
        <w:t xml:space="preserve"> of the road</w:t>
      </w:r>
      <w:r w:rsidR="002C4DF5" w:rsidRPr="00C34CF2">
        <w:t xml:space="preserve"> are unclear, however even if they </w:t>
      </w:r>
      <w:r w:rsidR="00A26777">
        <w:t>wer</w:t>
      </w:r>
      <w:r w:rsidR="002C4DF5" w:rsidRPr="00C34CF2">
        <w:t xml:space="preserve">e a factor in one per cent of crashes, it </w:t>
      </w:r>
      <w:r w:rsidR="001A10C7">
        <w:t xml:space="preserve">would </w:t>
      </w:r>
      <w:r w:rsidR="002C4DF5" w:rsidRPr="00C34CF2">
        <w:t xml:space="preserve">mean an annual cost to society of around $63 million. </w:t>
      </w:r>
    </w:p>
    <w:p w14:paraId="4A915F98" w14:textId="50112DB4" w:rsidR="00EE3F95" w:rsidRDefault="00B83DF2" w:rsidP="00A31E4D">
      <w:r>
        <w:t>Included in these costs</w:t>
      </w:r>
      <w:r w:rsidR="009D39DC">
        <w:t>,</w:t>
      </w:r>
      <w:r>
        <w:t xml:space="preserve"> are </w:t>
      </w:r>
      <w:r w:rsidRPr="00C34CF2">
        <w:t xml:space="preserve">out-of-pocket expenses for personal injuries and other claims where </w:t>
      </w:r>
      <w:r>
        <w:t>r</w:t>
      </w:r>
      <w:r w:rsidRPr="00C34CF2">
        <w:t xml:space="preserve">oad users </w:t>
      </w:r>
      <w:r w:rsidR="00987109">
        <w:t>are not</w:t>
      </w:r>
      <w:r w:rsidRPr="00C34CF2">
        <w:t xml:space="preserve"> covered by the Transport Accident Commission (TAC)</w:t>
      </w:r>
      <w:r>
        <w:t>.</w:t>
      </w:r>
      <w:r w:rsidRPr="00C34CF2">
        <w:rPr>
          <w:vertAlign w:val="superscript"/>
        </w:rPr>
        <w:footnoteReference w:id="14"/>
      </w:r>
      <w:r>
        <w:t xml:space="preserve"> </w:t>
      </w:r>
      <w:r w:rsidR="00014724">
        <w:t xml:space="preserve">For example, </w:t>
      </w:r>
      <w:r w:rsidR="00975A03">
        <w:t>e</w:t>
      </w:r>
      <w:r w:rsidR="00EE3F95">
        <w:t xml:space="preserve">ach year, the </w:t>
      </w:r>
      <w:r w:rsidR="00E23EE9" w:rsidRPr="00C34CF2">
        <w:t xml:space="preserve">Department </w:t>
      </w:r>
      <w:r w:rsidR="00EE3F95">
        <w:t xml:space="preserve">seeks to recover </w:t>
      </w:r>
      <w:r w:rsidR="00E23EE9" w:rsidRPr="00C34CF2">
        <w:t>approximately $2.5-3 million</w:t>
      </w:r>
      <w:r w:rsidR="00EF24B3">
        <w:t xml:space="preserve"> from </w:t>
      </w:r>
      <w:r w:rsidR="002F6626">
        <w:t>responsible parties for damage to HTfV property</w:t>
      </w:r>
      <w:r w:rsidR="00EE3F95">
        <w:t>.</w:t>
      </w:r>
      <w:r w:rsidR="00E23EE9" w:rsidRPr="00C34CF2">
        <w:rPr>
          <w:vertAlign w:val="superscript"/>
        </w:rPr>
        <w:footnoteReference w:id="15"/>
      </w:r>
      <w:r w:rsidR="00E23EE9" w:rsidRPr="00C34CF2">
        <w:t xml:space="preserve"> This includes damage to bridges, traffic signals, lighting, safety barriers and road surfaces caused by vehicles and spills. Structural damage to a bridge can result in half a million dollars of repair costs from a single incident. </w:t>
      </w:r>
    </w:p>
    <w:p w14:paraId="764CED5B" w14:textId="161F5B20" w:rsidR="0025294A" w:rsidRDefault="00203287" w:rsidP="0025294A">
      <w:r w:rsidRPr="00C34CF2">
        <w:t>Traffic congestion</w:t>
      </w:r>
      <w:r w:rsidR="00E31843">
        <w:t xml:space="preserve">, which can be exacerbated by </w:t>
      </w:r>
      <w:r w:rsidR="003F56D5">
        <w:t>poor road management,</w:t>
      </w:r>
      <w:r w:rsidRPr="00C34CF2">
        <w:t xml:space="preserve"> is estimated to have cost the Victorian community approximately $11.79 billion in 2024, $9.14</w:t>
      </w:r>
      <w:r w:rsidRPr="00C34CF2">
        <w:rPr>
          <w:rFonts w:ascii="Cambria" w:hAnsi="Cambria" w:cs="Cambria"/>
        </w:rPr>
        <w:t> </w:t>
      </w:r>
      <w:r w:rsidRPr="00C34CF2">
        <w:t>billion of which is considered avoidable congestion</w:t>
      </w:r>
      <w:r w:rsidR="00FC29F2">
        <w:t>.</w:t>
      </w:r>
      <w:r w:rsidRPr="00C34CF2">
        <w:rPr>
          <w:vertAlign w:val="superscript"/>
        </w:rPr>
        <w:footnoteReference w:id="16"/>
      </w:r>
      <w:r w:rsidRPr="00C34CF2">
        <w:t xml:space="preserve"> </w:t>
      </w:r>
    </w:p>
    <w:p w14:paraId="794B90FB" w14:textId="0D0DBDDE" w:rsidR="00C34CF2" w:rsidRPr="00C34CF2" w:rsidRDefault="00B439D8" w:rsidP="00DC7F85">
      <w:pPr>
        <w:pStyle w:val="Heading2-Numbered"/>
      </w:pPr>
      <w:bookmarkStart w:id="81" w:name="_Toc209002027"/>
      <w:bookmarkStart w:id="82" w:name="_Toc209440277"/>
      <w:bookmarkStart w:id="83" w:name="_Toc209002031"/>
      <w:bookmarkStart w:id="84" w:name="_Toc209440281"/>
      <w:bookmarkStart w:id="85" w:name="_Ref210732518"/>
      <w:bookmarkStart w:id="86" w:name="_Toc226448289"/>
      <w:bookmarkEnd w:id="81"/>
      <w:bookmarkEnd w:id="82"/>
      <w:bookmarkEnd w:id="83"/>
      <w:bookmarkEnd w:id="84"/>
      <w:r>
        <w:t xml:space="preserve">The need for </w:t>
      </w:r>
      <w:r w:rsidR="00D72AF9">
        <w:t>R</w:t>
      </w:r>
      <w:r>
        <w:t>egulations</w:t>
      </w:r>
      <w:bookmarkEnd w:id="85"/>
      <w:bookmarkEnd w:id="86"/>
    </w:p>
    <w:p w14:paraId="23DA8C39" w14:textId="76590F71" w:rsidR="00AA281B" w:rsidRDefault="009C0E2B" w:rsidP="009C0E2B">
      <w:r>
        <w:t xml:space="preserve">The </w:t>
      </w:r>
      <w:r w:rsidRPr="00D87F03">
        <w:rPr>
          <w:i/>
        </w:rPr>
        <w:t>Road Management Act 2004</w:t>
      </w:r>
      <w:r>
        <w:t xml:space="preserve"> goes a long way to address the potential safety, environmental, social and economic harms associated with the creation, use and maintenance of public roads (see chapter </w:t>
      </w:r>
      <w:r>
        <w:fldChar w:fldCharType="begin"/>
      </w:r>
      <w:r>
        <w:instrText xml:space="preserve"> REF _Ref210733388 \r \h </w:instrText>
      </w:r>
      <w:r w:rsidR="00AF00E2">
        <w:instrText xml:space="preserve"> \* MERGEFORMAT </w:instrText>
      </w:r>
      <w:r>
        <w:fldChar w:fldCharType="separate"/>
      </w:r>
      <w:r w:rsidR="00F170D0">
        <w:t>2.1.2</w:t>
      </w:r>
      <w:r>
        <w:fldChar w:fldCharType="end"/>
      </w:r>
      <w:r>
        <w:t xml:space="preserve"> ‘What the Road Management Act does’). </w:t>
      </w:r>
    </w:p>
    <w:p w14:paraId="3F37D03A" w14:textId="77777777" w:rsidR="001503CD" w:rsidRDefault="009C0E2B" w:rsidP="00AF00E2">
      <w:r>
        <w:t xml:space="preserve">However, the </w:t>
      </w:r>
      <w:r w:rsidR="007674C1">
        <w:t>r</w:t>
      </w:r>
      <w:r>
        <w:t>egulations are critical pieces of subordinate legislation</w:t>
      </w:r>
      <w:r w:rsidR="00AA281B">
        <w:t xml:space="preserve"> t</w:t>
      </w:r>
      <w:r w:rsidR="007674C1">
        <w:t>hat work together with the Act</w:t>
      </w:r>
      <w:r w:rsidR="00A93FDC">
        <w:t xml:space="preserve"> to create an effective legal framework to</w:t>
      </w:r>
      <w:r w:rsidR="006E1D09">
        <w:t xml:space="preserve"> ensure </w:t>
      </w:r>
      <w:r w:rsidR="00552947">
        <w:t xml:space="preserve">that </w:t>
      </w:r>
      <w:r w:rsidR="006E1D09">
        <w:t>public roads are</w:t>
      </w:r>
      <w:r w:rsidR="00962373">
        <w:t xml:space="preserve"> adequately managed.</w:t>
      </w:r>
      <w:r w:rsidR="001503CD">
        <w:t xml:space="preserve"> They achieve this by:</w:t>
      </w:r>
    </w:p>
    <w:p w14:paraId="7284FDCA" w14:textId="445BDEC1" w:rsidR="00930C96" w:rsidRDefault="00C43603" w:rsidP="0092107C">
      <w:pPr>
        <w:pStyle w:val="Bulletpoint"/>
        <w:numPr>
          <w:ilvl w:val="0"/>
          <w:numId w:val="36"/>
        </w:numPr>
      </w:pPr>
      <w:r>
        <w:t>increas</w:t>
      </w:r>
      <w:r w:rsidR="00E229EF">
        <w:t>ing</w:t>
      </w:r>
      <w:r>
        <w:t xml:space="preserve"> </w:t>
      </w:r>
      <w:r w:rsidR="00B8183B">
        <w:t xml:space="preserve">the </w:t>
      </w:r>
      <w:r>
        <w:t>efficiency</w:t>
      </w:r>
      <w:r w:rsidR="00B8183B">
        <w:t xml:space="preserve"> of road management functions </w:t>
      </w:r>
      <w:r w:rsidR="00DF6758">
        <w:t>by providing</w:t>
      </w:r>
      <w:r w:rsidR="00B8183B">
        <w:t xml:space="preserve"> exemptions to some </w:t>
      </w:r>
      <w:r w:rsidR="00924BBE">
        <w:t xml:space="preserve">of the </w:t>
      </w:r>
      <w:r w:rsidR="00B8183B">
        <w:t>requirements</w:t>
      </w:r>
      <w:r w:rsidR="000C4050">
        <w:t xml:space="preserve"> </w:t>
      </w:r>
      <w:r w:rsidR="00924BBE">
        <w:t>set out in the</w:t>
      </w:r>
      <w:r w:rsidR="000C4050">
        <w:t xml:space="preserve"> </w:t>
      </w:r>
      <w:r w:rsidR="00DF6758">
        <w:t>A</w:t>
      </w:r>
      <w:r w:rsidR="000C4050">
        <w:t>ct</w:t>
      </w:r>
      <w:r w:rsidR="00522159">
        <w:t xml:space="preserve"> (</w:t>
      </w:r>
      <w:r w:rsidR="008C6ACF">
        <w:t>discussed at</w:t>
      </w:r>
      <w:r w:rsidR="00E670C4">
        <w:t xml:space="preserve"> </w:t>
      </w:r>
      <w:r w:rsidR="007B3774">
        <w:t>s</w:t>
      </w:r>
      <w:r w:rsidR="00522159">
        <w:t xml:space="preserve">ection </w:t>
      </w:r>
      <w:r w:rsidR="00E670C4" w:rsidRPr="003E1486">
        <w:fldChar w:fldCharType="begin"/>
      </w:r>
      <w:r w:rsidR="00E670C4" w:rsidRPr="003E1486">
        <w:instrText xml:space="preserve"> REF _Ref211247170 \r \h </w:instrText>
      </w:r>
      <w:r w:rsidR="003E1486">
        <w:instrText xml:space="preserve"> \* MERGEFORMAT </w:instrText>
      </w:r>
      <w:r w:rsidR="00E670C4" w:rsidRPr="003E1486">
        <w:fldChar w:fldCharType="separate"/>
      </w:r>
      <w:r w:rsidR="00F170D0">
        <w:t>3.2.1</w:t>
      </w:r>
      <w:r w:rsidR="00E670C4" w:rsidRPr="003E1486">
        <w:fldChar w:fldCharType="end"/>
      </w:r>
      <w:r w:rsidR="00E670C4">
        <w:t xml:space="preserve"> ‘Exemptions’)</w:t>
      </w:r>
      <w:r>
        <w:t xml:space="preserve">, </w:t>
      </w:r>
    </w:p>
    <w:p w14:paraId="20281334" w14:textId="4FB70963" w:rsidR="0008431E" w:rsidRDefault="00C43603" w:rsidP="0092107C">
      <w:pPr>
        <w:pStyle w:val="Bulletpoint"/>
        <w:numPr>
          <w:ilvl w:val="0"/>
          <w:numId w:val="36"/>
        </w:numPr>
      </w:pPr>
      <w:r>
        <w:t>provid</w:t>
      </w:r>
      <w:r w:rsidR="00DF6758">
        <w:t>ing</w:t>
      </w:r>
      <w:r>
        <w:t xml:space="preserve"> procedural and administrative guidance</w:t>
      </w:r>
      <w:r w:rsidR="000C4050">
        <w:t xml:space="preserve"> </w:t>
      </w:r>
      <w:r w:rsidR="00F91972">
        <w:t>enabling the execution of some of the requirements set out under the Act (</w:t>
      </w:r>
      <w:r w:rsidR="008C6ACF">
        <w:t>discussed at</w:t>
      </w:r>
      <w:r w:rsidR="00F91972">
        <w:t xml:space="preserve"> </w:t>
      </w:r>
      <w:r w:rsidR="007B3774">
        <w:t>s</w:t>
      </w:r>
      <w:r w:rsidR="00F91972">
        <w:t>ection</w:t>
      </w:r>
      <w:r w:rsidR="003C5963">
        <w:t xml:space="preserve"> </w:t>
      </w:r>
      <w:r w:rsidR="00B97EE4" w:rsidRPr="003E1486">
        <w:fldChar w:fldCharType="begin"/>
      </w:r>
      <w:r w:rsidR="00B97EE4" w:rsidRPr="003E1486">
        <w:instrText xml:space="preserve"> REF _Ref211426187 \r \h </w:instrText>
      </w:r>
      <w:r w:rsidR="003E1486">
        <w:instrText xml:space="preserve"> \* MERGEFORMAT </w:instrText>
      </w:r>
      <w:r w:rsidR="00B97EE4" w:rsidRPr="003E1486">
        <w:fldChar w:fldCharType="separate"/>
      </w:r>
      <w:r w:rsidR="00F170D0">
        <w:t>3.2.2</w:t>
      </w:r>
      <w:r w:rsidR="00B97EE4" w:rsidRPr="003E1486">
        <w:fldChar w:fldCharType="end"/>
      </w:r>
      <w:r w:rsidR="008C6ACF">
        <w:t xml:space="preserve"> ‘Procedural and administrative guidance’), and</w:t>
      </w:r>
    </w:p>
    <w:p w14:paraId="0CE3164E" w14:textId="0038ECE2" w:rsidR="00CE4DAD" w:rsidRPr="00CE4DAD" w:rsidRDefault="003C5963" w:rsidP="0092107C">
      <w:pPr>
        <w:pStyle w:val="Bulletpoint"/>
        <w:numPr>
          <w:ilvl w:val="0"/>
          <w:numId w:val="36"/>
        </w:numPr>
      </w:pPr>
      <w:r>
        <w:t>provid</w:t>
      </w:r>
      <w:r w:rsidR="00F91972">
        <w:t>ing additional offences not covered in the Act to</w:t>
      </w:r>
      <w:r w:rsidR="00C43603">
        <w:t xml:space="preserve"> protect people and property</w:t>
      </w:r>
      <w:r w:rsidR="008C6ACF">
        <w:t xml:space="preserve"> (discussed at </w:t>
      </w:r>
      <w:r w:rsidR="007B3774">
        <w:t>s</w:t>
      </w:r>
      <w:r w:rsidR="008C6ACF">
        <w:t xml:space="preserve">ection </w:t>
      </w:r>
      <w:r w:rsidR="008C6ACF" w:rsidRPr="003E1486">
        <w:fldChar w:fldCharType="begin"/>
      </w:r>
      <w:r w:rsidR="008C6ACF" w:rsidRPr="003E1486">
        <w:instrText xml:space="preserve"> REF _Ref211247325 \r \h </w:instrText>
      </w:r>
      <w:r w:rsidR="003E1486">
        <w:instrText xml:space="preserve"> \* MERGEFORMAT </w:instrText>
      </w:r>
      <w:r w:rsidR="008C6ACF" w:rsidRPr="003E1486">
        <w:fldChar w:fldCharType="separate"/>
      </w:r>
      <w:r w:rsidR="00F170D0">
        <w:t>3.2.3</w:t>
      </w:r>
      <w:r w:rsidR="008C6ACF" w:rsidRPr="003E1486">
        <w:fldChar w:fldCharType="end"/>
      </w:r>
      <w:r w:rsidR="008C6ACF">
        <w:t xml:space="preserve"> ‘protection of people and property’)</w:t>
      </w:r>
      <w:r w:rsidR="00AC1743">
        <w:t>.</w:t>
      </w:r>
    </w:p>
    <w:p w14:paraId="55F30399" w14:textId="297E6F97" w:rsidR="00C43603" w:rsidRDefault="00C625EF" w:rsidP="00AF00E2">
      <w:r>
        <w:t>The</w:t>
      </w:r>
      <w:r w:rsidR="002C1850">
        <w:t xml:space="preserve"> Act also </w:t>
      </w:r>
      <w:r w:rsidR="00AE00F3">
        <w:t xml:space="preserve">provides for the recovery of </w:t>
      </w:r>
      <w:r w:rsidR="005E13AD">
        <w:t>certain</w:t>
      </w:r>
      <w:r w:rsidR="00AE00F3">
        <w:t xml:space="preserve"> costs incurred by</w:t>
      </w:r>
      <w:r w:rsidR="002C1850">
        <w:t xml:space="preserve"> </w:t>
      </w:r>
      <w:r w:rsidR="00E71705">
        <w:t xml:space="preserve">road authorities </w:t>
      </w:r>
      <w:r w:rsidR="005E13AD">
        <w:t>in the</w:t>
      </w:r>
      <w:r w:rsidR="00694146">
        <w:t xml:space="preserve"> performance</w:t>
      </w:r>
      <w:r w:rsidR="005E13AD">
        <w:t xml:space="preserve"> of their </w:t>
      </w:r>
      <w:r w:rsidR="00694146">
        <w:t>functions</w:t>
      </w:r>
      <w:r w:rsidR="00451DC4">
        <w:t xml:space="preserve">, by requiring </w:t>
      </w:r>
      <w:r w:rsidR="0095709C">
        <w:t xml:space="preserve">a fee prescribed by the regulations to be paid </w:t>
      </w:r>
      <w:r w:rsidR="00DD04D1">
        <w:t xml:space="preserve">as part of </w:t>
      </w:r>
      <w:r w:rsidR="008F5F5E">
        <w:t>certain</w:t>
      </w:r>
      <w:r w:rsidR="00DD04D1">
        <w:t xml:space="preserve"> application</w:t>
      </w:r>
      <w:r w:rsidR="008F5F5E">
        <w:t>s</w:t>
      </w:r>
      <w:r w:rsidR="00DD04D1">
        <w:t xml:space="preserve"> </w:t>
      </w:r>
      <w:r w:rsidR="008F5F5E">
        <w:t>and</w:t>
      </w:r>
      <w:r w:rsidR="00DD04D1">
        <w:t xml:space="preserve"> request</w:t>
      </w:r>
      <w:r w:rsidR="008F5F5E">
        <w:t>s</w:t>
      </w:r>
      <w:r w:rsidR="00DD04D1">
        <w:t xml:space="preserve">. </w:t>
      </w:r>
      <w:r w:rsidR="00451DC4">
        <w:t>The</w:t>
      </w:r>
      <w:r>
        <w:t xml:space="preserve"> regulations are critical because they set out the fee</w:t>
      </w:r>
      <w:r w:rsidR="00123318">
        <w:t xml:space="preserve"> amounts</w:t>
      </w:r>
      <w:r>
        <w:t xml:space="preserve"> which </w:t>
      </w:r>
      <w:r w:rsidR="00C43603">
        <w:t>enable road authorities to recover administrative costs.</w:t>
      </w:r>
      <w:r>
        <w:t xml:space="preserve"> Th</w:t>
      </w:r>
      <w:r w:rsidR="00912169">
        <w:t>e</w:t>
      </w:r>
      <w:r>
        <w:t>s</w:t>
      </w:r>
      <w:r w:rsidR="00912169">
        <w:t>e</w:t>
      </w:r>
      <w:r>
        <w:t xml:space="preserve"> will be discussed separately at Section </w:t>
      </w:r>
      <w:r w:rsidR="00123318">
        <w:fldChar w:fldCharType="begin"/>
      </w:r>
      <w:bookmarkStart w:id="87" w:name="_Ref211417520"/>
      <w:bookmarkEnd w:id="87"/>
      <w:r w:rsidR="00123318">
        <w:instrText xml:space="preserve"> REF _Ref210734293 \r \h </w:instrText>
      </w:r>
      <w:r w:rsidR="00AF00E2">
        <w:instrText xml:space="preserve"> \* MERGEFORMAT </w:instrText>
      </w:r>
      <w:r w:rsidR="00123318">
        <w:fldChar w:fldCharType="separate"/>
      </w:r>
      <w:r w:rsidR="00F170D0">
        <w:t>3.4</w:t>
      </w:r>
      <w:r w:rsidR="00123318">
        <w:fldChar w:fldCharType="end"/>
      </w:r>
      <w:r w:rsidR="00123318">
        <w:t>.</w:t>
      </w:r>
    </w:p>
    <w:p w14:paraId="6465DE5F" w14:textId="4F03E210" w:rsidR="0084725C" w:rsidRDefault="0084725C" w:rsidP="0084725C">
      <w:pPr>
        <w:pStyle w:val="Heading3-Numbered"/>
      </w:pPr>
      <w:bookmarkStart w:id="88" w:name="_Ref211247170"/>
      <w:bookmarkStart w:id="89" w:name="_Toc226448290"/>
      <w:r>
        <w:lastRenderedPageBreak/>
        <w:t>Exemptions</w:t>
      </w:r>
      <w:bookmarkEnd w:id="88"/>
      <w:bookmarkEnd w:id="89"/>
    </w:p>
    <w:p w14:paraId="3310DBF9" w14:textId="36D608BC" w:rsidR="0084725C" w:rsidRPr="00C63FF8" w:rsidRDefault="0084725C" w:rsidP="0084725C">
      <w:pPr>
        <w:pStyle w:val="Heading4-Numbered"/>
        <w:rPr>
          <w14:textFill>
            <w14:solidFill>
              <w14:schemeClr w14:val="tx2">
                <w14:lumMod w14:val="75000"/>
                <w14:lumOff w14:val="25000"/>
                <w14:lumMod w14:val="75000"/>
                <w14:lumOff w14:val="25000"/>
                <w14:lumMod w14:val="75000"/>
              </w14:schemeClr>
            </w14:solidFill>
          </w14:textFill>
        </w:rPr>
      </w:pPr>
      <w:bookmarkStart w:id="90" w:name="_Ref210814546"/>
      <w:r w:rsidRPr="00C63FF8">
        <w:rPr>
          <w14:textFill>
            <w14:solidFill>
              <w14:schemeClr w14:val="tx2">
                <w14:lumMod w14:val="75000"/>
                <w14:lumOff w14:val="25000"/>
                <w14:lumMod w14:val="75000"/>
                <w14:lumOff w14:val="25000"/>
                <w14:lumMod w14:val="75000"/>
              </w14:schemeClr>
            </w14:solidFill>
          </w14:textFill>
        </w:rPr>
        <w:t>Consent for works</w:t>
      </w:r>
      <w:bookmarkEnd w:id="90"/>
    </w:p>
    <w:p w14:paraId="118C9133" w14:textId="7606325D" w:rsidR="00D2788F" w:rsidRDefault="0084725C" w:rsidP="00DF30AD">
      <w:r>
        <w:t xml:space="preserve">Under the Act, </w:t>
      </w:r>
      <w:r w:rsidR="00BA041E">
        <w:t>a person</w:t>
      </w:r>
      <w:r>
        <w:t xml:space="preserve"> must not interfere with roads without </w:t>
      </w:r>
      <w:r w:rsidR="00164776">
        <w:t xml:space="preserve">the </w:t>
      </w:r>
      <w:r>
        <w:t xml:space="preserve">consent of the </w:t>
      </w:r>
      <w:r w:rsidR="009A2D1E">
        <w:t>coordinating</w:t>
      </w:r>
      <w:r>
        <w:t xml:space="preserve"> road authority. This </w:t>
      </w:r>
      <w:r w:rsidR="003A5654">
        <w:t xml:space="preserve">helps to </w:t>
      </w:r>
      <w:r>
        <w:t xml:space="preserve">prevent </w:t>
      </w:r>
      <w:r w:rsidR="00033547">
        <w:t xml:space="preserve">safety </w:t>
      </w:r>
      <w:r w:rsidR="005B0DE7">
        <w:t>and economic</w:t>
      </w:r>
      <w:r>
        <w:t xml:space="preserve"> harms</w:t>
      </w:r>
      <w:r w:rsidR="008F23E5">
        <w:t xml:space="preserve">. </w:t>
      </w:r>
      <w:r>
        <w:t>However, th</w:t>
      </w:r>
      <w:r w:rsidR="00E17C5C">
        <w:t>e requirement to obtain consent</w:t>
      </w:r>
      <w:r>
        <w:t xml:space="preserve"> creates a burden for </w:t>
      </w:r>
      <w:r w:rsidR="004E01A4">
        <w:t>infrastructure and</w:t>
      </w:r>
      <w:r>
        <w:t xml:space="preserve"> works managers</w:t>
      </w:r>
      <w:r w:rsidR="00E754F9">
        <w:t>,</w:t>
      </w:r>
      <w:r>
        <w:t xml:space="preserve"> and road authorities</w:t>
      </w:r>
      <w:r w:rsidR="00E17C5C">
        <w:t xml:space="preserve"> in relation to </w:t>
      </w:r>
      <w:r w:rsidR="00110382">
        <w:t xml:space="preserve">certain </w:t>
      </w:r>
      <w:r w:rsidR="00E17C5C">
        <w:t>works on roads.</w:t>
      </w:r>
      <w:r w:rsidR="0030154A" w:rsidRPr="0030154A">
        <w:t xml:space="preserve"> </w:t>
      </w:r>
      <w:r w:rsidR="00E137B7">
        <w:t>A</w:t>
      </w:r>
      <w:r w:rsidR="0030154A">
        <w:t xml:space="preserve">s discussed in section </w:t>
      </w:r>
      <w:r w:rsidR="00EE65C6">
        <w:fldChar w:fldCharType="begin"/>
      </w:r>
      <w:r w:rsidR="00EE65C6">
        <w:instrText xml:space="preserve"> REF _Ref204181222 \r \h </w:instrText>
      </w:r>
      <w:r w:rsidR="00DF30AD">
        <w:instrText xml:space="preserve"> \* MERGEFORMAT </w:instrText>
      </w:r>
      <w:r w:rsidR="00EE65C6">
        <w:fldChar w:fldCharType="separate"/>
      </w:r>
      <w:r w:rsidR="00F170D0">
        <w:t>2.1.2.4</w:t>
      </w:r>
      <w:r w:rsidR="00EE65C6">
        <w:fldChar w:fldCharType="end"/>
      </w:r>
      <w:r w:rsidR="00EE65C6">
        <w:t>,</w:t>
      </w:r>
      <w:r w:rsidR="0030154A">
        <w:t xml:space="preserve"> </w:t>
      </w:r>
      <w:r w:rsidR="0030154A" w:rsidRPr="0030154A">
        <w:t xml:space="preserve">the Act provides </w:t>
      </w:r>
      <w:r w:rsidR="005B3384">
        <w:t>for</w:t>
      </w:r>
      <w:r w:rsidR="0030154A" w:rsidRPr="0030154A">
        <w:t xml:space="preserve"> exemptions for </w:t>
      </w:r>
      <w:r w:rsidR="008942EA">
        <w:t>certain</w:t>
      </w:r>
      <w:r w:rsidR="0030154A" w:rsidRPr="0030154A">
        <w:t xml:space="preserve"> works</w:t>
      </w:r>
      <w:r w:rsidR="00EE65C6">
        <w:t>.</w:t>
      </w:r>
      <w:r w:rsidR="00034BA0">
        <w:t xml:space="preserve"> </w:t>
      </w:r>
      <w:r w:rsidR="00E137B7">
        <w:t xml:space="preserve">To further </w:t>
      </w:r>
      <w:r w:rsidR="00AF437F">
        <w:t>reduce</w:t>
      </w:r>
      <w:r w:rsidR="00E137B7">
        <w:t xml:space="preserve"> the administ</w:t>
      </w:r>
      <w:r w:rsidR="00A35BBB">
        <w:t>rative burden</w:t>
      </w:r>
      <w:r w:rsidR="00E137B7">
        <w:t>, t</w:t>
      </w:r>
      <w:r w:rsidR="00597AD5">
        <w:t>he</w:t>
      </w:r>
      <w:r w:rsidR="00034BA0">
        <w:t xml:space="preserve"> W&amp;I</w:t>
      </w:r>
      <w:r w:rsidR="00AF437F">
        <w:rPr>
          <w:rFonts w:ascii="Cambria" w:hAnsi="Cambria"/>
        </w:rPr>
        <w:t> </w:t>
      </w:r>
      <w:r w:rsidR="00034BA0">
        <w:t xml:space="preserve">Regulations </w:t>
      </w:r>
      <w:r w:rsidR="007D4C2E">
        <w:t xml:space="preserve">set out </w:t>
      </w:r>
      <w:r w:rsidR="00BF2AE3">
        <w:t>additional</w:t>
      </w:r>
      <w:r w:rsidR="00326421" w:rsidRPr="00326421">
        <w:t xml:space="preserve"> exemptions</w:t>
      </w:r>
      <w:r w:rsidR="00E11526">
        <w:t>. These exemptions</w:t>
      </w:r>
      <w:r w:rsidR="00CE0673">
        <w:t xml:space="preserve"> are</w:t>
      </w:r>
      <w:r w:rsidR="00326421" w:rsidRPr="00326421">
        <w:t xml:space="preserve"> for road authorities, utilities companies, public transport providers, fire authorities and others</w:t>
      </w:r>
      <w:r w:rsidR="00CE0673">
        <w:t xml:space="preserve">, </w:t>
      </w:r>
      <w:r w:rsidR="006079D8">
        <w:t>and allow</w:t>
      </w:r>
      <w:r w:rsidR="00326421" w:rsidRPr="00326421">
        <w:t xml:space="preserve"> these parties to conduct specified minor works that are not traffic impact works without the prior written consent of coordinating road authorities.</w:t>
      </w:r>
      <w:r w:rsidR="00CD5768" w:rsidRPr="00CD5768">
        <w:t xml:space="preserve"> </w:t>
      </w:r>
    </w:p>
    <w:p w14:paraId="409241FB" w14:textId="77777777" w:rsidR="00823B5B" w:rsidRDefault="00823B5B" w:rsidP="00823B5B">
      <w:r w:rsidRPr="00401E5A">
        <w:t>The Department has not been able to determine the scale of the cost savings experienced by those benefiting from the exemptions</w:t>
      </w:r>
      <w:r>
        <w:t>,</w:t>
      </w:r>
      <w:r w:rsidRPr="00060942">
        <w:t xml:space="preserve"> </w:t>
      </w:r>
      <w:r>
        <w:t>h</w:t>
      </w:r>
      <w:r w:rsidRPr="00401E5A">
        <w:t>owever they are estimated to range from relatively small efficiency benefits to significant cost savings in some cases</w:t>
      </w:r>
      <w:r>
        <w:t>. One utility company estimated that up to 30 percent of works required an application, stating its permit expenditure for works within road reserves was approximately $7,000 for the month of August 2025. They indicated savings due to the exemptions were particularly experienced within its faults and public lighting crews.</w:t>
      </w:r>
    </w:p>
    <w:p w14:paraId="3D80D343" w14:textId="4FFDCDF1" w:rsidR="00841074" w:rsidRDefault="00594C25" w:rsidP="00DF30AD">
      <w:r>
        <w:t>As detailed in</w:t>
      </w:r>
      <w:r w:rsidR="00547FC5">
        <w:t xml:space="preserve"> Appendix 1 – Cost Recovery,</w:t>
      </w:r>
      <w:r w:rsidR="00D02682">
        <w:t xml:space="preserve"> </w:t>
      </w:r>
      <w:r>
        <w:t>t</w:t>
      </w:r>
      <w:r w:rsidR="00CD5768" w:rsidRPr="00CD5768">
        <w:t xml:space="preserve">he time spent by HTfV processing a typical application is estimated to be between 1.5 and 2.5 hours, with an hourly salary rate </w:t>
      </w:r>
      <w:r w:rsidR="00147E2F">
        <w:t>of</w:t>
      </w:r>
      <w:r w:rsidR="00CD5768" w:rsidRPr="00CD5768">
        <w:t xml:space="preserve"> $70 to $</w:t>
      </w:r>
      <w:r w:rsidR="0085616F">
        <w:t>9</w:t>
      </w:r>
      <w:r w:rsidR="00CD5768" w:rsidRPr="00CD5768">
        <w:t>5. This puts the average processing cost between $100 and $</w:t>
      </w:r>
      <w:r w:rsidR="00777207">
        <w:t>2</w:t>
      </w:r>
      <w:r w:rsidR="0085616F">
        <w:t>4</w:t>
      </w:r>
      <w:r w:rsidR="00CD5768" w:rsidRPr="00CD5768">
        <w:t>0 per application. Information received from a sample of councils suggests they are incurring similar costs for considering applications for consent for works with estimates ranging from $100 to $300 per application.</w:t>
      </w:r>
      <w:r w:rsidR="00401E5A" w:rsidRPr="00401E5A">
        <w:t xml:space="preserve"> </w:t>
      </w:r>
      <w:r w:rsidR="003D1857">
        <w:t>This represents a substantial saving</w:t>
      </w:r>
      <w:r w:rsidR="004A4F02">
        <w:t xml:space="preserve"> for road authorities </w:t>
      </w:r>
      <w:r w:rsidR="00841074">
        <w:t xml:space="preserve">where </w:t>
      </w:r>
      <w:r w:rsidR="005420E3">
        <w:t xml:space="preserve">the </w:t>
      </w:r>
      <w:r w:rsidR="00841074">
        <w:t xml:space="preserve">exemptions apply. </w:t>
      </w:r>
    </w:p>
    <w:p w14:paraId="70DD0BE5" w14:textId="096E1FA8" w:rsidR="00731885" w:rsidRDefault="00731885" w:rsidP="00DF30AD">
      <w:r w:rsidRPr="00EB66E3">
        <w:t>These exemptions from</w:t>
      </w:r>
      <w:r>
        <w:t xml:space="preserve"> </w:t>
      </w:r>
      <w:r w:rsidRPr="00EB66E3">
        <w:t xml:space="preserve">the </w:t>
      </w:r>
      <w:r w:rsidR="00333D81">
        <w:t xml:space="preserve">consent </w:t>
      </w:r>
      <w:r w:rsidRPr="00EB66E3">
        <w:t>requirements under the Act significantly reduce the administrative burden and potential for unnecessary delays that would otherwise exist under the base case (that is, in the absence of regulations).</w:t>
      </w:r>
    </w:p>
    <w:p w14:paraId="22294FE5" w14:textId="72A99A51" w:rsidR="0084725C" w:rsidRPr="00C63FF8" w:rsidRDefault="0084725C" w:rsidP="0084725C">
      <w:pPr>
        <w:pStyle w:val="Heading4-Numbered"/>
        <w:rPr>
          <w14:textFill>
            <w14:solidFill>
              <w14:schemeClr w14:val="tx2">
                <w14:lumMod w14:val="75000"/>
                <w14:lumOff w14:val="25000"/>
                <w14:lumMod w14:val="75000"/>
                <w14:lumOff w14:val="25000"/>
                <w14:lumMod w14:val="75000"/>
              </w14:schemeClr>
            </w14:solidFill>
          </w14:textFill>
        </w:rPr>
      </w:pPr>
      <w:bookmarkStart w:id="91" w:name="_Ref210816511"/>
      <w:r w:rsidRPr="00C63FF8">
        <w:rPr>
          <w14:textFill>
            <w14:solidFill>
              <w14:schemeClr w14:val="tx2">
                <w14:lumMod w14:val="75000"/>
                <w14:lumOff w14:val="25000"/>
                <w14:lumMod w14:val="75000"/>
                <w14:lumOff w14:val="25000"/>
                <w14:lumMod w14:val="75000"/>
              </w14:schemeClr>
            </w14:solidFill>
          </w14:textFill>
        </w:rPr>
        <w:t>Notice of works</w:t>
      </w:r>
      <w:bookmarkEnd w:id="91"/>
    </w:p>
    <w:p w14:paraId="49DD043B" w14:textId="3695536D" w:rsidR="003E7F8C" w:rsidRDefault="0084725C" w:rsidP="00415F4B">
      <w:r>
        <w:t xml:space="preserve">Under the Act, </w:t>
      </w:r>
      <w:r w:rsidR="004230EB">
        <w:t>infrastructure managers and</w:t>
      </w:r>
      <w:r>
        <w:t xml:space="preserve"> works managers must provide notice of planned works and notice of completed works.</w:t>
      </w:r>
      <w:r w:rsidR="002F243B">
        <w:t xml:space="preserve"> </w:t>
      </w:r>
      <w:r>
        <w:t xml:space="preserve">However, </w:t>
      </w:r>
      <w:r w:rsidR="004B17CD">
        <w:t xml:space="preserve">as with the </w:t>
      </w:r>
      <w:r w:rsidR="0019082F">
        <w:t>requirement to obtain co</w:t>
      </w:r>
      <w:r w:rsidR="00634327">
        <w:t>n</w:t>
      </w:r>
      <w:r w:rsidR="0019082F">
        <w:t>sent to conduct certain works</w:t>
      </w:r>
      <w:r w:rsidR="00634327">
        <w:t xml:space="preserve">, the requirement to provide </w:t>
      </w:r>
      <w:r w:rsidR="009F7894">
        <w:t>notice of works</w:t>
      </w:r>
      <w:r w:rsidR="000A18F0">
        <w:t xml:space="preserve"> </w:t>
      </w:r>
      <w:r>
        <w:t>could</w:t>
      </w:r>
      <w:r w:rsidR="000A18F0">
        <w:t xml:space="preserve"> also</w:t>
      </w:r>
      <w:r>
        <w:t xml:space="preserve"> create a burden</w:t>
      </w:r>
      <w:r w:rsidR="000A18F0">
        <w:t xml:space="preserve"> for</w:t>
      </w:r>
      <w:r w:rsidR="000A18F0" w:rsidRPr="000A18F0">
        <w:t xml:space="preserve"> </w:t>
      </w:r>
      <w:r w:rsidR="004C1BE5">
        <w:t>these parties</w:t>
      </w:r>
      <w:r w:rsidR="000A18F0" w:rsidRPr="000A18F0">
        <w:t xml:space="preserve"> and road authorities</w:t>
      </w:r>
      <w:r w:rsidR="000A18F0">
        <w:t>.</w:t>
      </w:r>
      <w:r w:rsidR="00EB66E3" w:rsidRPr="00EB66E3">
        <w:t xml:space="preserve"> </w:t>
      </w:r>
      <w:r w:rsidR="00284EFF">
        <w:t>Therefore, the regulations</w:t>
      </w:r>
      <w:r w:rsidR="00C46B00">
        <w:t xml:space="preserve"> exempt utilities, public transport providers and other road authorities conducting </w:t>
      </w:r>
      <w:r w:rsidR="00F739B2">
        <w:t xml:space="preserve">works </w:t>
      </w:r>
      <w:r w:rsidR="00C46B00">
        <w:t xml:space="preserve">in the road reserve from </w:t>
      </w:r>
      <w:r w:rsidR="00B72DD6">
        <w:t>the requirement</w:t>
      </w:r>
      <w:r w:rsidR="00C46B00">
        <w:t xml:space="preserve"> to notify </w:t>
      </w:r>
      <w:r w:rsidR="00531F5E">
        <w:t>coordinating</w:t>
      </w:r>
      <w:r w:rsidR="00C46B00">
        <w:t xml:space="preserve"> road authorities </w:t>
      </w:r>
      <w:r w:rsidR="007A0670">
        <w:t>about planned works.</w:t>
      </w:r>
      <w:r w:rsidR="00284EFF">
        <w:t xml:space="preserve"> </w:t>
      </w:r>
    </w:p>
    <w:p w14:paraId="38754E37" w14:textId="2AD3364C" w:rsidR="0084725C" w:rsidRDefault="00F979A2" w:rsidP="00415F4B">
      <w:r>
        <w:t>The</w:t>
      </w:r>
      <w:r w:rsidR="00677618">
        <w:t xml:space="preserve"> regulations</w:t>
      </w:r>
      <w:r>
        <w:t xml:space="preserve"> also exempt works managers from having to notify </w:t>
      </w:r>
      <w:r w:rsidR="005C09AE">
        <w:t>coordinating</w:t>
      </w:r>
      <w:r>
        <w:t xml:space="preserve"> road authorities about completed works </w:t>
      </w:r>
      <w:r w:rsidR="006F7F86">
        <w:t>for minor works that are not traffic impact works</w:t>
      </w:r>
      <w:r w:rsidR="00701848">
        <w:t xml:space="preserve"> or </w:t>
      </w:r>
      <w:r w:rsidR="00EB4E57">
        <w:t>do not</w:t>
      </w:r>
      <w:r w:rsidR="00701848">
        <w:t xml:space="preserve"> involve </w:t>
      </w:r>
      <w:r w:rsidR="00D830A9">
        <w:t xml:space="preserve">the </w:t>
      </w:r>
      <w:r w:rsidR="00701848">
        <w:t>excavation</w:t>
      </w:r>
      <w:r w:rsidR="00EE52EF">
        <w:t xml:space="preserve"> of the roadway, pathway or shoulder. </w:t>
      </w:r>
      <w:r w:rsidR="00EB66E3" w:rsidRPr="00EB66E3">
        <w:t xml:space="preserve">These exemptions from </w:t>
      </w:r>
      <w:r w:rsidR="00F82C6B">
        <w:t xml:space="preserve">notice </w:t>
      </w:r>
      <w:r w:rsidR="00EB66E3" w:rsidRPr="00EB66E3">
        <w:t>requirements under the Act reduce the administrative burden that would otherwise exist under the base case.</w:t>
      </w:r>
      <w:r w:rsidR="00C45B53">
        <w:t xml:space="preserve"> </w:t>
      </w:r>
      <w:r w:rsidR="006C5EC7">
        <w:t xml:space="preserve">However, the scale of this reduction is not </w:t>
      </w:r>
      <w:r w:rsidR="004F740E">
        <w:t>easily calculable</w:t>
      </w:r>
      <w:r w:rsidR="006C5EC7">
        <w:t>, as t</w:t>
      </w:r>
      <w:r w:rsidR="006C2768">
        <w:t xml:space="preserve">he Department </w:t>
      </w:r>
      <w:r w:rsidR="006C5EC7">
        <w:t>can</w:t>
      </w:r>
      <w:r w:rsidR="006C2768">
        <w:t xml:space="preserve">not quantify the number of notifications of works that would </w:t>
      </w:r>
      <w:r w:rsidR="00335A3C">
        <w:t>have been provided</w:t>
      </w:r>
      <w:r w:rsidR="006C2768">
        <w:t xml:space="preserve"> in the absence of these exemptions. </w:t>
      </w:r>
    </w:p>
    <w:p w14:paraId="34E9F7B6" w14:textId="6F921B05" w:rsidR="0084725C" w:rsidRPr="00C63FF8" w:rsidRDefault="0084725C" w:rsidP="0084725C">
      <w:pPr>
        <w:pStyle w:val="Heading4-Numbered"/>
        <w:rPr>
          <w14:textFill>
            <w14:solidFill>
              <w14:schemeClr w14:val="tx2">
                <w14:lumMod w14:val="75000"/>
                <w14:lumOff w14:val="25000"/>
                <w14:lumMod w14:val="75000"/>
                <w14:lumOff w14:val="25000"/>
                <w14:lumMod w14:val="75000"/>
              </w14:schemeClr>
            </w14:solidFill>
          </w14:textFill>
        </w:rPr>
      </w:pPr>
      <w:bookmarkStart w:id="92" w:name="_Ref210918239"/>
      <w:r w:rsidRPr="00C63FF8">
        <w:rPr>
          <w14:textFill>
            <w14:solidFill>
              <w14:schemeClr w14:val="tx2">
                <w14:lumMod w14:val="75000"/>
                <w14:lumOff w14:val="25000"/>
                <w14:lumMod w14:val="75000"/>
                <w14:lumOff w14:val="25000"/>
                <w14:lumMod w14:val="75000"/>
              </w14:schemeClr>
            </w14:solidFill>
          </w14:textFill>
        </w:rPr>
        <w:t>Consultation for discontinuing a road</w:t>
      </w:r>
      <w:bookmarkEnd w:id="92"/>
    </w:p>
    <w:p w14:paraId="7AECA63E" w14:textId="4DB667A7" w:rsidR="0084725C" w:rsidRPr="00DB1E7E" w:rsidRDefault="00833CA7" w:rsidP="00843D34">
      <w:r>
        <w:t>Before</w:t>
      </w:r>
      <w:r w:rsidR="0084725C">
        <w:t xml:space="preserve"> </w:t>
      </w:r>
      <w:r w:rsidR="00AB4C69">
        <w:t xml:space="preserve">the HTfV </w:t>
      </w:r>
      <w:r>
        <w:t>or</w:t>
      </w:r>
      <w:r w:rsidR="00AB4C69">
        <w:t xml:space="preserve"> </w:t>
      </w:r>
      <w:r w:rsidR="00E32BF2">
        <w:t xml:space="preserve">a </w:t>
      </w:r>
      <w:r w:rsidR="00AB4C69">
        <w:t>coordinating</w:t>
      </w:r>
      <w:r w:rsidR="0084725C">
        <w:t xml:space="preserve"> road authorit</w:t>
      </w:r>
      <w:r w:rsidR="00E32BF2">
        <w:t>y</w:t>
      </w:r>
      <w:r w:rsidR="0084725C">
        <w:t xml:space="preserve"> </w:t>
      </w:r>
      <w:r w:rsidR="00E87A67">
        <w:t xml:space="preserve">discontinue a road, the Act requires that </w:t>
      </w:r>
      <w:r w:rsidR="000B67B4">
        <w:t>a</w:t>
      </w:r>
      <w:r w:rsidR="0084725C">
        <w:t xml:space="preserve"> public </w:t>
      </w:r>
      <w:r w:rsidR="00DA01BC">
        <w:t>notice</w:t>
      </w:r>
      <w:r w:rsidR="000B67B4">
        <w:t xml:space="preserve"> is issued</w:t>
      </w:r>
      <w:r w:rsidR="009C069C">
        <w:t>,</w:t>
      </w:r>
      <w:r w:rsidR="00DA01BC">
        <w:t xml:space="preserve"> and </w:t>
      </w:r>
      <w:r w:rsidR="0084725C">
        <w:t xml:space="preserve">the public </w:t>
      </w:r>
      <w:r w:rsidR="009C069C">
        <w:t>and any affected infrastructure managers are</w:t>
      </w:r>
      <w:r w:rsidR="00E32BF2">
        <w:t xml:space="preserve"> </w:t>
      </w:r>
      <w:r w:rsidR="0084725C">
        <w:t>consul</w:t>
      </w:r>
      <w:r w:rsidR="009C069C">
        <w:t>t</w:t>
      </w:r>
      <w:r w:rsidR="00E32BF2">
        <w:t>ed</w:t>
      </w:r>
      <w:r w:rsidR="0084725C">
        <w:t>. This</w:t>
      </w:r>
      <w:r w:rsidR="0071415F">
        <w:t xml:space="preserve"> increases </w:t>
      </w:r>
      <w:r w:rsidR="00CD12B1">
        <w:t>transparency and</w:t>
      </w:r>
      <w:r w:rsidR="0071415F">
        <w:t xml:space="preserve"> </w:t>
      </w:r>
      <w:r w:rsidR="00D94E71">
        <w:t>accountability and</w:t>
      </w:r>
      <w:r w:rsidR="0084725C">
        <w:t xml:space="preserve"> </w:t>
      </w:r>
      <w:r w:rsidR="009624ED">
        <w:t xml:space="preserve">helps to </w:t>
      </w:r>
      <w:r w:rsidR="0084725C">
        <w:t xml:space="preserve">prevent </w:t>
      </w:r>
      <w:r w:rsidR="00D15116">
        <w:t>social and econ</w:t>
      </w:r>
      <w:r w:rsidR="00602E8C">
        <w:t>om</w:t>
      </w:r>
      <w:r w:rsidR="00D15116">
        <w:t>ic</w:t>
      </w:r>
      <w:r w:rsidR="0084725C">
        <w:t xml:space="preserve"> harms</w:t>
      </w:r>
      <w:r w:rsidR="00D15116">
        <w:t xml:space="preserve"> </w:t>
      </w:r>
      <w:r w:rsidR="00A070B7">
        <w:t>as a result of</w:t>
      </w:r>
      <w:r w:rsidR="009624ED">
        <w:t xml:space="preserve"> </w:t>
      </w:r>
      <w:r w:rsidR="00B75C61">
        <w:t xml:space="preserve">people not being aware or not having </w:t>
      </w:r>
      <w:r w:rsidR="00A070B7">
        <w:t xml:space="preserve">the opportunity to have </w:t>
      </w:r>
      <w:r w:rsidR="00B75C61">
        <w:t>th</w:t>
      </w:r>
      <w:r w:rsidR="00A070B7">
        <w:t>e</w:t>
      </w:r>
      <w:r w:rsidR="00B75C61">
        <w:t xml:space="preserve">ir say about road discontinuances. </w:t>
      </w:r>
      <w:r w:rsidR="0084725C">
        <w:t>However, th</w:t>
      </w:r>
      <w:r w:rsidR="00F643ED">
        <w:t>ese requirements</w:t>
      </w:r>
      <w:r w:rsidR="0084725C">
        <w:t xml:space="preserve"> create </w:t>
      </w:r>
      <w:r w:rsidR="0025417C">
        <w:t>additional</w:t>
      </w:r>
      <w:r w:rsidR="0084725C">
        <w:t xml:space="preserve"> burden for </w:t>
      </w:r>
      <w:r w:rsidR="002F1157">
        <w:t xml:space="preserve">coordinating </w:t>
      </w:r>
      <w:r w:rsidR="0084725C">
        <w:t>road authorities</w:t>
      </w:r>
      <w:r w:rsidR="00AF3DF8">
        <w:t xml:space="preserve">, which </w:t>
      </w:r>
      <w:r w:rsidR="00C466F7">
        <w:t xml:space="preserve">may not be appropriate </w:t>
      </w:r>
      <w:r w:rsidR="002D7599">
        <w:t>for</w:t>
      </w:r>
      <w:r w:rsidR="00C466F7">
        <w:t xml:space="preserve"> all road discontinuanc</w:t>
      </w:r>
      <w:r w:rsidR="002D7599">
        <w:t>es</w:t>
      </w:r>
      <w:r w:rsidR="00C466F7">
        <w:t>.</w:t>
      </w:r>
      <w:r w:rsidR="002D7599">
        <w:t xml:space="preserve"> </w:t>
      </w:r>
      <w:r w:rsidR="00C466F7">
        <w:t xml:space="preserve">To address this issue and reduce the </w:t>
      </w:r>
      <w:r w:rsidR="002F1157">
        <w:t xml:space="preserve">administrative </w:t>
      </w:r>
      <w:r w:rsidR="00C466F7">
        <w:t xml:space="preserve">burden, the </w:t>
      </w:r>
      <w:r w:rsidR="00943C8A">
        <w:t xml:space="preserve">regulations </w:t>
      </w:r>
      <w:r w:rsidR="00AC1293">
        <w:t xml:space="preserve">provide for </w:t>
      </w:r>
      <w:r w:rsidR="00AC1293">
        <w:lastRenderedPageBreak/>
        <w:t>exemptions from issuing notices and public</w:t>
      </w:r>
      <w:r w:rsidR="003B0171">
        <w:t xml:space="preserve"> consultation </w:t>
      </w:r>
      <w:r w:rsidR="00130C09">
        <w:t xml:space="preserve">in </w:t>
      </w:r>
      <w:r w:rsidR="001A7748">
        <w:t>certain</w:t>
      </w:r>
      <w:r w:rsidR="00130C09">
        <w:t xml:space="preserve"> circumstances, for example, where </w:t>
      </w:r>
      <w:r w:rsidR="003116C8">
        <w:t xml:space="preserve">the discontinuance does not </w:t>
      </w:r>
      <w:r w:rsidR="001B641A">
        <w:t>incorporate</w:t>
      </w:r>
      <w:r w:rsidR="003116C8">
        <w:t xml:space="preserve"> the full width of the road.</w:t>
      </w:r>
    </w:p>
    <w:p w14:paraId="366963EC" w14:textId="6104869C" w:rsidR="00EF5592" w:rsidRDefault="00EF5592" w:rsidP="00843D34">
      <w:r>
        <w:t xml:space="preserve">Based on consultation with municipal councils during the preparation of this RIS, councils appear to be </w:t>
      </w:r>
      <w:r w:rsidR="008752E4">
        <w:t xml:space="preserve">exercising </w:t>
      </w:r>
      <w:r>
        <w:t xml:space="preserve">powers under the </w:t>
      </w:r>
      <w:r w:rsidRPr="00765CCF">
        <w:rPr>
          <w:i/>
        </w:rPr>
        <w:t xml:space="preserve">Local Government Act </w:t>
      </w:r>
      <w:r w:rsidR="00702C6E" w:rsidRPr="00765CCF">
        <w:rPr>
          <w:i/>
        </w:rPr>
        <w:t>1989</w:t>
      </w:r>
      <w:r w:rsidRPr="00765CCF">
        <w:rPr>
          <w:i/>
        </w:rPr>
        <w:t xml:space="preserve"> </w:t>
      </w:r>
      <w:r>
        <w:t>to discontinue a road or part of a road, rather than</w:t>
      </w:r>
      <w:r w:rsidR="001D17E0">
        <w:t xml:space="preserve"> using provisions under</w:t>
      </w:r>
      <w:r>
        <w:t xml:space="preserve"> the Act. Therefore, the burden</w:t>
      </w:r>
      <w:r w:rsidR="001D17E0">
        <w:t xml:space="preserve"> that the Act imposes</w:t>
      </w:r>
      <w:r>
        <w:t xml:space="preserve"> is limited to </w:t>
      </w:r>
      <w:r w:rsidR="001D17E0">
        <w:t>s</w:t>
      </w:r>
      <w:r>
        <w:t>tate road authorities and private freeway operators.</w:t>
      </w:r>
    </w:p>
    <w:p w14:paraId="78236327" w14:textId="0F52D085" w:rsidR="003116C8" w:rsidRPr="00DB1E7E" w:rsidRDefault="00EF5592" w:rsidP="00843D34">
      <w:r>
        <w:t xml:space="preserve">Between July 2019 and July 2025, nine of the ten road discontinuances by </w:t>
      </w:r>
      <w:r w:rsidR="0083795B">
        <w:t>the</w:t>
      </w:r>
      <w:r>
        <w:t xml:space="preserve"> HTfV were made in accordance with the exemptions provided under the regulations. Because discontinuances of </w:t>
      </w:r>
      <w:r w:rsidR="00E948C1">
        <w:t>State</w:t>
      </w:r>
      <w:r>
        <w:t xml:space="preserve"> roads are relatively rare, it is difficult to estimate the exact savings achieved by the exemption, and therefore the additional burden that would be imposed if the exemption did not exist. However, the fact that the exemption has been relied upon means the Department has benefited from savings associated with the reduced timeframes and the removal of the need for extensive public consultation and engagement.</w:t>
      </w:r>
    </w:p>
    <w:p w14:paraId="63B2956D" w14:textId="21A2FB36" w:rsidR="0084725C" w:rsidRPr="00DB1E7E" w:rsidRDefault="0084725C" w:rsidP="0022156E">
      <w:pPr>
        <w:pStyle w:val="Heading3-Numbered"/>
      </w:pPr>
      <w:bookmarkStart w:id="93" w:name="_Ref211426187"/>
      <w:bookmarkStart w:id="94" w:name="_Toc226448291"/>
      <w:r>
        <w:t>Procedural and administrative guidance</w:t>
      </w:r>
      <w:bookmarkEnd w:id="93"/>
      <w:bookmarkEnd w:id="94"/>
    </w:p>
    <w:p w14:paraId="29DAF4CF" w14:textId="7EFEC03E" w:rsidR="00242CB7" w:rsidRPr="00C63FF8" w:rsidRDefault="00242CB7" w:rsidP="0022156E">
      <w:pPr>
        <w:pStyle w:val="Heading4-Numbered"/>
        <w:rPr>
          <w14:textFill>
            <w14:solidFill>
              <w14:schemeClr w14:val="tx2">
                <w14:lumMod w14:val="75000"/>
                <w14:lumOff w14:val="25000"/>
                <w14:lumMod w14:val="75000"/>
                <w14:lumOff w14:val="25000"/>
                <w14:lumMod w14:val="75000"/>
              </w14:schemeClr>
            </w14:solidFill>
          </w14:textFill>
        </w:rPr>
      </w:pPr>
      <w:bookmarkStart w:id="95" w:name="_Ref211590657"/>
      <w:bookmarkStart w:id="96" w:name="_Ref210809930"/>
      <w:r w:rsidRPr="00C63FF8">
        <w:rPr>
          <w14:textFill>
            <w14:solidFill>
              <w14:schemeClr w14:val="tx2">
                <w14:lumMod w14:val="75000"/>
                <w14:lumOff w14:val="25000"/>
                <w14:lumMod w14:val="75000"/>
                <w14:lumOff w14:val="25000"/>
                <w14:lumMod w14:val="75000"/>
              </w14:schemeClr>
            </w14:solidFill>
          </w14:textFill>
        </w:rPr>
        <w:t xml:space="preserve">Prescribed particulars </w:t>
      </w:r>
      <w:r w:rsidR="008B0678" w:rsidRPr="00C63FF8">
        <w:rPr>
          <w14:textFill>
            <w14:solidFill>
              <w14:schemeClr w14:val="tx2">
                <w14:lumMod w14:val="75000"/>
                <w14:lumOff w14:val="25000"/>
                <w14:lumMod w14:val="75000"/>
                <w14:lumOff w14:val="25000"/>
                <w14:lumMod w14:val="75000"/>
              </w14:schemeClr>
            </w14:solidFill>
          </w14:textFill>
        </w:rPr>
        <w:t xml:space="preserve">for </w:t>
      </w:r>
      <w:r w:rsidR="00816DF8" w:rsidRPr="00C63FF8">
        <w:rPr>
          <w14:textFill>
            <w14:solidFill>
              <w14:schemeClr w14:val="tx2">
                <w14:lumMod w14:val="75000"/>
                <w14:lumOff w14:val="25000"/>
                <w14:lumMod w14:val="75000"/>
                <w14:lumOff w14:val="25000"/>
                <w14:lumMod w14:val="75000"/>
              </w14:schemeClr>
            </w14:solidFill>
          </w14:textFill>
        </w:rPr>
        <w:t xml:space="preserve">applications for consent </w:t>
      </w:r>
      <w:r w:rsidR="002A10AE" w:rsidRPr="00C63FF8">
        <w:rPr>
          <w14:textFill>
            <w14:solidFill>
              <w14:schemeClr w14:val="tx2">
                <w14:lumMod w14:val="75000"/>
                <w14:lumOff w14:val="25000"/>
                <w14:lumMod w14:val="75000"/>
                <w14:lumOff w14:val="25000"/>
                <w14:lumMod w14:val="75000"/>
              </w14:schemeClr>
            </w14:solidFill>
          </w14:textFill>
        </w:rPr>
        <w:t>for</w:t>
      </w:r>
      <w:r w:rsidR="00816DF8" w:rsidRPr="00C63FF8">
        <w:rPr>
          <w14:textFill>
            <w14:solidFill>
              <w14:schemeClr w14:val="tx2">
                <w14:lumMod w14:val="75000"/>
                <w14:lumOff w14:val="25000"/>
                <w14:lumMod w14:val="75000"/>
                <w14:lumOff w14:val="25000"/>
                <w14:lumMod w14:val="75000"/>
              </w14:schemeClr>
            </w14:solidFill>
          </w14:textFill>
        </w:rPr>
        <w:t xml:space="preserve"> works</w:t>
      </w:r>
      <w:bookmarkEnd w:id="95"/>
    </w:p>
    <w:p w14:paraId="34481B67" w14:textId="7C06B5A4" w:rsidR="003F2C3E" w:rsidRDefault="002A10AE" w:rsidP="003F2C3E">
      <w:r>
        <w:t xml:space="preserve">As highlighted in </w:t>
      </w:r>
      <w:r w:rsidR="00383CBC">
        <w:fldChar w:fldCharType="begin"/>
      </w:r>
      <w:r w:rsidR="00383CBC">
        <w:instrText xml:space="preserve"> REF _Ref204181222 \r \h </w:instrText>
      </w:r>
      <w:r w:rsidR="00383CBC">
        <w:fldChar w:fldCharType="separate"/>
      </w:r>
      <w:r w:rsidR="00F170D0">
        <w:t>2.1.2.4</w:t>
      </w:r>
      <w:r w:rsidR="00383CBC">
        <w:fldChar w:fldCharType="end"/>
      </w:r>
      <w:r w:rsidR="005D3F44">
        <w:t xml:space="preserve">, </w:t>
      </w:r>
      <w:r w:rsidR="00B623F7">
        <w:t xml:space="preserve">works managers </w:t>
      </w:r>
      <w:r w:rsidR="00B7307E">
        <w:t>and infrastructure</w:t>
      </w:r>
      <w:r w:rsidR="00B623F7">
        <w:t xml:space="preserve"> managers </w:t>
      </w:r>
      <w:r w:rsidR="00840015">
        <w:t>must apply for</w:t>
      </w:r>
      <w:r w:rsidR="00B623F7">
        <w:t xml:space="preserve"> </w:t>
      </w:r>
      <w:r w:rsidR="004D7F0C">
        <w:t xml:space="preserve">written </w:t>
      </w:r>
      <w:r w:rsidR="00037762">
        <w:t xml:space="preserve">consent </w:t>
      </w:r>
      <w:r w:rsidR="00904695">
        <w:t>f</w:t>
      </w:r>
      <w:r w:rsidR="00840015">
        <w:t>rom</w:t>
      </w:r>
      <w:r w:rsidR="00904695">
        <w:t xml:space="preserve"> the coordinating road authority</w:t>
      </w:r>
      <w:r w:rsidR="00840015">
        <w:t xml:space="preserve"> </w:t>
      </w:r>
      <w:r w:rsidR="00AC1C82">
        <w:t>to carry out certain types of works</w:t>
      </w:r>
      <w:r w:rsidR="00037762">
        <w:t xml:space="preserve">. </w:t>
      </w:r>
      <w:r w:rsidR="002D5273">
        <w:t>If the proposed works affect any non-road infrastructure</w:t>
      </w:r>
      <w:r w:rsidR="008659B1">
        <w:t xml:space="preserve"> that is the responsibility of another infrastructure manager</w:t>
      </w:r>
      <w:r w:rsidR="00C6268F">
        <w:t xml:space="preserve"> or works manager</w:t>
      </w:r>
      <w:r w:rsidR="004D7F0C">
        <w:t xml:space="preserve">, the application </w:t>
      </w:r>
      <w:r w:rsidR="0045070F">
        <w:t>must</w:t>
      </w:r>
      <w:r w:rsidR="00AD5F3E">
        <w:t xml:space="preserve"> include</w:t>
      </w:r>
      <w:r w:rsidR="00F77890">
        <w:t xml:space="preserve"> </w:t>
      </w:r>
      <w:r w:rsidR="0028218D">
        <w:t>prescribed particulars</w:t>
      </w:r>
      <w:r w:rsidR="00346EA0">
        <w:t xml:space="preserve"> to demonstrate compliance with the Act</w:t>
      </w:r>
      <w:r w:rsidR="00D75514">
        <w:t>.</w:t>
      </w:r>
      <w:r w:rsidR="002D5273">
        <w:t xml:space="preserve"> </w:t>
      </w:r>
      <w:r w:rsidR="00037762">
        <w:t xml:space="preserve">The </w:t>
      </w:r>
      <w:r w:rsidR="001D2583">
        <w:t xml:space="preserve">W&amp;I Regulations </w:t>
      </w:r>
      <w:r w:rsidR="004C013F">
        <w:t xml:space="preserve">specifies that </w:t>
      </w:r>
      <w:r w:rsidR="002D3EC2">
        <w:t>this</w:t>
      </w:r>
      <w:r w:rsidR="004C013F">
        <w:t xml:space="preserve"> include</w:t>
      </w:r>
      <w:r w:rsidR="00D43D18">
        <w:t>s</w:t>
      </w:r>
      <w:r w:rsidR="0075287C">
        <w:t xml:space="preserve"> information that was provided to the other </w:t>
      </w:r>
      <w:r w:rsidR="00D678EE">
        <w:t xml:space="preserve">affected </w:t>
      </w:r>
      <w:r w:rsidR="0075287C">
        <w:t>infrastructure managers</w:t>
      </w:r>
      <w:r w:rsidR="00FA7E5D">
        <w:t xml:space="preserve"> </w:t>
      </w:r>
      <w:r w:rsidR="006F394E">
        <w:t xml:space="preserve">or works managers </w:t>
      </w:r>
      <w:r w:rsidR="00FA7E5D">
        <w:t xml:space="preserve">and the </w:t>
      </w:r>
      <w:r w:rsidR="00720E63">
        <w:t xml:space="preserve">details of any </w:t>
      </w:r>
      <w:r w:rsidR="00877261">
        <w:t xml:space="preserve">other </w:t>
      </w:r>
      <w:r w:rsidR="00720E63">
        <w:t xml:space="preserve">consultation </w:t>
      </w:r>
      <w:r w:rsidR="008E4ABD">
        <w:t xml:space="preserve">with other </w:t>
      </w:r>
      <w:r w:rsidR="008E4ABD" w:rsidRPr="008E4ABD">
        <w:t xml:space="preserve">persons likely to be significantly </w:t>
      </w:r>
      <w:r w:rsidR="008E4ABD">
        <w:t xml:space="preserve">affected by the </w:t>
      </w:r>
      <w:r w:rsidR="004600BC">
        <w:t>proposed</w:t>
      </w:r>
      <w:r w:rsidR="008E4ABD">
        <w:t xml:space="preserve"> works</w:t>
      </w:r>
      <w:r w:rsidR="00F729AB">
        <w:t>. Without th</w:t>
      </w:r>
      <w:r w:rsidR="008E4ABD">
        <w:t>e</w:t>
      </w:r>
      <w:r w:rsidR="00F729AB">
        <w:t xml:space="preserve"> regulations, </w:t>
      </w:r>
      <w:r w:rsidR="0031126E">
        <w:t>there would be ambiguity about what exactly must be included in these types of applications</w:t>
      </w:r>
      <w:r w:rsidR="00C141E9">
        <w:t xml:space="preserve">. </w:t>
      </w:r>
      <w:r w:rsidR="0043710A">
        <w:t xml:space="preserve">In this way, the regulations </w:t>
      </w:r>
      <w:r w:rsidR="00130560">
        <w:t xml:space="preserve">help ensure that coordinating road authorities have the necessary information to </w:t>
      </w:r>
      <w:r w:rsidR="00EB05F9">
        <w:t xml:space="preserve">carry out their coordination function, </w:t>
      </w:r>
      <w:r w:rsidR="00253F45">
        <w:t>protect</w:t>
      </w:r>
      <w:r w:rsidR="00EB05F9">
        <w:t>ing</w:t>
      </w:r>
      <w:r w:rsidR="00253F45">
        <w:t xml:space="preserve"> the qua</w:t>
      </w:r>
      <w:r w:rsidR="00DE5D29">
        <w:t xml:space="preserve">lity, safety and efficiency of the </w:t>
      </w:r>
      <w:r w:rsidR="00100F97">
        <w:t>roads</w:t>
      </w:r>
      <w:r w:rsidR="00DE5D29">
        <w:t>.</w:t>
      </w:r>
    </w:p>
    <w:p w14:paraId="551B6F02" w14:textId="73DE1510" w:rsidR="0084725C" w:rsidRPr="00C63FF8" w:rsidRDefault="0084725C" w:rsidP="0022156E">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Conditions not to be imposed on consent for works</w:t>
      </w:r>
      <w:bookmarkEnd w:id="96"/>
    </w:p>
    <w:p w14:paraId="718B4DFD" w14:textId="4AFC4898" w:rsidR="003A5F93" w:rsidRPr="00C34CF2" w:rsidRDefault="003A5F93" w:rsidP="003A5F93">
      <w:r>
        <w:t xml:space="preserve">As highlighted in </w:t>
      </w:r>
      <w:r w:rsidR="00353018">
        <w:fldChar w:fldCharType="begin"/>
      </w:r>
      <w:r w:rsidR="00353018">
        <w:instrText xml:space="preserve"> REF _Ref204181222 \r \h </w:instrText>
      </w:r>
      <w:r w:rsidR="00E36359">
        <w:instrText xml:space="preserve"> \* MERGEFORMAT </w:instrText>
      </w:r>
      <w:r w:rsidR="00353018">
        <w:fldChar w:fldCharType="separate"/>
      </w:r>
      <w:r w:rsidR="00F170D0">
        <w:t>2.1.2.4</w:t>
      </w:r>
      <w:r w:rsidR="00353018">
        <w:fldChar w:fldCharType="end"/>
      </w:r>
      <w:r w:rsidR="006248C5">
        <w:t>,</w:t>
      </w:r>
      <w:r w:rsidR="00353018">
        <w:t xml:space="preserve"> </w:t>
      </w:r>
      <w:r>
        <w:t>c</w:t>
      </w:r>
      <w:r w:rsidRPr="00C34CF2">
        <w:t>onditions on consent for works</w:t>
      </w:r>
      <w:r w:rsidR="00690CFB">
        <w:t xml:space="preserve"> under the Act</w:t>
      </w:r>
      <w:r w:rsidRPr="00C34CF2">
        <w:t xml:space="preserve"> are an important mechanism for coordinating road authorities to ensure safety, environmental and management outcomes</w:t>
      </w:r>
      <w:r>
        <w:t>.</w:t>
      </w:r>
      <w:r w:rsidRPr="00C34CF2">
        <w:t xml:space="preserve"> </w:t>
      </w:r>
      <w:r>
        <w:t>H</w:t>
      </w:r>
      <w:r w:rsidRPr="00C34CF2">
        <w:t>owever</w:t>
      </w:r>
      <w:r>
        <w:t>,</w:t>
      </w:r>
      <w:r w:rsidRPr="00C34CF2">
        <w:t xml:space="preserve"> excessive or unreasonable conditions can result in delays to works programs, and in turn, can impact services and costs to households and businesses. </w:t>
      </w:r>
      <w:r w:rsidR="00770879">
        <w:t xml:space="preserve">Therefore, the W&amp;I </w:t>
      </w:r>
      <w:r w:rsidR="005E733E">
        <w:t>R</w:t>
      </w:r>
      <w:r w:rsidR="00770879">
        <w:t>egulations</w:t>
      </w:r>
      <w:r w:rsidR="00C4583D">
        <w:t xml:space="preserve"> </w:t>
      </w:r>
      <w:r w:rsidR="00F14DE7">
        <w:t xml:space="preserve">specify conditions that </w:t>
      </w:r>
      <w:r w:rsidR="00DC5B70">
        <w:t xml:space="preserve">coordinating </w:t>
      </w:r>
      <w:r w:rsidR="00F14DE7">
        <w:t xml:space="preserve">road authorities cannot impose on </w:t>
      </w:r>
      <w:r w:rsidR="00046A82">
        <w:t xml:space="preserve">a consent to carry out works. These include conditions related to visual amenity, technical design, </w:t>
      </w:r>
      <w:r w:rsidR="00157020">
        <w:t xml:space="preserve">environmental </w:t>
      </w:r>
      <w:r w:rsidR="00CB6C1E">
        <w:t xml:space="preserve">impacts, </w:t>
      </w:r>
      <w:r w:rsidR="00AC4D56">
        <w:t>whether</w:t>
      </w:r>
      <w:r w:rsidR="002726C1">
        <w:t xml:space="preserve"> </w:t>
      </w:r>
      <w:r w:rsidR="00845AF9">
        <w:t>something can be placed above or below ground</w:t>
      </w:r>
      <w:r w:rsidR="00416F4B">
        <w:t xml:space="preserve">, </w:t>
      </w:r>
      <w:r w:rsidR="00B95373">
        <w:t xml:space="preserve">indemnity, </w:t>
      </w:r>
      <w:r w:rsidR="00D974AE">
        <w:t xml:space="preserve">financial security, or any other condition </w:t>
      </w:r>
      <w:r w:rsidR="00F24D5F">
        <w:t xml:space="preserve">that is not reasonably relevant. </w:t>
      </w:r>
    </w:p>
    <w:p w14:paraId="6F5548AF" w14:textId="51843C47" w:rsidR="0084725C" w:rsidRPr="00C63FF8" w:rsidRDefault="0084725C" w:rsidP="0022156E">
      <w:pPr>
        <w:pStyle w:val="Heading4-Numbered"/>
        <w:rPr>
          <w14:textFill>
            <w14:solidFill>
              <w14:schemeClr w14:val="tx2">
                <w14:lumMod w14:val="75000"/>
                <w14:lumOff w14:val="25000"/>
                <w14:lumMod w14:val="75000"/>
                <w14:lumOff w14:val="25000"/>
                <w14:lumMod w14:val="75000"/>
              </w14:schemeClr>
            </w14:solidFill>
          </w14:textFill>
        </w:rPr>
      </w:pPr>
      <w:bookmarkStart w:id="97" w:name="_Ref210919775"/>
      <w:r w:rsidRPr="00C63FF8">
        <w:rPr>
          <w14:textFill>
            <w14:solidFill>
              <w14:schemeClr w14:val="tx2">
                <w14:lumMod w14:val="75000"/>
                <w14:lumOff w14:val="25000"/>
                <w14:lumMod w14:val="75000"/>
                <w14:lumOff w14:val="25000"/>
                <w14:lumMod w14:val="75000"/>
              </w14:schemeClr>
            </w14:solidFill>
          </w14:textFill>
        </w:rPr>
        <w:t>Prescribed periods for notice of completion</w:t>
      </w:r>
      <w:bookmarkEnd w:id="97"/>
    </w:p>
    <w:p w14:paraId="0C01AEF7" w14:textId="0ABC89AD" w:rsidR="0084725C" w:rsidRDefault="0084725C" w:rsidP="00E36359">
      <w:r>
        <w:t xml:space="preserve">Under the Act, </w:t>
      </w:r>
      <w:r w:rsidR="00D63AFE">
        <w:t>works managers</w:t>
      </w:r>
      <w:r>
        <w:t xml:space="preserve"> must provide notice of completed works </w:t>
      </w:r>
      <w:r w:rsidR="00D35FF7">
        <w:t xml:space="preserve">to the relevant </w:t>
      </w:r>
      <w:r w:rsidR="002A1D63">
        <w:t xml:space="preserve">coordinating </w:t>
      </w:r>
      <w:r w:rsidR="00D35FF7">
        <w:t xml:space="preserve">road authority </w:t>
      </w:r>
      <w:r>
        <w:t xml:space="preserve">within </w:t>
      </w:r>
      <w:r w:rsidR="00A23C84">
        <w:t>seven</w:t>
      </w:r>
      <w:r w:rsidR="00D35FF7">
        <w:rPr>
          <w:rFonts w:ascii="Cambria" w:hAnsi="Cambria"/>
        </w:rPr>
        <w:t> </w:t>
      </w:r>
      <w:r>
        <w:t>days</w:t>
      </w:r>
      <w:r w:rsidR="00D84897">
        <w:t>.</w:t>
      </w:r>
      <w:r w:rsidR="00592FBC">
        <w:t xml:space="preserve"> </w:t>
      </w:r>
      <w:r>
        <w:t xml:space="preserve">However, </w:t>
      </w:r>
      <w:r w:rsidR="005C0DE7">
        <w:t>under the W&amp;I Regulations</w:t>
      </w:r>
      <w:r>
        <w:t xml:space="preserve">, where a </w:t>
      </w:r>
      <w:r w:rsidR="0059696B">
        <w:t>utility or provider of public transport</w:t>
      </w:r>
      <w:r>
        <w:t xml:space="preserve"> is exempt from </w:t>
      </w:r>
      <w:r w:rsidR="00C7323B">
        <w:t xml:space="preserve">needing to obtain </w:t>
      </w:r>
      <w:r>
        <w:t>consent</w:t>
      </w:r>
      <w:r w:rsidR="00337DF0">
        <w:t xml:space="preserve"> to conduct works</w:t>
      </w:r>
      <w:r w:rsidR="009268C8">
        <w:t>,</w:t>
      </w:r>
      <w:r w:rsidR="006976F8">
        <w:t xml:space="preserve"> </w:t>
      </w:r>
      <w:r w:rsidR="005C0DE7">
        <w:t xml:space="preserve">they may </w:t>
      </w:r>
      <w:r w:rsidR="00527C1F">
        <w:t>provide</w:t>
      </w:r>
      <w:r w:rsidR="005C0DE7">
        <w:t xml:space="preserve"> their notice of completion </w:t>
      </w:r>
      <w:r w:rsidR="000240A8">
        <w:t xml:space="preserve">of works </w:t>
      </w:r>
      <w:r w:rsidR="00AB6849">
        <w:t>on the 14</w:t>
      </w:r>
      <w:r w:rsidR="00AB6849" w:rsidRPr="00AB6849">
        <w:rPr>
          <w:vertAlign w:val="superscript"/>
        </w:rPr>
        <w:t>th</w:t>
      </w:r>
      <w:r w:rsidR="00AB6849">
        <w:t xml:space="preserve"> day of the </w:t>
      </w:r>
      <w:r w:rsidR="0010637C">
        <w:t>next month</w:t>
      </w:r>
      <w:r w:rsidR="00717F88" w:rsidRPr="00717F88">
        <w:t xml:space="preserve"> </w:t>
      </w:r>
      <w:r w:rsidR="00717F88">
        <w:t>following the completion of works</w:t>
      </w:r>
      <w:r w:rsidR="0010637C">
        <w:t>.</w:t>
      </w:r>
      <w:r w:rsidR="000C312C">
        <w:t xml:space="preserve"> </w:t>
      </w:r>
      <w:r w:rsidR="004424FD">
        <w:t>For all other works, the</w:t>
      </w:r>
      <w:r w:rsidR="000C312C">
        <w:t xml:space="preserve"> W&amp;I</w:t>
      </w:r>
      <w:r w:rsidR="000C312C">
        <w:rPr>
          <w:rFonts w:ascii="Cambria" w:hAnsi="Cambria"/>
        </w:rPr>
        <w:t> </w:t>
      </w:r>
      <w:r w:rsidR="000C312C">
        <w:t xml:space="preserve">Regulations specify </w:t>
      </w:r>
      <w:r w:rsidR="00CB1D4A">
        <w:t xml:space="preserve">that </w:t>
      </w:r>
      <w:r w:rsidR="0083012A">
        <w:t xml:space="preserve">the prescribed </w:t>
      </w:r>
      <w:r w:rsidR="004424FD">
        <w:t xml:space="preserve">notice </w:t>
      </w:r>
      <w:r w:rsidR="008230AF">
        <w:t xml:space="preserve">of completion </w:t>
      </w:r>
      <w:r w:rsidR="004424FD">
        <w:t xml:space="preserve">period is </w:t>
      </w:r>
      <w:r w:rsidR="00A23C84">
        <w:t>seven</w:t>
      </w:r>
      <w:r w:rsidR="004424FD">
        <w:t xml:space="preserve"> business days. </w:t>
      </w:r>
      <w:r>
        <w:t xml:space="preserve">Therefore, the regulations provide </w:t>
      </w:r>
      <w:r w:rsidR="00AD695F">
        <w:t>additional time and flexibility</w:t>
      </w:r>
      <w:r w:rsidR="008D6716">
        <w:t xml:space="preserve"> </w:t>
      </w:r>
      <w:r w:rsidR="00A23C84">
        <w:t>to provide a</w:t>
      </w:r>
      <w:r w:rsidR="008D6716">
        <w:t xml:space="preserve"> notice of completion of works</w:t>
      </w:r>
      <w:r w:rsidR="00E631DD">
        <w:t xml:space="preserve">, </w:t>
      </w:r>
      <w:r w:rsidR="008D6716">
        <w:t>which is</w:t>
      </w:r>
      <w:r w:rsidR="00E631DD">
        <w:t xml:space="preserve"> </w:t>
      </w:r>
      <w:r w:rsidR="006853C3">
        <w:t>appropriate for low</w:t>
      </w:r>
      <w:r w:rsidR="00484278">
        <w:t>-</w:t>
      </w:r>
      <w:r w:rsidR="006853C3">
        <w:t>risk minor works with no traffic impacts.</w:t>
      </w:r>
      <w:r w:rsidR="008D6716">
        <w:t xml:space="preserve"> </w:t>
      </w:r>
    </w:p>
    <w:p w14:paraId="37A1EC28" w14:textId="56C6EB4F" w:rsidR="0084725C" w:rsidRPr="00C63FF8" w:rsidRDefault="0084725C" w:rsidP="0022156E">
      <w:pPr>
        <w:pStyle w:val="Heading4-Numbered"/>
        <w:rPr>
          <w14:textFill>
            <w14:solidFill>
              <w14:schemeClr w14:val="tx2">
                <w14:lumMod w14:val="75000"/>
                <w14:lumOff w14:val="25000"/>
                <w14:lumMod w14:val="75000"/>
                <w14:lumOff w14:val="25000"/>
                <w14:lumMod w14:val="75000"/>
              </w14:schemeClr>
            </w14:solidFill>
          </w14:textFill>
        </w:rPr>
      </w:pPr>
      <w:bookmarkStart w:id="98" w:name="_Ref210662448"/>
      <w:r w:rsidRPr="00C63FF8">
        <w:rPr>
          <w14:textFill>
            <w14:solidFill>
              <w14:schemeClr w14:val="tx2">
                <w14:lumMod w14:val="75000"/>
                <w14:lumOff w14:val="25000"/>
                <w14:lumMod w14:val="75000"/>
                <w14:lumOff w14:val="25000"/>
                <w14:lumMod w14:val="75000"/>
              </w14:schemeClr>
            </w14:solidFill>
          </w14:textFill>
        </w:rPr>
        <w:t xml:space="preserve">Prescribed periods for </w:t>
      </w:r>
      <w:r w:rsidR="003B4587" w:rsidRPr="00C63FF8">
        <w:rPr>
          <w14:textFill>
            <w14:solidFill>
              <w14:schemeClr w14:val="tx2">
                <w14:lumMod w14:val="75000"/>
                <w14:lumOff w14:val="25000"/>
                <w14:lumMod w14:val="75000"/>
                <w14:lumOff w14:val="25000"/>
                <w14:lumMod w14:val="75000"/>
              </w14:schemeClr>
            </w14:solidFill>
          </w14:textFill>
        </w:rPr>
        <w:t>outcome</w:t>
      </w:r>
      <w:r w:rsidRPr="00C63FF8">
        <w:rPr>
          <w14:textFill>
            <w14:solidFill>
              <w14:schemeClr w14:val="tx2">
                <w14:lumMod w14:val="75000"/>
                <w14:lumOff w14:val="25000"/>
                <w14:lumMod w14:val="75000"/>
                <w14:lumOff w14:val="25000"/>
                <w14:lumMod w14:val="75000"/>
              </w14:schemeClr>
            </w14:solidFill>
          </w14:textFill>
        </w:rPr>
        <w:t xml:space="preserve"> of </w:t>
      </w:r>
      <w:r w:rsidR="009213CB" w:rsidRPr="00C63FF8">
        <w:rPr>
          <w14:textFill>
            <w14:solidFill>
              <w14:schemeClr w14:val="tx2">
                <w14:lumMod w14:val="75000"/>
                <w14:lumOff w14:val="25000"/>
                <w14:lumMod w14:val="75000"/>
                <w14:lumOff w14:val="25000"/>
                <w14:lumMod w14:val="75000"/>
              </w14:schemeClr>
            </w14:solidFill>
          </w14:textFill>
        </w:rPr>
        <w:t xml:space="preserve">application for </w:t>
      </w:r>
      <w:r w:rsidRPr="00C63FF8">
        <w:rPr>
          <w14:textFill>
            <w14:solidFill>
              <w14:schemeClr w14:val="tx2">
                <w14:lumMod w14:val="75000"/>
                <w14:lumOff w14:val="25000"/>
                <w14:lumMod w14:val="75000"/>
                <w14:lumOff w14:val="25000"/>
                <w14:lumMod w14:val="75000"/>
              </w14:schemeClr>
            </w14:solidFill>
          </w14:textFill>
        </w:rPr>
        <w:t>consent</w:t>
      </w:r>
      <w:bookmarkEnd w:id="98"/>
    </w:p>
    <w:p w14:paraId="11E0B7C8" w14:textId="186B7538" w:rsidR="00687234" w:rsidRDefault="0084725C" w:rsidP="00E36359">
      <w:r>
        <w:t xml:space="preserve">Under the Act, </w:t>
      </w:r>
      <w:r w:rsidR="00F000D2">
        <w:t>i</w:t>
      </w:r>
      <w:r w:rsidR="00B9348F">
        <w:t>f</w:t>
      </w:r>
      <w:r w:rsidR="00B9348F" w:rsidRPr="00B9348F">
        <w:t xml:space="preserve"> a</w:t>
      </w:r>
      <w:r w:rsidR="009E680E">
        <w:t xml:space="preserve"> coordinating</w:t>
      </w:r>
      <w:r w:rsidR="00B9348F" w:rsidRPr="00B9348F">
        <w:t xml:space="preserve"> road authority does not respond to an application </w:t>
      </w:r>
      <w:r w:rsidR="00C42B63">
        <w:t xml:space="preserve">for consent to conduct proposed works </w:t>
      </w:r>
      <w:r w:rsidR="00B9348F" w:rsidRPr="00B9348F">
        <w:t xml:space="preserve">within 20 business days, the application is deemed to be approved. The deemed consent provision is intended to prevent unnecessary delays by road authorities. </w:t>
      </w:r>
      <w:r w:rsidR="00171B50">
        <w:t xml:space="preserve">However, there are a few </w:t>
      </w:r>
      <w:r w:rsidR="00171B50">
        <w:lastRenderedPageBreak/>
        <w:t xml:space="preserve">circumstances where 20 </w:t>
      </w:r>
      <w:r w:rsidR="00697EC3">
        <w:t xml:space="preserve">business </w:t>
      </w:r>
      <w:r w:rsidR="00171B50">
        <w:t xml:space="preserve">days </w:t>
      </w:r>
      <w:r w:rsidR="00202A3C">
        <w:t>may be</w:t>
      </w:r>
      <w:r w:rsidR="002E552D">
        <w:t xml:space="preserve"> too long</w:t>
      </w:r>
      <w:r w:rsidR="00F072EE">
        <w:t xml:space="preserve">, such as </w:t>
      </w:r>
      <w:r w:rsidR="002E552D">
        <w:t>whe</w:t>
      </w:r>
      <w:r w:rsidR="00B8583A">
        <w:t>re</w:t>
      </w:r>
      <w:r w:rsidR="002E552D">
        <w:t xml:space="preserve"> </w:t>
      </w:r>
      <w:r w:rsidR="00AE207B">
        <w:t>a utility is extending an existing service</w:t>
      </w:r>
      <w:r w:rsidR="00B8583A">
        <w:t xml:space="preserve"> to a confined area</w:t>
      </w:r>
      <w:r w:rsidR="00F072EE">
        <w:t xml:space="preserve">, defined as </w:t>
      </w:r>
      <w:r w:rsidR="00D83268">
        <w:t>‘</w:t>
      </w:r>
      <w:r w:rsidR="00F072EE">
        <w:t>service extension works</w:t>
      </w:r>
      <w:r w:rsidR="00B8583A">
        <w:t>.</w:t>
      </w:r>
      <w:r w:rsidR="00776F2B">
        <w:t>’</w:t>
      </w:r>
      <w:r w:rsidR="00171B50">
        <w:t xml:space="preserve"> </w:t>
      </w:r>
      <w:r w:rsidR="000D25BC">
        <w:t>The</w:t>
      </w:r>
      <w:r w:rsidR="00171B50">
        <w:t>refore, the</w:t>
      </w:r>
      <w:r w:rsidR="000D25BC">
        <w:t xml:space="preserve"> W&amp;I Regulations </w:t>
      </w:r>
      <w:r w:rsidR="00333D81" w:rsidRPr="00A87747">
        <w:t>reduce th</w:t>
      </w:r>
      <w:r w:rsidR="00F072EE">
        <w:t>e</w:t>
      </w:r>
      <w:r w:rsidR="00333D81" w:rsidRPr="00A87747">
        <w:t xml:space="preserve"> period</w:t>
      </w:r>
      <w:r w:rsidR="00F072EE">
        <w:t xml:space="preserve"> to respond to an application</w:t>
      </w:r>
      <w:r w:rsidR="00333D81" w:rsidRPr="00A87747">
        <w:t xml:space="preserve"> </w:t>
      </w:r>
      <w:r w:rsidR="00507B57">
        <w:t>to 15 business days for service extension works</w:t>
      </w:r>
      <w:r w:rsidR="00F42272">
        <w:t>. The W&amp;I Regulations also reduce the period to</w:t>
      </w:r>
      <w:r w:rsidR="00507B57">
        <w:t xml:space="preserve"> </w:t>
      </w:r>
      <w:r w:rsidR="002E552D">
        <w:t>three</w:t>
      </w:r>
      <w:r w:rsidR="00507B57">
        <w:t xml:space="preserve"> business days for</w:t>
      </w:r>
      <w:r w:rsidR="0021298C">
        <w:t xml:space="preserve"> works </w:t>
      </w:r>
      <w:r w:rsidR="00F42272">
        <w:t>which</w:t>
      </w:r>
      <w:r w:rsidR="0021298C">
        <w:t xml:space="preserve"> provide a person with a utility service</w:t>
      </w:r>
      <w:r w:rsidR="0099274B" w:rsidRPr="0099274B">
        <w:t xml:space="preserve"> </w:t>
      </w:r>
      <w:r w:rsidR="0099274B" w:rsidRPr="00B852DB">
        <w:t>and are traffic impact works but are not service extension works</w:t>
      </w:r>
      <w:r w:rsidR="0021298C">
        <w:t>.</w:t>
      </w:r>
    </w:p>
    <w:p w14:paraId="339BBFCA" w14:textId="1B200ABE" w:rsidR="0028109E" w:rsidRDefault="0028109E" w:rsidP="00E36359">
      <w:r w:rsidRPr="0028109E">
        <w:t xml:space="preserve">The </w:t>
      </w:r>
      <w:r w:rsidRPr="0028109E">
        <w:rPr>
          <w:i/>
          <w:iCs/>
        </w:rPr>
        <w:t>Roads and Ports Legislation Amendment (Road Safety and Other Matters) Act 2025</w:t>
      </w:r>
      <w:r w:rsidRPr="0028109E">
        <w:t xml:space="preserve"> included amendments to the Act to provide that an application </w:t>
      </w:r>
      <w:r>
        <w:t xml:space="preserve">to conduct works </w:t>
      </w:r>
      <w:r w:rsidRPr="0028109E">
        <w:t>must include the prescribed information and the deemed consent period for certain applications only applies if the application is complete, essentially pausing the default period for deemed consents.</w:t>
      </w:r>
      <w:r w:rsidR="00341511">
        <w:t xml:space="preserve"> </w:t>
      </w:r>
      <w:r w:rsidR="009C2DF2">
        <w:t xml:space="preserve">These provisions are set to come into operation on 1 May 2026 unless proclaimed </w:t>
      </w:r>
      <w:r w:rsidR="00CA5D04">
        <w:t xml:space="preserve">to commence </w:t>
      </w:r>
      <w:r w:rsidR="009C2DF2">
        <w:t xml:space="preserve">sooner. </w:t>
      </w:r>
      <w:r w:rsidR="00341511">
        <w:t>This is discussed further at section</w:t>
      </w:r>
      <w:r w:rsidR="00DC1CBE">
        <w:t xml:space="preserve"> </w:t>
      </w:r>
      <w:r w:rsidR="00DC1CBE" w:rsidRPr="00345276">
        <w:fldChar w:fldCharType="begin"/>
      </w:r>
      <w:r w:rsidR="00DC1CBE" w:rsidRPr="00345276">
        <w:instrText xml:space="preserve"> REF _Ref211595076 \r \h </w:instrText>
      </w:r>
      <w:r w:rsidR="00345276">
        <w:instrText xml:space="preserve"> \* MERGEFORMAT </w:instrText>
      </w:r>
      <w:r w:rsidR="00DC1CBE" w:rsidRPr="00345276">
        <w:fldChar w:fldCharType="separate"/>
      </w:r>
      <w:r w:rsidR="00F170D0">
        <w:t>3.3.2.1</w:t>
      </w:r>
      <w:r w:rsidR="00DC1CBE" w:rsidRPr="00345276">
        <w:fldChar w:fldCharType="end"/>
      </w:r>
      <w:r w:rsidR="00B01754" w:rsidRPr="00345276">
        <w:t>.</w:t>
      </w:r>
    </w:p>
    <w:p w14:paraId="0E4B82CE" w14:textId="78525352" w:rsidR="0084725C" w:rsidRPr="00C63FF8" w:rsidRDefault="007D4C71" w:rsidP="0022156E">
      <w:pPr>
        <w:pStyle w:val="Heading4-Numbered"/>
        <w:rPr>
          <w14:textFill>
            <w14:solidFill>
              <w14:schemeClr w14:val="tx2">
                <w14:lumMod w14:val="75000"/>
                <w14:lumOff w14:val="25000"/>
                <w14:lumMod w14:val="75000"/>
                <w14:lumOff w14:val="25000"/>
                <w14:lumMod w14:val="75000"/>
              </w14:schemeClr>
            </w14:solidFill>
          </w14:textFill>
        </w:rPr>
      </w:pPr>
      <w:bookmarkStart w:id="99" w:name="_Ref210920393"/>
      <w:r w:rsidRPr="00C63FF8">
        <w:rPr>
          <w14:textFill>
            <w14:solidFill>
              <w14:schemeClr w14:val="tx2">
                <w14:lumMod w14:val="75000"/>
                <w14:lumOff w14:val="25000"/>
                <w14:lumMod w14:val="75000"/>
                <w14:lumOff w14:val="25000"/>
                <w14:lumMod w14:val="75000"/>
              </w14:schemeClr>
            </w14:solidFill>
          </w14:textFill>
        </w:rPr>
        <w:t xml:space="preserve">Matters </w:t>
      </w:r>
      <w:r w:rsidR="0084725C" w:rsidRPr="00C63FF8">
        <w:rPr>
          <w14:textFill>
            <w14:solidFill>
              <w14:schemeClr w14:val="tx2">
                <w14:lumMod w14:val="75000"/>
                <w14:lumOff w14:val="25000"/>
                <w14:lumMod w14:val="75000"/>
                <w14:lumOff w14:val="25000"/>
                <w14:lumMod w14:val="75000"/>
              </w14:schemeClr>
            </w14:solidFill>
          </w14:textFill>
        </w:rPr>
        <w:t>to include in road registers</w:t>
      </w:r>
      <w:bookmarkEnd w:id="99"/>
    </w:p>
    <w:p w14:paraId="5F1088D5" w14:textId="3320DE9A" w:rsidR="0084725C" w:rsidRPr="00C6030E" w:rsidRDefault="0084725C" w:rsidP="00915378">
      <w:r>
        <w:t xml:space="preserve">Under the Act, road authorities need to keep a register of roads and set out what must be included in these registers. </w:t>
      </w:r>
      <w:r w:rsidR="0028280D">
        <w:t xml:space="preserve">This ensures consistency and transparency. </w:t>
      </w:r>
      <w:r>
        <w:t xml:space="preserve">However, the Act does not include </w:t>
      </w:r>
      <w:r w:rsidR="00432FE6">
        <w:t xml:space="preserve">all </w:t>
      </w:r>
      <w:r w:rsidR="00C060AA">
        <w:t>requirements,</w:t>
      </w:r>
      <w:r>
        <w:t xml:space="preserve"> </w:t>
      </w:r>
      <w:r w:rsidR="00432FE6">
        <w:t xml:space="preserve">such as </w:t>
      </w:r>
      <w:r w:rsidR="00C060AA">
        <w:t>the need</w:t>
      </w:r>
      <w:r>
        <w:t xml:space="preserve"> to </w:t>
      </w:r>
      <w:r w:rsidR="00C060AA">
        <w:t xml:space="preserve">include </w:t>
      </w:r>
      <w:r w:rsidR="007C1654">
        <w:t>declared</w:t>
      </w:r>
      <w:r>
        <w:t xml:space="preserve"> controlled access roads</w:t>
      </w:r>
      <w:r w:rsidR="007C1654">
        <w:t>.</w:t>
      </w:r>
      <w:r w:rsidR="00B2013C">
        <w:t xml:space="preserve"> </w:t>
      </w:r>
      <w:r w:rsidR="007C1654" w:rsidRPr="007C1654">
        <w:t>There are currently no declared controlled access roads</w:t>
      </w:r>
      <w:r w:rsidR="00F00703">
        <w:t xml:space="preserve"> though</w:t>
      </w:r>
      <w:r w:rsidR="00C060AA">
        <w:t xml:space="preserve"> they </w:t>
      </w:r>
      <w:r w:rsidR="008317D6">
        <w:t xml:space="preserve">may </w:t>
      </w:r>
      <w:r w:rsidR="00C060AA">
        <w:t xml:space="preserve">be declared at some time in the future. </w:t>
      </w:r>
      <w:r w:rsidR="00FA7B17">
        <w:t xml:space="preserve">To address </w:t>
      </w:r>
      <w:r w:rsidR="00386CF2">
        <w:t>the need for f</w:t>
      </w:r>
      <w:r w:rsidR="00A1314A">
        <w:t>lexibility to address future issues</w:t>
      </w:r>
      <w:r>
        <w:t xml:space="preserve">, the regulations provide </w:t>
      </w:r>
      <w:r w:rsidR="00C060AA" w:rsidRPr="007C1654">
        <w:t>the ability to require reference to additional matters in road registers.</w:t>
      </w:r>
    </w:p>
    <w:p w14:paraId="185E3098" w14:textId="36A6DF76" w:rsidR="0084725C" w:rsidRPr="00C63FF8" w:rsidRDefault="0084725C" w:rsidP="00E53A2D">
      <w:pPr>
        <w:pStyle w:val="Heading4-Numbered"/>
        <w:rPr>
          <w14:textFill>
            <w14:solidFill>
              <w14:schemeClr w14:val="tx2">
                <w14:lumMod w14:val="75000"/>
                <w14:lumOff w14:val="25000"/>
                <w14:lumMod w14:val="75000"/>
                <w14:lumOff w14:val="25000"/>
                <w14:lumMod w14:val="75000"/>
              </w14:schemeClr>
            </w14:solidFill>
          </w14:textFill>
        </w:rPr>
      </w:pPr>
      <w:bookmarkStart w:id="100" w:name="_Ref210920404"/>
      <w:r w:rsidRPr="00C63FF8">
        <w:rPr>
          <w14:textFill>
            <w14:solidFill>
              <w14:schemeClr w14:val="tx2">
                <w14:lumMod w14:val="75000"/>
                <w14:lumOff w14:val="25000"/>
                <w14:lumMod w14:val="75000"/>
                <w14:lumOff w14:val="25000"/>
                <w14:lumMod w14:val="75000"/>
              </w14:schemeClr>
            </w14:solidFill>
          </w14:textFill>
        </w:rPr>
        <w:t xml:space="preserve">Review and </w:t>
      </w:r>
      <w:r w:rsidR="00B948D1" w:rsidRPr="00C63FF8">
        <w:rPr>
          <w14:textFill>
            <w14:solidFill>
              <w14:schemeClr w14:val="tx2">
                <w14:lumMod w14:val="75000"/>
                <w14:lumOff w14:val="25000"/>
                <w14:lumMod w14:val="75000"/>
                <w14:lumOff w14:val="25000"/>
                <w14:lumMod w14:val="75000"/>
              </w14:schemeClr>
            </w14:solidFill>
          </w14:textFill>
        </w:rPr>
        <w:t xml:space="preserve">amendment </w:t>
      </w:r>
      <w:r w:rsidRPr="00C63FF8">
        <w:rPr>
          <w14:textFill>
            <w14:solidFill>
              <w14:schemeClr w14:val="tx2">
                <w14:lumMod w14:val="75000"/>
                <w14:lumOff w14:val="25000"/>
                <w14:lumMod w14:val="75000"/>
                <w14:lumOff w14:val="25000"/>
                <w14:lumMod w14:val="75000"/>
              </w14:schemeClr>
            </w14:solidFill>
          </w14:textFill>
        </w:rPr>
        <w:t>of Road Management Plans</w:t>
      </w:r>
      <w:bookmarkEnd w:id="100"/>
    </w:p>
    <w:p w14:paraId="4BDDCC17" w14:textId="05ACE8D1" w:rsidR="00F45965" w:rsidRDefault="0084725C" w:rsidP="004A73C7">
      <w:r>
        <w:t xml:space="preserve">Under the Act, road authorities have the power to choose to </w:t>
      </w:r>
      <w:r w:rsidR="00903843">
        <w:t>develop</w:t>
      </w:r>
      <w:r>
        <w:t xml:space="preserve"> a road management plan. This </w:t>
      </w:r>
      <w:r w:rsidR="00922425">
        <w:t xml:space="preserve">optional activity aims to </w:t>
      </w:r>
      <w:r>
        <w:t>prevent</w:t>
      </w:r>
      <w:r w:rsidR="00922425">
        <w:t xml:space="preserve"> safety, social and economic</w:t>
      </w:r>
      <w:r>
        <w:t xml:space="preserve"> harms</w:t>
      </w:r>
      <w:r w:rsidR="00922425">
        <w:t xml:space="preserve"> associated with </w:t>
      </w:r>
      <w:r w:rsidR="00CB5ED5">
        <w:t xml:space="preserve">lack of </w:t>
      </w:r>
      <w:r w:rsidR="0073010C">
        <w:t xml:space="preserve">administrative </w:t>
      </w:r>
      <w:r w:rsidR="00CB5ED5">
        <w:t xml:space="preserve">oversight of road management and maintenance. </w:t>
      </w:r>
      <w:r>
        <w:t xml:space="preserve">However, for those who choose to </w:t>
      </w:r>
      <w:r w:rsidR="00903843">
        <w:t>develop</w:t>
      </w:r>
      <w:r>
        <w:t xml:space="preserve"> </w:t>
      </w:r>
      <w:r w:rsidR="00CB5ED5">
        <w:t>a plan</w:t>
      </w:r>
      <w:r>
        <w:t xml:space="preserve"> it is not clear how frequently it must be reviewed</w:t>
      </w:r>
      <w:r w:rsidR="00CB5ED5">
        <w:t xml:space="preserve">. </w:t>
      </w:r>
      <w:r>
        <w:t xml:space="preserve">Therefore, the regulations provide </w:t>
      </w:r>
      <w:r w:rsidR="00B948D1">
        <w:t>specific</w:t>
      </w:r>
      <w:r w:rsidR="00A85842">
        <w:t xml:space="preserve">, clear and consistent </w:t>
      </w:r>
      <w:r w:rsidR="00B948D1">
        <w:t>procedures</w:t>
      </w:r>
      <w:r w:rsidR="007742D0" w:rsidRPr="007742D0">
        <w:t xml:space="preserve"> for reviewing and </w:t>
      </w:r>
      <w:r w:rsidR="00B948D1">
        <w:t>amending</w:t>
      </w:r>
      <w:r w:rsidR="007742D0" w:rsidRPr="007742D0">
        <w:t xml:space="preserve"> road management plans</w:t>
      </w:r>
      <w:r w:rsidR="007742D0">
        <w:t>.</w:t>
      </w:r>
      <w:r w:rsidR="00D9287C">
        <w:t xml:space="preserve"> </w:t>
      </w:r>
      <w:r w:rsidR="004A73C7">
        <w:t xml:space="preserve">As </w:t>
      </w:r>
      <w:r w:rsidR="001A133B">
        <w:t>of</w:t>
      </w:r>
      <w:r w:rsidR="004A73C7">
        <w:t xml:space="preserve"> August 2025, all 79 council road authorities, </w:t>
      </w:r>
      <w:r w:rsidR="0069158B">
        <w:t xml:space="preserve">as well as </w:t>
      </w:r>
      <w:r w:rsidR="004A73C7">
        <w:t xml:space="preserve">DEECA and the Department as the </w:t>
      </w:r>
      <w:r w:rsidR="007D480A">
        <w:t>s</w:t>
      </w:r>
      <w:r w:rsidR="004A73C7">
        <w:t>tate road authorities</w:t>
      </w:r>
      <w:r w:rsidR="000E62C8">
        <w:t>,</w:t>
      </w:r>
      <w:r w:rsidR="004A73C7">
        <w:t xml:space="preserve"> had elected to make a road management plan. However, about ten per cent of road authorities had not previously complied with the requirement to review their road management plan every five years. </w:t>
      </w:r>
    </w:p>
    <w:p w14:paraId="1896010B" w14:textId="5D5E5EF8" w:rsidR="00B548FF" w:rsidRDefault="004A73C7" w:rsidP="00F45965">
      <w:r>
        <w:t>Based on the Department’s experience with its own review, as well as advice from a sample of councils, the number of submissions received during reviews varies</w:t>
      </w:r>
      <w:r w:rsidR="00D9287C">
        <w:t>. However,</w:t>
      </w:r>
      <w:r>
        <w:t xml:space="preserve"> </w:t>
      </w:r>
      <w:r w:rsidR="00743451">
        <w:t>it is</w:t>
      </w:r>
      <w:r>
        <w:t xml:space="preserve"> clear </w:t>
      </w:r>
      <w:r w:rsidR="00743451">
        <w:t xml:space="preserve">that </w:t>
      </w:r>
      <w:r w:rsidR="00D9287C">
        <w:t>a</w:t>
      </w:r>
      <w:r w:rsidR="00B548FF">
        <w:t xml:space="preserve">mendments </w:t>
      </w:r>
      <w:r w:rsidR="00743451">
        <w:t xml:space="preserve">to road management plans </w:t>
      </w:r>
      <w:r w:rsidR="00B548FF">
        <w:t>as a result of public feedback are relatively rare. Most amendments made to road management plans following reviews are minor and are typically driven by improvements in road maintenance standards or benchmarking against the road management plans of other road authorities. Such amendments included increasing the intervention levels of footpaths and kerb and channel defects.</w:t>
      </w:r>
      <w:r w:rsidR="00A1314A">
        <w:t xml:space="preserve"> </w:t>
      </w:r>
      <w:r w:rsidR="00B548FF">
        <w:t xml:space="preserve">Notwithstanding the fact that most amendments to road management plans are self-initiated, the requirement to review provides an opportunity to ensure that it reflects current best practice. </w:t>
      </w:r>
    </w:p>
    <w:p w14:paraId="011C87D0" w14:textId="73584C8B" w:rsidR="00977B2E" w:rsidRPr="00C63FF8" w:rsidRDefault="009F31A5" w:rsidP="00F83793">
      <w:pPr>
        <w:pStyle w:val="Heading4-Numbered"/>
        <w:rPr>
          <w14:textFill>
            <w14:solidFill>
              <w14:schemeClr w14:val="tx2">
                <w14:lumMod w14:val="75000"/>
                <w14:lumOff w14:val="25000"/>
                <w14:lumMod w14:val="75000"/>
                <w14:lumOff w14:val="25000"/>
                <w14:lumMod w14:val="75000"/>
              </w14:schemeClr>
            </w14:solidFill>
          </w14:textFill>
        </w:rPr>
      </w:pPr>
      <w:bookmarkStart w:id="101" w:name="_Ref210920419"/>
      <w:r w:rsidRPr="00C63FF8">
        <w:rPr>
          <w14:textFill>
            <w14:solidFill>
              <w14:schemeClr w14:val="tx2">
                <w14:lumMod w14:val="75000"/>
                <w14:lumOff w14:val="25000"/>
                <w14:lumMod w14:val="75000"/>
                <w14:lumOff w14:val="25000"/>
                <w14:lumMod w14:val="75000"/>
              </w14:schemeClr>
            </w14:solidFill>
          </w14:textFill>
        </w:rPr>
        <w:t>Notices of incident and condition reports</w:t>
      </w:r>
      <w:bookmarkEnd w:id="101"/>
    </w:p>
    <w:p w14:paraId="6D56F76E" w14:textId="023A72BE" w:rsidR="009F31A5" w:rsidRDefault="004144B0" w:rsidP="00B87DAF">
      <w:r>
        <w:t>T</w:t>
      </w:r>
      <w:r w:rsidRPr="004144B0">
        <w:t>he Act establish</w:t>
      </w:r>
      <w:r>
        <w:t>es</w:t>
      </w:r>
      <w:r w:rsidRPr="004144B0">
        <w:t xml:space="preserve"> procedures for handling claims against road authorities. </w:t>
      </w:r>
      <w:r w:rsidR="009954FA">
        <w:t xml:space="preserve">As highlighted in section </w:t>
      </w:r>
      <w:r w:rsidR="00634D6B">
        <w:fldChar w:fldCharType="begin"/>
      </w:r>
      <w:r w:rsidR="00634D6B">
        <w:instrText xml:space="preserve"> REF _Ref210907542 \r \h </w:instrText>
      </w:r>
      <w:r w:rsidR="00B87DAF">
        <w:instrText xml:space="preserve"> \* MERGEFORMAT </w:instrText>
      </w:r>
      <w:r w:rsidR="00634D6B">
        <w:fldChar w:fldCharType="separate"/>
      </w:r>
      <w:r w:rsidR="00F170D0">
        <w:t>2.1.2.1</w:t>
      </w:r>
      <w:r w:rsidR="00634D6B">
        <w:fldChar w:fldCharType="end"/>
      </w:r>
      <w:r w:rsidR="00634D6B">
        <w:t>,</w:t>
      </w:r>
      <w:r w:rsidRPr="004144B0">
        <w:t xml:space="preserve"> individuals intending to take legal action </w:t>
      </w:r>
      <w:r w:rsidR="005A2530">
        <w:t>must</w:t>
      </w:r>
      <w:r w:rsidRPr="004144B0">
        <w:t xml:space="preserve"> first submit a notice of the incident to the responsible road authority. This allows the road authority to investigate the site and prepare a condition report. </w:t>
      </w:r>
      <w:r w:rsidR="00E37EA3">
        <w:t xml:space="preserve">However, the process for assessing </w:t>
      </w:r>
      <w:r w:rsidR="00F672A5">
        <w:t>notices</w:t>
      </w:r>
      <w:r w:rsidR="00E37EA3">
        <w:t xml:space="preserve"> </w:t>
      </w:r>
      <w:r w:rsidR="00C1167D">
        <w:t xml:space="preserve">and </w:t>
      </w:r>
      <w:r w:rsidR="00F672A5">
        <w:t xml:space="preserve">preparing condition reports </w:t>
      </w:r>
      <w:r w:rsidR="00E37EA3">
        <w:t xml:space="preserve">is not </w:t>
      </w:r>
      <w:r w:rsidR="00B52827">
        <w:t>set out in the Act</w:t>
      </w:r>
      <w:r w:rsidR="009B48D0">
        <w:t>. Therefore, the regulations</w:t>
      </w:r>
      <w:r w:rsidR="009B2025">
        <w:t xml:space="preserve"> provide</w:t>
      </w:r>
      <w:r w:rsidR="009B48D0">
        <w:t xml:space="preserve"> </w:t>
      </w:r>
      <w:r w:rsidR="009B2025" w:rsidRPr="009B2025">
        <w:t xml:space="preserve">guidance about information </w:t>
      </w:r>
      <w:r w:rsidR="00DC1AC7">
        <w:t xml:space="preserve">that </w:t>
      </w:r>
      <w:r w:rsidR="00B216C1">
        <w:t>must</w:t>
      </w:r>
      <w:r w:rsidR="00B216C1" w:rsidRPr="009B2025">
        <w:t xml:space="preserve"> </w:t>
      </w:r>
      <w:r w:rsidR="009B2025" w:rsidRPr="009B2025">
        <w:t>be included in a notice of an incident</w:t>
      </w:r>
      <w:r w:rsidR="009B2025">
        <w:t xml:space="preserve"> and matters </w:t>
      </w:r>
      <w:r w:rsidR="00DC1AC7">
        <w:t xml:space="preserve">that </w:t>
      </w:r>
      <w:r w:rsidR="009B2025">
        <w:t>are required to be included in</w:t>
      </w:r>
      <w:r w:rsidR="009B2025" w:rsidRPr="009B2025">
        <w:t xml:space="preserve"> condition reports</w:t>
      </w:r>
      <w:r w:rsidR="009B2025">
        <w:t xml:space="preserve">. </w:t>
      </w:r>
      <w:r w:rsidR="005C25CF" w:rsidRPr="004144B0">
        <w:t>These steps are crucial for ensuring claims</w:t>
      </w:r>
      <w:r w:rsidR="005C25CF">
        <w:t xml:space="preserve"> </w:t>
      </w:r>
      <w:r w:rsidR="005C25CF" w:rsidRPr="004144B0">
        <w:t>are assessed efficiently and fairly, based on accurate and timely information</w:t>
      </w:r>
      <w:r w:rsidR="005C25CF">
        <w:t xml:space="preserve">. </w:t>
      </w:r>
      <w:r w:rsidR="009B2025">
        <w:t xml:space="preserve">These </w:t>
      </w:r>
      <w:r w:rsidR="008E5BA8">
        <w:t xml:space="preserve">requirements </w:t>
      </w:r>
      <w:r w:rsidR="005C25CF">
        <w:t xml:space="preserve">also </w:t>
      </w:r>
      <w:r w:rsidR="008E5BA8">
        <w:t>help to improve the</w:t>
      </w:r>
      <w:r w:rsidR="009B2025" w:rsidRPr="009B2025">
        <w:t xml:space="preserve"> effectiveness of such reports in legal proceedings</w:t>
      </w:r>
      <w:r w:rsidR="00374E7F">
        <w:t>.</w:t>
      </w:r>
    </w:p>
    <w:p w14:paraId="11055F5D" w14:textId="453E200E" w:rsidR="0084725C" w:rsidRDefault="0084725C" w:rsidP="00E53A2D">
      <w:pPr>
        <w:pStyle w:val="Heading3-Numbered"/>
      </w:pPr>
      <w:bookmarkStart w:id="102" w:name="_Ref211247325"/>
      <w:bookmarkStart w:id="103" w:name="_Toc226448292"/>
      <w:r>
        <w:lastRenderedPageBreak/>
        <w:t>Protection of people and property</w:t>
      </w:r>
      <w:bookmarkEnd w:id="102"/>
      <w:bookmarkEnd w:id="103"/>
    </w:p>
    <w:p w14:paraId="16281ABA" w14:textId="795C70C3" w:rsidR="0084725C" w:rsidRPr="00C63FF8" w:rsidRDefault="0084725C" w:rsidP="00E53A2D">
      <w:pPr>
        <w:pStyle w:val="Heading4-Numbered"/>
        <w:rPr>
          <w14:textFill>
            <w14:solidFill>
              <w14:schemeClr w14:val="tx2">
                <w14:lumMod w14:val="75000"/>
                <w14:lumOff w14:val="25000"/>
                <w14:lumMod w14:val="75000"/>
                <w14:lumOff w14:val="25000"/>
                <w14:lumMod w14:val="75000"/>
              </w14:schemeClr>
            </w14:solidFill>
          </w14:textFill>
        </w:rPr>
      </w:pPr>
      <w:bookmarkStart w:id="104" w:name="_Ref210910035"/>
      <w:r w:rsidRPr="00C63FF8">
        <w:rPr>
          <w14:textFill>
            <w14:solidFill>
              <w14:schemeClr w14:val="tx2">
                <w14:lumMod w14:val="75000"/>
                <w14:lumOff w14:val="25000"/>
                <w14:lumMod w14:val="75000"/>
                <w14:lumOff w14:val="25000"/>
                <w14:lumMod w14:val="75000"/>
              </w14:schemeClr>
            </w14:solidFill>
          </w14:textFill>
        </w:rPr>
        <w:t>General interference with roads or construction zones</w:t>
      </w:r>
      <w:bookmarkEnd w:id="104"/>
    </w:p>
    <w:p w14:paraId="542B13AF" w14:textId="606E37AA" w:rsidR="0084725C" w:rsidRPr="00C6030E" w:rsidRDefault="0084725C" w:rsidP="00DF3916">
      <w:r>
        <w:t>Under the Act, conducting works or obstructing the road without consent is prohibited. This prevents</w:t>
      </w:r>
      <w:r w:rsidR="00C079E7">
        <w:t xml:space="preserve"> potential</w:t>
      </w:r>
      <w:r>
        <w:t xml:space="preserve"> </w:t>
      </w:r>
      <w:r w:rsidR="00204F98">
        <w:t>safety</w:t>
      </w:r>
      <w:r>
        <w:t xml:space="preserve"> harms</w:t>
      </w:r>
      <w:r w:rsidR="00C079E7">
        <w:t xml:space="preserve"> as well as </w:t>
      </w:r>
      <w:r w:rsidR="00D65210">
        <w:t xml:space="preserve">economic harms associated with </w:t>
      </w:r>
      <w:r w:rsidR="00DF3916">
        <w:t xml:space="preserve">road </w:t>
      </w:r>
      <w:r w:rsidR="00D65210">
        <w:t>repair</w:t>
      </w:r>
      <w:r w:rsidR="001D1CF2">
        <w:t>s and traffic delays.</w:t>
      </w:r>
      <w:r w:rsidR="00327667">
        <w:t xml:space="preserve"> </w:t>
      </w:r>
      <w:r>
        <w:t xml:space="preserve">However, other </w:t>
      </w:r>
      <w:r w:rsidR="00184AB5">
        <w:t>types</w:t>
      </w:r>
      <w:r>
        <w:t xml:space="preserve"> of interference, such as </w:t>
      </w:r>
      <w:r w:rsidR="00AB3C8B">
        <w:t>damaging a road</w:t>
      </w:r>
      <w:r w:rsidR="00D10355">
        <w:t>side or ancillary area</w:t>
      </w:r>
      <w:r>
        <w:t xml:space="preserve">, </w:t>
      </w:r>
      <w:r w:rsidR="00184AB5">
        <w:t>are</w:t>
      </w:r>
      <w:r>
        <w:t xml:space="preserve"> not covered</w:t>
      </w:r>
      <w:r w:rsidR="00CB1499">
        <w:t xml:space="preserve"> under the Act. </w:t>
      </w:r>
      <w:r w:rsidR="007D6187">
        <w:t xml:space="preserve">Therefore, the </w:t>
      </w:r>
      <w:r w:rsidR="008549A9">
        <w:t xml:space="preserve">regulations provide for </w:t>
      </w:r>
      <w:r w:rsidR="007D6187" w:rsidRPr="007D6187">
        <w:t>specific offences, permissions or exceptions in relation to damage and general interferences with roads</w:t>
      </w:r>
      <w:r w:rsidR="008549A9">
        <w:t>.</w:t>
      </w:r>
      <w:r w:rsidR="00F10446">
        <w:t xml:space="preserve"> The regulations also provide for</w:t>
      </w:r>
      <w:r w:rsidR="00184AB5">
        <w:t xml:space="preserve"> </w:t>
      </w:r>
      <w:r w:rsidR="00F10446" w:rsidRPr="00F10446">
        <w:t>specific offences, permissions or exemptions in relation to interference with construction zones or entry to HTfV property.</w:t>
      </w:r>
    </w:p>
    <w:p w14:paraId="139EF193" w14:textId="7688B30C" w:rsidR="0084725C" w:rsidRPr="00C63FF8" w:rsidRDefault="0084725C" w:rsidP="00E53A2D">
      <w:pPr>
        <w:pStyle w:val="Heading4-Numbered"/>
        <w:rPr>
          <w14:textFill>
            <w14:solidFill>
              <w14:schemeClr w14:val="tx2">
                <w14:lumMod w14:val="75000"/>
                <w14:lumOff w14:val="25000"/>
                <w14:lumMod w14:val="75000"/>
                <w14:lumOff w14:val="25000"/>
                <w14:lumMod w14:val="75000"/>
              </w14:schemeClr>
            </w14:solidFill>
          </w14:textFill>
        </w:rPr>
      </w:pPr>
      <w:bookmarkStart w:id="105" w:name="_Ref210920456"/>
      <w:r w:rsidRPr="00C63FF8">
        <w:rPr>
          <w14:textFill>
            <w14:solidFill>
              <w14:schemeClr w14:val="tx2">
                <w14:lumMod w14:val="75000"/>
                <w14:lumOff w14:val="25000"/>
                <w14:lumMod w14:val="75000"/>
                <w14:lumOff w14:val="25000"/>
                <w14:lumMod w14:val="75000"/>
              </w14:schemeClr>
            </w14:solidFill>
          </w14:textFill>
        </w:rPr>
        <w:t>Leaving vehicles and objects on the road</w:t>
      </w:r>
      <w:bookmarkEnd w:id="105"/>
    </w:p>
    <w:p w14:paraId="305C351C" w14:textId="5F4F362A" w:rsidR="008549A9" w:rsidRDefault="008549A9" w:rsidP="008549A9">
      <w:r>
        <w:t xml:space="preserve">Under the Act, </w:t>
      </w:r>
      <w:r w:rsidR="008A76EE">
        <w:t>there are offences for leaving a vehicle on the road</w:t>
      </w:r>
      <w:r w:rsidR="00D36080">
        <w:t xml:space="preserve"> </w:t>
      </w:r>
      <w:r w:rsidR="00295FCB">
        <w:t xml:space="preserve">(see also </w:t>
      </w:r>
      <w:r w:rsidR="006A2A33">
        <w:t xml:space="preserve">section </w:t>
      </w:r>
      <w:r w:rsidR="00073FE7">
        <w:fldChar w:fldCharType="begin"/>
      </w:r>
      <w:r w:rsidR="00073FE7">
        <w:instrText xml:space="preserve"> REF _Ref210909927 \r \h </w:instrText>
      </w:r>
      <w:r w:rsidR="00073FE7">
        <w:fldChar w:fldCharType="separate"/>
      </w:r>
      <w:r w:rsidR="00F170D0">
        <w:t>2.1.2.3</w:t>
      </w:r>
      <w:r w:rsidR="00073FE7">
        <w:fldChar w:fldCharType="end"/>
      </w:r>
      <w:r w:rsidR="00295FCB">
        <w:t>)</w:t>
      </w:r>
      <w:r>
        <w:t>. Th</w:t>
      </w:r>
      <w:r w:rsidR="00824729">
        <w:t>e</w:t>
      </w:r>
      <w:r>
        <w:t>s</w:t>
      </w:r>
      <w:r w:rsidR="00824729">
        <w:t>e</w:t>
      </w:r>
      <w:r>
        <w:t xml:space="preserve"> </w:t>
      </w:r>
      <w:r w:rsidR="00824729">
        <w:t xml:space="preserve">offences are designed to minimise </w:t>
      </w:r>
      <w:r>
        <w:t xml:space="preserve">harms </w:t>
      </w:r>
      <w:r w:rsidR="00824729">
        <w:t xml:space="preserve">to the safety of the public </w:t>
      </w:r>
      <w:r w:rsidR="002359B2">
        <w:t>and to</w:t>
      </w:r>
      <w:r>
        <w:t xml:space="preserve"> </w:t>
      </w:r>
      <w:r w:rsidR="009E4B28">
        <w:t xml:space="preserve">reduce </w:t>
      </w:r>
      <w:r>
        <w:t xml:space="preserve">economic </w:t>
      </w:r>
      <w:r w:rsidR="009E4B28">
        <w:t xml:space="preserve">costs </w:t>
      </w:r>
      <w:r>
        <w:t>associated with traffic delays.</w:t>
      </w:r>
      <w:r w:rsidR="00974680">
        <w:t xml:space="preserve"> The Act also provides </w:t>
      </w:r>
      <w:r w:rsidR="00FA036C">
        <w:t xml:space="preserve">power for </w:t>
      </w:r>
      <w:r w:rsidR="00974680">
        <w:t>road authorities to remove unregistered or abandoned vehicles or any objects that have been unlawfully left on the road</w:t>
      </w:r>
      <w:r w:rsidR="00F71250">
        <w:t xml:space="preserve"> res</w:t>
      </w:r>
      <w:r w:rsidR="00A80EE2">
        <w:t>erve</w:t>
      </w:r>
      <w:r w:rsidR="00974680">
        <w:t xml:space="preserve">. </w:t>
      </w:r>
      <w:r>
        <w:t>However,</w:t>
      </w:r>
      <w:r w:rsidR="001F56E9">
        <w:t xml:space="preserve"> the</w:t>
      </w:r>
      <w:r w:rsidR="00F54315">
        <w:t xml:space="preserve"> Act does not prescribe the</w:t>
      </w:r>
      <w:r>
        <w:t xml:space="preserve"> process to </w:t>
      </w:r>
      <w:r w:rsidR="00092E70">
        <w:t>notify the owner of the vehicle</w:t>
      </w:r>
      <w:r w:rsidR="00974680">
        <w:t xml:space="preserve"> that has been</w:t>
      </w:r>
      <w:r w:rsidR="00447C4C">
        <w:t xml:space="preserve"> removed</w:t>
      </w:r>
      <w:r w:rsidR="007D3484">
        <w:t xml:space="preserve">. There </w:t>
      </w:r>
      <w:r w:rsidR="002F63BA">
        <w:t xml:space="preserve">is also an absence of requirements </w:t>
      </w:r>
      <w:r w:rsidR="002704B4">
        <w:t xml:space="preserve">under the Act </w:t>
      </w:r>
      <w:r w:rsidR="00C96732">
        <w:t xml:space="preserve">on how to </w:t>
      </w:r>
      <w:r w:rsidR="002F63BA">
        <w:t xml:space="preserve">deal with </w:t>
      </w:r>
      <w:r w:rsidR="007862A7">
        <w:t xml:space="preserve">other </w:t>
      </w:r>
      <w:r w:rsidR="002F63BA">
        <w:t xml:space="preserve">objects left on roads. </w:t>
      </w:r>
      <w:r w:rsidR="00416AF9">
        <w:t>Therefore, the regulations</w:t>
      </w:r>
      <w:r w:rsidR="000E3C26" w:rsidRPr="000E3C26">
        <w:t xml:space="preserve"> specify the steps that must be taken to notify </w:t>
      </w:r>
      <w:r w:rsidR="007862A7">
        <w:t>an</w:t>
      </w:r>
      <w:r w:rsidR="000E3C26" w:rsidRPr="000E3C26">
        <w:t xml:space="preserve"> owner of </w:t>
      </w:r>
      <w:r w:rsidR="007862A7">
        <w:t>a</w:t>
      </w:r>
      <w:r w:rsidR="000E3C26" w:rsidRPr="000E3C26">
        <w:t xml:space="preserve"> vehicle that is being moved</w:t>
      </w:r>
      <w:r w:rsidR="000E3C26">
        <w:t>.</w:t>
      </w:r>
      <w:r w:rsidR="00416AF9">
        <w:t xml:space="preserve"> </w:t>
      </w:r>
      <w:r w:rsidR="00831EE6" w:rsidRPr="00831EE6">
        <w:t xml:space="preserve">To illustrate the potential scale of the problem, the Department removed over 500 abandoned vehicles from roads and road reserves in regional Victoria alone during the 2024/25 financial year. </w:t>
      </w:r>
      <w:r w:rsidR="00416AF9">
        <w:t>The</w:t>
      </w:r>
      <w:r>
        <w:t xml:space="preserve"> regulations </w:t>
      </w:r>
      <w:r w:rsidR="00416AF9">
        <w:t xml:space="preserve">also </w:t>
      </w:r>
      <w:r>
        <w:t xml:space="preserve">provide </w:t>
      </w:r>
      <w:r w:rsidRPr="00BC451D">
        <w:t>specif</w:t>
      </w:r>
      <w:r w:rsidR="007862A7">
        <w:t>ic</w:t>
      </w:r>
      <w:r w:rsidRPr="00BC451D">
        <w:t xml:space="preserve"> criteria which must be met to move an object </w:t>
      </w:r>
      <w:r>
        <w:t>and</w:t>
      </w:r>
      <w:r w:rsidRPr="00BC451D">
        <w:t xml:space="preserve"> steps that must be taken before, during or after moving the object. This means there </w:t>
      </w:r>
      <w:r>
        <w:t>is</w:t>
      </w:r>
      <w:r w:rsidRPr="00BC451D">
        <w:t xml:space="preserve"> </w:t>
      </w:r>
      <w:r>
        <w:t xml:space="preserve">clear </w:t>
      </w:r>
      <w:r w:rsidRPr="00BC451D">
        <w:t xml:space="preserve">direction on the appropriate means of notifying the owner that their </w:t>
      </w:r>
      <w:r w:rsidR="00F22802">
        <w:t xml:space="preserve">vehicle or </w:t>
      </w:r>
      <w:r w:rsidRPr="00BC451D">
        <w:t>object will be, or has been, moved</w:t>
      </w:r>
      <w:r>
        <w:t xml:space="preserve">. The regulations also provide for </w:t>
      </w:r>
      <w:r w:rsidRPr="00A97BD2">
        <w:t xml:space="preserve">setting an appropriate fee that the owner must pay to collect their object that has been moved. </w:t>
      </w:r>
      <w:r>
        <w:t xml:space="preserve">This enables road authorities to recover costs (see section </w:t>
      </w:r>
      <w:r>
        <w:fldChar w:fldCharType="begin"/>
      </w:r>
      <w:r>
        <w:instrText xml:space="preserve"> REF _Ref210908483 \r \h  \* MERGEFORMAT </w:instrText>
      </w:r>
      <w:r>
        <w:fldChar w:fldCharType="separate"/>
      </w:r>
      <w:r w:rsidR="00F170D0">
        <w:t>3.4</w:t>
      </w:r>
      <w:r>
        <w:fldChar w:fldCharType="end"/>
      </w:r>
      <w:r>
        <w:t xml:space="preserve"> for further discussion).</w:t>
      </w:r>
    </w:p>
    <w:p w14:paraId="7FFC1FB1" w14:textId="35CA639C" w:rsidR="0084725C" w:rsidRPr="00C63FF8" w:rsidRDefault="0084725C" w:rsidP="00E53A2D">
      <w:pPr>
        <w:pStyle w:val="Heading4-Numbered"/>
        <w:rPr>
          <w14:textFill>
            <w14:solidFill>
              <w14:schemeClr w14:val="tx2">
                <w14:lumMod w14:val="75000"/>
                <w14:lumOff w14:val="25000"/>
                <w14:lumMod w14:val="75000"/>
                <w14:lumOff w14:val="25000"/>
                <w14:lumMod w14:val="75000"/>
              </w14:schemeClr>
            </w14:solidFill>
          </w14:textFill>
        </w:rPr>
      </w:pPr>
      <w:bookmarkStart w:id="106" w:name="_Ref210920463"/>
      <w:r w:rsidRPr="00C63FF8">
        <w:rPr>
          <w14:textFill>
            <w14:solidFill>
              <w14:schemeClr w14:val="tx2">
                <w14:lumMod w14:val="75000"/>
                <w14:lumOff w14:val="25000"/>
                <w14:lumMod w14:val="75000"/>
                <w14:lumOff w14:val="25000"/>
                <w14:lumMod w14:val="75000"/>
              </w14:schemeClr>
            </w14:solidFill>
          </w14:textFill>
        </w:rPr>
        <w:t>Trespassing, camping and climbing bridges</w:t>
      </w:r>
      <w:bookmarkEnd w:id="106"/>
    </w:p>
    <w:p w14:paraId="17510A60" w14:textId="65EDE115" w:rsidR="0084725C" w:rsidRDefault="0084725C" w:rsidP="00D17EE4">
      <w:r>
        <w:t>Under the Act, there</w:t>
      </w:r>
      <w:r w:rsidR="00A15492">
        <w:t xml:space="preserve"> are offences for general interference with roads</w:t>
      </w:r>
      <w:r w:rsidR="000109D1">
        <w:t>,</w:t>
      </w:r>
      <w:r w:rsidR="009166A9">
        <w:t xml:space="preserve"> which</w:t>
      </w:r>
      <w:r w:rsidR="009166A9" w:rsidRPr="009166A9">
        <w:t xml:space="preserve"> </w:t>
      </w:r>
      <w:r w:rsidR="000109D1">
        <w:t xml:space="preserve">helps to </w:t>
      </w:r>
      <w:r w:rsidR="009166A9">
        <w:t>preven</w:t>
      </w:r>
      <w:r w:rsidR="000109D1">
        <w:t>t</w:t>
      </w:r>
      <w:r w:rsidR="009166A9">
        <w:t xml:space="preserve"> safety and economic harms</w:t>
      </w:r>
      <w:r w:rsidR="00A15492">
        <w:t>, as discussed</w:t>
      </w:r>
      <w:r w:rsidR="005543DC">
        <w:t xml:space="preserve"> </w:t>
      </w:r>
      <w:r w:rsidR="000109D1">
        <w:t>in</w:t>
      </w:r>
      <w:r w:rsidR="005543DC">
        <w:t xml:space="preserve"> section </w:t>
      </w:r>
      <w:r w:rsidR="00426B3B">
        <w:fldChar w:fldCharType="begin"/>
      </w:r>
      <w:r w:rsidR="00426B3B">
        <w:instrText xml:space="preserve"> REF _Ref210910035 \r \h </w:instrText>
      </w:r>
      <w:r w:rsidR="00EA6D53">
        <w:instrText xml:space="preserve"> \* MERGEFORMAT </w:instrText>
      </w:r>
      <w:r w:rsidR="00426B3B">
        <w:fldChar w:fldCharType="separate"/>
      </w:r>
      <w:r w:rsidR="00F170D0">
        <w:t>3.2.3.1</w:t>
      </w:r>
      <w:r w:rsidR="00426B3B">
        <w:fldChar w:fldCharType="end"/>
      </w:r>
      <w:r>
        <w:t xml:space="preserve">. </w:t>
      </w:r>
      <w:r w:rsidR="00FE7C0E">
        <w:t xml:space="preserve">While the Act </w:t>
      </w:r>
      <w:r w:rsidR="002F1DB6">
        <w:t xml:space="preserve">enables State road authorities to restrict traffic and </w:t>
      </w:r>
      <w:r w:rsidR="004D7DBE">
        <w:t>fence off or close roads in certain circumstances</w:t>
      </w:r>
      <w:r w:rsidR="0068641A">
        <w:t xml:space="preserve">, the Act does not include any offences to control or limit the ways that </w:t>
      </w:r>
      <w:r w:rsidR="0068641A" w:rsidRPr="00C84C1D">
        <w:t xml:space="preserve">individuals </w:t>
      </w:r>
      <w:r w:rsidR="0068641A">
        <w:t xml:space="preserve">access roads and road infrastructure. </w:t>
      </w:r>
      <w:r w:rsidR="00621B6A">
        <w:t>Some road infrastructure, such as bridges or electrical equipment can be hazardous to members of the public. Prolonged access to, or camping on</w:t>
      </w:r>
      <w:r w:rsidR="004B7EC7">
        <w:t>,</w:t>
      </w:r>
      <w:r w:rsidR="00621B6A">
        <w:t xml:space="preserve"> </w:t>
      </w:r>
      <w:r w:rsidR="00476A6D">
        <w:t xml:space="preserve">the side of </w:t>
      </w:r>
      <w:r w:rsidR="001722CD">
        <w:t>the road adjacent to freeway</w:t>
      </w:r>
      <w:r w:rsidR="00411796">
        <w:t xml:space="preserve"> is </w:t>
      </w:r>
      <w:r w:rsidR="00AB48BD">
        <w:t>dangerous and</w:t>
      </w:r>
      <w:r w:rsidR="00621B6A">
        <w:t xml:space="preserve"> can also lead to environmental damage or increase the risk of fire. </w:t>
      </w:r>
      <w:r w:rsidR="000D3EDA">
        <w:t xml:space="preserve">Therefore, the regulations provide </w:t>
      </w:r>
      <w:r w:rsidR="00F22B0F">
        <w:t xml:space="preserve">offences </w:t>
      </w:r>
      <w:r w:rsidR="00EA6D53">
        <w:t xml:space="preserve">to prevent </w:t>
      </w:r>
      <w:r w:rsidR="00D17EE4">
        <w:t xml:space="preserve">dangerous behaviours and actions, such as </w:t>
      </w:r>
      <w:r w:rsidR="000D3EDA" w:rsidRPr="00C34CF2">
        <w:t>camping on the side of the road on freeways</w:t>
      </w:r>
      <w:r w:rsidR="00D17EE4">
        <w:t>, climbing on or jumping from bridges</w:t>
      </w:r>
      <w:r w:rsidR="008F0F23">
        <w:t xml:space="preserve">, and trespassing </w:t>
      </w:r>
      <w:r w:rsidR="00017C08">
        <w:t xml:space="preserve">onto </w:t>
      </w:r>
      <w:r w:rsidR="000109D1">
        <w:t>HTfV property.</w:t>
      </w:r>
      <w:r w:rsidR="001753AD" w:rsidRPr="001753AD">
        <w:t xml:space="preserve"> </w:t>
      </w:r>
      <w:r w:rsidR="001753AD">
        <w:t>These offences help to dec</w:t>
      </w:r>
      <w:r w:rsidR="001753AD" w:rsidRPr="001753AD">
        <w:t>rease</w:t>
      </w:r>
      <w:r w:rsidR="009649A5">
        <w:t xml:space="preserve"> </w:t>
      </w:r>
      <w:r w:rsidR="001753AD" w:rsidRPr="001753AD">
        <w:t>individuals’ exposure to hazards, HTfV facing liability claims</w:t>
      </w:r>
      <w:r w:rsidR="009649A5">
        <w:t xml:space="preserve">, </w:t>
      </w:r>
      <w:r w:rsidR="001753AD" w:rsidRPr="001753AD">
        <w:t>and HTfV property being damaged.</w:t>
      </w:r>
    </w:p>
    <w:p w14:paraId="1257C4F3" w14:textId="7ADE679F" w:rsidR="0084725C" w:rsidRPr="00C63FF8" w:rsidRDefault="0084725C" w:rsidP="00E53A2D">
      <w:pPr>
        <w:pStyle w:val="Heading4-Numbered"/>
        <w:rPr>
          <w14:textFill>
            <w14:solidFill>
              <w14:schemeClr w14:val="tx2">
                <w14:lumMod w14:val="75000"/>
                <w14:lumOff w14:val="25000"/>
                <w14:lumMod w14:val="75000"/>
                <w14:lumOff w14:val="25000"/>
                <w14:lumMod w14:val="75000"/>
              </w14:schemeClr>
            </w14:solidFill>
          </w14:textFill>
        </w:rPr>
      </w:pPr>
      <w:bookmarkStart w:id="107" w:name="_Ref210920470"/>
      <w:r w:rsidRPr="00C63FF8">
        <w:rPr>
          <w14:textFill>
            <w14:solidFill>
              <w14:schemeClr w14:val="tx2">
                <w14:lumMod w14:val="75000"/>
                <w14:lumOff w14:val="25000"/>
                <w14:lumMod w14:val="75000"/>
                <w14:lumOff w14:val="25000"/>
                <w14:lumMod w14:val="75000"/>
              </w14:schemeClr>
            </w14:solidFill>
          </w14:textFill>
        </w:rPr>
        <w:t xml:space="preserve">Hoardings and </w:t>
      </w:r>
      <w:r w:rsidR="00C101B1" w:rsidRPr="00C63FF8">
        <w:rPr>
          <w14:textFill>
            <w14:solidFill>
              <w14:schemeClr w14:val="tx2">
                <w14:lumMod w14:val="75000"/>
                <w14:lumOff w14:val="25000"/>
                <w14:lumMod w14:val="75000"/>
                <w14:lumOff w14:val="25000"/>
                <w14:lumMod w14:val="75000"/>
              </w14:schemeClr>
            </w14:solidFill>
          </w14:textFill>
        </w:rPr>
        <w:t>a</w:t>
      </w:r>
      <w:r w:rsidRPr="00C63FF8">
        <w:rPr>
          <w14:textFill>
            <w14:solidFill>
              <w14:schemeClr w14:val="tx2">
                <w14:lumMod w14:val="75000"/>
                <w14:lumOff w14:val="25000"/>
                <w14:lumMod w14:val="75000"/>
                <w14:lumOff w14:val="25000"/>
                <w14:lumMod w14:val="75000"/>
              </w14:schemeClr>
            </w14:solidFill>
          </w14:textFill>
        </w:rPr>
        <w:t>dvertisements</w:t>
      </w:r>
      <w:bookmarkEnd w:id="107"/>
    </w:p>
    <w:p w14:paraId="3DF7473C" w14:textId="5AAD1F96" w:rsidR="0084725C" w:rsidRPr="006826E3" w:rsidRDefault="00954DA8" w:rsidP="00DC0FA3">
      <w:r>
        <w:t xml:space="preserve">As discussed at section </w:t>
      </w:r>
      <w:r w:rsidR="00693C8B">
        <w:fldChar w:fldCharType="begin"/>
      </w:r>
      <w:r w:rsidR="00693C8B">
        <w:instrText xml:space="preserve"> REF _Ref210910651 \r \h </w:instrText>
      </w:r>
      <w:r w:rsidR="00DC0FA3">
        <w:instrText xml:space="preserve"> \* MERGEFORMAT </w:instrText>
      </w:r>
      <w:r w:rsidR="00693C8B">
        <w:fldChar w:fldCharType="separate"/>
      </w:r>
      <w:r w:rsidR="00F170D0">
        <w:t>2.1.2.5</w:t>
      </w:r>
      <w:r w:rsidR="00693C8B">
        <w:fldChar w:fldCharType="end"/>
      </w:r>
      <w:r>
        <w:t>,</w:t>
      </w:r>
      <w:r w:rsidR="00693C8B">
        <w:t xml:space="preserve"> the Act prevents the installation of </w:t>
      </w:r>
      <w:r w:rsidR="00B909F6">
        <w:t xml:space="preserve">advertising structures without the consent of the </w:t>
      </w:r>
      <w:r w:rsidR="0078294A">
        <w:t xml:space="preserve">coordinating </w:t>
      </w:r>
      <w:r w:rsidR="00B909F6">
        <w:t>road authority.</w:t>
      </w:r>
      <w:r>
        <w:t xml:space="preserve"> </w:t>
      </w:r>
      <w:r w:rsidR="0084725C">
        <w:t xml:space="preserve">This </w:t>
      </w:r>
      <w:r w:rsidR="00BC7FFE">
        <w:t>minimises social</w:t>
      </w:r>
      <w:r w:rsidR="0078294A">
        <w:t>, environmental</w:t>
      </w:r>
      <w:r w:rsidR="00BC7FFE">
        <w:t xml:space="preserve"> and </w:t>
      </w:r>
      <w:r w:rsidR="00500FA4">
        <w:t xml:space="preserve">economic harms associated with the installation of inappropriate signage and the costs to remove </w:t>
      </w:r>
      <w:r w:rsidR="00C51ABF">
        <w:t>it</w:t>
      </w:r>
      <w:r w:rsidR="00500FA4">
        <w:t>.</w:t>
      </w:r>
      <w:r w:rsidR="00DB57C4">
        <w:t xml:space="preserve"> However, there is no clear guidance to </w:t>
      </w:r>
      <w:r w:rsidR="00334F82">
        <w:t xml:space="preserve">help </w:t>
      </w:r>
      <w:r w:rsidR="004528A7">
        <w:t>coordinating</w:t>
      </w:r>
      <w:r w:rsidR="00334F82">
        <w:t xml:space="preserve"> road authorit</w:t>
      </w:r>
      <w:r w:rsidR="004528A7">
        <w:t>ies</w:t>
      </w:r>
      <w:r w:rsidR="00CB2686">
        <w:t xml:space="preserve"> </w:t>
      </w:r>
      <w:r w:rsidR="00260347">
        <w:t>to</w:t>
      </w:r>
      <w:r w:rsidR="00334F82">
        <w:t xml:space="preserve"> </w:t>
      </w:r>
      <w:r w:rsidR="00DB57C4">
        <w:t>determine if</w:t>
      </w:r>
      <w:r w:rsidR="004C5356">
        <w:t xml:space="preserve"> a sign should be installed.</w:t>
      </w:r>
      <w:r w:rsidR="00B6685E">
        <w:t xml:space="preserve"> </w:t>
      </w:r>
      <w:r w:rsidR="0084725C">
        <w:t>Therefore, the regulations provide</w:t>
      </w:r>
      <w:r w:rsidRPr="00954DA8">
        <w:t xml:space="preserve"> </w:t>
      </w:r>
      <w:r w:rsidR="001C175A">
        <w:t>clear requirements when making an application</w:t>
      </w:r>
      <w:r w:rsidR="003E052E">
        <w:t xml:space="preserve"> </w:t>
      </w:r>
      <w:r w:rsidR="003E052E" w:rsidRPr="00954DA8">
        <w:t>to place hoarding and advertisements on roads</w:t>
      </w:r>
      <w:r w:rsidR="003E052E">
        <w:t xml:space="preserve"> as well as </w:t>
      </w:r>
      <w:r w:rsidRPr="00954DA8">
        <w:t xml:space="preserve">specific decision-making requirements </w:t>
      </w:r>
      <w:r w:rsidR="00416A32">
        <w:t xml:space="preserve">when </w:t>
      </w:r>
      <w:r w:rsidR="003E052E">
        <w:t xml:space="preserve">a road authority is </w:t>
      </w:r>
      <w:r w:rsidR="00416A32">
        <w:t>considering</w:t>
      </w:r>
      <w:r w:rsidR="003E052E">
        <w:t xml:space="preserve"> an</w:t>
      </w:r>
      <w:r w:rsidRPr="00954DA8">
        <w:t xml:space="preserve"> application. These </w:t>
      </w:r>
      <w:r w:rsidR="007C1350">
        <w:t>regulations</w:t>
      </w:r>
      <w:r w:rsidRPr="00954DA8">
        <w:t xml:space="preserve"> help to maintain the </w:t>
      </w:r>
      <w:r w:rsidR="00DC0FA3">
        <w:t>amenity of the area</w:t>
      </w:r>
      <w:r w:rsidR="00862347">
        <w:t xml:space="preserve"> and reduce </w:t>
      </w:r>
      <w:r w:rsidR="005508A1">
        <w:t>any hazards or distractions for drivers</w:t>
      </w:r>
      <w:r w:rsidRPr="00954DA8">
        <w:t>.</w:t>
      </w:r>
    </w:p>
    <w:p w14:paraId="781028E3" w14:textId="60C24330" w:rsidR="00C34CF2" w:rsidRDefault="001512D2" w:rsidP="00232240">
      <w:pPr>
        <w:pStyle w:val="Heading2-Numbered"/>
      </w:pPr>
      <w:bookmarkStart w:id="108" w:name="_Ref210733248"/>
      <w:bookmarkStart w:id="109" w:name="_Toc226448293"/>
      <w:r>
        <w:lastRenderedPageBreak/>
        <w:t>Feedback on current regulations</w:t>
      </w:r>
      <w:bookmarkEnd w:id="108"/>
      <w:bookmarkEnd w:id="109"/>
    </w:p>
    <w:p w14:paraId="7EA4A176" w14:textId="12743B34" w:rsidR="00191D79" w:rsidRPr="003C4DE5" w:rsidRDefault="001512D2" w:rsidP="00191D79">
      <w:pPr>
        <w:pStyle w:val="Heading3-Numbered"/>
      </w:pPr>
      <w:bookmarkStart w:id="110" w:name="_Ref210830583"/>
      <w:bookmarkStart w:id="111" w:name="_Toc226448294"/>
      <w:r w:rsidRPr="003C4DE5">
        <w:t>Exemptions</w:t>
      </w:r>
      <w:bookmarkEnd w:id="110"/>
      <w:bookmarkEnd w:id="111"/>
    </w:p>
    <w:p w14:paraId="44D396FD" w14:textId="57729F0F" w:rsidR="001512D2" w:rsidRPr="00C63FF8" w:rsidRDefault="001512D2" w:rsidP="002B1C86">
      <w:pPr>
        <w:pStyle w:val="Heading4-Numbered"/>
        <w:rPr>
          <w14:textFill>
            <w14:solidFill>
              <w14:schemeClr w14:val="tx2">
                <w14:lumMod w14:val="75000"/>
                <w14:lumOff w14:val="25000"/>
                <w14:lumMod w14:val="75000"/>
                <w14:lumOff w14:val="25000"/>
                <w14:lumMod w14:val="75000"/>
              </w14:schemeClr>
            </w14:solidFill>
          </w14:textFill>
        </w:rPr>
      </w:pPr>
      <w:bookmarkStart w:id="112" w:name="_Ref211255866"/>
      <w:r w:rsidRPr="00C63FF8">
        <w:rPr>
          <w14:textFill>
            <w14:solidFill>
              <w14:schemeClr w14:val="tx2">
                <w14:lumMod w14:val="75000"/>
                <w14:lumOff w14:val="25000"/>
                <w14:lumMod w14:val="75000"/>
                <w14:lumOff w14:val="25000"/>
                <w14:lumMod w14:val="75000"/>
              </w14:schemeClr>
            </w14:solidFill>
          </w14:textFill>
        </w:rPr>
        <w:t>Consent for works</w:t>
      </w:r>
      <w:bookmarkEnd w:id="112"/>
    </w:p>
    <w:p w14:paraId="36FAB542" w14:textId="58AA6460" w:rsidR="00FC0D71" w:rsidRDefault="00FA6F01" w:rsidP="00616954">
      <w:r>
        <w:t xml:space="preserve">As </w:t>
      </w:r>
      <w:r w:rsidR="001D3AB1">
        <w:t xml:space="preserve">described in </w:t>
      </w:r>
      <w:r w:rsidR="000A3ABD">
        <w:t>s</w:t>
      </w:r>
      <w:r w:rsidR="001D3AB1">
        <w:t xml:space="preserve">ection </w:t>
      </w:r>
      <w:r w:rsidR="00EA632C">
        <w:fldChar w:fldCharType="begin"/>
      </w:r>
      <w:r w:rsidR="00EA632C">
        <w:instrText xml:space="preserve"> REF _Ref210814546 \r \h </w:instrText>
      </w:r>
      <w:r w:rsidR="00EA632C">
        <w:fldChar w:fldCharType="separate"/>
      </w:r>
      <w:r w:rsidR="00F170D0">
        <w:t>3.2.1.1</w:t>
      </w:r>
      <w:r w:rsidR="00EA632C">
        <w:fldChar w:fldCharType="end"/>
      </w:r>
      <w:r w:rsidR="0044441C">
        <w:t xml:space="preserve">, the W&amp;I Regulations provide exemptions </w:t>
      </w:r>
      <w:r w:rsidR="00556FCB">
        <w:t xml:space="preserve">for </w:t>
      </w:r>
      <w:r w:rsidR="003775FD">
        <w:t>certain entities</w:t>
      </w:r>
      <w:r w:rsidR="00556FCB">
        <w:t xml:space="preserve"> </w:t>
      </w:r>
      <w:r w:rsidR="00EA632C">
        <w:t xml:space="preserve">from having to apply for consent from </w:t>
      </w:r>
      <w:r w:rsidR="00014BD7">
        <w:t>the coordinating</w:t>
      </w:r>
      <w:r w:rsidR="00EA632C">
        <w:t xml:space="preserve"> road authority</w:t>
      </w:r>
      <w:r w:rsidR="00BC04BB">
        <w:t xml:space="preserve"> to carry out</w:t>
      </w:r>
      <w:r w:rsidR="00BC04BB" w:rsidRPr="00BC04BB">
        <w:t xml:space="preserve"> </w:t>
      </w:r>
      <w:r w:rsidR="00BC04BB">
        <w:t>certain types of works</w:t>
      </w:r>
      <w:r w:rsidR="00743296">
        <w:t xml:space="preserve">. </w:t>
      </w:r>
    </w:p>
    <w:p w14:paraId="0B55BC02" w14:textId="088B2060" w:rsidR="00B85BDD" w:rsidRDefault="00243CEF" w:rsidP="00B85BDD">
      <w:r>
        <w:t xml:space="preserve">Feedback from </w:t>
      </w:r>
      <w:r w:rsidR="00DC6103">
        <w:t>utilities</w:t>
      </w:r>
      <w:r>
        <w:t xml:space="preserve"> companies suggest that </w:t>
      </w:r>
      <w:r w:rsidR="00DC6103">
        <w:t>the</w:t>
      </w:r>
      <w:r w:rsidR="00E23CE8">
        <w:t>se</w:t>
      </w:r>
      <w:r w:rsidR="00DC6103">
        <w:t xml:space="preserve"> exemptions enable</w:t>
      </w:r>
      <w:r w:rsidR="00605459">
        <w:t xml:space="preserve"> more efficient service</w:t>
      </w:r>
      <w:r w:rsidR="008269EE">
        <w:t xml:space="preserve"> delivery</w:t>
      </w:r>
      <w:r w:rsidR="00E07BC3">
        <w:t xml:space="preserve">, which can promote savings </w:t>
      </w:r>
      <w:r w:rsidR="00BD55A0">
        <w:t xml:space="preserve">that </w:t>
      </w:r>
      <w:r w:rsidR="00E07BC3">
        <w:t>can then be passed o</w:t>
      </w:r>
      <w:r w:rsidR="00C025AC">
        <w:t xml:space="preserve">n to customers. </w:t>
      </w:r>
      <w:r w:rsidR="008B6B2A">
        <w:t xml:space="preserve">Administrative burden </w:t>
      </w:r>
      <w:r w:rsidR="00CB5152">
        <w:t xml:space="preserve">is </w:t>
      </w:r>
      <w:r w:rsidR="008B6B2A">
        <w:t xml:space="preserve">also reduced for road authorities who </w:t>
      </w:r>
      <w:r w:rsidR="00244FCA">
        <w:t xml:space="preserve">will not need to process the </w:t>
      </w:r>
      <w:r w:rsidR="007E7377">
        <w:t>consent applications</w:t>
      </w:r>
      <w:r w:rsidR="000A3ABD">
        <w:t xml:space="preserve"> (as illustrated at </w:t>
      </w:r>
      <w:r w:rsidR="000A3ABD">
        <w:fldChar w:fldCharType="begin"/>
      </w:r>
      <w:r w:rsidR="000A3ABD">
        <w:instrText xml:space="preserve"> REF _Ref210814546 \r \h </w:instrText>
      </w:r>
      <w:r w:rsidR="000A3ABD">
        <w:fldChar w:fldCharType="separate"/>
      </w:r>
      <w:r w:rsidR="00F170D0">
        <w:t>3.2.1.1</w:t>
      </w:r>
      <w:r w:rsidR="000A3ABD">
        <w:fldChar w:fldCharType="end"/>
      </w:r>
      <w:r w:rsidR="000A3ABD">
        <w:t>)</w:t>
      </w:r>
      <w:r w:rsidR="007E7377">
        <w:t xml:space="preserve">. </w:t>
      </w:r>
      <w:r w:rsidR="00C025AC">
        <w:t xml:space="preserve">However, </w:t>
      </w:r>
      <w:r w:rsidR="00B85BDD">
        <w:t>some road authorities have suggested that the scope of the exemptions under the Regulations are too broad. T</w:t>
      </w:r>
      <w:r w:rsidR="00B85BDD" w:rsidRPr="00C34CF2">
        <w:t>he meaning of ‘minor works</w:t>
      </w:r>
      <w:r w:rsidR="00B85BDD">
        <w:t>,’</w:t>
      </w:r>
      <w:r w:rsidR="00B85BDD" w:rsidRPr="00C34CF2">
        <w:t xml:space="preserve"> and the definitions of ‘traffic impact works’ and 'service extension works'</w:t>
      </w:r>
      <w:r w:rsidR="00B85BDD">
        <w:t xml:space="preserve"> under the W&amp;I Regulations</w:t>
      </w:r>
      <w:r w:rsidR="00B85BDD" w:rsidRPr="00C34CF2">
        <w:t xml:space="preserve"> allow a substantial amount of works to be carried out without the consent of coordinating road authorities. </w:t>
      </w:r>
    </w:p>
    <w:p w14:paraId="3FAD8A9B" w14:textId="2B6E37A2" w:rsidR="00A0289C" w:rsidRDefault="006E7C78" w:rsidP="00616954">
      <w:r>
        <w:t>E</w:t>
      </w:r>
      <w:r w:rsidR="00E35F5B">
        <w:t xml:space="preserve">xemptions </w:t>
      </w:r>
      <w:r w:rsidR="00D41577">
        <w:t xml:space="preserve">can </w:t>
      </w:r>
      <w:r w:rsidR="00E35F5B">
        <w:t xml:space="preserve">limit </w:t>
      </w:r>
      <w:r>
        <w:t>road authorities’</w:t>
      </w:r>
      <w:r w:rsidR="00E35F5B">
        <w:t xml:space="preserve"> ability to pr</w:t>
      </w:r>
      <w:r w:rsidR="00163FCE">
        <w:t>ohibi</w:t>
      </w:r>
      <w:r w:rsidR="00E35F5B">
        <w:t xml:space="preserve">t the installation of non-road </w:t>
      </w:r>
      <w:r w:rsidR="00C332D6">
        <w:t xml:space="preserve">infrastructure </w:t>
      </w:r>
      <w:r w:rsidR="00C36D5E">
        <w:t>or</w:t>
      </w:r>
      <w:r w:rsidR="00930ADD" w:rsidRPr="00C34CF2">
        <w:t xml:space="preserve"> requ</w:t>
      </w:r>
      <w:r w:rsidR="002A63C3">
        <w:t>est</w:t>
      </w:r>
      <w:r w:rsidR="00930ADD" w:rsidRPr="00C34CF2">
        <w:t xml:space="preserve"> </w:t>
      </w:r>
      <w:r w:rsidR="006D5588">
        <w:t>that it</w:t>
      </w:r>
      <w:r w:rsidR="00930ADD" w:rsidRPr="00C34CF2">
        <w:t xml:space="preserve"> be installed at </w:t>
      </w:r>
      <w:r w:rsidR="00E3516B">
        <w:t xml:space="preserve">a </w:t>
      </w:r>
      <w:r w:rsidR="00B20D64">
        <w:t>specific</w:t>
      </w:r>
      <w:r w:rsidR="00930ADD" w:rsidRPr="00C34CF2">
        <w:t xml:space="preserve"> location</w:t>
      </w:r>
      <w:r w:rsidR="0082708E">
        <w:t xml:space="preserve"> or</w:t>
      </w:r>
      <w:r w:rsidR="00930ADD" w:rsidRPr="00C34CF2">
        <w:t xml:space="preserve"> depth</w:t>
      </w:r>
      <w:r w:rsidR="003C33FE">
        <w:t>.</w:t>
      </w:r>
      <w:r w:rsidR="00930ADD" w:rsidRPr="00C34CF2">
        <w:t xml:space="preserve"> </w:t>
      </w:r>
      <w:r w:rsidR="00A0289C">
        <w:t>Some road authorities have suggested that this inability</w:t>
      </w:r>
      <w:r w:rsidR="00A0289C" w:rsidRPr="00C34CF2">
        <w:t xml:space="preserve"> lead</w:t>
      </w:r>
      <w:r w:rsidR="005B6CA4">
        <w:t>s</w:t>
      </w:r>
      <w:r w:rsidR="00A0289C" w:rsidRPr="00C34CF2">
        <w:t xml:space="preserve"> to quality assurance and safety problems</w:t>
      </w:r>
      <w:r w:rsidR="001C3BC0">
        <w:t xml:space="preserve"> and </w:t>
      </w:r>
      <w:r w:rsidR="00503FDB">
        <w:t>an inappropriate number of</w:t>
      </w:r>
      <w:r w:rsidR="00C332D6">
        <w:t xml:space="preserve"> items being installed</w:t>
      </w:r>
      <w:r w:rsidR="00C81EB2">
        <w:t xml:space="preserve"> </w:t>
      </w:r>
      <w:r w:rsidR="005D6C3A">
        <w:t xml:space="preserve">in situations </w:t>
      </w:r>
      <w:r w:rsidR="00C81EB2">
        <w:t>where there is limited space in the road reserve.</w:t>
      </w:r>
      <w:r w:rsidR="002C7E18">
        <w:t xml:space="preserve"> </w:t>
      </w:r>
      <w:r w:rsidR="004C42C9">
        <w:t xml:space="preserve">Overcrowded road reserves can </w:t>
      </w:r>
      <w:r w:rsidR="00402EC4">
        <w:t xml:space="preserve">lead to </w:t>
      </w:r>
      <w:r w:rsidR="00845B41">
        <w:t>degrad</w:t>
      </w:r>
      <w:r w:rsidR="008066E1">
        <w:t>ation of</w:t>
      </w:r>
      <w:r w:rsidR="004F3962">
        <w:t xml:space="preserve"> the</w:t>
      </w:r>
      <w:r w:rsidR="00AD1E06">
        <w:t xml:space="preserve"> environment and</w:t>
      </w:r>
      <w:r w:rsidR="004F3962">
        <w:t xml:space="preserve"> structure</w:t>
      </w:r>
      <w:r w:rsidR="00845B41">
        <w:t xml:space="preserve"> of the road</w:t>
      </w:r>
      <w:r w:rsidR="001813EE">
        <w:t xml:space="preserve">, </w:t>
      </w:r>
      <w:r w:rsidR="00021F79">
        <w:t xml:space="preserve">and negatively impact </w:t>
      </w:r>
      <w:r w:rsidR="004C42C9">
        <w:t>safety</w:t>
      </w:r>
      <w:r w:rsidR="0054109C">
        <w:t xml:space="preserve"> and </w:t>
      </w:r>
      <w:r w:rsidR="009731B0">
        <w:t>accessibility</w:t>
      </w:r>
      <w:r w:rsidR="004F3962">
        <w:t xml:space="preserve">, creating additional costs and </w:t>
      </w:r>
      <w:r w:rsidR="00AF0CFF">
        <w:t>liability for road authorities.</w:t>
      </w:r>
      <w:r w:rsidR="004F3962">
        <w:t xml:space="preserve"> </w:t>
      </w:r>
      <w:r w:rsidR="00D21323">
        <w:t>It can also</w:t>
      </w:r>
      <w:r w:rsidR="00A557DC">
        <w:t xml:space="preserve"> limit</w:t>
      </w:r>
      <w:r w:rsidR="00D21323">
        <w:t xml:space="preserve"> available space </w:t>
      </w:r>
      <w:r w:rsidR="003C64A5">
        <w:t xml:space="preserve">for </w:t>
      </w:r>
      <w:r w:rsidR="00D21323">
        <w:t>works</w:t>
      </w:r>
      <w:r w:rsidR="00A557DC">
        <w:t xml:space="preserve"> that might be critical in future</w:t>
      </w:r>
      <w:r w:rsidR="001813EE">
        <w:t>.</w:t>
      </w:r>
      <w:r w:rsidR="00425962">
        <w:t xml:space="preserve"> </w:t>
      </w:r>
    </w:p>
    <w:p w14:paraId="045439D0" w14:textId="1666D7A9" w:rsidR="001512D2" w:rsidRPr="00C63FF8" w:rsidRDefault="001512D2" w:rsidP="002B1C86">
      <w:pPr>
        <w:pStyle w:val="Heading4-Numbered"/>
        <w:rPr>
          <w14:textFill>
            <w14:solidFill>
              <w14:schemeClr w14:val="tx2">
                <w14:lumMod w14:val="75000"/>
                <w14:lumOff w14:val="25000"/>
                <w14:lumMod w14:val="75000"/>
                <w14:lumOff w14:val="25000"/>
                <w14:lumMod w14:val="75000"/>
              </w14:schemeClr>
            </w14:solidFill>
          </w14:textFill>
        </w:rPr>
      </w:pPr>
      <w:bookmarkStart w:id="113" w:name="_Ref210816787"/>
      <w:r w:rsidRPr="00C63FF8">
        <w:rPr>
          <w14:textFill>
            <w14:solidFill>
              <w14:schemeClr w14:val="tx2">
                <w14:lumMod w14:val="75000"/>
                <w14:lumOff w14:val="25000"/>
                <w14:lumMod w14:val="75000"/>
                <w14:lumOff w14:val="25000"/>
                <w14:lumMod w14:val="75000"/>
              </w14:schemeClr>
            </w14:solidFill>
          </w14:textFill>
        </w:rPr>
        <w:t>Notice of works</w:t>
      </w:r>
      <w:bookmarkEnd w:id="113"/>
    </w:p>
    <w:p w14:paraId="7E783EDF" w14:textId="44D7EEF4" w:rsidR="00D636EB" w:rsidRDefault="00AA78CA" w:rsidP="004C54F0">
      <w:r>
        <w:t xml:space="preserve">As described in </w:t>
      </w:r>
      <w:r w:rsidR="00CB6AFD">
        <w:t>s</w:t>
      </w:r>
      <w:r>
        <w:t xml:space="preserve">ection </w:t>
      </w:r>
      <w:r w:rsidR="004A01B9">
        <w:fldChar w:fldCharType="begin"/>
      </w:r>
      <w:r w:rsidR="004A01B9">
        <w:instrText xml:space="preserve"> REF _Ref210816511 \r \h </w:instrText>
      </w:r>
      <w:r w:rsidR="004A01B9">
        <w:fldChar w:fldCharType="separate"/>
      </w:r>
      <w:r w:rsidR="00F170D0">
        <w:t>3.2.1.2</w:t>
      </w:r>
      <w:r w:rsidR="004A01B9">
        <w:fldChar w:fldCharType="end"/>
      </w:r>
      <w:r w:rsidR="004A01B9">
        <w:t xml:space="preserve">, </w:t>
      </w:r>
      <w:r w:rsidR="00EC0D09">
        <w:t>the W&amp;I Regulations exempt</w:t>
      </w:r>
      <w:r w:rsidR="00290E6B">
        <w:t xml:space="preserve"> </w:t>
      </w:r>
      <w:r w:rsidR="0002061E">
        <w:t xml:space="preserve">infrastructure managers and </w:t>
      </w:r>
      <w:r w:rsidR="00290E6B">
        <w:t>works managers</w:t>
      </w:r>
      <w:r w:rsidR="000B53C0">
        <w:t xml:space="preserve"> from</w:t>
      </w:r>
      <w:r w:rsidR="00EC0D09">
        <w:t xml:space="preserve"> having </w:t>
      </w:r>
      <w:r w:rsidR="00B64D6B">
        <w:t xml:space="preserve">to notify </w:t>
      </w:r>
      <w:r w:rsidR="00667719">
        <w:t xml:space="preserve">coordinating </w:t>
      </w:r>
      <w:r w:rsidR="00B64D6B">
        <w:t>road authorities about</w:t>
      </w:r>
      <w:r w:rsidR="00EC0D09">
        <w:t xml:space="preserve"> planned works and completed works in certain circumstances.</w:t>
      </w:r>
      <w:r w:rsidR="00C834AA">
        <w:t xml:space="preserve"> </w:t>
      </w:r>
      <w:r w:rsidR="00D22069">
        <w:t>Some r</w:t>
      </w:r>
      <w:r w:rsidR="00D636EB">
        <w:t>oad authorities have expressed concern that they have limited oversight of what is happening in the road reserve w</w:t>
      </w:r>
      <w:r w:rsidR="00560CDF">
        <w:t>hen works are exempt both from the requirement to obtain consent and the requirement to provide notice</w:t>
      </w:r>
      <w:r w:rsidR="00D636EB">
        <w:t>.</w:t>
      </w:r>
    </w:p>
    <w:p w14:paraId="7196861E" w14:textId="7404C240" w:rsidR="00072864" w:rsidRDefault="00D636EB" w:rsidP="004C54F0">
      <w:r>
        <w:t>Some ro</w:t>
      </w:r>
      <w:r w:rsidR="008E656A">
        <w:t xml:space="preserve">ad authorities </w:t>
      </w:r>
      <w:r>
        <w:t xml:space="preserve">have </w:t>
      </w:r>
      <w:r w:rsidR="00E02585">
        <w:t>suggeste</w:t>
      </w:r>
      <w:r>
        <w:t>d that when</w:t>
      </w:r>
      <w:r w:rsidR="00E02585">
        <w:t xml:space="preserve"> they</w:t>
      </w:r>
      <w:r>
        <w:t xml:space="preserve"> </w:t>
      </w:r>
      <w:r w:rsidR="008E656A">
        <w:t xml:space="preserve">are not notified </w:t>
      </w:r>
      <w:r w:rsidR="00815A96">
        <w:t xml:space="preserve">about </w:t>
      </w:r>
      <w:r w:rsidR="00661C72">
        <w:t xml:space="preserve">planned works, it can be challenging to </w:t>
      </w:r>
      <w:r w:rsidR="00F12A4D" w:rsidRPr="00C34CF2">
        <w:t>coordinate future works in the area.</w:t>
      </w:r>
      <w:r w:rsidR="00DD515D">
        <w:t xml:space="preserve"> </w:t>
      </w:r>
      <w:r w:rsidR="003F7F11">
        <w:t>Road authorities have also</w:t>
      </w:r>
      <w:r w:rsidR="00113365">
        <w:t xml:space="preserve"> </w:t>
      </w:r>
      <w:r w:rsidR="00E02585">
        <w:t>advised</w:t>
      </w:r>
      <w:r w:rsidR="00113365">
        <w:t xml:space="preserve"> </w:t>
      </w:r>
      <w:r w:rsidR="00E507BE">
        <w:t xml:space="preserve">that </w:t>
      </w:r>
      <w:r w:rsidR="00BD22BB">
        <w:t>not being</w:t>
      </w:r>
      <w:r w:rsidR="003C724C">
        <w:t xml:space="preserve"> notified about completed </w:t>
      </w:r>
      <w:r w:rsidR="00C91D34">
        <w:t xml:space="preserve">works </w:t>
      </w:r>
      <w:r w:rsidR="00BD22BB">
        <w:t>limits their</w:t>
      </w:r>
      <w:r w:rsidR="00BD22BB" w:rsidRPr="00C34CF2">
        <w:t xml:space="preserve"> ability to appropriately identify works managers and ensure that reinstatement works are carried out to the appropriate standard and</w:t>
      </w:r>
      <w:r w:rsidR="008B4F8D">
        <w:t xml:space="preserve">  </w:t>
      </w:r>
      <w:r w:rsidR="00BD22BB" w:rsidRPr="00C34CF2">
        <w:t>require their rectification</w:t>
      </w:r>
      <w:r w:rsidR="008B4F8D">
        <w:t xml:space="preserve"> if necessary</w:t>
      </w:r>
      <w:r w:rsidR="00E507BE">
        <w:t>.</w:t>
      </w:r>
      <w:r w:rsidR="00AF4685">
        <w:t xml:space="preserve"> </w:t>
      </w:r>
    </w:p>
    <w:p w14:paraId="040CB116" w14:textId="759D101A" w:rsidR="004C54F0" w:rsidRDefault="00BD22BB" w:rsidP="004C54F0">
      <w:r w:rsidRPr="00C34CF2">
        <w:t xml:space="preserve">Sub-standard reinstatement works </w:t>
      </w:r>
      <w:r w:rsidR="00CC5347">
        <w:t>can</w:t>
      </w:r>
      <w:r w:rsidRPr="00C34CF2">
        <w:t xml:space="preserve"> create safety hazards for the road users and pedestrians. </w:t>
      </w:r>
      <w:r w:rsidR="004E07FF">
        <w:t>For</w:t>
      </w:r>
      <w:r w:rsidR="00582E71">
        <w:rPr>
          <w:rFonts w:ascii="Cambria" w:hAnsi="Cambria"/>
        </w:rPr>
        <w:t> </w:t>
      </w:r>
      <w:r w:rsidR="004E07FF">
        <w:t>example, f</w:t>
      </w:r>
      <w:r w:rsidR="009F5EF4">
        <w:t>eedback from c</w:t>
      </w:r>
      <w:r w:rsidRPr="00C34CF2">
        <w:t xml:space="preserve">ouncils </w:t>
      </w:r>
      <w:r w:rsidR="009F5EF4">
        <w:t>suggests</w:t>
      </w:r>
      <w:r w:rsidRPr="00C34CF2">
        <w:t xml:space="preserve"> that there have been trips, slips and falls because of poorly installed utilities</w:t>
      </w:r>
      <w:r w:rsidR="006A0548">
        <w:t>.</w:t>
      </w:r>
      <w:r w:rsidRPr="00C34CF2">
        <w:t xml:space="preserve"> </w:t>
      </w:r>
      <w:r w:rsidR="00C125FA" w:rsidRPr="00C34CF2">
        <w:t>Temporary reinstatements of pavement with loose gravel can also create tripping hazards and reduce disability access</w:t>
      </w:r>
      <w:r w:rsidR="00C125FA">
        <w:t>.</w:t>
      </w:r>
      <w:r w:rsidR="00C125FA" w:rsidRPr="00C34CF2">
        <w:t xml:space="preserve"> </w:t>
      </w:r>
      <w:r w:rsidR="009F5EF4" w:rsidRPr="00C34CF2">
        <w:t xml:space="preserve">This </w:t>
      </w:r>
      <w:r w:rsidR="004E07FF">
        <w:t>can also result in</w:t>
      </w:r>
      <w:r w:rsidR="009F5EF4" w:rsidRPr="00C34CF2">
        <w:t xml:space="preserve"> reputational risks for </w:t>
      </w:r>
      <w:r w:rsidR="00582E71">
        <w:t xml:space="preserve">the road authority. </w:t>
      </w:r>
      <w:r w:rsidR="004C54F0" w:rsidRPr="00C34CF2">
        <w:t>For example, some councils have noted that utilities companies finish concrete pavements to a different standard to council standards</w:t>
      </w:r>
      <w:r w:rsidR="00BA71E6">
        <w:t>,</w:t>
      </w:r>
      <w:r w:rsidR="004C54F0" w:rsidRPr="00C34CF2">
        <w:t xml:space="preserve"> which is then often brought to council’s attention via community members lodging a complaint with council. </w:t>
      </w:r>
    </w:p>
    <w:p w14:paraId="2E3A8222" w14:textId="026C379B" w:rsidR="001512D2" w:rsidRPr="00C63FF8" w:rsidRDefault="001512D2" w:rsidP="002B1C86">
      <w:pPr>
        <w:pStyle w:val="Heading4-Numbered"/>
        <w:rPr>
          <w14:textFill>
            <w14:solidFill>
              <w14:schemeClr w14:val="tx2">
                <w14:lumMod w14:val="75000"/>
                <w14:lumOff w14:val="25000"/>
                <w14:lumMod w14:val="75000"/>
                <w14:lumOff w14:val="25000"/>
                <w14:lumMod w14:val="75000"/>
              </w14:schemeClr>
            </w14:solidFill>
          </w14:textFill>
        </w:rPr>
      </w:pPr>
      <w:bookmarkStart w:id="114" w:name="_Ref210918364"/>
      <w:r w:rsidRPr="00C63FF8">
        <w:rPr>
          <w14:textFill>
            <w14:solidFill>
              <w14:schemeClr w14:val="tx2">
                <w14:lumMod w14:val="75000"/>
                <w14:lumOff w14:val="25000"/>
                <w14:lumMod w14:val="75000"/>
                <w14:lumOff w14:val="25000"/>
                <w14:lumMod w14:val="75000"/>
              </w14:schemeClr>
            </w14:solidFill>
          </w14:textFill>
        </w:rPr>
        <w:t>Consultation for discontinuing a road</w:t>
      </w:r>
      <w:bookmarkEnd w:id="114"/>
    </w:p>
    <w:p w14:paraId="4A1BABE2" w14:textId="5CD7D74D" w:rsidR="00AC5361" w:rsidRDefault="00DC41B0" w:rsidP="00B201FC">
      <w:r>
        <w:t xml:space="preserve">As described </w:t>
      </w:r>
      <w:r w:rsidR="00CB6AFD">
        <w:t xml:space="preserve">in section </w:t>
      </w:r>
      <w:r w:rsidR="002762EE">
        <w:fldChar w:fldCharType="begin"/>
      </w:r>
      <w:r w:rsidR="002762EE">
        <w:instrText xml:space="preserve"> REF _Ref210918239 \r \h </w:instrText>
      </w:r>
      <w:r w:rsidR="002762EE">
        <w:fldChar w:fldCharType="separate"/>
      </w:r>
      <w:r w:rsidR="00F170D0">
        <w:t>3.2.1.3</w:t>
      </w:r>
      <w:r w:rsidR="002762EE">
        <w:fldChar w:fldCharType="end"/>
      </w:r>
      <w:r w:rsidR="00050248">
        <w:t xml:space="preserve">. </w:t>
      </w:r>
      <w:r w:rsidR="003D3F5D">
        <w:t xml:space="preserve">the </w:t>
      </w:r>
      <w:r w:rsidR="00E25B8A">
        <w:t>General Regulations provide for exemptions from the requirement to issue a notice and consult with the public</w:t>
      </w:r>
      <w:r w:rsidR="00FA0E89">
        <w:t xml:space="preserve"> before discontinuing a road</w:t>
      </w:r>
      <w:r w:rsidR="00E25B8A">
        <w:t xml:space="preserve"> in certain circumstances</w:t>
      </w:r>
      <w:r w:rsidR="00FA0E89">
        <w:t xml:space="preserve">. Because most councils appear to rely on </w:t>
      </w:r>
      <w:r w:rsidR="00087ED8">
        <w:t xml:space="preserve">powers under the </w:t>
      </w:r>
      <w:r w:rsidR="00087ED8" w:rsidRPr="00D87C51">
        <w:rPr>
          <w:i/>
        </w:rPr>
        <w:t>Local Government Act</w:t>
      </w:r>
      <w:r w:rsidR="00D87C51" w:rsidRPr="00D87C51">
        <w:rPr>
          <w:i/>
        </w:rPr>
        <w:t xml:space="preserve"> 1989</w:t>
      </w:r>
      <w:r w:rsidR="00087ED8">
        <w:t xml:space="preserve"> to discontinue a road</w:t>
      </w:r>
      <w:r w:rsidR="002A439F">
        <w:t>, the</w:t>
      </w:r>
      <w:r w:rsidR="00AC5361">
        <w:t xml:space="preserve"> Department did not receive any </w:t>
      </w:r>
      <w:r w:rsidR="00D87C51">
        <w:t>f</w:t>
      </w:r>
      <w:r w:rsidR="00AC5361">
        <w:t xml:space="preserve">eedback on the effectiveness of this regulation. However, consultation from within the Department suggests that the </w:t>
      </w:r>
      <w:r w:rsidR="007236A8">
        <w:t xml:space="preserve">exemptions </w:t>
      </w:r>
      <w:r w:rsidR="000A517F">
        <w:t xml:space="preserve">do reduce some administrative </w:t>
      </w:r>
      <w:r w:rsidR="00B54457">
        <w:t xml:space="preserve">burden </w:t>
      </w:r>
      <w:r w:rsidR="00347F6B">
        <w:t xml:space="preserve">and result in </w:t>
      </w:r>
      <w:r w:rsidR="00B54457">
        <w:t>savings</w:t>
      </w:r>
      <w:r w:rsidR="00F32482">
        <w:t xml:space="preserve">. </w:t>
      </w:r>
    </w:p>
    <w:p w14:paraId="159F1437" w14:textId="4114ED9C" w:rsidR="001512D2" w:rsidRPr="00C42577" w:rsidRDefault="001512D2" w:rsidP="00EC260C">
      <w:pPr>
        <w:pStyle w:val="Heading3-Numbered"/>
      </w:pPr>
      <w:bookmarkStart w:id="115" w:name="_Ref210838879"/>
      <w:bookmarkStart w:id="116" w:name="_Ref211247285"/>
      <w:bookmarkStart w:id="117" w:name="_Toc226448295"/>
      <w:r w:rsidRPr="00C42577">
        <w:lastRenderedPageBreak/>
        <w:t>Procedural and administrative guidance</w:t>
      </w:r>
      <w:bookmarkEnd w:id="115"/>
      <w:bookmarkEnd w:id="116"/>
      <w:bookmarkEnd w:id="117"/>
    </w:p>
    <w:p w14:paraId="1A5C572B" w14:textId="7CDE38AF" w:rsidR="001726AD" w:rsidRPr="00C63FF8" w:rsidRDefault="001726AD" w:rsidP="008C1BD3">
      <w:pPr>
        <w:pStyle w:val="Heading4-Numbered"/>
        <w:rPr>
          <w14:textFill>
            <w14:solidFill>
              <w14:schemeClr w14:val="tx2">
                <w14:lumMod w14:val="75000"/>
                <w14:lumOff w14:val="25000"/>
                <w14:lumMod w14:val="75000"/>
                <w14:lumOff w14:val="25000"/>
                <w14:lumMod w14:val="75000"/>
              </w14:schemeClr>
            </w14:solidFill>
          </w14:textFill>
        </w:rPr>
      </w:pPr>
      <w:bookmarkStart w:id="118" w:name="_Ref211595076"/>
      <w:bookmarkStart w:id="119" w:name="_Ref210922719"/>
      <w:r w:rsidRPr="00C63FF8">
        <w:rPr>
          <w14:textFill>
            <w14:solidFill>
              <w14:schemeClr w14:val="tx2">
                <w14:lumMod w14:val="75000"/>
                <w14:lumOff w14:val="25000"/>
                <w14:lumMod w14:val="75000"/>
                <w14:lumOff w14:val="25000"/>
                <w14:lumMod w14:val="75000"/>
              </w14:schemeClr>
            </w14:solidFill>
          </w14:textFill>
        </w:rPr>
        <w:t xml:space="preserve">Prescribed particulars </w:t>
      </w:r>
      <w:r w:rsidR="00D20CF8" w:rsidRPr="00C63FF8">
        <w:rPr>
          <w14:textFill>
            <w14:solidFill>
              <w14:schemeClr w14:val="tx2">
                <w14:lumMod w14:val="75000"/>
                <w14:lumOff w14:val="25000"/>
                <w14:lumMod w14:val="75000"/>
                <w14:lumOff w14:val="25000"/>
                <w14:lumMod w14:val="75000"/>
              </w14:schemeClr>
            </w14:solidFill>
          </w14:textFill>
        </w:rPr>
        <w:t>for applications for consent for works</w:t>
      </w:r>
      <w:bookmarkEnd w:id="118"/>
    </w:p>
    <w:p w14:paraId="107C274D" w14:textId="3C9EA432" w:rsidR="006F5048" w:rsidRDefault="0084346F" w:rsidP="0084346F">
      <w:r>
        <w:t xml:space="preserve">As discussed in </w:t>
      </w:r>
      <w:r w:rsidR="00FD7B94">
        <w:t>section</w:t>
      </w:r>
      <w:r>
        <w:t xml:space="preserve"> </w:t>
      </w:r>
      <w:r w:rsidR="00781F42">
        <w:fldChar w:fldCharType="begin"/>
      </w:r>
      <w:r w:rsidR="00781F42">
        <w:instrText xml:space="preserve"> REF _Ref211590657 \r \h </w:instrText>
      </w:r>
      <w:r w:rsidR="00781F42">
        <w:fldChar w:fldCharType="separate"/>
      </w:r>
      <w:r w:rsidR="00F170D0">
        <w:t>3.2.2.1</w:t>
      </w:r>
      <w:r w:rsidR="00781F42">
        <w:fldChar w:fldCharType="end"/>
      </w:r>
      <w:r w:rsidR="00781F42">
        <w:t xml:space="preserve">, </w:t>
      </w:r>
      <w:r w:rsidR="002401D4">
        <w:t>works managers and infrastructure managers conducting works</w:t>
      </w:r>
      <w:r w:rsidR="00037E00">
        <w:t xml:space="preserve"> that affect non-road infrastructure </w:t>
      </w:r>
      <w:r w:rsidR="00292491">
        <w:t>that is the responsibility of</w:t>
      </w:r>
      <w:r w:rsidR="00037E00">
        <w:t xml:space="preserve"> </w:t>
      </w:r>
      <w:r w:rsidR="00C1226B">
        <w:t>an</w:t>
      </w:r>
      <w:r w:rsidR="00037E00">
        <w:t xml:space="preserve">other </w:t>
      </w:r>
      <w:r w:rsidR="00ED759A">
        <w:t xml:space="preserve">works manager and infrastructure manager must provide </w:t>
      </w:r>
      <w:r w:rsidR="00D20CF8">
        <w:t xml:space="preserve">information to the coordinating road authority as prescribed in the </w:t>
      </w:r>
      <w:r w:rsidR="004D7370">
        <w:t>regulations.</w:t>
      </w:r>
      <w:r w:rsidR="00E612A8">
        <w:t xml:space="preserve"> However, </w:t>
      </w:r>
      <w:r w:rsidR="00125993">
        <w:t>the</w:t>
      </w:r>
      <w:r w:rsidR="00E612A8">
        <w:t xml:space="preserve"> regulations do not </w:t>
      </w:r>
      <w:r w:rsidR="006F5048">
        <w:t xml:space="preserve">currently </w:t>
      </w:r>
      <w:r w:rsidR="00E612A8">
        <w:t xml:space="preserve">specify what </w:t>
      </w:r>
      <w:r w:rsidR="00D82EB4">
        <w:t>must be included in applications for consent for works</w:t>
      </w:r>
      <w:r w:rsidR="003C4F4F">
        <w:t xml:space="preserve"> more broadly. </w:t>
      </w:r>
    </w:p>
    <w:p w14:paraId="3F90FCCF" w14:textId="0B546655" w:rsidR="007C7ACD" w:rsidRPr="00C34CF2" w:rsidRDefault="00A074B6" w:rsidP="00042811">
      <w:r>
        <w:t xml:space="preserve">As </w:t>
      </w:r>
      <w:r w:rsidR="003D6540">
        <w:t xml:space="preserve">further </w:t>
      </w:r>
      <w:r>
        <w:t xml:space="preserve">discussed at </w:t>
      </w:r>
      <w:r>
        <w:fldChar w:fldCharType="begin"/>
      </w:r>
      <w:r>
        <w:instrText xml:space="preserve"> REF _Ref210662448 \r \h </w:instrText>
      </w:r>
      <w:r>
        <w:fldChar w:fldCharType="separate"/>
      </w:r>
      <w:r w:rsidR="00F170D0">
        <w:t>3.2.2.4</w:t>
      </w:r>
      <w:r>
        <w:fldChar w:fldCharType="end"/>
      </w:r>
      <w:r>
        <w:t>, if</w:t>
      </w:r>
      <w:r w:rsidRPr="00B9348F">
        <w:t xml:space="preserve"> a</w:t>
      </w:r>
      <w:r>
        <w:t xml:space="preserve"> coordinating</w:t>
      </w:r>
      <w:r w:rsidRPr="00B9348F">
        <w:t xml:space="preserve"> road authority does not respond to an application </w:t>
      </w:r>
      <w:r>
        <w:t xml:space="preserve">for consent to conduct proposed works </w:t>
      </w:r>
      <w:r w:rsidRPr="00B9348F">
        <w:t>within 20 business days, the application is deemed to be approved</w:t>
      </w:r>
      <w:r>
        <w:t>.</w:t>
      </w:r>
      <w:r w:rsidR="00CC49F6">
        <w:t xml:space="preserve"> </w:t>
      </w:r>
      <w:r w:rsidR="00F031B9" w:rsidRPr="00C34CF2">
        <w:t>Coordinating road authorities</w:t>
      </w:r>
      <w:r w:rsidR="00F031B9">
        <w:t xml:space="preserve"> </w:t>
      </w:r>
      <w:r w:rsidR="00F031B9" w:rsidRPr="00C34CF2">
        <w:t>have commented that applicants frequently carry out works in ways that were not outlined in their application.</w:t>
      </w:r>
      <w:r w:rsidR="00F031B9" w:rsidRPr="00F031B9">
        <w:t xml:space="preserve"> </w:t>
      </w:r>
      <w:r w:rsidR="005618CF" w:rsidRPr="00C34CF2">
        <w:t>This can result in unsafe or inappropriate works being undertaken.</w:t>
      </w:r>
    </w:p>
    <w:p w14:paraId="129F9A35" w14:textId="2CA552DE" w:rsidR="003D6A3A" w:rsidRDefault="00042811" w:rsidP="00042811">
      <w:r w:rsidRPr="00C34CF2">
        <w:t xml:space="preserve">The </w:t>
      </w:r>
      <w:r w:rsidRPr="00C34CF2">
        <w:rPr>
          <w:i/>
        </w:rPr>
        <w:t>Roads and Ports Legislation Amendment (Road Safety and Other Matters) Act 2025</w:t>
      </w:r>
      <w:r w:rsidRPr="00C34CF2">
        <w:t xml:space="preserve"> included amendments to the Act to provide that an application must </w:t>
      </w:r>
      <w:r w:rsidR="00753E59">
        <w:t xml:space="preserve">be made in accordance with the regulations and </w:t>
      </w:r>
      <w:r w:rsidRPr="00C34CF2">
        <w:t xml:space="preserve">include </w:t>
      </w:r>
      <w:r w:rsidR="00753E59">
        <w:t>any</w:t>
      </w:r>
      <w:r w:rsidRPr="00C34CF2">
        <w:t xml:space="preserve"> prescribed </w:t>
      </w:r>
      <w:r w:rsidR="00753E59">
        <w:t>particulars</w:t>
      </w:r>
      <w:r w:rsidR="00191BDB">
        <w:t>.</w:t>
      </w:r>
      <w:r w:rsidR="008C1470" w:rsidRPr="00C34CF2">
        <w:rPr>
          <w:vertAlign w:val="superscript"/>
        </w:rPr>
        <w:footnoteReference w:id="17"/>
      </w:r>
      <w:r w:rsidR="008C1470" w:rsidRPr="00C34CF2">
        <w:t xml:space="preserve"> </w:t>
      </w:r>
      <w:r w:rsidR="008C55C4">
        <w:t xml:space="preserve">The </w:t>
      </w:r>
      <w:r w:rsidR="008C1470">
        <w:t xml:space="preserve">amendments </w:t>
      </w:r>
      <w:r w:rsidR="0072453D">
        <w:t xml:space="preserve">specify that the coordinating road authority </w:t>
      </w:r>
      <w:r w:rsidR="008C55C4" w:rsidRPr="008C55C4">
        <w:t>may refuse to consider the</w:t>
      </w:r>
      <w:r w:rsidR="00753E59">
        <w:t xml:space="preserve"> </w:t>
      </w:r>
      <w:r w:rsidR="0072453D">
        <w:t xml:space="preserve">application </w:t>
      </w:r>
      <w:r w:rsidR="001F7C5F">
        <w:t xml:space="preserve">until the applicant provides all the requested information. </w:t>
      </w:r>
      <w:r w:rsidR="00305833">
        <w:t xml:space="preserve">However, under the </w:t>
      </w:r>
      <w:r w:rsidR="0049222B">
        <w:t>new amendments,</w:t>
      </w:r>
      <w:r w:rsidRPr="00C34CF2">
        <w:t xml:space="preserve"> the deemed consent period for certain applications only applies if the application is complete, essentially pausing the default period for deemed consent. </w:t>
      </w:r>
    </w:p>
    <w:p w14:paraId="03AFAD9C" w14:textId="412F1B43" w:rsidR="00042811" w:rsidRDefault="00923C78" w:rsidP="00042811">
      <w:r>
        <w:t xml:space="preserve">Once in operation, </w:t>
      </w:r>
      <w:r w:rsidR="005903AF">
        <w:t xml:space="preserve">the amendments to the Act </w:t>
      </w:r>
      <w:r w:rsidR="00D05C4A">
        <w:t xml:space="preserve">will </w:t>
      </w:r>
      <w:r w:rsidR="00FF6DA0">
        <w:t>enable coordinating road authorities to</w:t>
      </w:r>
      <w:r w:rsidR="00BE42A1">
        <w:t xml:space="preserve"> </w:t>
      </w:r>
      <w:r w:rsidR="00D54DF3">
        <w:t xml:space="preserve">refuse to consider </w:t>
      </w:r>
      <w:r w:rsidR="00A16BE2">
        <w:t>an incomplete</w:t>
      </w:r>
      <w:r w:rsidR="00042811" w:rsidRPr="00C34CF2">
        <w:t xml:space="preserve"> application</w:t>
      </w:r>
      <w:r>
        <w:t xml:space="preserve">. However, </w:t>
      </w:r>
      <w:r w:rsidR="00A16BE2">
        <w:t>the regulations currently fail to specify what exactly needs to be included in the</w:t>
      </w:r>
      <w:r w:rsidR="00042811" w:rsidRPr="00C34CF2">
        <w:t xml:space="preserve"> application </w:t>
      </w:r>
      <w:r w:rsidR="00A16BE2">
        <w:t>to</w:t>
      </w:r>
      <w:r w:rsidR="00042811" w:rsidRPr="00C34CF2">
        <w:t xml:space="preserve"> allow a coordinating road authority to clearly determine when an application is complete</w:t>
      </w:r>
      <w:r w:rsidR="00042811">
        <w:t>.</w:t>
      </w:r>
      <w:r w:rsidR="007E5C8A">
        <w:t xml:space="preserve"> </w:t>
      </w:r>
      <w:r w:rsidR="00042811" w:rsidRPr="00C34CF2">
        <w:t>Applicants and coordinating road authorities may disagree about what constitutes completion, which may result in unnecessary delays and impact the commencement of works. Whil</w:t>
      </w:r>
      <w:r w:rsidR="00042811">
        <w:t>e</w:t>
      </w:r>
      <w:r w:rsidR="00042811" w:rsidRPr="00C34CF2">
        <w:t xml:space="preserve"> the Code of Practice for Management of Infrastructure in Road Reserves (Part 4) provides guidance on the preferred contents of an application, a lack of regulatory intervention means this guidance is not mandatory</w:t>
      </w:r>
      <w:r w:rsidR="00B54F6B">
        <w:t>.</w:t>
      </w:r>
    </w:p>
    <w:p w14:paraId="12D74EDC" w14:textId="7848C28B" w:rsidR="001512D2" w:rsidRPr="00C63FF8" w:rsidRDefault="001512D2" w:rsidP="008C1BD3">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Conditions not to be imposed on consent for works</w:t>
      </w:r>
      <w:bookmarkEnd w:id="119"/>
    </w:p>
    <w:p w14:paraId="0627D5E5" w14:textId="1B3C010D" w:rsidR="00166EFB" w:rsidRDefault="006D0E56" w:rsidP="002D4F0A">
      <w:r>
        <w:t xml:space="preserve">As outlined in </w:t>
      </w:r>
      <w:r w:rsidR="00FD7B94">
        <w:t>s</w:t>
      </w:r>
      <w:r>
        <w:t xml:space="preserve">ection </w:t>
      </w:r>
      <w:r w:rsidR="00355787">
        <w:fldChar w:fldCharType="begin"/>
      </w:r>
      <w:r w:rsidR="00355787">
        <w:instrText xml:space="preserve"> REF _Ref210809930 \r \h </w:instrText>
      </w:r>
      <w:r w:rsidR="00355787">
        <w:fldChar w:fldCharType="separate"/>
      </w:r>
      <w:r w:rsidR="00F170D0">
        <w:t>3.2.2.1</w:t>
      </w:r>
      <w:r w:rsidR="00355787">
        <w:fldChar w:fldCharType="end"/>
      </w:r>
      <w:r w:rsidR="00355787">
        <w:t xml:space="preserve"> the W&amp;I Regulations specify conditions that road authorities cannot impose on a consent to carry out works.</w:t>
      </w:r>
      <w:r w:rsidR="006277ED">
        <w:t xml:space="preserve"> </w:t>
      </w:r>
      <w:r w:rsidR="00776540">
        <w:t xml:space="preserve">A utilities </w:t>
      </w:r>
      <w:r w:rsidR="00D56CB0">
        <w:t xml:space="preserve">company has indicated </w:t>
      </w:r>
      <w:r w:rsidR="00DC5747">
        <w:t xml:space="preserve">that coordinating road authorities have </w:t>
      </w:r>
      <w:r w:rsidR="00286964">
        <w:t xml:space="preserve">increasingly </w:t>
      </w:r>
      <w:r w:rsidR="00DC5747">
        <w:t xml:space="preserve">been </w:t>
      </w:r>
      <w:r w:rsidR="003A052A">
        <w:t xml:space="preserve">imposing conditions on the </w:t>
      </w:r>
      <w:r w:rsidR="003A052A" w:rsidRPr="00C34CF2">
        <w:t>location of non-road infrastructure</w:t>
      </w:r>
      <w:r w:rsidR="00EF15A0">
        <w:t>,</w:t>
      </w:r>
      <w:r w:rsidR="00EF15A0" w:rsidRPr="00C34CF2">
        <w:t xml:space="preserve"> </w:t>
      </w:r>
      <w:r w:rsidR="00EF15A0">
        <w:t>partic</w:t>
      </w:r>
      <w:r w:rsidR="002B5D31">
        <w:t xml:space="preserve">ularly requirements against </w:t>
      </w:r>
      <w:r w:rsidR="00EF15A0" w:rsidRPr="00C34CF2">
        <w:t>installing assets in the roadway</w:t>
      </w:r>
      <w:r w:rsidR="002B5D31">
        <w:t>.</w:t>
      </w:r>
      <w:r w:rsidR="00996BDC">
        <w:t xml:space="preserve"> </w:t>
      </w:r>
      <w:r w:rsidR="000C30FD">
        <w:t>Changin</w:t>
      </w:r>
      <w:r w:rsidR="005C2C93">
        <w:t>g</w:t>
      </w:r>
      <w:r w:rsidR="00EE1741">
        <w:t xml:space="preserve"> the location of</w:t>
      </w:r>
      <w:r w:rsidR="000C30FD">
        <w:t xml:space="preserve"> non-road infrastructure</w:t>
      </w:r>
      <w:r w:rsidR="00283B80" w:rsidRPr="00C34CF2">
        <w:t xml:space="preserve"> can increase costs</w:t>
      </w:r>
      <w:r w:rsidR="001F5356">
        <w:t xml:space="preserve"> for </w:t>
      </w:r>
      <w:r w:rsidR="00763D8A">
        <w:t>infrastructure</w:t>
      </w:r>
      <w:r w:rsidR="001F5356">
        <w:t xml:space="preserve"> managers including utilities companies</w:t>
      </w:r>
      <w:r w:rsidR="00AD2E30">
        <w:t>. Th</w:t>
      </w:r>
      <w:r w:rsidR="00A93E62">
        <w:t>ese increased costs</w:t>
      </w:r>
      <w:r w:rsidR="001F5356">
        <w:t xml:space="preserve"> can be passed on to </w:t>
      </w:r>
      <w:r w:rsidR="00283B80" w:rsidRPr="00C34CF2">
        <w:t>the customer.</w:t>
      </w:r>
      <w:r w:rsidR="0006428A">
        <w:t xml:space="preserve"> </w:t>
      </w:r>
      <w:r w:rsidR="00A94174">
        <w:t>T</w:t>
      </w:r>
      <w:r w:rsidR="003A5F93" w:rsidRPr="00C34CF2">
        <w:t xml:space="preserve">here </w:t>
      </w:r>
      <w:r w:rsidR="005D1210" w:rsidRPr="00C34CF2">
        <w:t>ha</w:t>
      </w:r>
      <w:r w:rsidR="005D1210">
        <w:t>s</w:t>
      </w:r>
      <w:r w:rsidR="003A5F93" w:rsidRPr="00C34CF2">
        <w:t xml:space="preserve"> </w:t>
      </w:r>
      <w:r w:rsidR="00F60C30">
        <w:t xml:space="preserve">also </w:t>
      </w:r>
      <w:r w:rsidR="003A5F93" w:rsidRPr="00C34CF2">
        <w:t>been a</w:t>
      </w:r>
      <w:r w:rsidR="00DC300E">
        <w:t xml:space="preserve"> reported</w:t>
      </w:r>
      <w:r w:rsidR="003A5F93" w:rsidRPr="00C34CF2">
        <w:t xml:space="preserve"> increas</w:t>
      </w:r>
      <w:r w:rsidR="00DC300E">
        <w:t>e in</w:t>
      </w:r>
      <w:r w:rsidR="00F87581">
        <w:t xml:space="preserve"> number of</w:t>
      </w:r>
      <w:r w:rsidR="003A5F93" w:rsidRPr="00C34CF2">
        <w:t xml:space="preserve"> environmental impact conditions </w:t>
      </w:r>
      <w:r w:rsidR="009101B4">
        <w:t>imposed on</w:t>
      </w:r>
      <w:r w:rsidR="003A5F93" w:rsidRPr="00C34CF2">
        <w:t xml:space="preserve"> minor maintenance works</w:t>
      </w:r>
      <w:r w:rsidR="007C07CE">
        <w:t xml:space="preserve"> that </w:t>
      </w:r>
      <w:r w:rsidR="002810A7">
        <w:t>some utilities companies have</w:t>
      </w:r>
      <w:r w:rsidR="00D55EB0">
        <w:t xml:space="preserve"> described as </w:t>
      </w:r>
      <w:r w:rsidR="007C07CE">
        <w:t xml:space="preserve">disproportionate to the scale and relative impact of the </w:t>
      </w:r>
      <w:r w:rsidR="00C96E83">
        <w:t>works being carried out.</w:t>
      </w:r>
      <w:r w:rsidR="00A273A2">
        <w:t xml:space="preserve"> </w:t>
      </w:r>
    </w:p>
    <w:p w14:paraId="68F90F55" w14:textId="508B6BF2" w:rsidR="001512D2" w:rsidRPr="00C63FF8" w:rsidRDefault="001512D2" w:rsidP="008C1BD3">
      <w:pPr>
        <w:pStyle w:val="Heading4-Numbered"/>
        <w:rPr>
          <w14:textFill>
            <w14:solidFill>
              <w14:schemeClr w14:val="tx2">
                <w14:lumMod w14:val="75000"/>
                <w14:lumOff w14:val="25000"/>
                <w14:lumMod w14:val="75000"/>
                <w14:lumOff w14:val="25000"/>
                <w14:lumMod w14:val="75000"/>
              </w14:schemeClr>
            </w14:solidFill>
          </w14:textFill>
        </w:rPr>
      </w:pPr>
      <w:bookmarkStart w:id="120" w:name="_Ref210923677"/>
      <w:r w:rsidRPr="00C63FF8">
        <w:rPr>
          <w14:textFill>
            <w14:solidFill>
              <w14:schemeClr w14:val="tx2">
                <w14:lumMod w14:val="75000"/>
                <w14:lumOff w14:val="25000"/>
                <w14:lumMod w14:val="75000"/>
                <w14:lumOff w14:val="25000"/>
                <w14:lumMod w14:val="75000"/>
              </w14:schemeClr>
            </w14:solidFill>
          </w14:textFill>
        </w:rPr>
        <w:t>Prescribed periods for notice of completion</w:t>
      </w:r>
      <w:bookmarkEnd w:id="120"/>
    </w:p>
    <w:p w14:paraId="76642ED2" w14:textId="264B323C" w:rsidR="003420A4" w:rsidRPr="00413AAC" w:rsidRDefault="003420A4" w:rsidP="00413AAC">
      <w:r>
        <w:t xml:space="preserve">As discussed in section </w:t>
      </w:r>
      <w:r>
        <w:fldChar w:fldCharType="begin"/>
      </w:r>
      <w:r>
        <w:instrText xml:space="preserve"> REF _Ref210919775 \r \h </w:instrText>
      </w:r>
      <w:r>
        <w:fldChar w:fldCharType="separate"/>
      </w:r>
      <w:r w:rsidR="00F170D0">
        <w:t>3.2.2.3</w:t>
      </w:r>
      <w:r>
        <w:fldChar w:fldCharType="end"/>
      </w:r>
      <w:r>
        <w:t xml:space="preserve">, the W&amp;I Regulations </w:t>
      </w:r>
      <w:r w:rsidR="0068470B">
        <w:t>extends the time a</w:t>
      </w:r>
      <w:r w:rsidR="003765DA">
        <w:t xml:space="preserve"> utility or provider of public transport </w:t>
      </w:r>
      <w:r w:rsidR="0068470B">
        <w:t xml:space="preserve">that </w:t>
      </w:r>
      <w:r w:rsidR="003765DA">
        <w:t>is exempt from obtaining consent to conduct works</w:t>
      </w:r>
      <w:r w:rsidR="0068470B">
        <w:t xml:space="preserve"> </w:t>
      </w:r>
      <w:r w:rsidR="00B25AF2">
        <w:t>ha</w:t>
      </w:r>
      <w:r w:rsidR="00056048">
        <w:t>s</w:t>
      </w:r>
      <w:r w:rsidR="00B25AF2">
        <w:t xml:space="preserve"> </w:t>
      </w:r>
      <w:r w:rsidR="0068470B">
        <w:t xml:space="preserve">to notify the coordinating road authority. </w:t>
      </w:r>
      <w:r w:rsidR="00277727">
        <w:t>The Department has not received specific feedback about prescribed timeframes to submit these notices, however</w:t>
      </w:r>
      <w:r>
        <w:t xml:space="preserve"> road authorities </w:t>
      </w:r>
      <w:r w:rsidR="0068470B">
        <w:t>have expressed that they do not always receiv</w:t>
      </w:r>
      <w:r w:rsidR="00F8782B">
        <w:t>e</w:t>
      </w:r>
      <w:r w:rsidR="0068470B">
        <w:t xml:space="preserve"> notices of completion at all (see </w:t>
      </w:r>
      <w:r w:rsidR="0068470B">
        <w:fldChar w:fldCharType="begin"/>
      </w:r>
      <w:r w:rsidR="0068470B">
        <w:instrText xml:space="preserve"> REF _Ref210816787 \r \h </w:instrText>
      </w:r>
      <w:r w:rsidR="0068470B">
        <w:fldChar w:fldCharType="separate"/>
      </w:r>
      <w:r w:rsidR="00F170D0">
        <w:t>3.3.1.2</w:t>
      </w:r>
      <w:r w:rsidR="0068470B">
        <w:fldChar w:fldCharType="end"/>
      </w:r>
      <w:r w:rsidR="0068470B">
        <w:t>)</w:t>
      </w:r>
      <w:r w:rsidR="001F4C51">
        <w:t>,</w:t>
      </w:r>
      <w:r w:rsidR="00F54829">
        <w:t xml:space="preserve"> even when not exempt.</w:t>
      </w:r>
      <w:r w:rsidR="0068470B">
        <w:t xml:space="preserve"> </w:t>
      </w:r>
    </w:p>
    <w:p w14:paraId="35CE1FAC" w14:textId="47172F96" w:rsidR="001512D2" w:rsidRPr="00C63FF8" w:rsidRDefault="001512D2" w:rsidP="008C1BD3">
      <w:pPr>
        <w:pStyle w:val="Heading4-Numbered"/>
        <w:rPr>
          <w14:textFill>
            <w14:solidFill>
              <w14:schemeClr w14:val="tx2">
                <w14:lumMod w14:val="75000"/>
                <w14:lumOff w14:val="25000"/>
                <w14:lumMod w14:val="75000"/>
                <w14:lumOff w14:val="25000"/>
                <w14:lumMod w14:val="75000"/>
              </w14:schemeClr>
            </w14:solidFill>
          </w14:textFill>
        </w:rPr>
      </w:pPr>
      <w:bookmarkStart w:id="121" w:name="_Ref210923684"/>
      <w:bookmarkStart w:id="122" w:name="_Ref211345951"/>
      <w:r w:rsidRPr="00C63FF8">
        <w:rPr>
          <w14:textFill>
            <w14:solidFill>
              <w14:schemeClr w14:val="tx2">
                <w14:lumMod w14:val="75000"/>
                <w14:lumOff w14:val="25000"/>
                <w14:lumMod w14:val="75000"/>
                <w14:lumOff w14:val="25000"/>
                <w14:lumMod w14:val="75000"/>
              </w14:schemeClr>
            </w14:solidFill>
          </w14:textFill>
        </w:rPr>
        <w:t xml:space="preserve">Prescribed periods for </w:t>
      </w:r>
      <w:bookmarkEnd w:id="121"/>
      <w:r w:rsidR="003D7394" w:rsidRPr="00C63FF8">
        <w:rPr>
          <w14:textFill>
            <w14:solidFill>
              <w14:schemeClr w14:val="tx2">
                <w14:lumMod w14:val="75000"/>
                <w14:lumOff w14:val="25000"/>
                <w14:lumMod w14:val="75000"/>
                <w14:lumOff w14:val="25000"/>
                <w14:lumMod w14:val="75000"/>
              </w14:schemeClr>
            </w14:solidFill>
          </w14:textFill>
        </w:rPr>
        <w:t>outcome of application for consent</w:t>
      </w:r>
      <w:bookmarkEnd w:id="122"/>
    </w:p>
    <w:p w14:paraId="0224102A" w14:textId="102F7BB4" w:rsidR="00B852DB" w:rsidRPr="00B852DB" w:rsidRDefault="00B852DB" w:rsidP="00B852DB">
      <w:r w:rsidRPr="00B852DB">
        <w:t xml:space="preserve">As described in section </w:t>
      </w:r>
      <w:r w:rsidRPr="00B852DB">
        <w:fldChar w:fldCharType="begin"/>
      </w:r>
      <w:r w:rsidRPr="00B852DB">
        <w:instrText xml:space="preserve"> REF _Ref210662448 \r \h </w:instrText>
      </w:r>
      <w:r>
        <w:instrText xml:space="preserve"> \* MERGEFORMAT </w:instrText>
      </w:r>
      <w:r w:rsidRPr="00B852DB">
        <w:fldChar w:fldCharType="separate"/>
      </w:r>
      <w:r w:rsidR="00F170D0">
        <w:t>3.2.2.4</w:t>
      </w:r>
      <w:r w:rsidRPr="00B852DB">
        <w:fldChar w:fldCharType="end"/>
      </w:r>
      <w:r w:rsidR="00AA4745">
        <w:t xml:space="preserve">, </w:t>
      </w:r>
      <w:r w:rsidR="007E258B" w:rsidRPr="00B852DB">
        <w:t>the W&amp;I Regulations</w:t>
      </w:r>
      <w:r w:rsidR="007E258B">
        <w:t xml:space="preserve"> shorten the specified </w:t>
      </w:r>
      <w:r w:rsidR="00092655">
        <w:t>timeframe</w:t>
      </w:r>
      <w:r w:rsidR="00030409">
        <w:t xml:space="preserve"> </w:t>
      </w:r>
      <w:r w:rsidR="003A603E">
        <w:t>i</w:t>
      </w:r>
      <w:r w:rsidR="0047582D">
        <w:t xml:space="preserve">n which </w:t>
      </w:r>
      <w:r w:rsidR="00F07B08">
        <w:t xml:space="preserve">road authorities must </w:t>
      </w:r>
      <w:r w:rsidR="00EC0353">
        <w:t>respond to</w:t>
      </w:r>
      <w:r w:rsidR="00030409">
        <w:t xml:space="preserve"> applications </w:t>
      </w:r>
      <w:r w:rsidR="00CC65C6">
        <w:t xml:space="preserve">for consent </w:t>
      </w:r>
      <w:r w:rsidR="00030409">
        <w:t>to conduct works.</w:t>
      </w:r>
      <w:r w:rsidR="008B67FA">
        <w:t xml:space="preserve"> </w:t>
      </w:r>
      <w:r w:rsidR="00C523ED">
        <w:t xml:space="preserve">Instead of 20 days as prescribed for all other </w:t>
      </w:r>
      <w:r w:rsidR="00C523ED">
        <w:lastRenderedPageBreak/>
        <w:t>works,</w:t>
      </w:r>
      <w:r w:rsidR="00514282">
        <w:t xml:space="preserve"> </w:t>
      </w:r>
      <w:r w:rsidRPr="00B852DB">
        <w:t xml:space="preserve">utility applications </w:t>
      </w:r>
      <w:r w:rsidR="00514282">
        <w:t>must be assessed within</w:t>
      </w:r>
      <w:r w:rsidRPr="00B852DB">
        <w:t xml:space="preserve"> 15 business days for service extension works, and 3 business days for works that enable a person to be provided a </w:t>
      </w:r>
      <w:r w:rsidR="001C2C9F">
        <w:t xml:space="preserve">utility </w:t>
      </w:r>
      <w:r w:rsidRPr="00B852DB">
        <w:t xml:space="preserve">service. </w:t>
      </w:r>
    </w:p>
    <w:p w14:paraId="419A0922" w14:textId="6DAF0C8F" w:rsidR="008421AF" w:rsidRPr="00B852DB" w:rsidRDefault="00B852DB" w:rsidP="00DA1014">
      <w:r w:rsidRPr="00B852DB">
        <w:t xml:space="preserve">One utility company has reported that 70 per cent of its traffic impact works are maintenance works. These types for works are sometimes only 15-20 minutes in duration, for example, to replace fuses. </w:t>
      </w:r>
      <w:r w:rsidR="00B5767E">
        <w:t>M</w:t>
      </w:r>
      <w:r w:rsidRPr="00B852DB">
        <w:t>aintenance works fall within the definition of minor works</w:t>
      </w:r>
      <w:r w:rsidR="00B8751A">
        <w:t xml:space="preserve">. However, because </w:t>
      </w:r>
      <w:r w:rsidR="00B15659">
        <w:t>they are also</w:t>
      </w:r>
      <w:r w:rsidRPr="00B852DB">
        <w:t xml:space="preserve"> traffic impact works</w:t>
      </w:r>
      <w:r w:rsidR="00B15659">
        <w:t>, they do not benefit from the exemption</w:t>
      </w:r>
      <w:r w:rsidR="00A625B8">
        <w:t xml:space="preserve"> from the requirement to obtain consent</w:t>
      </w:r>
      <w:r w:rsidRPr="00B852DB">
        <w:t>.</w:t>
      </w:r>
      <w:r w:rsidR="00B61C63">
        <w:t xml:space="preserve"> </w:t>
      </w:r>
      <w:r w:rsidR="00B15659">
        <w:t>On top of this, maintenance works that are traffic impact works would not be</w:t>
      </w:r>
      <w:r w:rsidR="006C6D94">
        <w:t xml:space="preserve"> </w:t>
      </w:r>
      <w:r w:rsidR="00EC0866">
        <w:t xml:space="preserve">eligible for the reduced prescribed periods </w:t>
      </w:r>
      <w:r w:rsidR="00A54E50">
        <w:t xml:space="preserve">for the provision for consent under the regulations </w:t>
      </w:r>
      <w:r w:rsidR="0070389A">
        <w:t>because</w:t>
      </w:r>
      <w:r w:rsidR="00A54E50">
        <w:t xml:space="preserve"> they are not service extension works or</w:t>
      </w:r>
      <w:r w:rsidR="00FD008A">
        <w:t xml:space="preserve"> necessarily</w:t>
      </w:r>
      <w:r w:rsidR="00A54E50">
        <w:t xml:space="preserve"> enable </w:t>
      </w:r>
      <w:r w:rsidR="004A71EE">
        <w:t xml:space="preserve">someone to be </w:t>
      </w:r>
      <w:r w:rsidR="00BF7F24">
        <w:t>provided a utility service.</w:t>
      </w:r>
      <w:r w:rsidR="006C34BD">
        <w:t xml:space="preserve"> </w:t>
      </w:r>
      <w:r w:rsidRPr="00B852DB">
        <w:t>While deemed consent at the conclusion of the set timeframe of 20 business days is beneficial, this wait</w:t>
      </w:r>
      <w:r w:rsidR="002279D7">
        <w:t>-</w:t>
      </w:r>
      <w:r w:rsidRPr="00B852DB">
        <w:t>time can still affect a utility company’s works program.</w:t>
      </w:r>
    </w:p>
    <w:p w14:paraId="3FA1E3A0" w14:textId="3F7836C2" w:rsidR="001512D2" w:rsidRPr="00C63FF8" w:rsidRDefault="007D4C71" w:rsidP="008C1BD3">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 xml:space="preserve">Matters </w:t>
      </w:r>
      <w:r w:rsidR="001512D2" w:rsidRPr="00C63FF8">
        <w:rPr>
          <w14:textFill>
            <w14:solidFill>
              <w14:schemeClr w14:val="tx2">
                <w14:lumMod w14:val="75000"/>
                <w14:lumOff w14:val="25000"/>
                <w14:lumMod w14:val="75000"/>
                <w14:lumOff w14:val="25000"/>
                <w14:lumMod w14:val="75000"/>
              </w14:schemeClr>
            </w14:solidFill>
          </w14:textFill>
        </w:rPr>
        <w:t>to include in road registers</w:t>
      </w:r>
    </w:p>
    <w:p w14:paraId="40039983" w14:textId="669789E7" w:rsidR="008B6CCE" w:rsidRPr="008B6CCE" w:rsidRDefault="002764C4" w:rsidP="002764C4">
      <w:r>
        <w:t xml:space="preserve">As section </w:t>
      </w:r>
      <w:r>
        <w:fldChar w:fldCharType="begin"/>
      </w:r>
      <w:r>
        <w:instrText xml:space="preserve"> REF _Ref210920393 \r \h </w:instrText>
      </w:r>
      <w:r>
        <w:fldChar w:fldCharType="separate"/>
      </w:r>
      <w:r w:rsidR="00F170D0">
        <w:t>3.2.2.5</w:t>
      </w:r>
      <w:r>
        <w:fldChar w:fldCharType="end"/>
      </w:r>
      <w:r>
        <w:t xml:space="preserve"> outlines, the regulations prescribe that road authorities must include declared controlled access roads in their road registers. The Department has not received any significant feedback on this matter.</w:t>
      </w:r>
    </w:p>
    <w:p w14:paraId="40A6384F" w14:textId="1D799E4E" w:rsidR="001512D2" w:rsidRPr="00C63FF8" w:rsidRDefault="001512D2" w:rsidP="008C1BD3">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 xml:space="preserve">Review and </w:t>
      </w:r>
      <w:r w:rsidR="00B948D1" w:rsidRPr="00C63FF8">
        <w:rPr>
          <w14:textFill>
            <w14:solidFill>
              <w14:schemeClr w14:val="tx2">
                <w14:lumMod w14:val="75000"/>
                <w14:lumOff w14:val="25000"/>
                <w14:lumMod w14:val="75000"/>
                <w14:lumOff w14:val="25000"/>
                <w14:lumMod w14:val="75000"/>
              </w14:schemeClr>
            </w14:solidFill>
          </w14:textFill>
        </w:rPr>
        <w:t xml:space="preserve">amendment </w:t>
      </w:r>
      <w:r w:rsidRPr="00C63FF8">
        <w:rPr>
          <w14:textFill>
            <w14:solidFill>
              <w14:schemeClr w14:val="tx2">
                <w14:lumMod w14:val="75000"/>
                <w14:lumOff w14:val="25000"/>
                <w14:lumMod w14:val="75000"/>
                <w14:lumOff w14:val="25000"/>
                <w14:lumMod w14:val="75000"/>
              </w14:schemeClr>
            </w14:solidFill>
          </w14:textFill>
        </w:rPr>
        <w:t>of Road Management Plans</w:t>
      </w:r>
    </w:p>
    <w:p w14:paraId="621CDAD8" w14:textId="2C6DE1ED" w:rsidR="002F4C5C" w:rsidRDefault="008E2161" w:rsidP="002F4C5C">
      <w:r>
        <w:t xml:space="preserve">As section </w:t>
      </w:r>
      <w:r w:rsidR="00AE6954">
        <w:fldChar w:fldCharType="begin"/>
      </w:r>
      <w:r w:rsidR="00AE6954">
        <w:instrText xml:space="preserve"> REF _Ref210920404 \r \h </w:instrText>
      </w:r>
      <w:r w:rsidR="00AE6954">
        <w:fldChar w:fldCharType="separate"/>
      </w:r>
      <w:r w:rsidR="00F170D0">
        <w:t>3.2.2.6</w:t>
      </w:r>
      <w:r w:rsidR="00AE6954">
        <w:fldChar w:fldCharType="end"/>
      </w:r>
      <w:r w:rsidR="00AE6954">
        <w:t xml:space="preserve"> describes, the regulations prescribe that </w:t>
      </w:r>
      <w:r w:rsidR="00AD7344">
        <w:t xml:space="preserve">road authorities that choose to create a road management plan must </w:t>
      </w:r>
      <w:r w:rsidR="001D0E04">
        <w:t xml:space="preserve">review </w:t>
      </w:r>
      <w:r w:rsidR="00D9058F">
        <w:t>the</w:t>
      </w:r>
      <w:r w:rsidR="001D0E04">
        <w:t xml:space="preserve"> plan every five years</w:t>
      </w:r>
      <w:r w:rsidR="00AE6954">
        <w:t xml:space="preserve">. </w:t>
      </w:r>
      <w:r w:rsidR="002F4C5C">
        <w:t>Feedback from road authorities suggested that the prescribed frequency for reviewing Road Management Plans was appropriate for the purposes</w:t>
      </w:r>
      <w:r w:rsidR="00124DC8">
        <w:t xml:space="preserve"> of maintaining and protecting the quality of roads</w:t>
      </w:r>
      <w:r w:rsidR="00AF6809">
        <w:t>.</w:t>
      </w:r>
    </w:p>
    <w:p w14:paraId="4C846A91" w14:textId="5869C4F6" w:rsidR="008E2161" w:rsidRPr="00C63FF8" w:rsidRDefault="008E2161" w:rsidP="008E2161">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Notices of incident and condition reports</w:t>
      </w:r>
    </w:p>
    <w:p w14:paraId="38A92886" w14:textId="053071B3" w:rsidR="008E2161" w:rsidRDefault="00174727" w:rsidP="002F4C5C">
      <w:r>
        <w:t xml:space="preserve">As section </w:t>
      </w:r>
      <w:r w:rsidR="00FE6ED7">
        <w:fldChar w:fldCharType="begin"/>
      </w:r>
      <w:r w:rsidR="00FE6ED7">
        <w:instrText xml:space="preserve"> REF _Ref210920419 \r \h </w:instrText>
      </w:r>
      <w:r w:rsidR="00FE6ED7">
        <w:fldChar w:fldCharType="separate"/>
      </w:r>
      <w:r w:rsidR="00F170D0">
        <w:t>3.2.2.7</w:t>
      </w:r>
      <w:r w:rsidR="00FE6ED7">
        <w:fldChar w:fldCharType="end"/>
      </w:r>
      <w:r>
        <w:t xml:space="preserve"> describe</w:t>
      </w:r>
      <w:r w:rsidR="00FE6ED7">
        <w:t xml:space="preserve">s, the regulations provide </w:t>
      </w:r>
      <w:r w:rsidR="00FE6ED7" w:rsidRPr="009B2025">
        <w:t xml:space="preserve">guidance about information </w:t>
      </w:r>
      <w:r w:rsidR="00FE6ED7">
        <w:t xml:space="preserve">that </w:t>
      </w:r>
      <w:r w:rsidR="00FE6ED7" w:rsidRPr="009B2025">
        <w:t>should be included in a notice of an incident</w:t>
      </w:r>
      <w:r w:rsidR="00FE6ED7">
        <w:t xml:space="preserve"> and matters that are required to be included in</w:t>
      </w:r>
      <w:r w:rsidR="00FE6ED7" w:rsidRPr="009B2025">
        <w:t xml:space="preserve"> condition reports</w:t>
      </w:r>
      <w:r w:rsidR="00FE6ED7">
        <w:t>. The Department has not received any significant feedback on this matter.</w:t>
      </w:r>
    </w:p>
    <w:p w14:paraId="1A937DE1" w14:textId="7F6B6349" w:rsidR="00C53B12" w:rsidRPr="00C63FF8" w:rsidRDefault="00D8481E" w:rsidP="00C53B12">
      <w:pPr>
        <w:pStyle w:val="Heading4-Numbered"/>
        <w:rPr>
          <w14:textFill>
            <w14:solidFill>
              <w14:schemeClr w14:val="tx2">
                <w14:lumMod w14:val="75000"/>
                <w14:lumOff w14:val="25000"/>
                <w14:lumMod w14:val="75000"/>
                <w14:lumOff w14:val="25000"/>
                <w14:lumMod w14:val="75000"/>
              </w14:schemeClr>
            </w14:solidFill>
          </w14:textFill>
        </w:rPr>
      </w:pPr>
      <w:bookmarkStart w:id="123" w:name="_Ref213423383"/>
      <w:bookmarkStart w:id="124" w:name="_Hlk214031570"/>
      <w:r w:rsidRPr="00C63FF8">
        <w:rPr>
          <w14:textFill>
            <w14:solidFill>
              <w14:schemeClr w14:val="tx2">
                <w14:lumMod w14:val="75000"/>
                <w14:lumOff w14:val="25000"/>
                <w14:lumMod w14:val="75000"/>
                <w14:lumOff w14:val="25000"/>
                <w14:lumMod w14:val="75000"/>
              </w14:schemeClr>
            </w14:solidFill>
          </w14:textFill>
        </w:rPr>
        <w:t>Responsibility for certain road</w:t>
      </w:r>
      <w:r w:rsidR="0076228D" w:rsidRPr="00C63FF8">
        <w:rPr>
          <w14:textFill>
            <w14:solidFill>
              <w14:schemeClr w14:val="tx2">
                <w14:lumMod w14:val="75000"/>
                <w14:lumOff w14:val="25000"/>
                <w14:lumMod w14:val="75000"/>
                <w14:lumOff w14:val="25000"/>
                <w14:lumMod w14:val="75000"/>
              </w14:schemeClr>
            </w14:solidFill>
          </w14:textFill>
        </w:rPr>
        <w:t>-related</w:t>
      </w:r>
      <w:r w:rsidRPr="00C63FF8">
        <w:rPr>
          <w14:textFill>
            <w14:solidFill>
              <w14:schemeClr w14:val="tx2">
                <w14:lumMod w14:val="75000"/>
                <w14:lumOff w14:val="25000"/>
                <w14:lumMod w14:val="75000"/>
                <w14:lumOff w14:val="25000"/>
                <w14:lumMod w14:val="75000"/>
              </w14:schemeClr>
            </w14:solidFill>
          </w14:textFill>
        </w:rPr>
        <w:t xml:space="preserve"> infrastructure</w:t>
      </w:r>
      <w:bookmarkEnd w:id="123"/>
    </w:p>
    <w:p w14:paraId="0CAC0310" w14:textId="1CDEBB97" w:rsidR="00FB28DF" w:rsidRDefault="0079385B" w:rsidP="002F4C5C">
      <w:r>
        <w:t>Over the last decade, t</w:t>
      </w:r>
      <w:r w:rsidR="00D976E1">
        <w:t>he Victorian Government has in</w:t>
      </w:r>
      <w:r w:rsidR="00E22AF1">
        <w:t>vested significantly in rail infrastructure</w:t>
      </w:r>
      <w:r w:rsidR="009544E5">
        <w:t xml:space="preserve"> through the Big Build.</w:t>
      </w:r>
      <w:r w:rsidR="00E94D56">
        <w:t xml:space="preserve"> </w:t>
      </w:r>
      <w:r w:rsidR="0052025C">
        <w:t>As a result, a substantial number of new</w:t>
      </w:r>
      <w:r w:rsidR="00A5358E">
        <w:t xml:space="preserve"> and modified</w:t>
      </w:r>
      <w:r w:rsidR="0052025C">
        <w:t xml:space="preserve"> assets</w:t>
      </w:r>
      <w:r w:rsidR="00DE2692">
        <w:t>, such as bridges,</w:t>
      </w:r>
      <w:r w:rsidR="0052025C">
        <w:t xml:space="preserve"> have been built that require ongoing maintenance</w:t>
      </w:r>
      <w:r w:rsidR="005829EC">
        <w:t>.</w:t>
      </w:r>
      <w:r w:rsidR="0074402C">
        <w:t xml:space="preserve"> </w:t>
      </w:r>
    </w:p>
    <w:p w14:paraId="28F558C9" w14:textId="596C5002" w:rsidR="00961D5C" w:rsidRDefault="00236A40" w:rsidP="00D24D9C">
      <w:r>
        <w:t xml:space="preserve">Once </w:t>
      </w:r>
      <w:r w:rsidR="00537B39">
        <w:t xml:space="preserve">works have been completed and </w:t>
      </w:r>
      <w:r w:rsidR="00512517">
        <w:t xml:space="preserve">each individual </w:t>
      </w:r>
      <w:r w:rsidR="00537B39">
        <w:t xml:space="preserve">project </w:t>
      </w:r>
      <w:r w:rsidR="00512517">
        <w:t xml:space="preserve">is </w:t>
      </w:r>
      <w:r w:rsidR="00537B39">
        <w:t xml:space="preserve">delivered, the State is obligated to ensure that </w:t>
      </w:r>
      <w:r w:rsidR="00961D5C">
        <w:t xml:space="preserve">ownership of these assets is effectively transferred to the responsible road authority. </w:t>
      </w:r>
      <w:r w:rsidR="00B65963">
        <w:t>Section 37</w:t>
      </w:r>
      <w:r w:rsidR="007158BD">
        <w:t xml:space="preserve">(2) of the Act </w:t>
      </w:r>
      <w:r w:rsidR="005E4744">
        <w:t>provides</w:t>
      </w:r>
      <w:r w:rsidR="00AB1B5A">
        <w:t xml:space="preserve"> that</w:t>
      </w:r>
      <w:r w:rsidR="00DA0347">
        <w:t xml:space="preserve">, </w:t>
      </w:r>
      <w:r w:rsidR="005E4744">
        <w:t>subject to any other Act,</w:t>
      </w:r>
      <w:r w:rsidR="00AB1B5A">
        <w:t xml:space="preserve"> </w:t>
      </w:r>
      <w:r w:rsidR="00CD7CB6">
        <w:t xml:space="preserve">the responsible road authority for </w:t>
      </w:r>
      <w:r w:rsidR="009E6101">
        <w:t xml:space="preserve">road-related infrastructure is </w:t>
      </w:r>
      <w:r w:rsidR="00CD7CB6">
        <w:t xml:space="preserve">the </w:t>
      </w:r>
      <w:r w:rsidR="004E4189">
        <w:t xml:space="preserve">responsible road authority for the </w:t>
      </w:r>
      <w:r w:rsidR="00CD7CB6">
        <w:t>roadway or pathway to which the road</w:t>
      </w:r>
      <w:r w:rsidR="004E4189">
        <w:t>-related</w:t>
      </w:r>
      <w:r w:rsidR="00CD7CB6">
        <w:t xml:space="preserve"> infr</w:t>
      </w:r>
      <w:r w:rsidR="0083326D">
        <w:t>astructure</w:t>
      </w:r>
      <w:r w:rsidR="00B65963">
        <w:t xml:space="preserve"> </w:t>
      </w:r>
      <w:r w:rsidR="004E4189">
        <w:t xml:space="preserve">relates. </w:t>
      </w:r>
    </w:p>
    <w:p w14:paraId="68FEBBC4" w14:textId="06AF56E6" w:rsidR="00F77DE8" w:rsidRDefault="00E127EA" w:rsidP="002F4C5C">
      <w:r>
        <w:t>The</w:t>
      </w:r>
      <w:r w:rsidR="00D24D9C">
        <w:t xml:space="preserve"> Victorian Infrastructure Delivery Authority (VIDA) has experienced challenges </w:t>
      </w:r>
      <w:r w:rsidR="00CD0501">
        <w:t>regarding</w:t>
      </w:r>
      <w:r w:rsidR="00D24D9C">
        <w:t xml:space="preserve"> the transfer of </w:t>
      </w:r>
      <w:r>
        <w:t>certain road-related infrastructure</w:t>
      </w:r>
      <w:r w:rsidR="00D24D9C">
        <w:t xml:space="preserve"> to the responsible road authority under the Act.</w:t>
      </w:r>
      <w:r>
        <w:t xml:space="preserve"> </w:t>
      </w:r>
      <w:r w:rsidR="00821976">
        <w:t>Th</w:t>
      </w:r>
      <w:r w:rsidR="000555B7">
        <w:t xml:space="preserve">is is largely </w:t>
      </w:r>
      <w:r w:rsidR="00913496">
        <w:t>because the</w:t>
      </w:r>
      <w:r w:rsidR="00821976">
        <w:t xml:space="preserve"> responsible road authority under the Act is not always the </w:t>
      </w:r>
      <w:r w:rsidR="009D36D5">
        <w:t xml:space="preserve">most appropriate entity to take ownership of </w:t>
      </w:r>
      <w:r w:rsidR="00045407">
        <w:t xml:space="preserve">these bridges. </w:t>
      </w:r>
      <w:r w:rsidR="00E60D3E">
        <w:t>This has</w:t>
      </w:r>
      <w:r w:rsidR="00045407">
        <w:t xml:space="preserve"> </w:t>
      </w:r>
      <w:r w:rsidR="00C74881">
        <w:t xml:space="preserve">resulted in bespoke agreements and, in some cases, </w:t>
      </w:r>
      <w:r w:rsidR="00F901F7">
        <w:t xml:space="preserve">assets being orphaned with no entity taking responsibility </w:t>
      </w:r>
      <w:r w:rsidR="00F77DE8">
        <w:t xml:space="preserve">for maintenance. </w:t>
      </w:r>
      <w:r w:rsidR="00CC7687">
        <w:t xml:space="preserve">Bridges </w:t>
      </w:r>
      <w:r w:rsidR="00FE4734">
        <w:t xml:space="preserve">that support municipal roads or pedestrian crossings </w:t>
      </w:r>
      <w:r w:rsidR="00CC7687">
        <w:t xml:space="preserve">over </w:t>
      </w:r>
      <w:r w:rsidR="001C0641">
        <w:t>railway lines</w:t>
      </w:r>
      <w:r w:rsidR="00FE4734">
        <w:t xml:space="preserve"> </w:t>
      </w:r>
      <w:r w:rsidR="007A6D80">
        <w:t>have been noted to be at risk</w:t>
      </w:r>
      <w:r w:rsidR="003B6E24">
        <w:t xml:space="preserve"> of this occurring</w:t>
      </w:r>
      <w:r w:rsidR="007A6D80">
        <w:t>.</w:t>
      </w:r>
    </w:p>
    <w:p w14:paraId="5ACA04AD" w14:textId="79296C50" w:rsidR="00F77DE8" w:rsidRPr="002F4C5C" w:rsidRDefault="00936D72" w:rsidP="002F4C5C">
      <w:r>
        <w:t xml:space="preserve">As discussed in section </w:t>
      </w:r>
      <w:r>
        <w:fldChar w:fldCharType="begin"/>
      </w:r>
      <w:r>
        <w:instrText xml:space="preserve"> REF _Ref213419201 \r \h </w:instrText>
      </w:r>
      <w:r>
        <w:fldChar w:fldCharType="separate"/>
      </w:r>
      <w:r w:rsidR="00F170D0">
        <w:t>3.1</w:t>
      </w:r>
      <w:r>
        <w:fldChar w:fldCharType="end"/>
      </w:r>
      <w:r>
        <w:t>, lack of</w:t>
      </w:r>
      <w:r w:rsidR="00345F40">
        <w:t>, or poor, maintenance of road infrastructure can lead to unsafe outcomes at a cost to government and the broader community.</w:t>
      </w:r>
    </w:p>
    <w:p w14:paraId="5C89C508" w14:textId="3DB41AFA" w:rsidR="001512D2" w:rsidRPr="00C42577" w:rsidRDefault="001512D2" w:rsidP="00F10C0E">
      <w:pPr>
        <w:pStyle w:val="Heading3-Numbered"/>
      </w:pPr>
      <w:bookmarkStart w:id="125" w:name="_Toc226448296"/>
      <w:bookmarkEnd w:id="124"/>
      <w:r w:rsidRPr="00C42577">
        <w:t>Protection of people and property</w:t>
      </w:r>
      <w:bookmarkEnd w:id="125"/>
    </w:p>
    <w:p w14:paraId="2C58A7F0" w14:textId="356C58D6" w:rsidR="001512D2" w:rsidRPr="00C63FF8" w:rsidRDefault="001512D2" w:rsidP="00067E8B">
      <w:pPr>
        <w:pStyle w:val="Heading4-Numbered"/>
        <w:rPr>
          <w14:textFill>
            <w14:solidFill>
              <w14:schemeClr w14:val="tx2">
                <w14:lumMod w14:val="75000"/>
                <w14:lumOff w14:val="25000"/>
                <w14:lumMod w14:val="75000"/>
                <w14:lumOff w14:val="25000"/>
                <w14:lumMod w14:val="75000"/>
              </w14:schemeClr>
            </w14:solidFill>
          </w14:textFill>
        </w:rPr>
      </w:pPr>
      <w:bookmarkStart w:id="126" w:name="_Ref211351381"/>
      <w:r w:rsidRPr="00C63FF8">
        <w:rPr>
          <w14:textFill>
            <w14:solidFill>
              <w14:schemeClr w14:val="tx2">
                <w14:lumMod w14:val="75000"/>
                <w14:lumOff w14:val="25000"/>
                <w14:lumMod w14:val="75000"/>
                <w14:lumOff w14:val="25000"/>
                <w14:lumMod w14:val="75000"/>
              </w14:schemeClr>
            </w14:solidFill>
          </w14:textFill>
        </w:rPr>
        <w:t>General interference with roads or construction zones</w:t>
      </w:r>
      <w:bookmarkEnd w:id="126"/>
    </w:p>
    <w:p w14:paraId="5A1919BF" w14:textId="6904D25D" w:rsidR="00BD3430" w:rsidRPr="00BD3430" w:rsidRDefault="00DA23D0" w:rsidP="00BD3430">
      <w:r>
        <w:t xml:space="preserve">As described at </w:t>
      </w:r>
      <w:r>
        <w:fldChar w:fldCharType="begin"/>
      </w:r>
      <w:r>
        <w:instrText xml:space="preserve"> REF _Ref211351381 \r \h </w:instrText>
      </w:r>
      <w:r>
        <w:fldChar w:fldCharType="separate"/>
      </w:r>
      <w:r w:rsidR="00F170D0">
        <w:t>3.3.3.1</w:t>
      </w:r>
      <w:r>
        <w:fldChar w:fldCharType="end"/>
      </w:r>
      <w:r>
        <w:t xml:space="preserve">, the regulations </w:t>
      </w:r>
      <w:r w:rsidR="00DA2B63">
        <w:t xml:space="preserve">create offences for interfering </w:t>
      </w:r>
      <w:r w:rsidR="009F1804">
        <w:t xml:space="preserve">with </w:t>
      </w:r>
      <w:r w:rsidR="00DA2B63">
        <w:t>o</w:t>
      </w:r>
      <w:r w:rsidR="000B53D1">
        <w:t xml:space="preserve">r damaging road </w:t>
      </w:r>
      <w:r w:rsidR="000D20AA">
        <w:t>infrastructure</w:t>
      </w:r>
      <w:r w:rsidR="00C33FCF">
        <w:t xml:space="preserve">, the roadside or ancillary areas or construction sites on </w:t>
      </w:r>
      <w:r w:rsidR="00850E56">
        <w:t>HTfV property. The</w:t>
      </w:r>
      <w:r w:rsidR="006C5009">
        <w:t xml:space="preserve"> Department did not receive </w:t>
      </w:r>
      <w:r w:rsidR="002F0089">
        <w:t>any</w:t>
      </w:r>
      <w:r w:rsidR="006C5009">
        <w:t xml:space="preserve"> fe</w:t>
      </w:r>
      <w:r w:rsidR="00271560">
        <w:t xml:space="preserve">edback on the </w:t>
      </w:r>
      <w:r w:rsidR="002F0089">
        <w:t xml:space="preserve">effectiveness of </w:t>
      </w:r>
      <w:r w:rsidR="000D20AA">
        <w:t xml:space="preserve">these offences under the </w:t>
      </w:r>
      <w:r w:rsidR="00271560">
        <w:t>regulation</w:t>
      </w:r>
      <w:r w:rsidR="00B15DAF">
        <w:t>s</w:t>
      </w:r>
      <w:r w:rsidR="000D20AA">
        <w:t>.</w:t>
      </w:r>
    </w:p>
    <w:p w14:paraId="602F6878" w14:textId="1898C730" w:rsidR="001512D2" w:rsidRPr="00C63FF8" w:rsidRDefault="001512D2" w:rsidP="00067E8B">
      <w:pPr>
        <w:pStyle w:val="Heading4-Numbered"/>
        <w:rPr>
          <w14:textFill>
            <w14:solidFill>
              <w14:schemeClr w14:val="tx2">
                <w14:lumMod w14:val="75000"/>
                <w14:lumOff w14:val="25000"/>
                <w14:lumMod w14:val="75000"/>
                <w14:lumOff w14:val="25000"/>
                <w14:lumMod w14:val="75000"/>
              </w14:schemeClr>
            </w14:solidFill>
          </w14:textFill>
        </w:rPr>
      </w:pPr>
      <w:bookmarkStart w:id="127" w:name="_Ref211524028"/>
      <w:r w:rsidRPr="00C63FF8">
        <w:rPr>
          <w14:textFill>
            <w14:solidFill>
              <w14:schemeClr w14:val="tx2">
                <w14:lumMod w14:val="75000"/>
                <w14:lumOff w14:val="25000"/>
                <w14:lumMod w14:val="75000"/>
                <w14:lumOff w14:val="25000"/>
                <w14:lumMod w14:val="75000"/>
              </w14:schemeClr>
            </w14:solidFill>
          </w14:textFill>
        </w:rPr>
        <w:lastRenderedPageBreak/>
        <w:t>Leaving vehicles and objects on the road</w:t>
      </w:r>
      <w:bookmarkEnd w:id="127"/>
    </w:p>
    <w:p w14:paraId="7985C5D5" w14:textId="25766E84" w:rsidR="00F44A7A" w:rsidRDefault="002C7B94" w:rsidP="001340FD">
      <w:r>
        <w:t xml:space="preserve">As described at </w:t>
      </w:r>
      <w:r w:rsidR="00976A2A">
        <w:fldChar w:fldCharType="begin"/>
      </w:r>
      <w:r w:rsidR="00976A2A">
        <w:instrText xml:space="preserve"> REF _Ref210920456 \r \h </w:instrText>
      </w:r>
      <w:r w:rsidR="00976A2A">
        <w:fldChar w:fldCharType="separate"/>
      </w:r>
      <w:r w:rsidR="00F170D0">
        <w:t>3.2.3.2</w:t>
      </w:r>
      <w:r w:rsidR="00976A2A">
        <w:fldChar w:fldCharType="end"/>
      </w:r>
      <w:r w:rsidR="00AD1A9A">
        <w:t xml:space="preserve">, the regulations set out the process for managing </w:t>
      </w:r>
      <w:r w:rsidR="00417B3B">
        <w:t xml:space="preserve">vehicles that have been left on the road and sets out additional </w:t>
      </w:r>
      <w:r w:rsidR="00AD1A9A">
        <w:t xml:space="preserve">offences </w:t>
      </w:r>
      <w:r w:rsidR="00417B3B">
        <w:t xml:space="preserve">for leaving other types of objects </w:t>
      </w:r>
      <w:r w:rsidR="00517892">
        <w:t>or other</w:t>
      </w:r>
      <w:r w:rsidR="00417B3B">
        <w:t xml:space="preserve"> rubbish on the road. </w:t>
      </w:r>
      <w:r w:rsidR="00BB6482">
        <w:t xml:space="preserve">Feedback from within the </w:t>
      </w:r>
      <w:r w:rsidR="00B66E08">
        <w:t>D</w:t>
      </w:r>
      <w:r w:rsidR="00BB6482">
        <w:t xml:space="preserve">epartment suggests that </w:t>
      </w:r>
      <w:r w:rsidR="00A7535B">
        <w:t xml:space="preserve">the ability to provide a notice to the owner of a vehicle and charge a fee to recover the costs has been an effective mechanism to </w:t>
      </w:r>
      <w:r w:rsidR="00103540">
        <w:t xml:space="preserve">encourage </w:t>
      </w:r>
      <w:r w:rsidR="00391653">
        <w:t>owners of abandoned vehicles to remove them.</w:t>
      </w:r>
      <w:r w:rsidR="00BD199A">
        <w:t xml:space="preserve"> </w:t>
      </w:r>
    </w:p>
    <w:p w14:paraId="15C7ABF9" w14:textId="6B6FDE1E" w:rsidR="001512D2" w:rsidRDefault="007872CE" w:rsidP="001340FD">
      <w:r>
        <w:t>P</w:t>
      </w:r>
      <w:r w:rsidR="00DB32E7">
        <w:t>arking related offences c</w:t>
      </w:r>
      <w:r>
        <w:t xml:space="preserve">an be enforced by way of </w:t>
      </w:r>
      <w:r w:rsidR="00B04F8A">
        <w:t xml:space="preserve">a </w:t>
      </w:r>
      <w:r>
        <w:t>traffic infringement. However, there is no equivalent infringement for the leaving of non-vehicle objects on roads in places such as clearways during operating times. Such offences must be</w:t>
      </w:r>
      <w:r w:rsidR="00FB28D8">
        <w:t xml:space="preserve"> pursued in Court. It has been suggested that, where </w:t>
      </w:r>
      <w:r w:rsidR="005F60AB">
        <w:t xml:space="preserve">those responsible can be identified, </w:t>
      </w:r>
      <w:r w:rsidR="00A60BA8">
        <w:t xml:space="preserve">the offence for leaving an object or </w:t>
      </w:r>
      <w:r w:rsidR="00764D7F">
        <w:t xml:space="preserve">other rubbish </w:t>
      </w:r>
      <w:r w:rsidR="001737A8">
        <w:t xml:space="preserve">on the road </w:t>
      </w:r>
      <w:r w:rsidR="0077654A">
        <w:t xml:space="preserve">should </w:t>
      </w:r>
      <w:r w:rsidR="001737A8">
        <w:t xml:space="preserve">be </w:t>
      </w:r>
      <w:r w:rsidR="00912568">
        <w:t>able</w:t>
      </w:r>
      <w:r w:rsidR="004B2C7E">
        <w:t xml:space="preserve"> to be enforced via </w:t>
      </w:r>
      <w:r w:rsidR="0088434B">
        <w:t xml:space="preserve">a </w:t>
      </w:r>
      <w:r w:rsidR="004B2C7E">
        <w:t>traffic infringement.</w:t>
      </w:r>
      <w:r w:rsidR="00D405CA">
        <w:t xml:space="preserve"> </w:t>
      </w:r>
    </w:p>
    <w:p w14:paraId="32E29AA5" w14:textId="763068E5" w:rsidR="006D45CB" w:rsidRPr="00C63FF8" w:rsidRDefault="006D45CB" w:rsidP="001340FD">
      <w:pPr>
        <w:pStyle w:val="Heading4-Numbered"/>
        <w:rPr>
          <w14:textFill>
            <w14:solidFill>
              <w14:schemeClr w14:val="tx2">
                <w14:lumMod w14:val="75000"/>
                <w14:lumOff w14:val="25000"/>
                <w14:lumMod w14:val="75000"/>
                <w14:lumOff w14:val="25000"/>
                <w14:lumMod w14:val="75000"/>
              </w14:schemeClr>
            </w14:solidFill>
          </w14:textFill>
        </w:rPr>
      </w:pPr>
      <w:bookmarkStart w:id="128" w:name="_Ref211265108"/>
      <w:r w:rsidRPr="00C63FF8">
        <w:rPr>
          <w14:textFill>
            <w14:solidFill>
              <w14:schemeClr w14:val="tx2">
                <w14:lumMod w14:val="75000"/>
                <w14:lumOff w14:val="25000"/>
                <w14:lumMod w14:val="75000"/>
                <w14:lumOff w14:val="25000"/>
                <w14:lumMod w14:val="75000"/>
              </w14:schemeClr>
            </w14:solidFill>
          </w14:textFill>
        </w:rPr>
        <w:t>Trespassing, camping and climbing bridges</w:t>
      </w:r>
      <w:bookmarkEnd w:id="128"/>
    </w:p>
    <w:p w14:paraId="61CF8997" w14:textId="34F0C887" w:rsidR="00D64CA0" w:rsidRDefault="00A0423E" w:rsidP="006D45CB">
      <w:r>
        <w:t xml:space="preserve">As described at </w:t>
      </w:r>
      <w:r w:rsidR="00652732">
        <w:fldChar w:fldCharType="begin"/>
      </w:r>
      <w:r w:rsidR="00652732">
        <w:instrText xml:space="preserve"> REF _Ref210920463 \r \h </w:instrText>
      </w:r>
      <w:r w:rsidR="00652732">
        <w:fldChar w:fldCharType="separate"/>
      </w:r>
      <w:r w:rsidR="00F170D0">
        <w:t>3.2.3.3</w:t>
      </w:r>
      <w:r w:rsidR="00652732">
        <w:fldChar w:fldCharType="end"/>
      </w:r>
      <w:r w:rsidR="00652732">
        <w:t xml:space="preserve">, the regulations create offences for </w:t>
      </w:r>
      <w:r w:rsidR="00E67DCC">
        <w:t>trespassing</w:t>
      </w:r>
      <w:r w:rsidR="00652732">
        <w:t>, camping and climbing bridges on H</w:t>
      </w:r>
      <w:r w:rsidR="001B0D20">
        <w:t>T</w:t>
      </w:r>
      <w:r w:rsidR="00652732">
        <w:t xml:space="preserve">fV property. </w:t>
      </w:r>
      <w:r w:rsidR="00704C04">
        <w:t>The</w:t>
      </w:r>
      <w:r w:rsidR="006D45CB" w:rsidRPr="00C34CF2">
        <w:t xml:space="preserve"> regulations specify that while camping on HTfV property on the road reserve of freeways, arterial and non-arterial </w:t>
      </w:r>
      <w:r w:rsidR="00E948C1">
        <w:t>State</w:t>
      </w:r>
      <w:r w:rsidR="006D45CB" w:rsidRPr="00C34CF2">
        <w:t xml:space="preserve"> roads is prohibited, it is not an offence to rest on the side of the road to prevent driver fatigue. </w:t>
      </w:r>
      <w:r w:rsidR="00F90457">
        <w:t xml:space="preserve">Some areas within the Department were concerned that </w:t>
      </w:r>
      <w:r w:rsidR="00EB760A">
        <w:t>the definition</w:t>
      </w:r>
      <w:r>
        <w:t>s</w:t>
      </w:r>
      <w:r w:rsidR="00EB760A">
        <w:t xml:space="preserve"> of </w:t>
      </w:r>
      <w:r>
        <w:t xml:space="preserve">camping and </w:t>
      </w:r>
      <w:r w:rsidR="00EB760A">
        <w:t>resting to prevent driver fat</w:t>
      </w:r>
      <w:r>
        <w:t xml:space="preserve">igue might not be differentiated clearly enough. </w:t>
      </w:r>
      <w:r w:rsidR="004D7CD5">
        <w:t>It was</w:t>
      </w:r>
      <w:r w:rsidR="006D45CB" w:rsidRPr="00C34CF2">
        <w:t xml:space="preserve"> suggested that a 24-hour limit could be introduced to enable road authorities to differentiate between camping and resting to avoid driver fatigue. </w:t>
      </w:r>
    </w:p>
    <w:p w14:paraId="281D23E9" w14:textId="7069541A" w:rsidR="001512D2" w:rsidRPr="00C63FF8" w:rsidRDefault="001512D2" w:rsidP="00067E8B">
      <w:pPr>
        <w:pStyle w:val="Heading4-Numbered"/>
        <w:rPr>
          <w14:textFill>
            <w14:solidFill>
              <w14:schemeClr w14:val="tx2">
                <w14:lumMod w14:val="75000"/>
                <w14:lumOff w14:val="25000"/>
                <w14:lumMod w14:val="75000"/>
                <w14:lumOff w14:val="25000"/>
                <w14:lumMod w14:val="75000"/>
              </w14:schemeClr>
            </w14:solidFill>
          </w14:textFill>
        </w:rPr>
      </w:pPr>
      <w:bookmarkStart w:id="129" w:name="_Ref211256117"/>
      <w:r w:rsidRPr="00C63FF8">
        <w:rPr>
          <w14:textFill>
            <w14:solidFill>
              <w14:schemeClr w14:val="tx2">
                <w14:lumMod w14:val="75000"/>
                <w14:lumOff w14:val="25000"/>
                <w14:lumMod w14:val="75000"/>
                <w14:lumOff w14:val="25000"/>
                <w14:lumMod w14:val="75000"/>
              </w14:schemeClr>
            </w14:solidFill>
          </w14:textFill>
        </w:rPr>
        <w:t xml:space="preserve">Hoardings and </w:t>
      </w:r>
      <w:r w:rsidR="00C101B1" w:rsidRPr="00C63FF8">
        <w:rPr>
          <w14:textFill>
            <w14:solidFill>
              <w14:schemeClr w14:val="tx2">
                <w14:lumMod w14:val="75000"/>
                <w14:lumOff w14:val="25000"/>
                <w14:lumMod w14:val="75000"/>
                <w14:lumOff w14:val="25000"/>
                <w14:lumMod w14:val="75000"/>
              </w14:schemeClr>
            </w14:solidFill>
          </w14:textFill>
        </w:rPr>
        <w:t>a</w:t>
      </w:r>
      <w:r w:rsidRPr="00C63FF8">
        <w:rPr>
          <w14:textFill>
            <w14:solidFill>
              <w14:schemeClr w14:val="tx2">
                <w14:lumMod w14:val="75000"/>
                <w14:lumOff w14:val="25000"/>
                <w14:lumMod w14:val="75000"/>
                <w14:lumOff w14:val="25000"/>
                <w14:lumMod w14:val="75000"/>
              </w14:schemeClr>
            </w14:solidFill>
          </w14:textFill>
        </w:rPr>
        <w:t>dvertisements</w:t>
      </w:r>
      <w:bookmarkEnd w:id="129"/>
    </w:p>
    <w:p w14:paraId="7159FF77" w14:textId="6B953F22" w:rsidR="00391653" w:rsidRDefault="00391653" w:rsidP="001340FD">
      <w:r>
        <w:t xml:space="preserve">As described at </w:t>
      </w:r>
      <w:r w:rsidR="00E12F73">
        <w:fldChar w:fldCharType="begin"/>
      </w:r>
      <w:r w:rsidR="00E12F73">
        <w:instrText xml:space="preserve"> REF _Ref210920470 \r \h </w:instrText>
      </w:r>
      <w:r w:rsidR="00E12F73">
        <w:fldChar w:fldCharType="separate"/>
      </w:r>
      <w:r w:rsidR="00F170D0">
        <w:t>3.2.3.4</w:t>
      </w:r>
      <w:r w:rsidR="00E12F73">
        <w:fldChar w:fldCharType="end"/>
      </w:r>
      <w:r w:rsidR="00D04E0B">
        <w:t xml:space="preserve">, the regulations set out what needs to be considered </w:t>
      </w:r>
      <w:r w:rsidR="00E67DCC">
        <w:t>by road authorities before consenting to a hoarding or advertisement being placed on the road.</w:t>
      </w:r>
    </w:p>
    <w:p w14:paraId="6B672506" w14:textId="5646B351" w:rsidR="00EE3372" w:rsidRDefault="00B42EB8" w:rsidP="001340FD">
      <w:r>
        <w:t>T</w:t>
      </w:r>
      <w:r w:rsidR="001340FD" w:rsidRPr="00C34CF2">
        <w:t xml:space="preserve">he Department is aware of large mobile billboards on trailers situated in road reserves. </w:t>
      </w:r>
      <w:r w:rsidR="00BD0924">
        <w:t xml:space="preserve">It is possible that these might be </w:t>
      </w:r>
      <w:r w:rsidR="0015448F">
        <w:t xml:space="preserve">creating hazardous distraction for motorists. </w:t>
      </w:r>
      <w:r w:rsidR="00EE3372" w:rsidRPr="00C34CF2">
        <w:t>Road authorities have expressed concern at an increasing number of things being placed in, on under or over a road which may cause a distraction to motorists.</w:t>
      </w:r>
    </w:p>
    <w:p w14:paraId="7D4AA367" w14:textId="47B456D1" w:rsidR="00AB3DE4" w:rsidRPr="00AB3DE4" w:rsidRDefault="00EE3372" w:rsidP="00256A45">
      <w:r>
        <w:t xml:space="preserve">The </w:t>
      </w:r>
      <w:r w:rsidR="009E2C92">
        <w:t xml:space="preserve">effectiveness of cost recovery for road authorities considering </w:t>
      </w:r>
      <w:r w:rsidR="00A07A14">
        <w:t xml:space="preserve">consent applications for hoardings and advertisements have been discussed </w:t>
      </w:r>
      <w:r w:rsidR="009E2C92">
        <w:t xml:space="preserve">separately </w:t>
      </w:r>
      <w:r w:rsidR="00A07A14">
        <w:t>at</w:t>
      </w:r>
      <w:r w:rsidR="0031271B">
        <w:t xml:space="preserve"> </w:t>
      </w:r>
      <w:r w:rsidR="004E4F8B">
        <w:fldChar w:fldCharType="begin"/>
      </w:r>
      <w:r w:rsidR="004E4F8B">
        <w:instrText xml:space="preserve"> REF _Ref219727854 \r \h </w:instrText>
      </w:r>
      <w:r w:rsidR="004E4F8B">
        <w:fldChar w:fldCharType="separate"/>
      </w:r>
      <w:r w:rsidR="00F170D0">
        <w:t>3.4.3</w:t>
      </w:r>
      <w:r w:rsidR="004E4F8B">
        <w:fldChar w:fldCharType="end"/>
      </w:r>
      <w:r w:rsidR="0031271B">
        <w:t>.</w:t>
      </w:r>
      <w:r w:rsidR="00F83B94">
        <w:t xml:space="preserve"> </w:t>
      </w:r>
    </w:p>
    <w:p w14:paraId="66446A2E" w14:textId="58EF77B1" w:rsidR="00A56740" w:rsidRPr="00915E4A" w:rsidRDefault="00995FC9" w:rsidP="00A47AB2">
      <w:pPr>
        <w:pStyle w:val="Heading3-Numbered"/>
      </w:pPr>
      <w:bookmarkStart w:id="130" w:name="_Toc226448297"/>
      <w:r w:rsidRPr="00915E4A">
        <w:t>Feedback on matters</w:t>
      </w:r>
      <w:r w:rsidR="00A47AB2" w:rsidRPr="00915E4A">
        <w:t xml:space="preserve"> outside of </w:t>
      </w:r>
      <w:r w:rsidR="001C7860">
        <w:t>r</w:t>
      </w:r>
      <w:r w:rsidR="00A47AB2" w:rsidRPr="00915E4A">
        <w:t>egulations</w:t>
      </w:r>
      <w:bookmarkEnd w:id="130"/>
    </w:p>
    <w:p w14:paraId="7210E204" w14:textId="40387C66" w:rsidR="007D7F0B" w:rsidRPr="00C63FF8" w:rsidRDefault="00FA21FC" w:rsidP="007D7F0B">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Administration of the regulations</w:t>
      </w:r>
    </w:p>
    <w:p w14:paraId="0654DF87" w14:textId="77777777" w:rsidR="00995FC9" w:rsidRPr="00C34CF2" w:rsidRDefault="00995FC9" w:rsidP="00995FC9">
      <w:r w:rsidRPr="00C34CF2">
        <w:t xml:space="preserve">Some concerns that were raised primarily relate to the administration of the regulations, rather than the regulations themselves. </w:t>
      </w:r>
    </w:p>
    <w:p w14:paraId="090A393C" w14:textId="08E8BB90" w:rsidR="00482E3E" w:rsidRDefault="00995FC9" w:rsidP="00482E3E">
      <w:r w:rsidRPr="00C34CF2">
        <w:t>During the consent for works application stages, individuals who put their name down as the ‘infrastructure manager’ were doing so without knowing that the role of ‘infrastructure manager’ has a specific legislative meaning and comes with duties under the Act. This has created challenges where the Department has attempted to follow up with ‘infrastructure managers’ who do not believe they should be the responsible party, particularly when they are carrying out works as a third party. As this is not an issue for the Act or regulations, coordinating road authorities could address this challenge by improving education and communication during the application for consent process.</w:t>
      </w:r>
      <w:r>
        <w:t xml:space="preserve"> </w:t>
      </w:r>
      <w:r w:rsidR="00685607">
        <w:t>For example, the application forms could be improved to advi</w:t>
      </w:r>
      <w:r w:rsidR="005D4F32">
        <w:t>se</w:t>
      </w:r>
      <w:r w:rsidR="00685607">
        <w:t xml:space="preserve"> what ‘</w:t>
      </w:r>
      <w:r w:rsidR="00B55C13">
        <w:t>infrastructure</w:t>
      </w:r>
      <w:r w:rsidR="00685607">
        <w:t xml:space="preserve"> manager’ means</w:t>
      </w:r>
      <w:r w:rsidR="00B55C13">
        <w:t xml:space="preserve"> and what it involve</w:t>
      </w:r>
      <w:r w:rsidR="0076378C">
        <w:t>s</w:t>
      </w:r>
      <w:r w:rsidR="00B55C13">
        <w:t>.</w:t>
      </w:r>
    </w:p>
    <w:p w14:paraId="36D2480F" w14:textId="105EC88E" w:rsidR="00974304" w:rsidRPr="00C63FF8" w:rsidRDefault="004E3E66" w:rsidP="00974304">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Communication outside of formal notification</w:t>
      </w:r>
    </w:p>
    <w:p w14:paraId="0E2727EA" w14:textId="77777777" w:rsidR="00942DB5" w:rsidRPr="00C34CF2" w:rsidRDefault="00942DB5" w:rsidP="00942DB5">
      <w:r w:rsidRPr="00C34CF2">
        <w:t xml:space="preserve">Infrastructure managers and works managers are required to notify coordinating road authorities and share information about planned works under the Act. It has been suggested that it would be beneficial if </w:t>
      </w:r>
      <w:r w:rsidRPr="00C34CF2">
        <w:lastRenderedPageBreak/>
        <w:t>information could also flow the other direction, where coordinating road authorities were also required to notify infrastructure managers or works managers about planned works to promote better coordination.</w:t>
      </w:r>
    </w:p>
    <w:p w14:paraId="0F330092" w14:textId="5C7B597C" w:rsidR="00942DB5" w:rsidRPr="00C34CF2" w:rsidRDefault="00942DB5" w:rsidP="00942DB5">
      <w:r w:rsidRPr="00C34CF2">
        <w:t xml:space="preserve">Clause 8 of Schedule 7 to the Act currently requires coordinating road authorities to inform infrastructure managers or works managers </w:t>
      </w:r>
      <w:r w:rsidR="007D2AAE">
        <w:t xml:space="preserve">responsible </w:t>
      </w:r>
      <w:r w:rsidRPr="00C34CF2">
        <w:t>for any non-road infrastructure in the area which could be affected by any proposed installation of infrastructure or related works. This duty would provide an opportunity to coordinate works.</w:t>
      </w:r>
    </w:p>
    <w:p w14:paraId="14C58698" w14:textId="77777777" w:rsidR="00714B5C" w:rsidRDefault="00942DB5" w:rsidP="00714B5C">
      <w:r w:rsidRPr="00C34CF2">
        <w:t xml:space="preserve">Where the proposed works do not affect other infrastructure managers or works managers, there is currently no requirement to </w:t>
      </w:r>
      <w:r w:rsidR="00B229D9">
        <w:t xml:space="preserve">notify </w:t>
      </w:r>
      <w:r w:rsidRPr="00C34CF2">
        <w:t>for works more broadly. Sometimes the details about planned works cannot be disclosed because they contain sensitive or commercial in confidence information, therefore it may not always be appropriate to share information with third parties. However, coordination could be improved through non-regulatory measures. For example, road authorities could provide utilities with more information about when they are and are not obligated to notify infrastructure managers under the Act.</w:t>
      </w:r>
      <w:r w:rsidR="00714B5C" w:rsidRPr="00714B5C">
        <w:t xml:space="preserve"> </w:t>
      </w:r>
    </w:p>
    <w:p w14:paraId="021D4BF5" w14:textId="0C9A4CF5" w:rsidR="00714B5C" w:rsidRPr="00C63FF8" w:rsidRDefault="00714B5C" w:rsidP="00714B5C">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Requirements on consent for works</w:t>
      </w:r>
    </w:p>
    <w:p w14:paraId="4EA25410" w14:textId="54230296" w:rsidR="00714B5C" w:rsidRDefault="00714B5C" w:rsidP="00714B5C">
      <w:r w:rsidRPr="00C34CF2">
        <w:t>One council has highlighted misalignments between coordinating road authority and council requirements</w:t>
      </w:r>
      <w:r>
        <w:t xml:space="preserve"> on consent for works</w:t>
      </w:r>
      <w:r w:rsidR="00D760FC">
        <w:t xml:space="preserve">. For example, </w:t>
      </w:r>
      <w:r w:rsidR="00625A00">
        <w:t xml:space="preserve">one coordinating road authority might </w:t>
      </w:r>
      <w:r w:rsidR="0060112D">
        <w:t xml:space="preserve">institute blanket </w:t>
      </w:r>
      <w:r w:rsidR="00893A37">
        <w:t>require</w:t>
      </w:r>
      <w:r w:rsidR="0060112D">
        <w:t>ments</w:t>
      </w:r>
      <w:r w:rsidR="00893A37">
        <w:t xml:space="preserve"> regarding stormwater</w:t>
      </w:r>
      <w:r w:rsidR="00A73BD5">
        <w:t xml:space="preserve"> without taking </w:t>
      </w:r>
      <w:r w:rsidR="00E26E83">
        <w:t xml:space="preserve">specific </w:t>
      </w:r>
      <w:r w:rsidR="00A73BD5">
        <w:t xml:space="preserve">existing </w:t>
      </w:r>
      <w:r w:rsidR="0060112D" w:rsidRPr="0060112D">
        <w:t>o</w:t>
      </w:r>
      <w:r w:rsidR="0060112D" w:rsidRPr="000D0BEE">
        <w:t xml:space="preserve">n-site </w:t>
      </w:r>
      <w:r w:rsidR="00E26E83" w:rsidRPr="000D0BEE">
        <w:t>s</w:t>
      </w:r>
      <w:r w:rsidR="0060112D" w:rsidRPr="000D0BEE">
        <w:t xml:space="preserve">tormwater </w:t>
      </w:r>
      <w:r w:rsidR="00E26E83" w:rsidRPr="000D0BEE">
        <w:t>d</w:t>
      </w:r>
      <w:r w:rsidR="0060112D" w:rsidRPr="000D0BEE">
        <w:t>etention systems into account</w:t>
      </w:r>
      <w:r w:rsidR="00054B32">
        <w:t>.</w:t>
      </w:r>
      <w:r w:rsidR="00E26E83">
        <w:rPr>
          <w:rStyle w:val="Strong"/>
          <w:b w:val="0"/>
        </w:rPr>
        <w:t xml:space="preserve"> </w:t>
      </w:r>
      <w:r w:rsidR="00F75160">
        <w:t xml:space="preserve">As the conditions imposed </w:t>
      </w:r>
      <w:r w:rsidR="00EA53FB">
        <w:t>are</w:t>
      </w:r>
      <w:r w:rsidR="00F75160">
        <w:t xml:space="preserve"> not a matter for the </w:t>
      </w:r>
      <w:r w:rsidR="007445CD">
        <w:t xml:space="preserve">Regulations, the Department </w:t>
      </w:r>
      <w:r w:rsidR="002F393E">
        <w:t xml:space="preserve">has not considered this matter further. Any </w:t>
      </w:r>
      <w:r w:rsidR="00D7535E">
        <w:t xml:space="preserve">concerns about the requirements of works should be resolved between </w:t>
      </w:r>
      <w:r w:rsidR="00F41797">
        <w:t>the affected parties during the approval process.</w:t>
      </w:r>
    </w:p>
    <w:p w14:paraId="2DD6E7F7" w14:textId="25F762B7" w:rsidR="00C34CF2" w:rsidRDefault="00C34CF2" w:rsidP="00BE4DDA">
      <w:pPr>
        <w:pStyle w:val="Heading2-Numbered"/>
      </w:pPr>
      <w:bookmarkStart w:id="131" w:name="_Toc209440302"/>
      <w:bookmarkStart w:id="132" w:name="_Toc209002049"/>
      <w:bookmarkStart w:id="133" w:name="_Toc209440303"/>
      <w:bookmarkStart w:id="134" w:name="_Toc209002050"/>
      <w:bookmarkStart w:id="135" w:name="_Toc209440304"/>
      <w:bookmarkStart w:id="136" w:name="_Toc209440305"/>
      <w:bookmarkStart w:id="137" w:name="_Ref209603229"/>
      <w:bookmarkStart w:id="138" w:name="_Ref210733806"/>
      <w:bookmarkStart w:id="139" w:name="_Ref210734293"/>
      <w:bookmarkStart w:id="140" w:name="_Ref210734297"/>
      <w:bookmarkStart w:id="141" w:name="_Ref210908483"/>
      <w:bookmarkStart w:id="142" w:name="_Ref211413848"/>
      <w:bookmarkStart w:id="143" w:name="_Ref211426698"/>
      <w:bookmarkStart w:id="144" w:name="_Ref211517589"/>
      <w:bookmarkStart w:id="145" w:name="_Ref226042291"/>
      <w:bookmarkStart w:id="146" w:name="_Ref226042298"/>
      <w:bookmarkStart w:id="147" w:name="_Toc226448298"/>
      <w:bookmarkEnd w:id="131"/>
      <w:bookmarkEnd w:id="132"/>
      <w:bookmarkEnd w:id="133"/>
      <w:bookmarkEnd w:id="134"/>
      <w:bookmarkEnd w:id="135"/>
      <w:r w:rsidRPr="00C34CF2">
        <w:t>Cost recovery</w:t>
      </w:r>
      <w:bookmarkEnd w:id="136"/>
      <w:bookmarkEnd w:id="137"/>
      <w:bookmarkEnd w:id="138"/>
      <w:bookmarkEnd w:id="139"/>
      <w:bookmarkEnd w:id="140"/>
      <w:bookmarkEnd w:id="141"/>
      <w:bookmarkEnd w:id="142"/>
      <w:bookmarkEnd w:id="143"/>
      <w:bookmarkEnd w:id="144"/>
      <w:bookmarkEnd w:id="145"/>
      <w:bookmarkEnd w:id="146"/>
      <w:bookmarkEnd w:id="147"/>
    </w:p>
    <w:p w14:paraId="768B1D8C" w14:textId="0612B0F0" w:rsidR="00A12202" w:rsidRPr="00A12202" w:rsidRDefault="004B0521" w:rsidP="00A12202">
      <w:r w:rsidRPr="004B0521">
        <w:t>This section provides a high</w:t>
      </w:r>
      <w:r w:rsidRPr="004B0521">
        <w:rPr>
          <w:rFonts w:ascii="Cambria Math" w:hAnsi="Cambria Math" w:cs="Cambria Math"/>
        </w:rPr>
        <w:t>‑</w:t>
      </w:r>
      <w:r w:rsidRPr="004B0521">
        <w:t xml:space="preserve">level overview </w:t>
      </w:r>
      <w:r w:rsidR="00CB6573">
        <w:t xml:space="preserve">of </w:t>
      </w:r>
      <w:r w:rsidR="00DA5889">
        <w:t>the Department’s</w:t>
      </w:r>
      <w:r w:rsidRPr="004B0521">
        <w:t xml:space="preserve"> approach to cost recovery</w:t>
      </w:r>
      <w:r w:rsidR="00171908">
        <w:t xml:space="preserve"> under the Regulations</w:t>
      </w:r>
      <w:r w:rsidRPr="004B0521">
        <w:t xml:space="preserve">. </w:t>
      </w:r>
      <w:r w:rsidR="00CB6573" w:rsidRPr="00CB6573">
        <w:t xml:space="preserve">Cost recovery ensures that the costs of delivering government services are understood, transparent, and appropriately attributed to those who benefit from or create demand for those services. </w:t>
      </w:r>
      <w:r w:rsidRPr="004B0521">
        <w:t>Detailed analysis</w:t>
      </w:r>
      <w:r w:rsidR="00E23D3E">
        <w:t xml:space="preserve"> </w:t>
      </w:r>
      <w:r w:rsidRPr="004B0521">
        <w:t>and supporting information are provided in Appendix 1, which should be read alongside this introduction for full context.</w:t>
      </w:r>
    </w:p>
    <w:p w14:paraId="6716EB45" w14:textId="47916933" w:rsidR="002E5E7B" w:rsidRDefault="00C32AD6" w:rsidP="00BE4DDA">
      <w:pPr>
        <w:pStyle w:val="Heading3-Numbered"/>
      </w:pPr>
      <w:bookmarkStart w:id="148" w:name="_Toc209440307"/>
      <w:bookmarkStart w:id="149" w:name="_Ref209603404"/>
      <w:bookmarkStart w:id="150" w:name="_Toc226448299"/>
      <w:r>
        <w:t>Proposed works applications</w:t>
      </w:r>
      <w:bookmarkEnd w:id="150"/>
    </w:p>
    <w:p w14:paraId="6C3E7B76" w14:textId="23D5688E" w:rsidR="000A79B4" w:rsidRDefault="009637ED" w:rsidP="00917C26">
      <w:r w:rsidRPr="00C34CF2">
        <w:t>Under the Act, written consent must be obtained from the coordinating road authority to conduct works in, on, under or over a road, as discussed in</w:t>
      </w:r>
      <w:r>
        <w:t xml:space="preserve"> section </w:t>
      </w:r>
      <w:r>
        <w:fldChar w:fldCharType="begin"/>
      </w:r>
      <w:r>
        <w:instrText xml:space="preserve"> REF _Ref204181222 \r \h </w:instrText>
      </w:r>
      <w:r>
        <w:fldChar w:fldCharType="separate"/>
      </w:r>
      <w:r w:rsidR="00F170D0">
        <w:t>2.1.2.4</w:t>
      </w:r>
      <w:r>
        <w:fldChar w:fldCharType="end"/>
      </w:r>
      <w:r w:rsidRPr="00C34CF2">
        <w:t>.</w:t>
      </w:r>
    </w:p>
    <w:p w14:paraId="38EB4D6C" w14:textId="2D98949D" w:rsidR="00115383" w:rsidRDefault="00843ADD" w:rsidP="00917C26">
      <w:r w:rsidRPr="00C34CF2">
        <w:t>Based on the sample</w:t>
      </w:r>
      <w:r w:rsidR="00C32AD6">
        <w:t xml:space="preserve"> detailed in</w:t>
      </w:r>
      <w:r w:rsidR="007D680A">
        <w:t xml:space="preserve"> </w:t>
      </w:r>
      <w:r w:rsidR="007D680A">
        <w:fldChar w:fldCharType="begin"/>
      </w:r>
      <w:r w:rsidR="007D680A">
        <w:instrText xml:space="preserve"> REF _Ref226040854 \h </w:instrText>
      </w:r>
      <w:r w:rsidR="007D680A">
        <w:fldChar w:fldCharType="separate"/>
      </w:r>
      <w:r w:rsidR="00F170D0">
        <w:t>Appendix 1 – Cost recovery</w:t>
      </w:r>
      <w:r w:rsidR="007D680A">
        <w:fldChar w:fldCharType="end"/>
      </w:r>
      <w:r w:rsidRPr="00C34CF2">
        <w:t>, under the existing regulations, the Department has an estimated under-recovery of $202,725 to $360,078 per annum</w:t>
      </w:r>
      <w:r w:rsidR="00C90A85">
        <w:t xml:space="preserve"> for </w:t>
      </w:r>
      <w:r w:rsidR="008D4E1F">
        <w:t xml:space="preserve">applications for </w:t>
      </w:r>
      <w:r w:rsidR="00C90A85">
        <w:t>works in the metropolitan region</w:t>
      </w:r>
      <w:r w:rsidRPr="00C34CF2">
        <w:t>. The primary reason for cost under-recovery is the inability to recover costs based on the specific activities needed to undertake the assessment of applications. These activities include site inspections (if required), reassessment after receiving requested further information, and administration and record keeping. The hourly rates do not sufficiently capture the costs of these activities. Additional costs not included in these cost recovery estimates, but which would add to total cost under-recovery, include consultation with other internal and external stakeholders, referral team assessments and administrative support.</w:t>
      </w:r>
      <w:r w:rsidR="00451EC3">
        <w:t xml:space="preserve"> </w:t>
      </w:r>
    </w:p>
    <w:p w14:paraId="3F1FD726" w14:textId="4D76DE05" w:rsidR="00843ADD" w:rsidRDefault="00690C7A" w:rsidP="00690C7A">
      <w:pPr>
        <w:pStyle w:val="Caption"/>
      </w:pPr>
      <w:bookmarkStart w:id="151" w:name="_Ref212454300"/>
      <w:bookmarkStart w:id="152" w:name="_Toc226448350"/>
      <w:r>
        <w:t xml:space="preserve">Table </w:t>
      </w:r>
      <w:r w:rsidR="005A7DAB">
        <w:fldChar w:fldCharType="begin"/>
      </w:r>
      <w:r w:rsidR="005A7DAB">
        <w:instrText xml:space="preserve"> SEQ Table \* ARABIC </w:instrText>
      </w:r>
      <w:r w:rsidR="005A7DAB">
        <w:fldChar w:fldCharType="separate"/>
      </w:r>
      <w:r w:rsidR="00F170D0">
        <w:rPr>
          <w:noProof/>
        </w:rPr>
        <w:t>2</w:t>
      </w:r>
      <w:r w:rsidR="005A7DAB">
        <w:rPr>
          <w:noProof/>
        </w:rPr>
        <w:fldChar w:fldCharType="end"/>
      </w:r>
      <w:r>
        <w:t xml:space="preserve"> </w:t>
      </w:r>
      <w:r w:rsidR="00901AA1">
        <w:t xml:space="preserve">– </w:t>
      </w:r>
      <w:r w:rsidR="00901AA1" w:rsidRPr="00C34CF2">
        <w:t>Estimated consent for works application fee revenue and costs</w:t>
      </w:r>
      <w:bookmarkEnd w:id="151"/>
      <w:r w:rsidR="0018679C">
        <w:t xml:space="preserve"> for the Department (metro only)</w:t>
      </w:r>
      <w:r w:rsidR="00F92EFC">
        <w:t xml:space="preserve"> in 2024</w:t>
      </w:r>
      <w:bookmarkEnd w:id="152"/>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4219"/>
        <w:gridCol w:w="4297"/>
      </w:tblGrid>
      <w:tr w:rsidR="00F92EFC" w:rsidRPr="00C34CF2" w14:paraId="08415EBD" w14:textId="77777777">
        <w:tc>
          <w:tcPr>
            <w:tcW w:w="4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DE951D1" w14:textId="77777777" w:rsidR="00F92EFC" w:rsidRPr="00C34CF2" w:rsidRDefault="00F92EFC">
            <w:pPr>
              <w:rPr>
                <w:b/>
                <w:bCs/>
                <w:lang w:val="en-US"/>
              </w:rPr>
            </w:pPr>
            <w:r w:rsidRPr="00C34CF2">
              <w:rPr>
                <w:b/>
                <w:bCs/>
                <w:lang w:val="en-US"/>
              </w:rPr>
              <w:t>Revenue</w:t>
            </w:r>
            <w:r>
              <w:rPr>
                <w:b/>
                <w:bCs/>
                <w:lang w:val="en-US"/>
              </w:rPr>
              <w:t xml:space="preserve"> </w:t>
            </w:r>
            <w:r w:rsidRPr="00354A74">
              <w:rPr>
                <w:bCs/>
                <w:lang w:val="en-US"/>
              </w:rPr>
              <w:t>($m)</w:t>
            </w:r>
          </w:p>
        </w:tc>
        <w:tc>
          <w:tcPr>
            <w:tcW w:w="429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AF4B145" w14:textId="0A4D39B6" w:rsidR="00F92EFC" w:rsidRPr="00C34CF2" w:rsidRDefault="00F92EFC">
            <w:pPr>
              <w:rPr>
                <w:lang w:val="en-US"/>
              </w:rPr>
            </w:pPr>
            <w:r>
              <w:t>0.865 to 1.080</w:t>
            </w:r>
          </w:p>
        </w:tc>
      </w:tr>
      <w:tr w:rsidR="00F92EFC" w:rsidRPr="00C34CF2" w14:paraId="74079CC7" w14:textId="77777777">
        <w:tc>
          <w:tcPr>
            <w:tcW w:w="4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EDC34C1" w14:textId="77777777" w:rsidR="00F92EFC" w:rsidRPr="00C34CF2" w:rsidRDefault="00F92EFC">
            <w:pPr>
              <w:rPr>
                <w:b/>
                <w:bCs/>
                <w:lang w:val="en-US"/>
              </w:rPr>
            </w:pPr>
            <w:r w:rsidRPr="00C34CF2">
              <w:rPr>
                <w:b/>
                <w:bCs/>
                <w:lang w:val="en-US"/>
              </w:rPr>
              <w:t>Costs</w:t>
            </w:r>
            <w:r>
              <w:rPr>
                <w:b/>
                <w:bCs/>
                <w:lang w:val="en-US"/>
              </w:rPr>
              <w:t xml:space="preserve"> </w:t>
            </w:r>
            <w:r w:rsidRPr="00354A74">
              <w:rPr>
                <w:bCs/>
                <w:lang w:val="en-US"/>
              </w:rPr>
              <w:t>($m)</w:t>
            </w:r>
          </w:p>
        </w:tc>
        <w:tc>
          <w:tcPr>
            <w:tcW w:w="429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0E09D83" w14:textId="7DBD25C6" w:rsidR="00F92EFC" w:rsidRPr="0092107C" w:rsidRDefault="00F92EFC">
            <w:r>
              <w:t>1.068 to 1.441</w:t>
            </w:r>
          </w:p>
        </w:tc>
      </w:tr>
      <w:tr w:rsidR="00F92EFC" w:rsidRPr="00C34CF2" w14:paraId="78577384" w14:textId="77777777">
        <w:tc>
          <w:tcPr>
            <w:tcW w:w="4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316779A" w14:textId="77777777" w:rsidR="00F92EFC" w:rsidRPr="00C34CF2" w:rsidRDefault="00F92EFC">
            <w:pPr>
              <w:rPr>
                <w:b/>
                <w:bCs/>
                <w:lang w:val="en-US"/>
              </w:rPr>
            </w:pPr>
            <w:r w:rsidRPr="00C34CF2">
              <w:rPr>
                <w:b/>
                <w:bCs/>
                <w:lang w:val="en-US"/>
              </w:rPr>
              <w:t>Surplus/Deficit</w:t>
            </w:r>
            <w:r>
              <w:rPr>
                <w:b/>
                <w:bCs/>
                <w:lang w:val="en-US"/>
              </w:rPr>
              <w:t xml:space="preserve"> </w:t>
            </w:r>
            <w:r w:rsidRPr="00354A74">
              <w:rPr>
                <w:bCs/>
                <w:lang w:val="en-US"/>
              </w:rPr>
              <w:t>($m)</w:t>
            </w:r>
          </w:p>
        </w:tc>
        <w:tc>
          <w:tcPr>
            <w:tcW w:w="429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FF72BC7" w14:textId="5A83DD7E" w:rsidR="00F92EFC" w:rsidRPr="00C34CF2" w:rsidRDefault="00F92EFC">
            <w:pPr>
              <w:rPr>
                <w:lang w:val="en-US"/>
              </w:rPr>
            </w:pPr>
            <w:r>
              <w:t>(0.203) to (0.360)</w:t>
            </w:r>
          </w:p>
        </w:tc>
      </w:tr>
    </w:tbl>
    <w:p w14:paraId="159C94F6" w14:textId="1FCA0341" w:rsidR="002C6822" w:rsidRDefault="002C6822" w:rsidP="007247CA">
      <w:pPr>
        <w:pStyle w:val="Heading3-Numbered"/>
      </w:pPr>
      <w:bookmarkStart w:id="153" w:name="_Toc209440309"/>
      <w:bookmarkStart w:id="154" w:name="_Toc226448300"/>
      <w:bookmarkEnd w:id="148"/>
      <w:bookmarkEnd w:id="149"/>
      <w:r>
        <w:lastRenderedPageBreak/>
        <w:t>Property enquiries</w:t>
      </w:r>
      <w:bookmarkEnd w:id="154"/>
    </w:p>
    <w:p w14:paraId="3A75996F" w14:textId="2BC46DA9" w:rsidR="00876EEF" w:rsidRDefault="00876EEF" w:rsidP="002C6822">
      <w:r w:rsidRPr="00C34CF2">
        <w:t>The HTfV provides certain types of property information upon request, for example, information about HTfV approved proposals for works requiring the purchase or compulsory acquisition of land. This information may be required for the purposes of preparing a Section 32 statement or other purposes, as discussed in</w:t>
      </w:r>
      <w:r w:rsidR="006E3172">
        <w:t xml:space="preserve"> Chapter</w:t>
      </w:r>
      <w:r w:rsidR="00300620">
        <w:t xml:space="preserve"> </w:t>
      </w:r>
      <w:r w:rsidR="00300620">
        <w:fldChar w:fldCharType="begin"/>
      </w:r>
      <w:r w:rsidR="00300620">
        <w:instrText xml:space="preserve"> REF _Ref212455461 \w \h </w:instrText>
      </w:r>
      <w:r w:rsidR="00300620">
        <w:fldChar w:fldCharType="separate"/>
      </w:r>
      <w:r w:rsidR="00F170D0">
        <w:t>2</w:t>
      </w:r>
      <w:r w:rsidR="00300620">
        <w:fldChar w:fldCharType="end"/>
      </w:r>
      <w:r w:rsidRPr="00C34CF2">
        <w:t>.</w:t>
      </w:r>
    </w:p>
    <w:p w14:paraId="36EA6128" w14:textId="4EE0C609" w:rsidR="00185139" w:rsidRPr="00C34CF2" w:rsidRDefault="002C6822" w:rsidP="00185139">
      <w:r w:rsidRPr="00C34CF2">
        <w:t>Based on the</w:t>
      </w:r>
      <w:r w:rsidR="00A028D8">
        <w:t xml:space="preserve"> sample illustrated in </w:t>
      </w:r>
      <w:r w:rsidR="00335122">
        <w:fldChar w:fldCharType="begin"/>
      </w:r>
      <w:r w:rsidR="00335122">
        <w:instrText xml:space="preserve"> REF _Ref226040854 \h </w:instrText>
      </w:r>
      <w:r w:rsidR="00335122">
        <w:fldChar w:fldCharType="separate"/>
      </w:r>
      <w:r w:rsidR="00F170D0">
        <w:t>Appendix 1 – Cost recovery</w:t>
      </w:r>
      <w:r w:rsidR="00335122">
        <w:fldChar w:fldCharType="end"/>
      </w:r>
      <w:r w:rsidR="00185139" w:rsidRPr="00C34CF2">
        <w:t xml:space="preserve">, under the existing regulations, the Department has an estimated cost recovery surplus of $36,765.8 </w:t>
      </w:r>
      <w:r w:rsidR="00185139">
        <w:t xml:space="preserve">to </w:t>
      </w:r>
      <w:r w:rsidR="00185139" w:rsidRPr="00C34CF2">
        <w:t>$59,360.9 per annum</w:t>
      </w:r>
      <w:r w:rsidR="00185139" w:rsidRPr="00661540">
        <w:t xml:space="preserve"> </w:t>
      </w:r>
      <w:r w:rsidR="00185139">
        <w:t>for property enquiries in the metropolitan region</w:t>
      </w:r>
      <w:r w:rsidR="00185139" w:rsidRPr="00C34CF2">
        <w:t>.</w:t>
      </w:r>
      <w:r w:rsidR="00185139">
        <w:t xml:space="preserve"> While data for the remaining regions was not available, it can be assumed that the cost per application is comparable.</w:t>
      </w:r>
    </w:p>
    <w:p w14:paraId="4CEE1568" w14:textId="57C5F765" w:rsidR="002C6822" w:rsidRDefault="002C6822" w:rsidP="00555505">
      <w:r w:rsidRPr="00C34CF2">
        <w:t xml:space="preserve"> </w:t>
      </w:r>
      <w:bookmarkStart w:id="155" w:name="_Toc226448351"/>
      <w:r w:rsidR="00690C7A">
        <w:t xml:space="preserve">Table </w:t>
      </w:r>
      <w:r w:rsidR="005A7DAB">
        <w:fldChar w:fldCharType="begin"/>
      </w:r>
      <w:r w:rsidR="005A7DAB">
        <w:instrText xml:space="preserve"> SEQ Table \* ARABIC </w:instrText>
      </w:r>
      <w:r w:rsidR="005A7DAB">
        <w:fldChar w:fldCharType="separate"/>
      </w:r>
      <w:r w:rsidR="00F170D0">
        <w:rPr>
          <w:noProof/>
        </w:rPr>
        <w:t>3</w:t>
      </w:r>
      <w:r w:rsidR="005A7DAB">
        <w:rPr>
          <w:noProof/>
        </w:rPr>
        <w:fldChar w:fldCharType="end"/>
      </w:r>
      <w:r w:rsidR="00690C7A">
        <w:t xml:space="preserve"> </w:t>
      </w:r>
      <w:r w:rsidR="00BF089B">
        <w:t xml:space="preserve">– </w:t>
      </w:r>
      <w:r w:rsidR="00BF089B" w:rsidRPr="00C34CF2">
        <w:t>Estimated property enquiry fee revenue and costs for the Department (metro</w:t>
      </w:r>
      <w:r w:rsidR="009820B2">
        <w:t xml:space="preserve"> only</w:t>
      </w:r>
      <w:r w:rsidR="00BF089B" w:rsidRPr="00C34CF2">
        <w:t>) in 2024/25</w:t>
      </w:r>
      <w:bookmarkEnd w:id="155"/>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4219"/>
        <w:gridCol w:w="4297"/>
      </w:tblGrid>
      <w:tr w:rsidR="002C6822" w:rsidRPr="00C34CF2" w14:paraId="44794D03" w14:textId="77777777" w:rsidTr="005D656A">
        <w:tc>
          <w:tcPr>
            <w:tcW w:w="4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4B80F0B" w14:textId="658F3ED3" w:rsidR="002C6822" w:rsidRPr="00C34CF2" w:rsidRDefault="002C6822" w:rsidP="005D656A">
            <w:pPr>
              <w:rPr>
                <w:b/>
                <w:bCs/>
                <w:lang w:val="en-US"/>
              </w:rPr>
            </w:pPr>
            <w:r w:rsidRPr="00C34CF2">
              <w:rPr>
                <w:b/>
                <w:bCs/>
                <w:lang w:val="en-US"/>
              </w:rPr>
              <w:t>Revenue</w:t>
            </w:r>
            <w:r w:rsidR="00573606">
              <w:rPr>
                <w:b/>
                <w:bCs/>
                <w:lang w:val="en-US"/>
              </w:rPr>
              <w:t xml:space="preserve"> </w:t>
            </w:r>
            <w:r w:rsidR="00573606" w:rsidRPr="0092107C">
              <w:rPr>
                <w:bCs/>
                <w:lang w:val="en-US"/>
              </w:rPr>
              <w:t>(</w:t>
            </w:r>
            <w:r w:rsidR="009E3A08" w:rsidRPr="0092107C">
              <w:rPr>
                <w:bCs/>
                <w:lang w:val="en-US"/>
              </w:rPr>
              <w:t>$</w:t>
            </w:r>
            <w:r w:rsidR="00573606" w:rsidRPr="0092107C">
              <w:rPr>
                <w:bCs/>
                <w:lang w:val="en-US"/>
              </w:rPr>
              <w:t>m)</w:t>
            </w:r>
          </w:p>
        </w:tc>
        <w:tc>
          <w:tcPr>
            <w:tcW w:w="429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4261827" w14:textId="477B6033" w:rsidR="002C6822" w:rsidRPr="00C34CF2" w:rsidRDefault="00573606" w:rsidP="005D656A">
            <w:pPr>
              <w:rPr>
                <w:lang w:val="en-US"/>
              </w:rPr>
            </w:pPr>
            <w:r>
              <w:t>0.09</w:t>
            </w:r>
            <w:r w:rsidR="00241522">
              <w:t>2</w:t>
            </w:r>
          </w:p>
        </w:tc>
      </w:tr>
      <w:tr w:rsidR="002C6822" w:rsidRPr="00C34CF2" w14:paraId="02A69F53" w14:textId="77777777" w:rsidTr="005D656A">
        <w:tc>
          <w:tcPr>
            <w:tcW w:w="4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C8C3272" w14:textId="53955A0F" w:rsidR="002C6822" w:rsidRPr="00C34CF2" w:rsidRDefault="002C6822" w:rsidP="005D656A">
            <w:pPr>
              <w:rPr>
                <w:b/>
                <w:bCs/>
                <w:lang w:val="en-US"/>
              </w:rPr>
            </w:pPr>
            <w:r w:rsidRPr="00C34CF2">
              <w:rPr>
                <w:b/>
                <w:bCs/>
                <w:lang w:val="en-US"/>
              </w:rPr>
              <w:t>Costs</w:t>
            </w:r>
            <w:r w:rsidR="00573606">
              <w:rPr>
                <w:b/>
                <w:bCs/>
                <w:lang w:val="en-US"/>
              </w:rPr>
              <w:t xml:space="preserve"> </w:t>
            </w:r>
            <w:r w:rsidR="00573606" w:rsidRPr="0092107C">
              <w:rPr>
                <w:bCs/>
                <w:lang w:val="en-US"/>
              </w:rPr>
              <w:t>(</w:t>
            </w:r>
            <w:r w:rsidR="009E3A08" w:rsidRPr="0092107C">
              <w:rPr>
                <w:bCs/>
                <w:lang w:val="en-US"/>
              </w:rPr>
              <w:t>$</w:t>
            </w:r>
            <w:r w:rsidR="00573606" w:rsidRPr="0092107C">
              <w:rPr>
                <w:bCs/>
                <w:lang w:val="en-US"/>
              </w:rPr>
              <w:t>m)</w:t>
            </w:r>
          </w:p>
        </w:tc>
        <w:tc>
          <w:tcPr>
            <w:tcW w:w="429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9782EC2" w14:textId="2ABE3804" w:rsidR="002C6822" w:rsidRPr="00C34CF2" w:rsidRDefault="00241522" w:rsidP="005D656A">
            <w:pPr>
              <w:rPr>
                <w:lang w:val="en-US"/>
              </w:rPr>
            </w:pPr>
            <w:r>
              <w:t>0.032</w:t>
            </w:r>
            <w:r w:rsidR="00D951D2">
              <w:t xml:space="preserve"> </w:t>
            </w:r>
            <w:r w:rsidR="002C6822" w:rsidRPr="00C34CF2">
              <w:t xml:space="preserve">to </w:t>
            </w:r>
            <w:r w:rsidR="00D951D2">
              <w:t>0.055</w:t>
            </w:r>
          </w:p>
        </w:tc>
      </w:tr>
      <w:tr w:rsidR="002C6822" w:rsidRPr="00C34CF2" w14:paraId="23143E14" w14:textId="77777777" w:rsidTr="005D656A">
        <w:tc>
          <w:tcPr>
            <w:tcW w:w="4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D3AD445" w14:textId="11E981FD" w:rsidR="002C6822" w:rsidRPr="00C34CF2" w:rsidRDefault="002C6822" w:rsidP="005D656A">
            <w:pPr>
              <w:rPr>
                <w:b/>
                <w:bCs/>
                <w:lang w:val="en-US"/>
              </w:rPr>
            </w:pPr>
            <w:r w:rsidRPr="00C34CF2">
              <w:rPr>
                <w:b/>
                <w:bCs/>
                <w:lang w:val="en-US"/>
              </w:rPr>
              <w:t>Surplus/Deficit</w:t>
            </w:r>
            <w:r w:rsidR="00573606">
              <w:rPr>
                <w:b/>
                <w:bCs/>
                <w:lang w:val="en-US"/>
              </w:rPr>
              <w:t xml:space="preserve"> </w:t>
            </w:r>
            <w:r w:rsidR="009E3A08" w:rsidRPr="0092107C">
              <w:rPr>
                <w:bCs/>
                <w:lang w:val="en-US"/>
              </w:rPr>
              <w:t>($m)</w:t>
            </w:r>
          </w:p>
        </w:tc>
        <w:tc>
          <w:tcPr>
            <w:tcW w:w="429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4EE3FD8" w14:textId="2B41F3D9" w:rsidR="002C6822" w:rsidRPr="00C34CF2" w:rsidRDefault="0052090A" w:rsidP="005D656A">
            <w:pPr>
              <w:rPr>
                <w:lang w:val="en-US"/>
              </w:rPr>
            </w:pPr>
            <w:r>
              <w:rPr>
                <w:lang w:val="en-US"/>
              </w:rPr>
              <w:t>0.</w:t>
            </w:r>
            <w:r w:rsidR="006E7005">
              <w:rPr>
                <w:lang w:val="en-US"/>
              </w:rPr>
              <w:t xml:space="preserve">036 </w:t>
            </w:r>
            <w:r w:rsidR="002C6822" w:rsidRPr="00C34CF2">
              <w:rPr>
                <w:lang w:val="en-US"/>
              </w:rPr>
              <w:t xml:space="preserve">to </w:t>
            </w:r>
            <w:r w:rsidR="006E7005">
              <w:rPr>
                <w:lang w:val="en-US"/>
              </w:rPr>
              <w:t>0.059</w:t>
            </w:r>
          </w:p>
        </w:tc>
      </w:tr>
    </w:tbl>
    <w:p w14:paraId="65A7F705" w14:textId="72F0DF5B" w:rsidR="00E455D8" w:rsidRDefault="00E455D8" w:rsidP="007247CA">
      <w:pPr>
        <w:pStyle w:val="Heading3-Numbered"/>
      </w:pPr>
      <w:bookmarkStart w:id="156" w:name="_Ref219727854"/>
      <w:bookmarkStart w:id="157" w:name="_Toc226448301"/>
      <w:r>
        <w:t>Hoardings and advertisement applications</w:t>
      </w:r>
      <w:bookmarkEnd w:id="156"/>
      <w:bookmarkEnd w:id="157"/>
    </w:p>
    <w:p w14:paraId="1DDC2F85" w14:textId="7829FACE" w:rsidR="00E31D99" w:rsidRDefault="000C0A2A" w:rsidP="000A79B4">
      <w:r w:rsidRPr="00C34CF2">
        <w:t xml:space="preserve">Under section 66 of the Act, written consent must be obtained from the coordinating road authority to place an advertising structure, sign or hoarding on or over a road or on a road reserve, as discussed in </w:t>
      </w:r>
      <w:r>
        <w:t xml:space="preserve">section </w:t>
      </w:r>
      <w:r>
        <w:fldChar w:fldCharType="begin"/>
      </w:r>
      <w:r>
        <w:instrText xml:space="preserve"> REF _Ref210910651 \r \h </w:instrText>
      </w:r>
      <w:r>
        <w:fldChar w:fldCharType="separate"/>
      </w:r>
      <w:r w:rsidR="00F170D0">
        <w:t>2.1.2.5</w:t>
      </w:r>
      <w:r>
        <w:fldChar w:fldCharType="end"/>
      </w:r>
      <w:r>
        <w:t>.</w:t>
      </w:r>
    </w:p>
    <w:p w14:paraId="5B01BEAF" w14:textId="09E3A310" w:rsidR="001934C7" w:rsidRDefault="001934C7">
      <w:pPr>
        <w:rPr>
          <w:rFonts w:asciiTheme="majorHAnsi" w:eastAsiaTheme="majorEastAsia" w:hAnsiTheme="majorHAnsi" w:cstheme="majorBidi"/>
          <w:b/>
          <w:color w:val="075D5F" w:themeColor="accent1"/>
          <w:sz w:val="28"/>
          <w:szCs w:val="50"/>
        </w:rPr>
      </w:pPr>
      <w:r w:rsidRPr="001934C7">
        <w:t>Given the absence of data on consents provided for signage across all road authorities it is difficult to provide a definitive total cost for the administration of the consent application process.</w:t>
      </w:r>
      <w:r>
        <w:br w:type="page"/>
      </w:r>
    </w:p>
    <w:p w14:paraId="7C5685A3" w14:textId="7F75887A" w:rsidR="00C34CF2" w:rsidRPr="00C34CF2" w:rsidRDefault="00C34CF2" w:rsidP="00E01C00">
      <w:pPr>
        <w:pStyle w:val="Heading1-Numbered"/>
      </w:pPr>
      <w:bookmarkStart w:id="158" w:name="_Ref224031208"/>
      <w:bookmarkStart w:id="159" w:name="_Toc226448302"/>
      <w:r w:rsidRPr="00C34CF2">
        <w:lastRenderedPageBreak/>
        <w:t>Objectives</w:t>
      </w:r>
      <w:bookmarkEnd w:id="153"/>
      <w:bookmarkEnd w:id="158"/>
      <w:bookmarkEnd w:id="159"/>
    </w:p>
    <w:p w14:paraId="333E83A7" w14:textId="22F14424" w:rsidR="00594049" w:rsidRDefault="00371448" w:rsidP="00506463">
      <w:r w:rsidRPr="00BA2BC5">
        <w:t xml:space="preserve">The </w:t>
      </w:r>
      <w:r w:rsidRPr="004067ED">
        <w:rPr>
          <w:i/>
        </w:rPr>
        <w:t>Victorian Guide to Regulation</w:t>
      </w:r>
      <w:r w:rsidRPr="00BA2BC5">
        <w:t xml:space="preserve"> states, “The objectives should identify the ends to be achieved, or the broad policy outcomes desired, rather than the means by which they will be achieved”. </w:t>
      </w:r>
      <w:r w:rsidR="001D55DE">
        <w:t xml:space="preserve">The need for regulations discussed at </w:t>
      </w:r>
      <w:r w:rsidR="001D55DE">
        <w:fldChar w:fldCharType="begin"/>
      </w:r>
      <w:r w:rsidR="001D55DE">
        <w:instrText xml:space="preserve"> REF _Ref210732518 \r \h </w:instrText>
      </w:r>
      <w:r w:rsidR="001D55DE">
        <w:fldChar w:fldCharType="separate"/>
      </w:r>
      <w:r w:rsidR="00F170D0">
        <w:t>3.2</w:t>
      </w:r>
      <w:r w:rsidR="001D55DE">
        <w:fldChar w:fldCharType="end"/>
      </w:r>
      <w:r w:rsidR="001D55DE">
        <w:t xml:space="preserve"> and feedback discussed at </w:t>
      </w:r>
      <w:r w:rsidR="001D55DE">
        <w:fldChar w:fldCharType="begin"/>
      </w:r>
      <w:r w:rsidR="001D55DE">
        <w:instrText xml:space="preserve"> REF _Ref210733248 \r \h </w:instrText>
      </w:r>
      <w:r w:rsidR="001D55DE">
        <w:fldChar w:fldCharType="separate"/>
      </w:r>
      <w:r w:rsidR="00F170D0">
        <w:t>3.3</w:t>
      </w:r>
      <w:r w:rsidR="001D55DE">
        <w:fldChar w:fldCharType="end"/>
      </w:r>
      <w:r w:rsidR="001D55DE">
        <w:t xml:space="preserve"> have formed the basis for the objectives </w:t>
      </w:r>
      <w:r w:rsidR="00B0059A">
        <w:t>for the proposed regulations</w:t>
      </w:r>
      <w:r w:rsidR="00594049">
        <w:t>.</w:t>
      </w:r>
    </w:p>
    <w:p w14:paraId="4BC9FE0A" w14:textId="4C39E3B6" w:rsidR="00C34CF2" w:rsidRPr="00C34CF2" w:rsidRDefault="00C34CF2" w:rsidP="00506463">
      <w:r w:rsidRPr="00C34CF2">
        <w:t>In making the proposed Regulations, the Department’s overarching objective</w:t>
      </w:r>
      <w:r w:rsidR="00D275EE">
        <w:t>s</w:t>
      </w:r>
      <w:r w:rsidR="00506463">
        <w:t xml:space="preserve"> are to:</w:t>
      </w:r>
    </w:p>
    <w:p w14:paraId="2A602B0C" w14:textId="7C6BE3C5" w:rsidR="002E3713" w:rsidRPr="002E3713" w:rsidRDefault="00822EE8" w:rsidP="0092107C">
      <w:pPr>
        <w:pStyle w:val="ListBullet2"/>
      </w:pPr>
      <w:r>
        <w:t>discourage</w:t>
      </w:r>
      <w:r w:rsidR="002E3713">
        <w:t xml:space="preserve"> unauthorised and unreasonable damage to public roads</w:t>
      </w:r>
      <w:r w:rsidR="00005161">
        <w:t xml:space="preserve"> to protect the condition and quality of public roads</w:t>
      </w:r>
      <w:r w:rsidR="00200474">
        <w:t>,</w:t>
      </w:r>
    </w:p>
    <w:p w14:paraId="71C858F0" w14:textId="714CA6A8" w:rsidR="0067417A" w:rsidRDefault="00005161" w:rsidP="0092107C">
      <w:pPr>
        <w:pStyle w:val="ListBullet2"/>
      </w:pPr>
      <w:r>
        <w:t>r</w:t>
      </w:r>
      <w:r w:rsidR="00A04908">
        <w:t>educ</w:t>
      </w:r>
      <w:r w:rsidR="00CD10E2">
        <w:t>e</w:t>
      </w:r>
      <w:r w:rsidR="00A04908">
        <w:t xml:space="preserve"> administrative burden to enable </w:t>
      </w:r>
      <w:r w:rsidR="0067417A">
        <w:t xml:space="preserve">road authorities to </w:t>
      </w:r>
      <w:r w:rsidR="008B0BB0">
        <w:t xml:space="preserve">effectively manage public roads and </w:t>
      </w:r>
      <w:r w:rsidR="0067417A">
        <w:t>enable those carrying out works on public roads to do so efficien</w:t>
      </w:r>
      <w:r w:rsidR="000652B7">
        <w:t>tly</w:t>
      </w:r>
      <w:r w:rsidR="00200474">
        <w:t>,</w:t>
      </w:r>
    </w:p>
    <w:p w14:paraId="167504EC" w14:textId="61297DE1" w:rsidR="006646BA" w:rsidRDefault="00715FF7" w:rsidP="0092107C">
      <w:pPr>
        <w:pStyle w:val="ListBullet2"/>
      </w:pPr>
      <w:r>
        <w:t>f</w:t>
      </w:r>
      <w:r w:rsidR="00826913">
        <w:t>aci</w:t>
      </w:r>
      <w:r w:rsidR="00E44F8D">
        <w:t xml:space="preserve">litate </w:t>
      </w:r>
      <w:r w:rsidR="00E538DE">
        <w:t>effective</w:t>
      </w:r>
      <w:r w:rsidR="006646BA">
        <w:t xml:space="preserve"> and efficient maintenance of public roads</w:t>
      </w:r>
      <w:r w:rsidR="00CF3AD3">
        <w:t>,</w:t>
      </w:r>
      <w:r w:rsidR="00A47519">
        <w:t xml:space="preserve"> and</w:t>
      </w:r>
    </w:p>
    <w:p w14:paraId="2F083D5F" w14:textId="08CE82CB" w:rsidR="00F00126" w:rsidRPr="00F00126" w:rsidRDefault="00715FF7" w:rsidP="0092107C">
      <w:pPr>
        <w:pStyle w:val="ListBullet2"/>
      </w:pPr>
      <w:r>
        <w:t>p</w:t>
      </w:r>
      <w:r w:rsidR="00D059D3">
        <w:t xml:space="preserve">revent </w:t>
      </w:r>
      <w:r w:rsidR="00236D1E">
        <w:t xml:space="preserve">negative safety outcomes for road users, </w:t>
      </w:r>
      <w:r w:rsidR="00A47519">
        <w:t>road authority staff</w:t>
      </w:r>
      <w:r w:rsidR="00236D1E">
        <w:t xml:space="preserve"> and people conducting works on the road</w:t>
      </w:r>
      <w:r w:rsidR="00A47519">
        <w:t>.</w:t>
      </w:r>
    </w:p>
    <w:p w14:paraId="6184408F" w14:textId="74640E66" w:rsidR="00506273" w:rsidRDefault="007543AD" w:rsidP="00C34CF2">
      <w:r>
        <w:t xml:space="preserve">In </w:t>
      </w:r>
      <w:r w:rsidR="00FD0C9B">
        <w:t>these ways,</w:t>
      </w:r>
      <w:r>
        <w:t xml:space="preserve"> the proposed </w:t>
      </w:r>
      <w:r w:rsidR="00FD0C9B">
        <w:t>regulations should</w:t>
      </w:r>
      <w:r>
        <w:t xml:space="preserve"> also </w:t>
      </w:r>
      <w:r w:rsidR="00FD0C9B">
        <w:t>seek to</w:t>
      </w:r>
      <w:r>
        <w:t xml:space="preserve"> </w:t>
      </w:r>
      <w:r w:rsidR="002720BB">
        <w:t>reduce costs incurred by</w:t>
      </w:r>
      <w:r w:rsidR="00316405">
        <w:t>:</w:t>
      </w:r>
    </w:p>
    <w:p w14:paraId="57DE0F38" w14:textId="53986405" w:rsidR="00316405" w:rsidRDefault="00316405" w:rsidP="0092107C">
      <w:pPr>
        <w:pStyle w:val="ListBullet2"/>
      </w:pPr>
      <w:r>
        <w:t>entities carrying out works on public roads</w:t>
      </w:r>
      <w:r w:rsidR="00022AB7">
        <w:t>, to more efficiently deliver services and therefore reduce costs to the community</w:t>
      </w:r>
      <w:r w:rsidR="007C0DCB">
        <w:t>,</w:t>
      </w:r>
    </w:p>
    <w:p w14:paraId="03DFB1A5" w14:textId="568B6A02" w:rsidR="007A0D8C" w:rsidRDefault="002720BB" w:rsidP="0092107C">
      <w:pPr>
        <w:pStyle w:val="ListBullet2"/>
      </w:pPr>
      <w:r w:rsidRPr="00C34CF2">
        <w:t>road authorities in the performance of their functions under the Act</w:t>
      </w:r>
      <w:r w:rsidR="00A62D2F">
        <w:t>,</w:t>
      </w:r>
      <w:r w:rsidR="005B2905">
        <w:t xml:space="preserve"> and</w:t>
      </w:r>
    </w:p>
    <w:p w14:paraId="732FAFE8" w14:textId="69073AD4" w:rsidR="001E13E8" w:rsidRDefault="005B2905" w:rsidP="0092107C">
      <w:pPr>
        <w:pStyle w:val="ListBullet2"/>
      </w:pPr>
      <w:r>
        <w:t>road users</w:t>
      </w:r>
      <w:r w:rsidR="00F65E40">
        <w:t xml:space="preserve"> and the broader community.</w:t>
      </w:r>
    </w:p>
    <w:p w14:paraId="27B6FFC5" w14:textId="2A50A752" w:rsidR="00251ED9" w:rsidRDefault="00C34CF2" w:rsidP="00C34CF2">
      <w:r w:rsidRPr="00C34CF2">
        <w:t>In making the proposed regulations to set regulatory fees, the Department’s overarching objective is to efficiently and equitably recover the costs of regulating road management laws, and to minimise any negative impact of regulatory fees on safety, small businesses and participation in road management activities.</w:t>
      </w:r>
    </w:p>
    <w:p w14:paraId="27B598BC" w14:textId="77777777" w:rsidR="00763CFA" w:rsidRDefault="00763CFA">
      <w:pPr>
        <w:rPr>
          <w:rFonts w:asciiTheme="majorHAnsi" w:eastAsiaTheme="majorEastAsia" w:hAnsiTheme="majorHAnsi" w:cstheme="majorBidi"/>
          <w:b/>
          <w:color w:val="075D5F" w:themeColor="accent1"/>
          <w:sz w:val="28"/>
          <w:szCs w:val="50"/>
        </w:rPr>
      </w:pPr>
      <w:bookmarkStart w:id="160" w:name="_Toc209440310"/>
      <w:bookmarkStart w:id="161" w:name="_Ref211419868"/>
      <w:r>
        <w:br w:type="page"/>
      </w:r>
    </w:p>
    <w:p w14:paraId="327EE4E3" w14:textId="77777777" w:rsidR="00C34CF2" w:rsidRPr="00C34CF2" w:rsidRDefault="00C34CF2" w:rsidP="00E01C00">
      <w:pPr>
        <w:pStyle w:val="Heading1-Numbered"/>
      </w:pPr>
      <w:bookmarkStart w:id="162" w:name="_Ref211524499"/>
      <w:bookmarkStart w:id="163" w:name="_Toc226448303"/>
      <w:r w:rsidRPr="00C34CF2">
        <w:lastRenderedPageBreak/>
        <w:t>Options identification</w:t>
      </w:r>
      <w:bookmarkEnd w:id="160"/>
      <w:bookmarkEnd w:id="161"/>
      <w:bookmarkEnd w:id="162"/>
      <w:bookmarkEnd w:id="163"/>
    </w:p>
    <w:p w14:paraId="491F9468" w14:textId="097B8394" w:rsidR="00C34CF2" w:rsidRPr="00C34CF2" w:rsidRDefault="00183D1A" w:rsidP="00C34CF2">
      <w:r w:rsidRPr="003846CC">
        <w:rPr>
          <w:iCs/>
        </w:rPr>
        <w:t xml:space="preserve">According to the </w:t>
      </w:r>
      <w:r w:rsidRPr="003846CC">
        <w:rPr>
          <w:i/>
        </w:rPr>
        <w:t>Victorian Guide to Regulation</w:t>
      </w:r>
      <w:r w:rsidRPr="003846CC">
        <w:rPr>
          <w:iCs/>
        </w:rPr>
        <w:t>, when assessing sunsetting regulations, the base case for comparison should assume that the regulations lapse and are not</w:t>
      </w:r>
      <w:r w:rsidRPr="00183D1A">
        <w:rPr>
          <w:i/>
        </w:rPr>
        <w:t xml:space="preserve"> </w:t>
      </w:r>
      <w:r w:rsidR="00C34CF2" w:rsidRPr="00C34CF2">
        <w:t>remade</w:t>
      </w:r>
      <w:r w:rsidR="00E53BDC">
        <w:t>.</w:t>
      </w:r>
      <w:r w:rsidR="00C34CF2" w:rsidRPr="00C34CF2">
        <w:rPr>
          <w:vertAlign w:val="superscript"/>
        </w:rPr>
        <w:footnoteReference w:id="18"/>
      </w:r>
    </w:p>
    <w:p w14:paraId="5FAACB2C" w14:textId="6F79209F" w:rsidR="00485C77" w:rsidRPr="00C34CF2" w:rsidRDefault="00C34CF2" w:rsidP="00485C77">
      <w:r w:rsidRPr="00C34CF2">
        <w:t>As d</w:t>
      </w:r>
      <w:r w:rsidR="00394EC9">
        <w:t>emonstrated</w:t>
      </w:r>
      <w:r w:rsidRPr="00C34CF2">
        <w:t xml:space="preserve"> in</w:t>
      </w:r>
      <w:r w:rsidR="00394EC9">
        <w:t xml:space="preserve"> section </w:t>
      </w:r>
      <w:r w:rsidR="00394EC9">
        <w:fldChar w:fldCharType="begin"/>
      </w:r>
      <w:r w:rsidR="00394EC9">
        <w:instrText xml:space="preserve"> REF _Ref210732518 \r \h </w:instrText>
      </w:r>
      <w:r w:rsidR="00394EC9">
        <w:fldChar w:fldCharType="separate"/>
      </w:r>
      <w:r w:rsidR="00F170D0">
        <w:t>3.2</w:t>
      </w:r>
      <w:r w:rsidR="00394EC9">
        <w:fldChar w:fldCharType="end"/>
      </w:r>
      <w:r w:rsidRPr="00C34CF2">
        <w:t xml:space="preserve"> the absence of regulations would result in unnecessary delays to certain works, inefficient and unclear processes and procedures, gaps in the protection of public roads, and limited ability to recover the costs associated with the management of public roads.</w:t>
      </w:r>
      <w:r w:rsidR="009A4C24">
        <w:t xml:space="preserve"> </w:t>
      </w:r>
      <w:r w:rsidR="00485C77" w:rsidRPr="00C34CF2">
        <w:t xml:space="preserve">For these reasons, the Department does not consider the base case to be a feasible option. </w:t>
      </w:r>
    </w:p>
    <w:p w14:paraId="17E53FB8" w14:textId="550CFB63" w:rsidR="00934450" w:rsidRPr="00C34CF2" w:rsidRDefault="00B17BFA" w:rsidP="00485C77">
      <w:r>
        <w:t xml:space="preserve">This chapter outlines options that were considered in response to the feedback that was provided during the Department’s initial consultation phase. </w:t>
      </w:r>
      <w:r w:rsidR="00154BCC">
        <w:t xml:space="preserve">Section </w:t>
      </w:r>
      <w:r w:rsidR="00870684">
        <w:fldChar w:fldCharType="begin"/>
      </w:r>
      <w:r w:rsidR="00870684">
        <w:instrText xml:space="preserve"> REF _Ref211603710 \r \h </w:instrText>
      </w:r>
      <w:r w:rsidR="00870684">
        <w:fldChar w:fldCharType="separate"/>
      </w:r>
      <w:r w:rsidR="00F170D0">
        <w:t>5.1</w:t>
      </w:r>
      <w:r w:rsidR="00870684">
        <w:fldChar w:fldCharType="end"/>
      </w:r>
      <w:r w:rsidR="00870684">
        <w:t xml:space="preserve"> </w:t>
      </w:r>
      <w:r w:rsidR="0027412D">
        <w:t xml:space="preserve">considers options </w:t>
      </w:r>
      <w:r w:rsidR="00606538">
        <w:t>relating to the regulations (other than fees), while o</w:t>
      </w:r>
      <w:r w:rsidR="00F270BB">
        <w:t xml:space="preserve">ptions relating to fees are covered separately under section </w:t>
      </w:r>
      <w:r w:rsidR="00F270BB">
        <w:fldChar w:fldCharType="begin"/>
      </w:r>
      <w:r w:rsidR="00F270BB">
        <w:instrText xml:space="preserve"> REF _Ref211603512 \r \h </w:instrText>
      </w:r>
      <w:r w:rsidR="00F270BB">
        <w:fldChar w:fldCharType="separate"/>
      </w:r>
      <w:r w:rsidR="00F170D0">
        <w:t>5.2</w:t>
      </w:r>
      <w:r w:rsidR="00F270BB">
        <w:fldChar w:fldCharType="end"/>
      </w:r>
      <w:r w:rsidR="00F270BB">
        <w:t>.</w:t>
      </w:r>
    </w:p>
    <w:p w14:paraId="0171A639" w14:textId="77777777" w:rsidR="00C34CF2" w:rsidRDefault="00C34CF2" w:rsidP="00E01C00">
      <w:pPr>
        <w:pStyle w:val="Heading2-Numbered"/>
      </w:pPr>
      <w:bookmarkStart w:id="164" w:name="_Toc208847162"/>
      <w:bookmarkStart w:id="165" w:name="_Toc209440311"/>
      <w:bookmarkStart w:id="166" w:name="_Ref211524294"/>
      <w:bookmarkStart w:id="167" w:name="_Ref211603710"/>
      <w:bookmarkStart w:id="168" w:name="_Ref211604601"/>
      <w:bookmarkStart w:id="169" w:name="_Toc226448304"/>
      <w:r w:rsidRPr="00C34CF2">
        <w:t>Options considered in the preparation of this RIS</w:t>
      </w:r>
      <w:bookmarkEnd w:id="164"/>
      <w:bookmarkEnd w:id="165"/>
      <w:bookmarkEnd w:id="166"/>
      <w:bookmarkEnd w:id="167"/>
      <w:bookmarkEnd w:id="168"/>
      <w:bookmarkEnd w:id="169"/>
    </w:p>
    <w:p w14:paraId="77C1C943" w14:textId="16096864" w:rsidR="00232B70" w:rsidRDefault="008E5F4E" w:rsidP="007123E5">
      <w:pPr>
        <w:pStyle w:val="Heading3-Numbered"/>
      </w:pPr>
      <w:bookmarkStart w:id="170" w:name="_Ref211517653"/>
      <w:bookmarkStart w:id="171" w:name="_Toc226448305"/>
      <w:r>
        <w:t>Exemptions</w:t>
      </w:r>
      <w:bookmarkEnd w:id="170"/>
      <w:bookmarkEnd w:id="171"/>
    </w:p>
    <w:p w14:paraId="042FD0B8" w14:textId="12394B2F" w:rsidR="000E71D4" w:rsidRPr="00C63FF8" w:rsidRDefault="000E71D4" w:rsidP="000E71D4">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Consent for works</w:t>
      </w:r>
    </w:p>
    <w:p w14:paraId="5910C7FC" w14:textId="320A92A1" w:rsidR="004C265A" w:rsidRDefault="004C265A" w:rsidP="00232B70">
      <w:r>
        <w:t xml:space="preserve">Section </w:t>
      </w:r>
      <w:r>
        <w:fldChar w:fldCharType="begin"/>
      </w:r>
      <w:r>
        <w:instrText xml:space="preserve"> REF _Ref210814546 \r \h </w:instrText>
      </w:r>
      <w:r>
        <w:fldChar w:fldCharType="separate"/>
      </w:r>
      <w:r w:rsidR="00F170D0">
        <w:t>3.2.1.1</w:t>
      </w:r>
      <w:r>
        <w:fldChar w:fldCharType="end"/>
      </w:r>
      <w:r w:rsidR="0027704C">
        <w:t xml:space="preserve"> </w:t>
      </w:r>
      <w:r w:rsidR="009375F1">
        <w:t>describes</w:t>
      </w:r>
      <w:r w:rsidR="0027704C">
        <w:t xml:space="preserve"> the exemptions provided under the regulations from having to apply to the coordinating road authority for consent to carry out works.</w:t>
      </w:r>
    </w:p>
    <w:p w14:paraId="4108B43E" w14:textId="7961EBB4" w:rsidR="00ED2707" w:rsidRDefault="00636B83" w:rsidP="00232B70">
      <w:r>
        <w:t xml:space="preserve">As discussed in </w:t>
      </w:r>
      <w:r w:rsidR="00465ED2">
        <w:t>s</w:t>
      </w:r>
      <w:r>
        <w:t>ection</w:t>
      </w:r>
      <w:r w:rsidR="00282994">
        <w:t xml:space="preserve"> </w:t>
      </w:r>
      <w:r w:rsidR="00CA754D">
        <w:fldChar w:fldCharType="begin"/>
      </w:r>
      <w:r w:rsidR="00CA754D">
        <w:instrText xml:space="preserve"> REF _Ref211255866 \r \h </w:instrText>
      </w:r>
      <w:r w:rsidR="00CA754D">
        <w:fldChar w:fldCharType="separate"/>
      </w:r>
      <w:r w:rsidR="00F170D0">
        <w:t>3.3.1.1</w:t>
      </w:r>
      <w:r w:rsidR="00CA754D">
        <w:fldChar w:fldCharType="end"/>
      </w:r>
      <w:r w:rsidR="006A041B">
        <w:t xml:space="preserve">, some road authorities have indicated that the exemptions </w:t>
      </w:r>
      <w:r w:rsidR="00F80E1D">
        <w:t xml:space="preserve">for </w:t>
      </w:r>
      <w:r w:rsidR="00CD4F3D">
        <w:t xml:space="preserve">works managers from having to apply for </w:t>
      </w:r>
      <w:r w:rsidR="00F80E1D">
        <w:t xml:space="preserve">consent to carry out works, </w:t>
      </w:r>
      <w:r w:rsidR="001B7C72">
        <w:t xml:space="preserve">are reducing their ability to </w:t>
      </w:r>
      <w:r w:rsidR="00F12629">
        <w:t xml:space="preserve">regulate the quality and frequency of works conducted </w:t>
      </w:r>
      <w:r w:rsidR="007A6EE1">
        <w:t>on</w:t>
      </w:r>
      <w:r w:rsidR="007D7A94">
        <w:t xml:space="preserve"> public roads.</w:t>
      </w:r>
      <w:r w:rsidR="00300C22">
        <w:t xml:space="preserve"> Therefore, the Department investigated whether some of the ex</w:t>
      </w:r>
      <w:r w:rsidR="00171234">
        <w:t>emptions needed to be removed or modified.</w:t>
      </w:r>
    </w:p>
    <w:p w14:paraId="33FCED8B" w14:textId="7E7F8191" w:rsidR="00232B70" w:rsidRDefault="00FA238A" w:rsidP="00232B70">
      <w:r>
        <w:t xml:space="preserve">The Department </w:t>
      </w:r>
      <w:r w:rsidR="00232B70">
        <w:t>note</w:t>
      </w:r>
      <w:r>
        <w:t>s</w:t>
      </w:r>
      <w:r w:rsidR="00232B70">
        <w:t xml:space="preserve"> that works managers are required under the Act to complete all road infrastructure to a reasonable standard, regardless of whether they are required to apply for consent from the road authority. </w:t>
      </w:r>
      <w:r w:rsidR="006067EE">
        <w:t xml:space="preserve">This includes </w:t>
      </w:r>
      <w:r w:rsidR="00801899">
        <w:t xml:space="preserve">reinstatement to the standard </w:t>
      </w:r>
      <w:r w:rsidR="000C346D">
        <w:t xml:space="preserve">before the works were commenced. </w:t>
      </w:r>
      <w:r w:rsidR="00232B70">
        <w:t>The Act (in particular, Schedule 7) and the Code of Practice for Management of Infrastructure in Road Reserves (in particular, Part 5) provide the legislative framework and guidance in relation to managing works in the road reserve.</w:t>
      </w:r>
    </w:p>
    <w:p w14:paraId="0931CDEF" w14:textId="18563D0C" w:rsidR="00232B70" w:rsidRDefault="00232B70" w:rsidP="00232B70">
      <w:r>
        <w:t xml:space="preserve">As discussed at </w:t>
      </w:r>
      <w:r>
        <w:fldChar w:fldCharType="begin"/>
      </w:r>
      <w:r>
        <w:instrText xml:space="preserve"> REF _Ref210816511 \r \h </w:instrText>
      </w:r>
      <w:r>
        <w:fldChar w:fldCharType="separate"/>
      </w:r>
      <w:r w:rsidR="00F170D0">
        <w:t>3.2.1.2</w:t>
      </w:r>
      <w:r>
        <w:fldChar w:fldCharType="end"/>
      </w:r>
      <w:r>
        <w:t xml:space="preserve">, notification of works </w:t>
      </w:r>
      <w:r w:rsidR="00261420">
        <w:t>should</w:t>
      </w:r>
      <w:r w:rsidR="00D17138">
        <w:t xml:space="preserve"> </w:t>
      </w:r>
      <w:r>
        <w:t>provide road authorities with oversight over works conducted on the road</w:t>
      </w:r>
      <w:r w:rsidR="00A23814">
        <w:t>.</w:t>
      </w:r>
      <w:r w:rsidR="00945168">
        <w:t xml:space="preserve"> </w:t>
      </w:r>
      <w:r w:rsidR="00B9475E">
        <w:t>Notification</w:t>
      </w:r>
      <w:r w:rsidR="00945168">
        <w:t xml:space="preserve"> of planned works should enable road authorities to </w:t>
      </w:r>
      <w:r w:rsidR="00B9475E">
        <w:t>coordinate</w:t>
      </w:r>
      <w:r w:rsidR="004F5E94">
        <w:t xml:space="preserve"> and </w:t>
      </w:r>
      <w:r w:rsidR="00847E44">
        <w:t>plan</w:t>
      </w:r>
      <w:r w:rsidR="00C67E4A">
        <w:t>. N</w:t>
      </w:r>
      <w:r w:rsidR="0066335F">
        <w:t>otification of completed works should facilitate road authorities’</w:t>
      </w:r>
      <w:r>
        <w:t xml:space="preserve"> ability to request remediation where works have not been reinstated to an adequate standard </w:t>
      </w:r>
      <w:r w:rsidR="00B9475E">
        <w:t xml:space="preserve">or </w:t>
      </w:r>
      <w:r>
        <w:t xml:space="preserve">in accordance with the Codes of Practice. </w:t>
      </w:r>
      <w:r w:rsidR="00B93BE1">
        <w:t>T</w:t>
      </w:r>
      <w:r>
        <w:t>he</w:t>
      </w:r>
      <w:r w:rsidR="00FF3F6F">
        <w:rPr>
          <w:rFonts w:ascii="Cambria" w:hAnsi="Cambria"/>
        </w:rPr>
        <w:t xml:space="preserve"> </w:t>
      </w:r>
      <w:r>
        <w:t xml:space="preserve">effectiveness of the exemptions for notification of works are discussed at </w:t>
      </w:r>
      <w:r>
        <w:fldChar w:fldCharType="begin"/>
      </w:r>
      <w:r>
        <w:instrText xml:space="preserve"> REF _Ref210816787 \r \h </w:instrText>
      </w:r>
      <w:r>
        <w:fldChar w:fldCharType="separate"/>
      </w:r>
      <w:r w:rsidR="00F170D0">
        <w:t>3.3.1.2</w:t>
      </w:r>
      <w:r>
        <w:fldChar w:fldCharType="end"/>
      </w:r>
      <w:r w:rsidR="00E024EC">
        <w:t xml:space="preserve"> and </w:t>
      </w:r>
      <w:r w:rsidR="00E024EC">
        <w:fldChar w:fldCharType="begin"/>
      </w:r>
      <w:r w:rsidR="00E024EC">
        <w:instrText xml:space="preserve"> REF _Ref210830745 \r \h </w:instrText>
      </w:r>
      <w:r w:rsidR="00E024EC">
        <w:fldChar w:fldCharType="separate"/>
      </w:r>
      <w:r w:rsidR="00F170D0">
        <w:t>5.1.1.2</w:t>
      </w:r>
      <w:r w:rsidR="00E024EC">
        <w:fldChar w:fldCharType="end"/>
      </w:r>
      <w:r>
        <w:t>.</w:t>
      </w:r>
      <w:r w:rsidRPr="00D35003">
        <w:t xml:space="preserve"> </w:t>
      </w:r>
    </w:p>
    <w:p w14:paraId="56B5F488" w14:textId="2009034C" w:rsidR="00232B70" w:rsidRDefault="0071685D" w:rsidP="00232B70">
      <w:r>
        <w:t xml:space="preserve">The Department considers that </w:t>
      </w:r>
      <w:r w:rsidR="00D66AD1">
        <w:t>even</w:t>
      </w:r>
      <w:r w:rsidR="00232B70">
        <w:t xml:space="preserve"> if an exemption were removed from the Regulations, </w:t>
      </w:r>
      <w:r w:rsidR="00073299">
        <w:t xml:space="preserve">works managers </w:t>
      </w:r>
      <w:r w:rsidR="00232B70">
        <w:t xml:space="preserve">may already be exempt </w:t>
      </w:r>
      <w:r w:rsidR="00EA1845">
        <w:t xml:space="preserve">from needing to apply for consent </w:t>
      </w:r>
      <w:r w:rsidR="00232B70">
        <w:t>under the Act. For example, the Act provides consent is not required for emergency works</w:t>
      </w:r>
      <w:r w:rsidR="000E5484">
        <w:t xml:space="preserve"> and t</w:t>
      </w:r>
      <w:r w:rsidR="00232B70">
        <w:t xml:space="preserve">he Department understands that this provision is used quite broadly. </w:t>
      </w:r>
      <w:r w:rsidR="00226A7E">
        <w:t>A</w:t>
      </w:r>
      <w:r w:rsidR="00226A7E" w:rsidRPr="00C34CF2">
        <w:t xml:space="preserve">ny consideration of the scope of </w:t>
      </w:r>
      <w:r w:rsidR="00226A7E">
        <w:t xml:space="preserve">the definition of </w:t>
      </w:r>
      <w:r w:rsidR="00226A7E" w:rsidRPr="00C34CF2">
        <w:t>emergency works</w:t>
      </w:r>
      <w:r w:rsidR="00226A7E">
        <w:t xml:space="preserve"> </w:t>
      </w:r>
      <w:r w:rsidR="00226A7E" w:rsidRPr="00C34CF2">
        <w:t xml:space="preserve">would require </w:t>
      </w:r>
      <w:r w:rsidR="00226A7E">
        <w:t>amendment to the Act</w:t>
      </w:r>
      <w:r w:rsidR="00226A7E" w:rsidRPr="005E648C">
        <w:t xml:space="preserve"> </w:t>
      </w:r>
      <w:r w:rsidR="00226A7E">
        <w:t>and would therefore have no effect under the Regulations</w:t>
      </w:r>
      <w:r w:rsidR="00226A7E" w:rsidRPr="00C34CF2">
        <w:t>.</w:t>
      </w:r>
      <w:r w:rsidR="00226A7E">
        <w:t xml:space="preserve"> </w:t>
      </w:r>
      <w:r w:rsidR="000E5484">
        <w:t>The Act also provides exemptions for works conducted under an agreement</w:t>
      </w:r>
      <w:r w:rsidR="007A11A0">
        <w:t xml:space="preserve"> </w:t>
      </w:r>
      <w:r w:rsidR="007F491E">
        <w:t xml:space="preserve">or that are required </w:t>
      </w:r>
      <w:r w:rsidR="007A11A0">
        <w:t>under another Act</w:t>
      </w:r>
      <w:r w:rsidR="000E5484">
        <w:t xml:space="preserve">. </w:t>
      </w:r>
      <w:r w:rsidR="009D5080">
        <w:t xml:space="preserve">Similarly, </w:t>
      </w:r>
      <w:r w:rsidR="007A0414">
        <w:t>addressing this would only be possible under the Act and not the Regulations.</w:t>
      </w:r>
    </w:p>
    <w:p w14:paraId="1D72F3C7" w14:textId="117008DF" w:rsidR="00232B70" w:rsidRDefault="00232B70" w:rsidP="00232B70">
      <w:r>
        <w:t xml:space="preserve">It is also possible that some works managers are failing to apply for consent to carry out works because of their interaction with other legislation. </w:t>
      </w:r>
      <w:r w:rsidRPr="00682FDE">
        <w:t xml:space="preserve">For example, </w:t>
      </w:r>
      <w:r>
        <w:t>feedback</w:t>
      </w:r>
      <w:r w:rsidRPr="00682FDE">
        <w:t xml:space="preserve"> from road authorities</w:t>
      </w:r>
      <w:r>
        <w:t xml:space="preserve"> </w:t>
      </w:r>
      <w:r w:rsidRPr="00682FDE">
        <w:t xml:space="preserve">suggests that telecommunications companies </w:t>
      </w:r>
      <w:r w:rsidR="00703177">
        <w:t xml:space="preserve">incorrectly </w:t>
      </w:r>
      <w:r w:rsidRPr="00682FDE">
        <w:t xml:space="preserve">believe they are exempt from obtaining consent </w:t>
      </w:r>
      <w:r w:rsidR="00DB42CC">
        <w:t xml:space="preserve">for all works </w:t>
      </w:r>
      <w:r w:rsidRPr="00682FDE">
        <w:t>because they operate under the Commonwealth</w:t>
      </w:r>
      <w:r>
        <w:t>’s</w:t>
      </w:r>
      <w:r w:rsidRPr="00682FDE">
        <w:t xml:space="preserve"> </w:t>
      </w:r>
      <w:r w:rsidRPr="00682FDE">
        <w:rPr>
          <w:i/>
        </w:rPr>
        <w:t>Telecommunications Act 1997</w:t>
      </w:r>
      <w:r w:rsidRPr="00682FDE">
        <w:t xml:space="preserve">. </w:t>
      </w:r>
      <w:r w:rsidR="005E3FE6">
        <w:t>However,</w:t>
      </w:r>
      <w:r w:rsidR="00703177">
        <w:t xml:space="preserve"> </w:t>
      </w:r>
      <w:r w:rsidR="006826B4">
        <w:t xml:space="preserve">certain ‘authorised </w:t>
      </w:r>
      <w:r w:rsidR="006826B4">
        <w:lastRenderedPageBreak/>
        <w:t>works’ a</w:t>
      </w:r>
      <w:r w:rsidR="005E3FE6">
        <w:t>re permitted under Commonwealth law, therefore c</w:t>
      </w:r>
      <w:r>
        <w:t>hanging the exemptions under the Regulations would have a limited impact on road authorities’ ability to prevent or change the scope of works where works managers are operating under these separate pieces of legislation.</w:t>
      </w:r>
    </w:p>
    <w:p w14:paraId="222774EA" w14:textId="5FF00C94" w:rsidR="001B37D6" w:rsidRDefault="001B37D6" w:rsidP="00232B70">
      <w:r>
        <w:t xml:space="preserve">Considering the impact of </w:t>
      </w:r>
      <w:r w:rsidR="00327EBB">
        <w:t>exemptions under the Act and legislation</w:t>
      </w:r>
      <w:r w:rsidR="00407125">
        <w:t>,</w:t>
      </w:r>
      <w:r w:rsidR="00327EBB">
        <w:t xml:space="preserve"> and the oversight </w:t>
      </w:r>
      <w:r w:rsidR="00E27593">
        <w:t>that should be provided through the notification process</w:t>
      </w:r>
      <w:r w:rsidR="007669EE">
        <w:t>es</w:t>
      </w:r>
      <w:r w:rsidR="00E27593">
        <w:t>, the Department</w:t>
      </w:r>
      <w:r w:rsidR="001C5469">
        <w:t xml:space="preserve"> considers that </w:t>
      </w:r>
      <w:r w:rsidR="003A3524">
        <w:t xml:space="preserve">removing or </w:t>
      </w:r>
      <w:r w:rsidR="001C5469">
        <w:t xml:space="preserve">modifying </w:t>
      </w:r>
      <w:r w:rsidR="00E832E3">
        <w:t xml:space="preserve">any of </w:t>
      </w:r>
      <w:r w:rsidR="001C5469">
        <w:t>the current exemptions</w:t>
      </w:r>
      <w:r w:rsidR="00166D78">
        <w:t xml:space="preserve"> would be unlikely to </w:t>
      </w:r>
      <w:r w:rsidR="0061332E">
        <w:t xml:space="preserve">result in </w:t>
      </w:r>
      <w:r w:rsidR="00F368A8">
        <w:t>meaning</w:t>
      </w:r>
      <w:r w:rsidR="006F7144">
        <w:t>ful</w:t>
      </w:r>
      <w:r w:rsidR="0061332E">
        <w:t xml:space="preserve"> </w:t>
      </w:r>
      <w:r w:rsidR="00F368A8">
        <w:t>improve</w:t>
      </w:r>
      <w:r w:rsidR="0061332E">
        <w:t xml:space="preserve">ments </w:t>
      </w:r>
      <w:r w:rsidR="00D52744">
        <w:t>to</w:t>
      </w:r>
      <w:r w:rsidR="00F368A8">
        <w:t xml:space="preserve"> </w:t>
      </w:r>
      <w:r w:rsidR="00282994">
        <w:t xml:space="preserve">the issues raised in </w:t>
      </w:r>
      <w:r w:rsidR="002C2483">
        <w:t>s</w:t>
      </w:r>
      <w:r w:rsidR="00282994">
        <w:t xml:space="preserve">ection </w:t>
      </w:r>
      <w:r w:rsidR="00282994">
        <w:fldChar w:fldCharType="begin"/>
      </w:r>
      <w:r w:rsidR="00282994">
        <w:instrText xml:space="preserve"> REF _Ref210814546 \r \h </w:instrText>
      </w:r>
      <w:r w:rsidR="00282994">
        <w:fldChar w:fldCharType="separate"/>
      </w:r>
      <w:r w:rsidR="00F170D0">
        <w:t>3.2.1.1</w:t>
      </w:r>
      <w:r w:rsidR="00282994">
        <w:fldChar w:fldCharType="end"/>
      </w:r>
      <w:r w:rsidR="001C5469">
        <w:t xml:space="preserve">. </w:t>
      </w:r>
      <w:r w:rsidR="006F453B">
        <w:t>Removing any</w:t>
      </w:r>
      <w:r w:rsidR="00AA32AD">
        <w:t xml:space="preserve"> </w:t>
      </w:r>
      <w:r w:rsidR="006F453B">
        <w:t>e</w:t>
      </w:r>
      <w:r w:rsidR="00242093">
        <w:t>xemptions nee</w:t>
      </w:r>
      <w:r w:rsidR="00DB4B28">
        <w:t>d</w:t>
      </w:r>
      <w:r w:rsidR="00FF1188">
        <w:t>s</w:t>
      </w:r>
      <w:r w:rsidR="00DB4B28">
        <w:t xml:space="preserve"> to </w:t>
      </w:r>
      <w:r w:rsidR="003E4636">
        <w:t xml:space="preserve">be </w:t>
      </w:r>
      <w:r w:rsidR="006F453B">
        <w:t xml:space="preserve">justified with sufficient evidence </w:t>
      </w:r>
      <w:r w:rsidR="00FE6A2F">
        <w:t xml:space="preserve">that </w:t>
      </w:r>
      <w:r w:rsidR="00312CE3">
        <w:t xml:space="preserve">doing so would provide </w:t>
      </w:r>
      <w:r w:rsidR="00AE1577">
        <w:t>benefits that outweigh</w:t>
      </w:r>
      <w:r w:rsidR="006F453B">
        <w:t xml:space="preserve"> </w:t>
      </w:r>
      <w:r w:rsidR="00DB4B28">
        <w:t xml:space="preserve">the need </w:t>
      </w:r>
      <w:r w:rsidR="00FD5E68">
        <w:t xml:space="preserve">to </w:t>
      </w:r>
      <w:r w:rsidR="00DB4B28">
        <w:t>reduce administrative burden. T</w:t>
      </w:r>
      <w:r w:rsidR="00282994">
        <w:t xml:space="preserve">he Department welcomes </w:t>
      </w:r>
      <w:r w:rsidR="00FC38AD">
        <w:t>further feedback as per the question below.</w:t>
      </w:r>
    </w:p>
    <w:p w14:paraId="355DF8CE" w14:textId="05E4C9F5" w:rsidR="001C5469" w:rsidRDefault="00232B70" w:rsidP="00232B70">
      <w:pPr>
        <w:pStyle w:val="Pull-outQuote"/>
      </w:pPr>
      <w:r w:rsidRPr="00AA2220">
        <w:rPr>
          <w:b/>
        </w:rPr>
        <w:t>Question</w:t>
      </w:r>
      <w:r w:rsidR="001C5469">
        <w:rPr>
          <w:b/>
        </w:rPr>
        <w:t xml:space="preserve"> for stakeholders</w:t>
      </w:r>
    </w:p>
    <w:p w14:paraId="39949F50" w14:textId="70BB41E1" w:rsidR="00FC456E" w:rsidRDefault="00E94671" w:rsidP="000652D3">
      <w:pPr>
        <w:pStyle w:val="Pull-outQuote"/>
      </w:pPr>
      <w:r>
        <w:t>1.</w:t>
      </w:r>
      <w:r>
        <w:tab/>
      </w:r>
      <w:r w:rsidR="005013AA">
        <w:t xml:space="preserve">Are there any </w:t>
      </w:r>
      <w:r w:rsidR="001167AC">
        <w:t xml:space="preserve">works related </w:t>
      </w:r>
      <w:r w:rsidR="000F5A9B">
        <w:t xml:space="preserve">activities that are </w:t>
      </w:r>
      <w:r w:rsidR="00232B70">
        <w:t xml:space="preserve">exempt </w:t>
      </w:r>
      <w:r w:rsidR="00B9147B">
        <w:t xml:space="preserve">under the Regulations </w:t>
      </w:r>
      <w:r w:rsidR="003623E9">
        <w:t>that should be modified and if so, why?</w:t>
      </w:r>
    </w:p>
    <w:p w14:paraId="6EF808B0" w14:textId="79D53CFB" w:rsidR="00232B70" w:rsidRDefault="004D0EA5" w:rsidP="00F269D7">
      <w:pPr>
        <w:pStyle w:val="Pull-outQuote"/>
        <w:rPr>
          <w:i/>
        </w:rPr>
      </w:pPr>
      <w:r>
        <w:rPr>
          <w:i/>
        </w:rPr>
        <w:t xml:space="preserve">When </w:t>
      </w:r>
      <w:r w:rsidR="009367A8">
        <w:rPr>
          <w:i/>
        </w:rPr>
        <w:t>answering the above question</w:t>
      </w:r>
      <w:r w:rsidR="005A20DC">
        <w:rPr>
          <w:i/>
        </w:rPr>
        <w:t xml:space="preserve">, </w:t>
      </w:r>
      <w:r>
        <w:rPr>
          <w:i/>
        </w:rPr>
        <w:t xml:space="preserve">please also consider whether there </w:t>
      </w:r>
      <w:r w:rsidR="005A20DC">
        <w:rPr>
          <w:i/>
        </w:rPr>
        <w:t xml:space="preserve">should be </w:t>
      </w:r>
      <w:r w:rsidR="00232B70" w:rsidRPr="001C570B">
        <w:rPr>
          <w:i/>
        </w:rPr>
        <w:t>amendment</w:t>
      </w:r>
      <w:r>
        <w:rPr>
          <w:i/>
        </w:rPr>
        <w:t>s</w:t>
      </w:r>
      <w:r w:rsidR="00232B70" w:rsidRPr="001C570B">
        <w:rPr>
          <w:i/>
        </w:rPr>
        <w:t xml:space="preserve"> </w:t>
      </w:r>
      <w:r>
        <w:rPr>
          <w:i/>
        </w:rPr>
        <w:t xml:space="preserve">to </w:t>
      </w:r>
      <w:r w:rsidR="00F10131">
        <w:rPr>
          <w:i/>
        </w:rPr>
        <w:t>relevant</w:t>
      </w:r>
      <w:r>
        <w:rPr>
          <w:i/>
        </w:rPr>
        <w:t xml:space="preserve"> </w:t>
      </w:r>
      <w:r w:rsidR="00232B70" w:rsidRPr="001C570B">
        <w:rPr>
          <w:i/>
        </w:rPr>
        <w:t xml:space="preserve">definitions </w:t>
      </w:r>
      <w:r w:rsidR="00F10131">
        <w:rPr>
          <w:i/>
        </w:rPr>
        <w:t xml:space="preserve">such as </w:t>
      </w:r>
      <w:r w:rsidR="00232B70" w:rsidRPr="001C570B">
        <w:rPr>
          <w:i/>
        </w:rPr>
        <w:t xml:space="preserve">‘minor works’, ‘traffic impact works’ and </w:t>
      </w:r>
      <w:r w:rsidR="0044262F">
        <w:rPr>
          <w:i/>
        </w:rPr>
        <w:t>‘</w:t>
      </w:r>
      <w:r w:rsidR="00232B70" w:rsidRPr="001C570B">
        <w:rPr>
          <w:i/>
        </w:rPr>
        <w:t>service extension works’</w:t>
      </w:r>
      <w:r w:rsidR="000652D3" w:rsidRPr="001C570B">
        <w:rPr>
          <w:i/>
        </w:rPr>
        <w:t xml:space="preserve">. </w:t>
      </w:r>
      <w:r w:rsidR="00232B70" w:rsidRPr="001C570B">
        <w:rPr>
          <w:i/>
        </w:rPr>
        <w:t>For example, is 8.5 square metres of excavation an appropriate size under the definition of minor works? If not, what size would be more appropriate and why?</w:t>
      </w:r>
    </w:p>
    <w:p w14:paraId="79C3268B" w14:textId="6E49144E" w:rsidR="00ED116D" w:rsidRPr="001D050B" w:rsidRDefault="00ED116D" w:rsidP="00F269D7">
      <w:pPr>
        <w:pStyle w:val="Pull-outQuote"/>
      </w:pPr>
      <w:r>
        <w:t xml:space="preserve">2. </w:t>
      </w:r>
      <w:r w:rsidR="00706CF8">
        <w:t>A</w:t>
      </w:r>
      <w:r w:rsidR="00706CF8" w:rsidRPr="00706CF8">
        <w:t>re</w:t>
      </w:r>
      <w:r w:rsidR="00706CF8">
        <w:t xml:space="preserve"> there</w:t>
      </w:r>
      <w:r w:rsidR="00706CF8" w:rsidRPr="00706CF8">
        <w:t xml:space="preserve"> any works related </w:t>
      </w:r>
      <w:r w:rsidR="002D674D" w:rsidRPr="002D674D">
        <w:t>activities that should be exempt that are not already covered under the Regulations</w:t>
      </w:r>
      <w:r w:rsidR="00EA7F7A">
        <w:t xml:space="preserve"> or the Act</w:t>
      </w:r>
      <w:r w:rsidR="00706CF8" w:rsidRPr="00706CF8">
        <w:t>?</w:t>
      </w:r>
    </w:p>
    <w:p w14:paraId="7191C83C" w14:textId="59BBFAD2" w:rsidR="000E71D4" w:rsidRPr="00C63FF8" w:rsidRDefault="000E71D4" w:rsidP="000E71D4">
      <w:pPr>
        <w:pStyle w:val="Heading4-Numbered"/>
        <w:rPr>
          <w14:textFill>
            <w14:solidFill>
              <w14:schemeClr w14:val="tx2">
                <w14:lumMod w14:val="75000"/>
                <w14:lumOff w14:val="25000"/>
                <w14:lumMod w14:val="75000"/>
                <w14:lumOff w14:val="25000"/>
                <w14:lumMod w14:val="75000"/>
              </w14:schemeClr>
            </w14:solidFill>
          </w14:textFill>
        </w:rPr>
      </w:pPr>
      <w:bookmarkStart w:id="172" w:name="_Ref210830745"/>
      <w:r w:rsidRPr="00C63FF8">
        <w:rPr>
          <w14:textFill>
            <w14:solidFill>
              <w14:schemeClr w14:val="tx2">
                <w14:lumMod w14:val="75000"/>
                <w14:lumOff w14:val="25000"/>
                <w14:lumMod w14:val="75000"/>
                <w14:lumOff w14:val="25000"/>
                <w14:lumMod w14:val="75000"/>
              </w14:schemeClr>
            </w14:solidFill>
          </w14:textFill>
        </w:rPr>
        <w:t>Notic</w:t>
      </w:r>
      <w:r w:rsidR="00017C88" w:rsidRPr="00C63FF8">
        <w:rPr>
          <w14:textFill>
            <w14:solidFill>
              <w14:schemeClr w14:val="tx2">
                <w14:lumMod w14:val="75000"/>
                <w14:lumOff w14:val="25000"/>
                <w14:lumMod w14:val="75000"/>
                <w14:lumOff w14:val="25000"/>
                <w14:lumMod w14:val="75000"/>
              </w14:schemeClr>
            </w14:solidFill>
          </w14:textFill>
        </w:rPr>
        <w:t>e</w:t>
      </w:r>
      <w:r w:rsidRPr="00C63FF8">
        <w:rPr>
          <w14:textFill>
            <w14:solidFill>
              <w14:schemeClr w14:val="tx2">
                <w14:lumMod w14:val="75000"/>
                <w14:lumOff w14:val="25000"/>
                <w14:lumMod w14:val="75000"/>
                <w14:lumOff w14:val="25000"/>
                <w14:lumMod w14:val="75000"/>
              </w14:schemeClr>
            </w14:solidFill>
          </w14:textFill>
        </w:rPr>
        <w:t xml:space="preserve"> of works</w:t>
      </w:r>
      <w:bookmarkEnd w:id="172"/>
    </w:p>
    <w:p w14:paraId="737BF855" w14:textId="29FAE5F5" w:rsidR="00E43840" w:rsidRDefault="00E43840" w:rsidP="00AD2F8D">
      <w:r>
        <w:t xml:space="preserve">Section </w:t>
      </w:r>
      <w:r>
        <w:fldChar w:fldCharType="begin"/>
      </w:r>
      <w:r>
        <w:instrText xml:space="preserve"> REF _Ref210816511 \r \h </w:instrText>
      </w:r>
      <w:r>
        <w:fldChar w:fldCharType="separate"/>
      </w:r>
      <w:r w:rsidR="00F170D0">
        <w:t>3.2.1.2</w:t>
      </w:r>
      <w:r>
        <w:fldChar w:fldCharType="end"/>
      </w:r>
      <w:r>
        <w:t xml:space="preserve"> </w:t>
      </w:r>
      <w:r w:rsidR="009375F1">
        <w:t>describes</w:t>
      </w:r>
      <w:r>
        <w:t xml:space="preserve"> the exemptions provided under the regulations from having to </w:t>
      </w:r>
      <w:r w:rsidR="00BE05A7">
        <w:t>notify</w:t>
      </w:r>
      <w:r>
        <w:t xml:space="preserve"> the coordinating road authority </w:t>
      </w:r>
      <w:r w:rsidR="00BE05A7">
        <w:t>about plans for or completion of</w:t>
      </w:r>
      <w:r>
        <w:t xml:space="preserve"> works</w:t>
      </w:r>
      <w:r w:rsidR="00BE05A7">
        <w:t xml:space="preserve"> in or on the road reserve</w:t>
      </w:r>
      <w:r>
        <w:t>.</w:t>
      </w:r>
    </w:p>
    <w:p w14:paraId="53019203" w14:textId="608110F6" w:rsidR="00196FFB" w:rsidRDefault="00032DD5" w:rsidP="00196FFB">
      <w:r>
        <w:t xml:space="preserve">As discussed at </w:t>
      </w:r>
      <w:r w:rsidR="004C6919">
        <w:t xml:space="preserve">section </w:t>
      </w:r>
      <w:r w:rsidR="004C6919">
        <w:fldChar w:fldCharType="begin"/>
      </w:r>
      <w:r w:rsidR="004C6919">
        <w:instrText xml:space="preserve"> REF _Ref210816787 \r \h </w:instrText>
      </w:r>
      <w:r w:rsidR="004C6919">
        <w:fldChar w:fldCharType="separate"/>
      </w:r>
      <w:r w:rsidR="00F170D0">
        <w:t>3.3.1.2</w:t>
      </w:r>
      <w:r w:rsidR="004C6919">
        <w:fldChar w:fldCharType="end"/>
      </w:r>
      <w:r w:rsidR="004C6919">
        <w:t xml:space="preserve"> </w:t>
      </w:r>
      <w:r w:rsidR="00A174D6">
        <w:t xml:space="preserve">road authorities have reported that </w:t>
      </w:r>
      <w:r w:rsidR="004C6919">
        <w:t>the</w:t>
      </w:r>
      <w:r w:rsidR="00AD2F8D">
        <w:t xml:space="preserve"> exemptions</w:t>
      </w:r>
      <w:r w:rsidR="00B21F4A">
        <w:t xml:space="preserve"> for having to notify </w:t>
      </w:r>
      <w:r w:rsidR="00CB5B34">
        <w:t xml:space="preserve">about planned </w:t>
      </w:r>
      <w:r w:rsidR="004C6919">
        <w:t xml:space="preserve">works </w:t>
      </w:r>
      <w:r w:rsidR="00A174D6">
        <w:t xml:space="preserve">may </w:t>
      </w:r>
      <w:r w:rsidR="004C6919">
        <w:t xml:space="preserve">limit </w:t>
      </w:r>
      <w:r w:rsidR="00372BFA">
        <w:t>their</w:t>
      </w:r>
      <w:r w:rsidR="005466C9">
        <w:t xml:space="preserve"> </w:t>
      </w:r>
      <w:r w:rsidR="00BC77A3">
        <w:t xml:space="preserve">ability to </w:t>
      </w:r>
      <w:r w:rsidR="002A0517">
        <w:t xml:space="preserve">coordinate </w:t>
      </w:r>
      <w:r w:rsidR="008916BC">
        <w:t>and plan other works</w:t>
      </w:r>
      <w:r w:rsidR="005466C9">
        <w:t xml:space="preserve">. </w:t>
      </w:r>
      <w:r w:rsidR="004D65A4">
        <w:t>For this reason,</w:t>
      </w:r>
      <w:r w:rsidR="00356354">
        <w:t xml:space="preserve"> the</w:t>
      </w:r>
      <w:r w:rsidR="00791490" w:rsidRPr="00C34CF2">
        <w:t xml:space="preserve"> Department considered </w:t>
      </w:r>
      <w:r w:rsidR="00356354">
        <w:t xml:space="preserve">the option of </w:t>
      </w:r>
      <w:r w:rsidR="00791490" w:rsidRPr="00C34CF2">
        <w:t>removing th</w:t>
      </w:r>
      <w:r w:rsidR="001E3AA2">
        <w:t>e</w:t>
      </w:r>
      <w:r w:rsidR="00151C02">
        <w:t>m</w:t>
      </w:r>
      <w:r w:rsidR="005B5388">
        <w:t xml:space="preserve">. </w:t>
      </w:r>
      <w:r w:rsidR="00CB7EF5">
        <w:t>However,</w:t>
      </w:r>
      <w:r w:rsidR="002D75BA">
        <w:t xml:space="preserve"> </w:t>
      </w:r>
      <w:r w:rsidR="00F520D4">
        <w:t>while the regulations provide exemptions from notification</w:t>
      </w:r>
      <w:r w:rsidR="00E952A3">
        <w:t xml:space="preserve"> requirements</w:t>
      </w:r>
      <w:r w:rsidR="00F520D4">
        <w:t xml:space="preserve"> under </w:t>
      </w:r>
      <w:r w:rsidR="003678EF">
        <w:t>Clause 7</w:t>
      </w:r>
      <w:r w:rsidR="00A36943">
        <w:t xml:space="preserve"> of </w:t>
      </w:r>
      <w:r w:rsidR="003D49A0">
        <w:t xml:space="preserve">Schedule 7 to </w:t>
      </w:r>
      <w:r w:rsidR="00A36943">
        <w:t>the Act</w:t>
      </w:r>
      <w:r w:rsidR="00DF3737">
        <w:t>,</w:t>
      </w:r>
      <w:r w:rsidR="003678EF">
        <w:t xml:space="preserve"> the</w:t>
      </w:r>
      <w:r w:rsidR="009D6917">
        <w:t xml:space="preserve">y </w:t>
      </w:r>
      <w:r w:rsidR="00B27346">
        <w:t>do not</w:t>
      </w:r>
      <w:r w:rsidR="009D6917">
        <w:t xml:space="preserve"> provide </w:t>
      </w:r>
      <w:r w:rsidR="00B27346">
        <w:t xml:space="preserve">any exemptions to provide </w:t>
      </w:r>
      <w:r w:rsidR="009D6917">
        <w:t xml:space="preserve">notice under Clause </w:t>
      </w:r>
      <w:r w:rsidR="003276CD">
        <w:t>8.</w:t>
      </w:r>
      <w:r w:rsidR="00B27346">
        <w:t xml:space="preserve"> </w:t>
      </w:r>
      <w:r w:rsidR="003C6F25">
        <w:t xml:space="preserve">Clause 8 specifies that </w:t>
      </w:r>
      <w:r w:rsidR="00414494">
        <w:t>a</w:t>
      </w:r>
      <w:r w:rsidR="00FD4012">
        <w:t>n infrastructure manager or</w:t>
      </w:r>
      <w:r w:rsidR="00414494">
        <w:t xml:space="preserve"> works manager m</w:t>
      </w:r>
      <w:r w:rsidR="00196FFB">
        <w:t xml:space="preserve">ust give notice to any other </w:t>
      </w:r>
      <w:r w:rsidR="00FD4012">
        <w:t>infrastructure man</w:t>
      </w:r>
      <w:r w:rsidR="00C95867">
        <w:t>a</w:t>
      </w:r>
      <w:r w:rsidR="00FD4012">
        <w:t xml:space="preserve">ger or </w:t>
      </w:r>
      <w:r w:rsidR="00196FFB">
        <w:t>works manager responsible for any non-road infrastructure in the area which could be affected by any proposed installation of infrastructure or related works</w:t>
      </w:r>
      <w:r w:rsidR="00D53C0B">
        <w:t xml:space="preserve">. This </w:t>
      </w:r>
      <w:r w:rsidR="000A6999">
        <w:t xml:space="preserve">should provide </w:t>
      </w:r>
      <w:r w:rsidR="00704BD1">
        <w:t>all</w:t>
      </w:r>
      <w:r w:rsidR="00567DC0">
        <w:t xml:space="preserve"> infrastructure man</w:t>
      </w:r>
      <w:r w:rsidR="005D38CC">
        <w:t>a</w:t>
      </w:r>
      <w:r w:rsidR="00567DC0">
        <w:t>gers and</w:t>
      </w:r>
      <w:r w:rsidR="00704BD1">
        <w:t xml:space="preserve"> works managers with an opportunity to coordinate works</w:t>
      </w:r>
      <w:r w:rsidR="000F36B8">
        <w:t xml:space="preserve"> </w:t>
      </w:r>
      <w:r w:rsidR="007E5803">
        <w:t xml:space="preserve">where those works might </w:t>
      </w:r>
      <w:r w:rsidR="00A05108">
        <w:t>affect each other.</w:t>
      </w:r>
    </w:p>
    <w:p w14:paraId="5C46A85D" w14:textId="0C282D8C" w:rsidR="00AD2F8D" w:rsidRDefault="00712737" w:rsidP="00AD2F8D">
      <w:r>
        <w:t>I</w:t>
      </w:r>
      <w:r w:rsidR="00D86D12">
        <w:t xml:space="preserve">t should </w:t>
      </w:r>
      <w:r w:rsidR="0005442C">
        <w:t xml:space="preserve">also </w:t>
      </w:r>
      <w:r w:rsidR="00D86D12">
        <w:t xml:space="preserve">be noted that </w:t>
      </w:r>
      <w:r w:rsidR="00837E87">
        <w:t xml:space="preserve">some </w:t>
      </w:r>
      <w:r w:rsidR="009B501A">
        <w:t xml:space="preserve">infrastructure managers or </w:t>
      </w:r>
      <w:r w:rsidR="00837E87">
        <w:t xml:space="preserve">works managers might be required to notify the coordinating road authority under separate legislation. For example, </w:t>
      </w:r>
      <w:r w:rsidR="005F5ADE">
        <w:t>t</w:t>
      </w:r>
      <w:r w:rsidR="00880367">
        <w:t>elecommunications providers that are operating under Commonwealth legislation must generally give notice prior to commencing any works. Therefore, any exemption from prior notice requirements under the Act have no effect on telecommunications as they must comply with Commonwealth law.</w:t>
      </w:r>
    </w:p>
    <w:p w14:paraId="128EC7CA" w14:textId="5157A4E3" w:rsidR="00882E45" w:rsidRDefault="008D0A74" w:rsidP="00AD2F8D">
      <w:r>
        <w:t>As discussed at section</w:t>
      </w:r>
      <w:r w:rsidR="00DE094D">
        <w:t xml:space="preserve"> </w:t>
      </w:r>
      <w:r w:rsidR="00DE094D">
        <w:fldChar w:fldCharType="begin"/>
      </w:r>
      <w:r w:rsidR="00DE094D">
        <w:instrText xml:space="preserve"> REF _Ref210816511 \r \h </w:instrText>
      </w:r>
      <w:r w:rsidR="00DE094D">
        <w:fldChar w:fldCharType="separate"/>
      </w:r>
      <w:r w:rsidR="00F170D0">
        <w:t>3.2.1.2</w:t>
      </w:r>
      <w:r w:rsidR="00DE094D">
        <w:fldChar w:fldCharType="end"/>
      </w:r>
      <w:r>
        <w:t xml:space="preserve">, </w:t>
      </w:r>
      <w:r w:rsidR="00302B34">
        <w:t xml:space="preserve">even where </w:t>
      </w:r>
      <w:r w:rsidR="00A20FCA">
        <w:t xml:space="preserve">there are </w:t>
      </w:r>
      <w:r w:rsidR="0020446D" w:rsidRPr="00C34CF2">
        <w:t xml:space="preserve">exemptions from the requirement to give prior notice, </w:t>
      </w:r>
      <w:r w:rsidR="00D5758B">
        <w:t xml:space="preserve">works managers are still required to provide notice of completion for any works that involve excavation of the </w:t>
      </w:r>
      <w:r w:rsidR="0039346F">
        <w:t>roadway, pathway or shoulder</w:t>
      </w:r>
      <w:r w:rsidR="00496DFA">
        <w:t>, even for emergency works</w:t>
      </w:r>
      <w:r w:rsidR="00D5758B">
        <w:t>.</w:t>
      </w:r>
      <w:r w:rsidR="003C3392">
        <w:t xml:space="preserve"> This should, in theory</w:t>
      </w:r>
      <w:r w:rsidR="0051791F">
        <w:t>,</w:t>
      </w:r>
      <w:r w:rsidR="003C3392">
        <w:t xml:space="preserve"> provide</w:t>
      </w:r>
      <w:r w:rsidR="00A120BA">
        <w:t xml:space="preserve"> </w:t>
      </w:r>
      <w:r w:rsidR="00306593">
        <w:t>coordinating road authorities with sufficient oversight to manage the quality of the road and require re</w:t>
      </w:r>
      <w:r w:rsidR="00187333">
        <w:t>ctification</w:t>
      </w:r>
      <w:r w:rsidR="00306593">
        <w:t xml:space="preserve"> where</w:t>
      </w:r>
      <w:r w:rsidR="0058250D">
        <w:t xml:space="preserve"> needed</w:t>
      </w:r>
      <w:r w:rsidR="00765ABD">
        <w:t xml:space="preserve">. However, as indicated at </w:t>
      </w:r>
      <w:r w:rsidR="00DE094D">
        <w:fldChar w:fldCharType="begin"/>
      </w:r>
      <w:r w:rsidR="00DE094D">
        <w:instrText xml:space="preserve"> REF _Ref210816787 \r \h </w:instrText>
      </w:r>
      <w:r w:rsidR="00DE094D">
        <w:fldChar w:fldCharType="separate"/>
      </w:r>
      <w:r w:rsidR="00F170D0">
        <w:t>3.3.1.2</w:t>
      </w:r>
      <w:r w:rsidR="00DE094D">
        <w:fldChar w:fldCharType="end"/>
      </w:r>
      <w:r w:rsidR="00434466">
        <w:t>,</w:t>
      </w:r>
      <w:r w:rsidR="008210D6">
        <w:t xml:space="preserve"> </w:t>
      </w:r>
      <w:r w:rsidR="00CF1288">
        <w:t>some road authorities have suggested that</w:t>
      </w:r>
      <w:r w:rsidR="000A54C4" w:rsidRPr="000A54C4">
        <w:t xml:space="preserve"> </w:t>
      </w:r>
      <w:r w:rsidR="00202017">
        <w:t xml:space="preserve">they are finding out about substandard works </w:t>
      </w:r>
      <w:r w:rsidR="006322E9">
        <w:t xml:space="preserve">not </w:t>
      </w:r>
      <w:r w:rsidR="007C79C6">
        <w:t>because they are inspecting wo</w:t>
      </w:r>
      <w:r w:rsidR="00AA1C13">
        <w:t>rks they have been notified about</w:t>
      </w:r>
      <w:r w:rsidR="00F85059">
        <w:t>,</w:t>
      </w:r>
      <w:r w:rsidR="00AA1C13">
        <w:t xml:space="preserve"> but </w:t>
      </w:r>
      <w:r w:rsidR="008433DD">
        <w:t>through</w:t>
      </w:r>
      <w:r w:rsidR="00973214">
        <w:t xml:space="preserve"> members of the community</w:t>
      </w:r>
      <w:r w:rsidR="00AA1C13">
        <w:t>,</w:t>
      </w:r>
      <w:r w:rsidR="00973214">
        <w:t xml:space="preserve"> or after trips and fall</w:t>
      </w:r>
      <w:r w:rsidR="00434466">
        <w:t>s</w:t>
      </w:r>
      <w:r w:rsidR="00973214">
        <w:t xml:space="preserve"> have already happened. </w:t>
      </w:r>
      <w:r w:rsidR="003612CF">
        <w:t xml:space="preserve">Based on anecdotal evidence from </w:t>
      </w:r>
      <w:r w:rsidR="009739E7">
        <w:t xml:space="preserve">road authorities, </w:t>
      </w:r>
      <w:r w:rsidR="00DF35C5">
        <w:t>i</w:t>
      </w:r>
      <w:r w:rsidR="00973214">
        <w:t xml:space="preserve">t appears that </w:t>
      </w:r>
      <w:r w:rsidR="000A54C4">
        <w:t>some works managers</w:t>
      </w:r>
      <w:r w:rsidR="003612CF">
        <w:t xml:space="preserve"> </w:t>
      </w:r>
      <w:r w:rsidR="000A54C4" w:rsidRPr="00C34CF2">
        <w:t xml:space="preserve">are not aware of, or not complying with, all their obligations under the Act in relation to the notice of </w:t>
      </w:r>
      <w:r w:rsidR="000A54C4">
        <w:t xml:space="preserve">works. </w:t>
      </w:r>
    </w:p>
    <w:p w14:paraId="3BE0C507" w14:textId="27E34415" w:rsidR="002533E0" w:rsidRDefault="00882E45" w:rsidP="00AD2F8D">
      <w:r>
        <w:lastRenderedPageBreak/>
        <w:t>The</w:t>
      </w:r>
      <w:r w:rsidR="00E07DBE">
        <w:t xml:space="preserve">re also may be some challenges related to the quality of reinstatement works that may be more appropriately addressed </w:t>
      </w:r>
      <w:r w:rsidR="005F48C8">
        <w:t xml:space="preserve">through the Act rather than the regulations. For example, </w:t>
      </w:r>
      <w:r w:rsidR="00230101">
        <w:t>t</w:t>
      </w:r>
      <w:r w:rsidR="00DF3B0C" w:rsidRPr="00C34CF2">
        <w:t xml:space="preserve">he Act currently states that once works have been completed, the works manager must reinstate the roadway, pathway or area of roadside to the standard before the works were commenced. This must be done “as promptly as is reasonably practicable”. </w:t>
      </w:r>
      <w:r w:rsidR="00230101">
        <w:t>A</w:t>
      </w:r>
      <w:r w:rsidR="00DF3B0C" w:rsidRPr="00C34CF2">
        <w:t xml:space="preserve"> more specific timeframe could be introduced to reduce risk and create greater assurance that permanent reinstatement works take place within a known timeframe. An infringeable offence could also be introduced to encourage compliance. Both measures would require an amendment to the Act itself.</w:t>
      </w:r>
    </w:p>
    <w:p w14:paraId="6CF31665" w14:textId="61BFA06C" w:rsidR="002533E0" w:rsidRDefault="002533E0" w:rsidP="00AD2F8D">
      <w:r>
        <w:t xml:space="preserve">For the above reasons, the Department considers that changing the exemptions from having to notify </w:t>
      </w:r>
      <w:r w:rsidR="00A15645">
        <w:t xml:space="preserve">coordinating road authorities </w:t>
      </w:r>
      <w:r>
        <w:t xml:space="preserve">about planned or completed works would offer limited benefit. </w:t>
      </w:r>
      <w:r w:rsidR="00C30DA3">
        <w:t xml:space="preserve">Instead, </w:t>
      </w:r>
      <w:r w:rsidR="00873510">
        <w:t xml:space="preserve">the challenges raised at </w:t>
      </w:r>
      <w:r w:rsidR="00873510">
        <w:fldChar w:fldCharType="begin"/>
      </w:r>
      <w:r w:rsidR="00873510">
        <w:instrText xml:space="preserve"> REF _Ref210816787 \r \h </w:instrText>
      </w:r>
      <w:r w:rsidR="00873510">
        <w:fldChar w:fldCharType="separate"/>
      </w:r>
      <w:r w:rsidR="00F170D0">
        <w:t>3.3.1.2</w:t>
      </w:r>
      <w:r w:rsidR="00873510">
        <w:fldChar w:fldCharType="end"/>
      </w:r>
      <w:r w:rsidR="00873510">
        <w:t xml:space="preserve"> may be more effectively </w:t>
      </w:r>
      <w:r w:rsidR="00102012">
        <w:t>addressed by more clearly and frequently explaining</w:t>
      </w:r>
      <w:r>
        <w:t xml:space="preserve"> works managers’</w:t>
      </w:r>
      <w:r w:rsidR="00D50CD3">
        <w:t xml:space="preserve"> legislated</w:t>
      </w:r>
      <w:r>
        <w:t xml:space="preserve"> obligations </w:t>
      </w:r>
      <w:r w:rsidR="00A47B40">
        <w:t>and potentially reviewing provisions under the Act itself</w:t>
      </w:r>
      <w:r>
        <w:t xml:space="preserve">. </w:t>
      </w:r>
      <w:r w:rsidR="00C30DA3">
        <w:t>However, t</w:t>
      </w:r>
      <w:r>
        <w:t>he Department welcomes further feedback as per the question below</w:t>
      </w:r>
      <w:r w:rsidR="00C30DA3">
        <w:t>.</w:t>
      </w:r>
    </w:p>
    <w:p w14:paraId="29FF4833" w14:textId="1DE5102B" w:rsidR="00573EDE" w:rsidRPr="00573EDE" w:rsidRDefault="00573EDE" w:rsidP="00573EDE">
      <w:pPr>
        <w:pStyle w:val="Pull-outQuote"/>
        <w:rPr>
          <w:b/>
        </w:rPr>
      </w:pPr>
      <w:r w:rsidRPr="00573EDE">
        <w:rPr>
          <w:b/>
        </w:rPr>
        <w:t>Question for stakeholders</w:t>
      </w:r>
    </w:p>
    <w:p w14:paraId="13B03A1F" w14:textId="58BE75B5" w:rsidR="00573EDE" w:rsidRDefault="002B4FCC" w:rsidP="00573EDE">
      <w:pPr>
        <w:pStyle w:val="Pull-outQuote"/>
      </w:pPr>
      <w:r>
        <w:t>3</w:t>
      </w:r>
      <w:r w:rsidR="00E94671">
        <w:t xml:space="preserve">. </w:t>
      </w:r>
      <w:r w:rsidR="00573EDE" w:rsidRPr="00573EDE">
        <w:t xml:space="preserve">Should utilities, public transport providers and/or other road authorities be required to notify </w:t>
      </w:r>
      <w:r w:rsidR="00FB7A22">
        <w:t xml:space="preserve">coordinating </w:t>
      </w:r>
      <w:r w:rsidR="00573EDE" w:rsidRPr="00573EDE">
        <w:t xml:space="preserve">road authorities about </w:t>
      </w:r>
      <w:r w:rsidR="00573EDE" w:rsidRPr="009B0874">
        <w:rPr>
          <w:i/>
        </w:rPr>
        <w:t xml:space="preserve">planned </w:t>
      </w:r>
      <w:r w:rsidR="00573EDE" w:rsidRPr="00573EDE">
        <w:t>works? What tangible benefits would be provided by receiving notification of planned works rather than completed works?</w:t>
      </w:r>
    </w:p>
    <w:p w14:paraId="61847A35" w14:textId="1DB697E4" w:rsidR="00F72903" w:rsidRPr="002B0205" w:rsidRDefault="002B4FCC" w:rsidP="00AD2F8D">
      <w:pPr>
        <w:pStyle w:val="Pull-outQuote"/>
      </w:pPr>
      <w:r>
        <w:t>4</w:t>
      </w:r>
      <w:r w:rsidR="00E94671">
        <w:t xml:space="preserve">. </w:t>
      </w:r>
      <w:r w:rsidR="00F72903">
        <w:t xml:space="preserve">If compliance issues were addressed in relation to notification of </w:t>
      </w:r>
      <w:r w:rsidR="00F72903" w:rsidRPr="00B91560">
        <w:rPr>
          <w:i/>
        </w:rPr>
        <w:t>completed</w:t>
      </w:r>
      <w:r w:rsidR="00F72903">
        <w:t xml:space="preserve"> works, would there still be regulatory gaps</w:t>
      </w:r>
      <w:r w:rsidR="00401E6E">
        <w:t xml:space="preserve"> and if so, what are they?</w:t>
      </w:r>
    </w:p>
    <w:p w14:paraId="187A50CF" w14:textId="7C115BB3" w:rsidR="00AB4914" w:rsidRPr="00C63FF8" w:rsidRDefault="001507A3" w:rsidP="00553890">
      <w:pPr>
        <w:pStyle w:val="Heading4-Numbered"/>
        <w:rPr>
          <w14:textFill>
            <w14:solidFill>
              <w14:schemeClr w14:val="tx2">
                <w14:lumMod w14:val="75000"/>
                <w14:lumOff w14:val="25000"/>
                <w14:lumMod w14:val="75000"/>
                <w14:lumOff w14:val="25000"/>
                <w14:lumMod w14:val="75000"/>
              </w14:schemeClr>
            </w14:solidFill>
          </w14:textFill>
        </w:rPr>
      </w:pPr>
      <w:bookmarkStart w:id="173" w:name="_Toc208847163"/>
      <w:bookmarkStart w:id="174" w:name="_Toc209440312"/>
      <w:r w:rsidRPr="00C63FF8">
        <w:rPr>
          <w14:textFill>
            <w14:solidFill>
              <w14:schemeClr w14:val="tx2">
                <w14:lumMod w14:val="75000"/>
                <w14:lumOff w14:val="25000"/>
                <w14:lumMod w14:val="75000"/>
                <w14:lumOff w14:val="25000"/>
                <w14:lumMod w14:val="75000"/>
              </w14:schemeClr>
            </w14:solidFill>
          </w14:textFill>
        </w:rPr>
        <w:t>Consultation for discontinuing a road</w:t>
      </w:r>
    </w:p>
    <w:p w14:paraId="5BDFB51A" w14:textId="610CFB74" w:rsidR="00DD6180" w:rsidRDefault="00DD6180" w:rsidP="0040449A">
      <w:r>
        <w:t xml:space="preserve">Section </w:t>
      </w:r>
      <w:r>
        <w:fldChar w:fldCharType="begin"/>
      </w:r>
      <w:r>
        <w:instrText xml:space="preserve"> REF _Ref210918239 \r \h </w:instrText>
      </w:r>
      <w:r>
        <w:fldChar w:fldCharType="separate"/>
      </w:r>
      <w:r w:rsidR="00F170D0">
        <w:t>3.2.1.3</w:t>
      </w:r>
      <w:r>
        <w:fldChar w:fldCharType="end"/>
      </w:r>
      <w:r>
        <w:t xml:space="preserve"> describe</w:t>
      </w:r>
      <w:r w:rsidR="009375F1">
        <w:t>s</w:t>
      </w:r>
      <w:r>
        <w:t xml:space="preserve"> the exemptions </w:t>
      </w:r>
      <w:r w:rsidR="004C03D7">
        <w:t xml:space="preserve">provided under </w:t>
      </w:r>
      <w:r>
        <w:t>the General Regulations from the requirement to issue a notice and consult with the public before discontinuing a road in certain circumstances.</w:t>
      </w:r>
    </w:p>
    <w:p w14:paraId="77A5C70C" w14:textId="037222B1" w:rsidR="0040449A" w:rsidRDefault="007D0A30" w:rsidP="0040449A">
      <w:r>
        <w:t>As discussed in section</w:t>
      </w:r>
      <w:r w:rsidR="009A4A42">
        <w:t>s</w:t>
      </w:r>
      <w:r>
        <w:t xml:space="preserve"> </w:t>
      </w:r>
      <w:r w:rsidR="009A4A42">
        <w:fldChar w:fldCharType="begin"/>
      </w:r>
      <w:r w:rsidR="009A4A42">
        <w:instrText xml:space="preserve"> REF _Ref210918364 \r \h </w:instrText>
      </w:r>
      <w:r w:rsidR="009A4A42">
        <w:fldChar w:fldCharType="separate"/>
      </w:r>
      <w:r w:rsidR="00F170D0">
        <w:t>3.3.1.3</w:t>
      </w:r>
      <w:r w:rsidR="009A4A42">
        <w:fldChar w:fldCharType="end"/>
      </w:r>
      <w:r w:rsidR="009A4A42">
        <w:t xml:space="preserve">, </w:t>
      </w:r>
      <w:r w:rsidR="001A7748" w:rsidRPr="001A7748">
        <w:t xml:space="preserve">the </w:t>
      </w:r>
      <w:r w:rsidR="00450F4C">
        <w:t xml:space="preserve">Department received </w:t>
      </w:r>
      <w:r w:rsidR="00DD6180">
        <w:t>little feedback about the effectiveness of this regulation</w:t>
      </w:r>
      <w:r w:rsidR="008D197C">
        <w:t xml:space="preserve">, aside from indications that </w:t>
      </w:r>
      <w:r w:rsidR="002B5F5A">
        <w:t xml:space="preserve">it provides </w:t>
      </w:r>
      <w:r w:rsidR="008705A6">
        <w:t>a modes</w:t>
      </w:r>
      <w:r w:rsidR="00394A12">
        <w:t>t</w:t>
      </w:r>
      <w:r w:rsidR="00450F4C">
        <w:t xml:space="preserve"> </w:t>
      </w:r>
      <w:r w:rsidR="00525E9D">
        <w:t>reduction in administrative burden</w:t>
      </w:r>
      <w:r w:rsidR="00394A12">
        <w:t xml:space="preserve"> and savings</w:t>
      </w:r>
      <w:r w:rsidR="00730DA5">
        <w:t xml:space="preserve"> to HTfV</w:t>
      </w:r>
      <w:r w:rsidR="00525E9D">
        <w:t xml:space="preserve">. </w:t>
      </w:r>
      <w:r w:rsidR="00FD474A">
        <w:t xml:space="preserve">Therefore, the Department considers </w:t>
      </w:r>
      <w:r w:rsidR="00730DA5">
        <w:t xml:space="preserve">it appropriate to </w:t>
      </w:r>
      <w:r w:rsidR="00B80AD9">
        <w:t>remake</w:t>
      </w:r>
      <w:r w:rsidR="00FD474A">
        <w:t xml:space="preserve"> the regulation</w:t>
      </w:r>
      <w:r w:rsidR="00B80AD9">
        <w:t xml:space="preserve"> as it </w:t>
      </w:r>
      <w:r w:rsidR="000C3147">
        <w:t>is currently written</w:t>
      </w:r>
      <w:r w:rsidR="00FD474A">
        <w:t>.</w:t>
      </w:r>
    </w:p>
    <w:p w14:paraId="058C6B79" w14:textId="2F88B94B" w:rsidR="00D63A9A" w:rsidRPr="00DB1E7E" w:rsidRDefault="00D63A9A" w:rsidP="00D63A9A">
      <w:pPr>
        <w:pStyle w:val="Heading3-Numbered"/>
      </w:pPr>
      <w:bookmarkStart w:id="175" w:name="_Ref211517658"/>
      <w:bookmarkStart w:id="176" w:name="_Toc226448306"/>
      <w:r>
        <w:t>Procedural and administrative guidance</w:t>
      </w:r>
      <w:bookmarkEnd w:id="175"/>
      <w:bookmarkEnd w:id="176"/>
    </w:p>
    <w:p w14:paraId="7703A691" w14:textId="42180BC7" w:rsidR="00D63A9A" w:rsidRPr="00C63FF8" w:rsidRDefault="00D63A9A" w:rsidP="00D63A9A">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Conditions not to be imposed on consent for works</w:t>
      </w:r>
    </w:p>
    <w:p w14:paraId="1C9939B9" w14:textId="1E8342E4" w:rsidR="003179F4" w:rsidRDefault="007C1A93" w:rsidP="00D63A9A">
      <w:r>
        <w:t xml:space="preserve">Section </w:t>
      </w:r>
      <w:r>
        <w:fldChar w:fldCharType="begin"/>
      </w:r>
      <w:r>
        <w:instrText xml:space="preserve"> REF _Ref210809930 \r \h </w:instrText>
      </w:r>
      <w:r>
        <w:fldChar w:fldCharType="separate"/>
      </w:r>
      <w:r w:rsidR="00F170D0">
        <w:t>3.2.2.1</w:t>
      </w:r>
      <w:r>
        <w:fldChar w:fldCharType="end"/>
      </w:r>
      <w:r>
        <w:t xml:space="preserve"> describes </w:t>
      </w:r>
      <w:r w:rsidR="00A33CBE">
        <w:t>t</w:t>
      </w:r>
      <w:r w:rsidR="00131E86" w:rsidRPr="00131E86">
        <w:t xml:space="preserve">he </w:t>
      </w:r>
      <w:r w:rsidR="00A33CBE">
        <w:t xml:space="preserve">conditions </w:t>
      </w:r>
      <w:r w:rsidR="00131E86" w:rsidRPr="00131E86">
        <w:t xml:space="preserve">that road authorities </w:t>
      </w:r>
      <w:r w:rsidR="00FF27EF">
        <w:t xml:space="preserve">are prohibited from </w:t>
      </w:r>
      <w:r w:rsidR="00131E86" w:rsidRPr="00131E86">
        <w:t>impos</w:t>
      </w:r>
      <w:r w:rsidR="00FF27EF">
        <w:t>ing</w:t>
      </w:r>
      <w:r w:rsidR="00131E86" w:rsidRPr="00131E86">
        <w:t xml:space="preserve"> on a consent to carry out works</w:t>
      </w:r>
      <w:r w:rsidR="00485EDB">
        <w:t xml:space="preserve"> as prescribed under the W&amp;I Regulations</w:t>
      </w:r>
      <w:r w:rsidR="00A33CBE">
        <w:t>.</w:t>
      </w:r>
    </w:p>
    <w:p w14:paraId="580F5D48" w14:textId="0FCFA0FA" w:rsidR="009945C5" w:rsidRDefault="007C41BE" w:rsidP="007A19BD">
      <w:r>
        <w:t xml:space="preserve">As </w:t>
      </w:r>
      <w:r w:rsidR="00C11289">
        <w:t xml:space="preserve">discussed in section </w:t>
      </w:r>
      <w:r w:rsidR="008E1201">
        <w:fldChar w:fldCharType="begin"/>
      </w:r>
      <w:r w:rsidR="008E1201">
        <w:instrText xml:space="preserve"> REF _Ref210922719 \r \h </w:instrText>
      </w:r>
      <w:r w:rsidR="008E1201">
        <w:fldChar w:fldCharType="separate"/>
      </w:r>
      <w:r w:rsidR="00F170D0">
        <w:t>3.3.2.1</w:t>
      </w:r>
      <w:r w:rsidR="008E1201">
        <w:fldChar w:fldCharType="end"/>
      </w:r>
      <w:r w:rsidR="008E1201">
        <w:t xml:space="preserve">, concerns have been raised </w:t>
      </w:r>
      <w:r w:rsidR="001F3265">
        <w:t xml:space="preserve">by </w:t>
      </w:r>
      <w:r w:rsidR="000D4F6E">
        <w:t xml:space="preserve">a </w:t>
      </w:r>
      <w:r w:rsidR="001F3265">
        <w:t>utilities compan</w:t>
      </w:r>
      <w:r w:rsidR="000D4F6E">
        <w:t>y</w:t>
      </w:r>
      <w:r w:rsidR="001F3265">
        <w:t xml:space="preserve"> </w:t>
      </w:r>
      <w:r w:rsidR="008E1201">
        <w:t xml:space="preserve">about </w:t>
      </w:r>
      <w:r w:rsidR="00DC0F95">
        <w:t xml:space="preserve">increasing </w:t>
      </w:r>
      <w:r w:rsidR="00264E9D">
        <w:t xml:space="preserve">conditions </w:t>
      </w:r>
      <w:r w:rsidR="005915BD">
        <w:t>on</w:t>
      </w:r>
      <w:r w:rsidR="00033A75">
        <w:t xml:space="preserve"> </w:t>
      </w:r>
      <w:r w:rsidR="002E4499">
        <w:t xml:space="preserve">the </w:t>
      </w:r>
      <w:r w:rsidR="001F3265">
        <w:t xml:space="preserve">location of non-road infrastructure </w:t>
      </w:r>
      <w:r w:rsidR="00DC0F95">
        <w:t xml:space="preserve">and the additional </w:t>
      </w:r>
      <w:r w:rsidR="00BC49FE">
        <w:t>costs it can create</w:t>
      </w:r>
      <w:r w:rsidR="009E7A47">
        <w:t xml:space="preserve">. However, the Department </w:t>
      </w:r>
      <w:r w:rsidR="00252A0C">
        <w:t xml:space="preserve">is not aware of any evidence to </w:t>
      </w:r>
      <w:r w:rsidR="001D2906">
        <w:t xml:space="preserve">demonstrate the frequency of the conditions </w:t>
      </w:r>
      <w:r w:rsidR="00EC0B70">
        <w:t xml:space="preserve">being imposed </w:t>
      </w:r>
      <w:r w:rsidR="001D2906">
        <w:t xml:space="preserve">or the associated costs. </w:t>
      </w:r>
    </w:p>
    <w:p w14:paraId="4F35D088" w14:textId="484D4A8A" w:rsidR="00174FB2" w:rsidRDefault="00094401" w:rsidP="007A19BD">
      <w:r>
        <w:t xml:space="preserve">The Act sets out that conditions </w:t>
      </w:r>
      <w:r w:rsidR="008C6B32">
        <w:t xml:space="preserve">imposed on consents </w:t>
      </w:r>
      <w:r w:rsidR="00E0398B">
        <w:t xml:space="preserve">must be </w:t>
      </w:r>
      <w:r w:rsidR="00B921EC">
        <w:t xml:space="preserve">based on the </w:t>
      </w:r>
      <w:r w:rsidR="00204F30">
        <w:t>principles set out in the Act (Schedule 7, Clause 14).</w:t>
      </w:r>
      <w:r w:rsidR="00204F30" w:rsidRPr="00204F30">
        <w:t xml:space="preserve"> </w:t>
      </w:r>
      <w:r w:rsidR="00204F30">
        <w:t>The principles include minimising damage, minimis</w:t>
      </w:r>
      <w:r w:rsidR="00AC58CC">
        <w:t>ing</w:t>
      </w:r>
      <w:r w:rsidR="00204F30">
        <w:t xml:space="preserve"> disruption to road users</w:t>
      </w:r>
      <w:r w:rsidR="001F545F">
        <w:t xml:space="preserve"> and</w:t>
      </w:r>
      <w:r w:rsidR="00204F30">
        <w:t xml:space="preserve"> risks to safety, returning the quality of road to its pre-existing condition</w:t>
      </w:r>
      <w:r w:rsidR="00712766">
        <w:t>,</w:t>
      </w:r>
      <w:r w:rsidR="00204F30">
        <w:t xml:space="preserve"> and protect</w:t>
      </w:r>
      <w:r w:rsidR="00712766">
        <w:t>ing</w:t>
      </w:r>
      <w:r w:rsidR="00204F30">
        <w:t xml:space="preserve"> significant roadside vegetation and sites of biological significance.</w:t>
      </w:r>
      <w:r w:rsidR="00E61112">
        <w:t xml:space="preserve"> </w:t>
      </w:r>
      <w:r w:rsidR="00CF392A">
        <w:t xml:space="preserve">This </w:t>
      </w:r>
      <w:r w:rsidR="00EE385C">
        <w:t>provision</w:t>
      </w:r>
      <w:r w:rsidR="005E1613">
        <w:t xml:space="preserve"> is designed to work </w:t>
      </w:r>
      <w:r w:rsidR="0084716E">
        <w:t xml:space="preserve">in conjunction </w:t>
      </w:r>
      <w:r w:rsidR="00EE385C">
        <w:t xml:space="preserve">with the regulations to prevent </w:t>
      </w:r>
      <w:r w:rsidR="001F489D">
        <w:t>road authorities from imposing excessive or arbitrary conditions.</w:t>
      </w:r>
      <w:r w:rsidR="00BC2D80">
        <w:t xml:space="preserve"> </w:t>
      </w:r>
      <w:r w:rsidR="00961F64">
        <w:t>Similarly, t</w:t>
      </w:r>
      <w:r w:rsidR="007A19BD">
        <w:t xml:space="preserve">he </w:t>
      </w:r>
      <w:r w:rsidR="00C930AB">
        <w:t>r</w:t>
      </w:r>
      <w:r w:rsidR="007A19BD">
        <w:t>egulations</w:t>
      </w:r>
      <w:r w:rsidR="00F4140B">
        <w:t xml:space="preserve"> </w:t>
      </w:r>
      <w:r w:rsidR="002A2D0A">
        <w:t>prevent</w:t>
      </w:r>
      <w:r w:rsidR="007A19BD">
        <w:t xml:space="preserve"> road authorities </w:t>
      </w:r>
      <w:r w:rsidR="00157F82">
        <w:t>from</w:t>
      </w:r>
      <w:r w:rsidR="007A19BD">
        <w:t xml:space="preserve"> impos</w:t>
      </w:r>
      <w:r w:rsidR="00157F82">
        <w:t>ing</w:t>
      </w:r>
      <w:r w:rsidR="007A19BD">
        <w:t xml:space="preserve"> environmental conditions unless the proposed works </w:t>
      </w:r>
      <w:r w:rsidR="00742A16">
        <w:t>would have an impact on significant vegetation or</w:t>
      </w:r>
      <w:r w:rsidR="000F60E3">
        <w:t xml:space="preserve"> sites of biological significance</w:t>
      </w:r>
      <w:r w:rsidR="00CE54AF">
        <w:t xml:space="preserve">. </w:t>
      </w:r>
    </w:p>
    <w:p w14:paraId="1A75D8EB" w14:textId="1943058C" w:rsidR="00A464F5" w:rsidRDefault="00AD30FE" w:rsidP="00D63A9A">
      <w:r>
        <w:t xml:space="preserve">While imposing conditions </w:t>
      </w:r>
      <w:r w:rsidR="0056510F">
        <w:t xml:space="preserve">on the location of non-road infrastructure may impose costs, this needs to </w:t>
      </w:r>
      <w:r w:rsidR="002A3A8D">
        <w:t xml:space="preserve">be </w:t>
      </w:r>
      <w:r w:rsidR="0056510F">
        <w:t>balance</w:t>
      </w:r>
      <w:r w:rsidR="002A3A8D">
        <w:t>d against</w:t>
      </w:r>
      <w:r w:rsidR="0056510F">
        <w:t xml:space="preserve"> </w:t>
      </w:r>
      <w:r w:rsidR="00197B36">
        <w:t>the need for road authorities to</w:t>
      </w:r>
      <w:r w:rsidR="001C0A6F">
        <w:t xml:space="preserve"> pr</w:t>
      </w:r>
      <w:r w:rsidR="003F4E51">
        <w:t>event</w:t>
      </w:r>
      <w:r w:rsidR="001C0A6F">
        <w:t xml:space="preserve"> safety, </w:t>
      </w:r>
      <w:r w:rsidR="007B33CD">
        <w:t>environmental, social and economic harms</w:t>
      </w:r>
      <w:r w:rsidR="001F5F82">
        <w:t xml:space="preserve">. </w:t>
      </w:r>
      <w:r w:rsidR="0073310E">
        <w:t xml:space="preserve">For this reason, the Department considers that the current </w:t>
      </w:r>
      <w:r w:rsidR="00E766C0">
        <w:t xml:space="preserve">conditions not to be imposed on consents </w:t>
      </w:r>
      <w:r w:rsidR="00370B5F">
        <w:t xml:space="preserve">should </w:t>
      </w:r>
      <w:r w:rsidR="00370B5F">
        <w:lastRenderedPageBreak/>
        <w:t>be remade as per the current regulations. However, t</w:t>
      </w:r>
      <w:r w:rsidR="00123B26">
        <w:t xml:space="preserve">he Department </w:t>
      </w:r>
      <w:r w:rsidR="004B120F">
        <w:t xml:space="preserve">invites stakeholders to provide data </w:t>
      </w:r>
      <w:r w:rsidR="002B0B87">
        <w:t xml:space="preserve">and evidence </w:t>
      </w:r>
      <w:r w:rsidR="00850285">
        <w:t xml:space="preserve">to </w:t>
      </w:r>
      <w:r w:rsidR="003419AB">
        <w:t>facilitate</w:t>
      </w:r>
      <w:r w:rsidR="00850285">
        <w:t xml:space="preserve"> a more detailed analysis of whether this balance is being achieved.</w:t>
      </w:r>
    </w:p>
    <w:p w14:paraId="4EDEE517" w14:textId="0767AD18" w:rsidR="00530932" w:rsidRDefault="00530932" w:rsidP="001F3E3D">
      <w:pPr>
        <w:pStyle w:val="Pull-outQuote"/>
        <w:rPr>
          <w:b/>
        </w:rPr>
      </w:pPr>
      <w:r w:rsidRPr="001636CA">
        <w:rPr>
          <w:b/>
        </w:rPr>
        <w:t>Question for stakeholders</w:t>
      </w:r>
    </w:p>
    <w:p w14:paraId="4825CF52" w14:textId="5C9712A7" w:rsidR="001F3E3D" w:rsidRPr="001F3E3D" w:rsidRDefault="002B4FCC" w:rsidP="001F3E3D">
      <w:pPr>
        <w:pStyle w:val="Pull-outQuote"/>
      </w:pPr>
      <w:r>
        <w:t>5</w:t>
      </w:r>
      <w:r w:rsidR="00E94671">
        <w:t xml:space="preserve">. </w:t>
      </w:r>
      <w:r w:rsidR="001F3E3D" w:rsidRPr="001F3E3D">
        <w:t>What data can be provided to demonstrate the scale of the impact of conditions imposed on consents by coordinating road authorities?</w:t>
      </w:r>
    </w:p>
    <w:p w14:paraId="607C5006" w14:textId="2AE387EC" w:rsidR="004B39DA" w:rsidRPr="00C63FF8" w:rsidRDefault="004B39DA" w:rsidP="00D63A9A">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Prescribed particulars for consent for works</w:t>
      </w:r>
    </w:p>
    <w:p w14:paraId="03A826E5" w14:textId="053B8E8C" w:rsidR="004B39DA" w:rsidRDefault="005963D9" w:rsidP="004B39DA">
      <w:r>
        <w:t xml:space="preserve">As </w:t>
      </w:r>
      <w:r w:rsidR="00CA23A0">
        <w:t xml:space="preserve">mentioned in section </w:t>
      </w:r>
      <w:r w:rsidR="0035084D">
        <w:fldChar w:fldCharType="begin"/>
      </w:r>
      <w:r w:rsidR="0035084D">
        <w:instrText xml:space="preserve"> REF _Ref211595076 \r \h </w:instrText>
      </w:r>
      <w:r w:rsidR="0035084D">
        <w:fldChar w:fldCharType="separate"/>
      </w:r>
      <w:r w:rsidR="00F170D0">
        <w:t>3.3.2.1</w:t>
      </w:r>
      <w:r w:rsidR="0035084D">
        <w:fldChar w:fldCharType="end"/>
      </w:r>
      <w:r w:rsidR="0035084D">
        <w:t xml:space="preserve">, </w:t>
      </w:r>
      <w:r w:rsidR="00B57542">
        <w:t xml:space="preserve">the current W&amp;I Regulations include </w:t>
      </w:r>
      <w:r w:rsidR="0052093C">
        <w:t xml:space="preserve">particulars that must be included in an application for consent to conduct works where those works affect </w:t>
      </w:r>
      <w:r w:rsidR="005229FF">
        <w:t xml:space="preserve">non-road infrastructure that is the responsibility of </w:t>
      </w:r>
      <w:r w:rsidR="0052093C">
        <w:t>another infrastructure manager</w:t>
      </w:r>
      <w:r w:rsidR="005229FF">
        <w:t>.</w:t>
      </w:r>
      <w:r w:rsidR="0035084D">
        <w:t xml:space="preserve"> However, there are </w:t>
      </w:r>
      <w:r w:rsidR="00514793">
        <w:t xml:space="preserve">no </w:t>
      </w:r>
      <w:r w:rsidR="008C0BC4">
        <w:t xml:space="preserve">specific requirements for </w:t>
      </w:r>
      <w:r w:rsidR="0058535A">
        <w:t>other works.</w:t>
      </w:r>
    </w:p>
    <w:p w14:paraId="45EEAFAB" w14:textId="4EFDC4F3" w:rsidR="0035084D" w:rsidRDefault="0058535A" w:rsidP="004B39DA">
      <w:r>
        <w:t>To address this issue, t</w:t>
      </w:r>
      <w:r w:rsidR="0035084D" w:rsidRPr="00C34CF2">
        <w:t xml:space="preserve">he </w:t>
      </w:r>
      <w:r w:rsidR="0035084D" w:rsidRPr="00C34CF2">
        <w:rPr>
          <w:i/>
        </w:rPr>
        <w:t>Roads and Ports Legislation Amendment (Road Safety and Other Matters) Act 2025</w:t>
      </w:r>
      <w:r w:rsidR="0035084D" w:rsidRPr="00C34CF2">
        <w:t xml:space="preserve"> included amendments to the Act to provide that an application must </w:t>
      </w:r>
      <w:r w:rsidR="0035084D">
        <w:t xml:space="preserve">be made in accordance with the regulations and </w:t>
      </w:r>
      <w:r w:rsidR="0035084D" w:rsidRPr="00C34CF2">
        <w:t xml:space="preserve">include </w:t>
      </w:r>
      <w:r w:rsidR="0035084D">
        <w:t>any</w:t>
      </w:r>
      <w:r w:rsidR="0035084D" w:rsidRPr="00C34CF2">
        <w:t xml:space="preserve"> prescribed </w:t>
      </w:r>
      <w:r w:rsidR="0035084D">
        <w:t>particulars</w:t>
      </w:r>
      <w:r w:rsidR="00CB60ED">
        <w:t xml:space="preserve">. </w:t>
      </w:r>
    </w:p>
    <w:p w14:paraId="45069018" w14:textId="6B587BB7" w:rsidR="00CB60ED" w:rsidRDefault="00080718" w:rsidP="004B39DA">
      <w:r>
        <w:t xml:space="preserve">Accordingly, </w:t>
      </w:r>
      <w:r w:rsidR="00530B3E">
        <w:t xml:space="preserve">the Department, in consultation with a sample of councils, has </w:t>
      </w:r>
      <w:r w:rsidR="00677D61">
        <w:t xml:space="preserve">identified the minimum information that must be included </w:t>
      </w:r>
      <w:r w:rsidR="00420018">
        <w:t xml:space="preserve">in an application to conduct </w:t>
      </w:r>
      <w:r w:rsidR="00143806">
        <w:t xml:space="preserve">all works. </w:t>
      </w:r>
      <w:r w:rsidR="002D2780">
        <w:t xml:space="preserve">This information </w:t>
      </w:r>
      <w:r w:rsidR="004B42D9">
        <w:t xml:space="preserve">would need to be provided </w:t>
      </w:r>
      <w:r w:rsidR="00244E13">
        <w:t xml:space="preserve">for the application to be considered complete. </w:t>
      </w:r>
    </w:p>
    <w:p w14:paraId="05110CE8" w14:textId="6F5F68EB" w:rsidR="0017228A" w:rsidRDefault="007A7E93" w:rsidP="004B39DA">
      <w:r>
        <w:t xml:space="preserve">The following information represents the minimum information </w:t>
      </w:r>
      <w:r w:rsidR="00EF1DB7">
        <w:t xml:space="preserve">that would be required </w:t>
      </w:r>
      <w:r>
        <w:t>for all applications</w:t>
      </w:r>
      <w:r w:rsidR="00D84359">
        <w:t>:</w:t>
      </w:r>
    </w:p>
    <w:p w14:paraId="3CEB721C" w14:textId="1CDBEDF3" w:rsidR="0017228A" w:rsidRDefault="0017228A" w:rsidP="005D15EA">
      <w:pPr>
        <w:pStyle w:val="ListParagraph"/>
        <w:numPr>
          <w:ilvl w:val="0"/>
          <w:numId w:val="36"/>
        </w:numPr>
      </w:pPr>
      <w:r>
        <w:t xml:space="preserve">the name, address and contact details of the infrastructure manager </w:t>
      </w:r>
      <w:r w:rsidR="001B3711">
        <w:t>or</w:t>
      </w:r>
      <w:r>
        <w:t xml:space="preserve"> works manager</w:t>
      </w:r>
      <w:r w:rsidR="00FD6793">
        <w:t xml:space="preserve"> responsible for the proposed works</w:t>
      </w:r>
      <w:r>
        <w:t>,</w:t>
      </w:r>
    </w:p>
    <w:p w14:paraId="10156C9F" w14:textId="6D486476" w:rsidR="00B005E7" w:rsidRDefault="0017228A" w:rsidP="005D15EA">
      <w:pPr>
        <w:pStyle w:val="ListParagraph"/>
        <w:numPr>
          <w:ilvl w:val="0"/>
          <w:numId w:val="36"/>
        </w:numPr>
      </w:pPr>
      <w:r>
        <w:t xml:space="preserve">a description of the </w:t>
      </w:r>
      <w:r w:rsidR="003404A3">
        <w:t>proposed works</w:t>
      </w:r>
      <w:r>
        <w:t>,</w:t>
      </w:r>
      <w:r w:rsidR="003404A3">
        <w:t xml:space="preserve"> </w:t>
      </w:r>
      <w:r w:rsidR="006237A6">
        <w:t xml:space="preserve">the site location </w:t>
      </w:r>
      <w:r w:rsidR="007E5107">
        <w:t xml:space="preserve">and </w:t>
      </w:r>
      <w:r w:rsidR="00B005E7">
        <w:t>the expected commencement and completion dates</w:t>
      </w:r>
      <w:r w:rsidR="007E5107">
        <w:t>,</w:t>
      </w:r>
    </w:p>
    <w:p w14:paraId="12D650E9" w14:textId="4CC00F1E" w:rsidR="00B005E7" w:rsidRDefault="00B005E7" w:rsidP="005D15EA">
      <w:pPr>
        <w:pStyle w:val="ListParagraph"/>
        <w:numPr>
          <w:ilvl w:val="0"/>
          <w:numId w:val="36"/>
        </w:numPr>
      </w:pPr>
      <w:r>
        <w:t>a report describing how the works and infrastructure management principles</w:t>
      </w:r>
      <w:r w:rsidR="00F02F1F">
        <w:rPr>
          <w:rStyle w:val="FootnoteReference"/>
        </w:rPr>
        <w:footnoteReference w:id="19"/>
      </w:r>
      <w:r>
        <w:t xml:space="preserve"> have been considered</w:t>
      </w:r>
      <w:r w:rsidR="00AC041A">
        <w:t>,</w:t>
      </w:r>
    </w:p>
    <w:p w14:paraId="2B07E58D" w14:textId="77777777" w:rsidR="0017228A" w:rsidRDefault="0017228A" w:rsidP="005D15EA">
      <w:pPr>
        <w:pStyle w:val="ListParagraph"/>
        <w:numPr>
          <w:ilvl w:val="0"/>
          <w:numId w:val="36"/>
        </w:numPr>
      </w:pPr>
      <w:r>
        <w:t>copies of:</w:t>
      </w:r>
    </w:p>
    <w:p w14:paraId="7A980C58" w14:textId="77777777" w:rsidR="00AC041A" w:rsidRDefault="0017228A" w:rsidP="005D15EA">
      <w:pPr>
        <w:pStyle w:val="ListParagraph"/>
        <w:numPr>
          <w:ilvl w:val="1"/>
          <w:numId w:val="36"/>
        </w:numPr>
      </w:pPr>
      <w:r>
        <w:t>any Memorandum of Authorisations obtained in relation to the proposed works,</w:t>
      </w:r>
    </w:p>
    <w:p w14:paraId="36D257BD" w14:textId="341059C0" w:rsidR="00AC041A" w:rsidRDefault="00AC041A" w:rsidP="005D15EA">
      <w:pPr>
        <w:pStyle w:val="ListParagraph"/>
        <w:numPr>
          <w:ilvl w:val="1"/>
          <w:numId w:val="36"/>
        </w:numPr>
      </w:pPr>
      <w:r>
        <w:t>construction drawings in relation to the worksite prepared by an appropriately qualified person,</w:t>
      </w:r>
      <w:r w:rsidR="0017228A">
        <w:t xml:space="preserve"> and</w:t>
      </w:r>
    </w:p>
    <w:p w14:paraId="31A28DE3" w14:textId="2A14E269" w:rsidR="0017228A" w:rsidRPr="005650CC" w:rsidRDefault="0017228A" w:rsidP="0092107C">
      <w:pPr>
        <w:pStyle w:val="ListParagraph"/>
        <w:numPr>
          <w:ilvl w:val="1"/>
          <w:numId w:val="36"/>
        </w:numPr>
      </w:pPr>
      <w:r>
        <w:t xml:space="preserve">evidence </w:t>
      </w:r>
      <w:r w:rsidR="00C32737">
        <w:t xml:space="preserve">that the infrastructure manager or works manager has </w:t>
      </w:r>
      <w:r>
        <w:t>public liability insurance.</w:t>
      </w:r>
    </w:p>
    <w:p w14:paraId="4F444BD0" w14:textId="77777777" w:rsidR="00DA5161" w:rsidRDefault="00D84359" w:rsidP="00DA5161">
      <w:r>
        <w:t xml:space="preserve">If an application includes this information, it will be considered complete for the purposes of calculating the deemed consent period. </w:t>
      </w:r>
    </w:p>
    <w:p w14:paraId="43BCD8F9" w14:textId="060DE589" w:rsidR="006F1AB2" w:rsidRDefault="00DA5161" w:rsidP="00DA5161">
      <w:r>
        <w:t xml:space="preserve">The proposed information is intended to capture who is proposing to conduct the works, what is being proposed to be carried out and when, as well as </w:t>
      </w:r>
      <w:r w:rsidR="005E2B16">
        <w:t xml:space="preserve">allowing coordinating road authorities </w:t>
      </w:r>
      <w:r w:rsidR="00F448AB">
        <w:t xml:space="preserve">to </w:t>
      </w:r>
      <w:r w:rsidR="00E60520">
        <w:t xml:space="preserve">better assess whether the </w:t>
      </w:r>
      <w:r w:rsidR="00A214C1">
        <w:t xml:space="preserve">proposed works will be conducted </w:t>
      </w:r>
      <w:r w:rsidR="006F1AB2">
        <w:t xml:space="preserve">in </w:t>
      </w:r>
      <w:r w:rsidR="00762322">
        <w:t xml:space="preserve">such </w:t>
      </w:r>
      <w:r w:rsidR="006F1AB2">
        <w:t xml:space="preserve">a way </w:t>
      </w:r>
      <w:r w:rsidR="00A915A7">
        <w:t xml:space="preserve">as to </w:t>
      </w:r>
      <w:r w:rsidR="00762322">
        <w:t xml:space="preserve">minimise </w:t>
      </w:r>
      <w:r w:rsidR="000D12A0">
        <w:t>damage</w:t>
      </w:r>
      <w:r w:rsidR="00BA1E24">
        <w:t xml:space="preserve"> </w:t>
      </w:r>
      <w:r w:rsidR="00C638C3">
        <w:t xml:space="preserve">to </w:t>
      </w:r>
      <w:r w:rsidR="00346138">
        <w:t>roads, road infrastructure or the environment, and to minimise</w:t>
      </w:r>
      <w:r w:rsidR="00BA1E24">
        <w:t xml:space="preserve"> </w:t>
      </w:r>
      <w:r w:rsidR="00BB794C">
        <w:t>any</w:t>
      </w:r>
      <w:r w:rsidR="00BA1E24">
        <w:t xml:space="preserve"> disruption</w:t>
      </w:r>
      <w:r w:rsidR="00C93406">
        <w:t xml:space="preserve"> and risks to the safety </w:t>
      </w:r>
      <w:r w:rsidR="00830A2D">
        <w:t xml:space="preserve">and property </w:t>
      </w:r>
      <w:r w:rsidR="00C93406">
        <w:t>o</w:t>
      </w:r>
      <w:r w:rsidR="00BB794C">
        <w:t>f</w:t>
      </w:r>
      <w:r w:rsidR="00C93406">
        <w:t xml:space="preserve"> road u</w:t>
      </w:r>
      <w:r w:rsidR="00A915A7">
        <w:t>s</w:t>
      </w:r>
      <w:r w:rsidR="00C93406">
        <w:t>ers</w:t>
      </w:r>
      <w:r w:rsidR="00830A2D">
        <w:t xml:space="preserve"> and the </w:t>
      </w:r>
      <w:r w:rsidR="00754F4C">
        <w:t xml:space="preserve">Victorian </w:t>
      </w:r>
      <w:r w:rsidR="00346138">
        <w:t>community more generally</w:t>
      </w:r>
      <w:r w:rsidR="00C93406">
        <w:t>.</w:t>
      </w:r>
    </w:p>
    <w:p w14:paraId="76AE20E4" w14:textId="3990B3CE" w:rsidR="003262D8" w:rsidRDefault="00D0603A" w:rsidP="004B39DA">
      <w:r>
        <w:t>The report</w:t>
      </w:r>
      <w:r w:rsidR="00D05173">
        <w:t xml:space="preserve"> outlining consideration of the works and infrastructure management principles is largely intended to cover information that would be provided in a typical Construction Environment Management Plan. These plans </w:t>
      </w:r>
      <w:r w:rsidR="00695BFB">
        <w:t>outline how matters such as public safety, ameni</w:t>
      </w:r>
      <w:r w:rsidR="00253A7D">
        <w:t>ty, security, environmental and waste will be managed onsite.</w:t>
      </w:r>
    </w:p>
    <w:p w14:paraId="7245EE88" w14:textId="77777777" w:rsidR="00330BC0" w:rsidRDefault="00D84359" w:rsidP="004B39DA">
      <w:r>
        <w:t xml:space="preserve">In determining </w:t>
      </w:r>
      <w:r w:rsidR="00330BC0">
        <w:t>the prescribed information</w:t>
      </w:r>
      <w:r>
        <w:t xml:space="preserve">, </w:t>
      </w:r>
      <w:r w:rsidR="000A064C">
        <w:t>the Department</w:t>
      </w:r>
      <w:r>
        <w:t xml:space="preserve"> considered whether </w:t>
      </w:r>
      <w:r w:rsidR="005235F6">
        <w:t xml:space="preserve">there should be flexibility </w:t>
      </w:r>
      <w:r w:rsidR="00E95128">
        <w:t xml:space="preserve">for coordinating </w:t>
      </w:r>
      <w:r w:rsidR="000A064C">
        <w:t xml:space="preserve">road authorities </w:t>
      </w:r>
      <w:r w:rsidR="00E95128">
        <w:t xml:space="preserve">to request further information </w:t>
      </w:r>
      <w:r w:rsidR="003440CD">
        <w:t xml:space="preserve">before considering an application </w:t>
      </w:r>
      <w:r w:rsidR="00CC482E">
        <w:t>to be complete.</w:t>
      </w:r>
      <w:r w:rsidR="00330BC0">
        <w:t xml:space="preserve"> </w:t>
      </w:r>
    </w:p>
    <w:p w14:paraId="406075EF" w14:textId="4B1F63C2" w:rsidR="00024AC3" w:rsidRDefault="00330BC0" w:rsidP="004B39DA">
      <w:r>
        <w:lastRenderedPageBreak/>
        <w:t xml:space="preserve">Although this approach would allow for more complete applications, it would mean that the decision as to whether an application is complete lies with coordinating road authorities, which may result in delays for those proposing to conduct works. </w:t>
      </w:r>
      <w:r w:rsidR="003F7072">
        <w:t xml:space="preserve">Given the purpose of deemed consent, </w:t>
      </w:r>
      <w:r w:rsidR="008B00DE">
        <w:t xml:space="preserve">an exhaustive list </w:t>
      </w:r>
      <w:r w:rsidR="009D3E55">
        <w:t xml:space="preserve">was considered more appropriate. </w:t>
      </w:r>
      <w:r w:rsidR="005B6ABC">
        <w:t xml:space="preserve">Coordinating road authorities will </w:t>
      </w:r>
      <w:r>
        <w:t xml:space="preserve">still </w:t>
      </w:r>
      <w:r w:rsidR="005B6ABC">
        <w:t xml:space="preserve">have power under the Act to request </w:t>
      </w:r>
      <w:r w:rsidR="007D5719">
        <w:t xml:space="preserve">an applicant to provide </w:t>
      </w:r>
      <w:r w:rsidR="005B6ABC">
        <w:t>further information</w:t>
      </w:r>
      <w:r w:rsidR="00D66A03">
        <w:t xml:space="preserve">, however </w:t>
      </w:r>
      <w:r>
        <w:t>this will not affect</w:t>
      </w:r>
      <w:r w:rsidR="00D66A03">
        <w:t xml:space="preserve"> </w:t>
      </w:r>
      <w:r w:rsidR="00C3348A">
        <w:t xml:space="preserve">the </w:t>
      </w:r>
      <w:r>
        <w:t>period by which consent is deemed to be given if coordinating road authorities have not responded to an application.</w:t>
      </w:r>
    </w:p>
    <w:p w14:paraId="76EFCDBD" w14:textId="77777777" w:rsidR="00040BBB" w:rsidRDefault="00040BBB" w:rsidP="00040BBB">
      <w:pPr>
        <w:pStyle w:val="Pull-outQuote"/>
        <w:rPr>
          <w:b/>
        </w:rPr>
      </w:pPr>
      <w:r w:rsidRPr="001636CA">
        <w:rPr>
          <w:b/>
        </w:rPr>
        <w:t>Question for stakeholders</w:t>
      </w:r>
    </w:p>
    <w:p w14:paraId="28286C54" w14:textId="517F5753" w:rsidR="00165DA6" w:rsidRDefault="001364FD" w:rsidP="0092107C">
      <w:pPr>
        <w:pStyle w:val="Pull-outQuote"/>
      </w:pPr>
      <w:r>
        <w:t>6. Do you agr</w:t>
      </w:r>
      <w:r w:rsidR="00012673">
        <w:t xml:space="preserve">ee with the </w:t>
      </w:r>
      <w:r w:rsidR="006545FF" w:rsidRPr="006545FF">
        <w:t xml:space="preserve">proposed minimum required information to </w:t>
      </w:r>
      <w:r w:rsidR="00D1766E">
        <w:t xml:space="preserve">be </w:t>
      </w:r>
      <w:r w:rsidR="006545FF" w:rsidRPr="006545FF">
        <w:t>include</w:t>
      </w:r>
      <w:r w:rsidR="00D1766E">
        <w:t>d</w:t>
      </w:r>
      <w:r w:rsidR="006545FF" w:rsidRPr="006545FF">
        <w:t xml:space="preserve"> in applications to conduct works on roads</w:t>
      </w:r>
      <w:r w:rsidR="006545FF">
        <w:t>?</w:t>
      </w:r>
    </w:p>
    <w:p w14:paraId="621A0FEB" w14:textId="2151F6F8" w:rsidR="00D63A9A" w:rsidRPr="00C63FF8" w:rsidRDefault="00D63A9A" w:rsidP="00D63A9A">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Prescribed periods for notice of completion</w:t>
      </w:r>
    </w:p>
    <w:p w14:paraId="1280B64A" w14:textId="7C9FBEF4" w:rsidR="0068470B" w:rsidRDefault="0068470B" w:rsidP="005015D8">
      <w:r>
        <w:t xml:space="preserve">Section </w:t>
      </w:r>
      <w:r w:rsidR="0099665A">
        <w:fldChar w:fldCharType="begin"/>
      </w:r>
      <w:r w:rsidR="0099665A">
        <w:instrText xml:space="preserve"> REF _Ref210919775 \r \h </w:instrText>
      </w:r>
      <w:r w:rsidR="0099665A">
        <w:fldChar w:fldCharType="separate"/>
      </w:r>
      <w:r w:rsidR="00F170D0">
        <w:t>3.2.2.3</w:t>
      </w:r>
      <w:r w:rsidR="0099665A">
        <w:fldChar w:fldCharType="end"/>
      </w:r>
      <w:r w:rsidR="0099665A">
        <w:t xml:space="preserve"> </w:t>
      </w:r>
      <w:r w:rsidR="0022691B">
        <w:t>describes</w:t>
      </w:r>
      <w:r w:rsidR="0099665A">
        <w:t xml:space="preserve"> the prescribed periods </w:t>
      </w:r>
      <w:r w:rsidR="005D62B3">
        <w:t>within which</w:t>
      </w:r>
      <w:r w:rsidR="0099665A">
        <w:t xml:space="preserve"> works managers are required to provide </w:t>
      </w:r>
      <w:r w:rsidR="0022691B">
        <w:t xml:space="preserve">coordinating road authorities with </w:t>
      </w:r>
      <w:r w:rsidR="0099665A">
        <w:t xml:space="preserve">notice of </w:t>
      </w:r>
      <w:r w:rsidR="00FF086A">
        <w:t xml:space="preserve">the </w:t>
      </w:r>
      <w:r w:rsidR="0099665A">
        <w:t>completion of works.</w:t>
      </w:r>
    </w:p>
    <w:p w14:paraId="359A3D8E" w14:textId="609FE10B" w:rsidR="00D5152A" w:rsidRPr="005015D8" w:rsidRDefault="0068470B" w:rsidP="005015D8">
      <w:r>
        <w:t xml:space="preserve">As discussed at </w:t>
      </w:r>
      <w:r>
        <w:fldChar w:fldCharType="begin"/>
      </w:r>
      <w:r>
        <w:instrText xml:space="preserve"> REF _Ref210923677 \r \h </w:instrText>
      </w:r>
      <w:r>
        <w:fldChar w:fldCharType="separate"/>
      </w:r>
      <w:r w:rsidR="00F170D0">
        <w:t>3.3.2.3</w:t>
      </w:r>
      <w:r>
        <w:fldChar w:fldCharType="end"/>
      </w:r>
      <w:r>
        <w:t>, the challenges associated with receiving these notices suggests a compliance issue rather than an issue with the timeframe to provide the notice. For this reason, the Department considers that the current prescribed periods for notice of completion should be remade as per the current regulations.</w:t>
      </w:r>
    </w:p>
    <w:p w14:paraId="1CE1A555" w14:textId="5E42A0B7" w:rsidR="00D63A9A" w:rsidRPr="00C63FF8" w:rsidRDefault="00D63A9A" w:rsidP="00D63A9A">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 xml:space="preserve">Prescribed periods for </w:t>
      </w:r>
      <w:r w:rsidR="00441798" w:rsidRPr="00C63FF8">
        <w:rPr>
          <w14:textFill>
            <w14:solidFill>
              <w14:schemeClr w14:val="tx2">
                <w14:lumMod w14:val="75000"/>
                <w14:lumOff w14:val="25000"/>
                <w14:lumMod w14:val="75000"/>
                <w14:lumOff w14:val="25000"/>
                <w14:lumMod w14:val="75000"/>
              </w14:schemeClr>
            </w14:solidFill>
          </w14:textFill>
        </w:rPr>
        <w:t>outcome of application for consent</w:t>
      </w:r>
    </w:p>
    <w:p w14:paraId="01655661" w14:textId="5B855433" w:rsidR="00605301" w:rsidRDefault="00E810E2" w:rsidP="00D63A9A">
      <w:r>
        <w:t xml:space="preserve">Section </w:t>
      </w:r>
      <w:r>
        <w:fldChar w:fldCharType="begin"/>
      </w:r>
      <w:r>
        <w:instrText xml:space="preserve"> REF _Ref210662448 \r \h </w:instrText>
      </w:r>
      <w:r>
        <w:fldChar w:fldCharType="separate"/>
      </w:r>
      <w:r w:rsidR="00F170D0">
        <w:t>3.2.2.4</w:t>
      </w:r>
      <w:r>
        <w:fldChar w:fldCharType="end"/>
      </w:r>
      <w:r>
        <w:t xml:space="preserve"> </w:t>
      </w:r>
      <w:r w:rsidR="00C14777">
        <w:t>describes</w:t>
      </w:r>
      <w:r w:rsidR="00C623B8">
        <w:t xml:space="preserve"> </w:t>
      </w:r>
      <w:r w:rsidR="004E18DA">
        <w:t xml:space="preserve">how the W&amp;I Regulations </w:t>
      </w:r>
      <w:r w:rsidR="002D79A6">
        <w:t>va</w:t>
      </w:r>
      <w:r w:rsidR="009C15F9">
        <w:t>ry</w:t>
      </w:r>
      <w:r w:rsidR="002D79A6">
        <w:t xml:space="preserve"> </w:t>
      </w:r>
      <w:r w:rsidR="00C14777">
        <w:t>the</w:t>
      </w:r>
      <w:r w:rsidR="000448F2">
        <w:t xml:space="preserve"> </w:t>
      </w:r>
      <w:r w:rsidR="0024050E">
        <w:t>timeframe</w:t>
      </w:r>
      <w:r w:rsidR="000448F2">
        <w:t xml:space="preserve"> a </w:t>
      </w:r>
      <w:r w:rsidR="00732407">
        <w:t xml:space="preserve">coordinating </w:t>
      </w:r>
      <w:r w:rsidR="000448F2">
        <w:t xml:space="preserve">road authority </w:t>
      </w:r>
      <w:r w:rsidR="002D79A6">
        <w:t xml:space="preserve">has </w:t>
      </w:r>
      <w:r w:rsidR="00732407">
        <w:t xml:space="preserve">to </w:t>
      </w:r>
      <w:r w:rsidR="000448F2">
        <w:t>provide</w:t>
      </w:r>
      <w:r>
        <w:t xml:space="preserve"> the outcome of an application</w:t>
      </w:r>
      <w:r w:rsidR="000448F2">
        <w:t xml:space="preserve"> consent</w:t>
      </w:r>
      <w:r w:rsidR="00605301">
        <w:t xml:space="preserve"> for works</w:t>
      </w:r>
      <w:r w:rsidR="002D79A6">
        <w:t xml:space="preserve"> before </w:t>
      </w:r>
      <w:r w:rsidR="00E92646">
        <w:t>consent</w:t>
      </w:r>
      <w:r w:rsidR="002D79A6">
        <w:t xml:space="preserve"> is </w:t>
      </w:r>
      <w:r w:rsidR="00E92646">
        <w:t xml:space="preserve">deemed to have been </w:t>
      </w:r>
      <w:r w:rsidR="004E18DA">
        <w:t>given</w:t>
      </w:r>
      <w:r w:rsidR="00CC65C6">
        <w:t>.</w:t>
      </w:r>
    </w:p>
    <w:p w14:paraId="584848DE" w14:textId="72BFE425" w:rsidR="00144AE3" w:rsidRDefault="00095DB6" w:rsidP="00F51947">
      <w:r>
        <w:t xml:space="preserve">As discussed at </w:t>
      </w:r>
      <w:r>
        <w:fldChar w:fldCharType="begin"/>
      </w:r>
      <w:r>
        <w:instrText xml:space="preserve"> REF _Ref211345951 \r \h </w:instrText>
      </w:r>
      <w:r>
        <w:fldChar w:fldCharType="separate"/>
      </w:r>
      <w:r w:rsidR="00F170D0">
        <w:t>3.3.2.4</w:t>
      </w:r>
      <w:r>
        <w:fldChar w:fldCharType="end"/>
      </w:r>
      <w:r>
        <w:t xml:space="preserve">, </w:t>
      </w:r>
      <w:r w:rsidR="0010057B">
        <w:t xml:space="preserve">a </w:t>
      </w:r>
      <w:r w:rsidR="001B4CB3">
        <w:t>utilities</w:t>
      </w:r>
      <w:r w:rsidR="0010057B">
        <w:t xml:space="preserve"> company has indicated that </w:t>
      </w:r>
      <w:r w:rsidR="0092665D">
        <w:t>maintenance works that are traffic impac</w:t>
      </w:r>
      <w:r w:rsidR="0030385F">
        <w:t xml:space="preserve">t </w:t>
      </w:r>
      <w:r w:rsidR="0092665D">
        <w:t>work</w:t>
      </w:r>
      <w:r w:rsidR="001B4CB3">
        <w:t>s are not eligible for</w:t>
      </w:r>
      <w:r w:rsidR="00B3764F">
        <w:t xml:space="preserve"> the reduced </w:t>
      </w:r>
      <w:r w:rsidR="007D2FDF">
        <w:t>timeframe</w:t>
      </w:r>
      <w:r w:rsidR="0023111F">
        <w:t xml:space="preserve"> for the outcome of a</w:t>
      </w:r>
      <w:r w:rsidR="00FE7C4A">
        <w:t xml:space="preserve">n </w:t>
      </w:r>
      <w:r w:rsidR="0023111F">
        <w:t>application</w:t>
      </w:r>
      <w:r w:rsidR="00FE7C4A">
        <w:t xml:space="preserve"> for consent</w:t>
      </w:r>
      <w:r w:rsidR="007851DF">
        <w:t xml:space="preserve">, which can impact their works program. </w:t>
      </w:r>
      <w:r w:rsidR="006C1519">
        <w:t>The i</w:t>
      </w:r>
      <w:r w:rsidR="00842C77">
        <w:t xml:space="preserve">mpact on </w:t>
      </w:r>
      <w:r w:rsidR="006C1519">
        <w:t>the</w:t>
      </w:r>
      <w:r w:rsidR="00377475">
        <w:t xml:space="preserve"> works program</w:t>
      </w:r>
      <w:r w:rsidR="006873BC">
        <w:t xml:space="preserve">s </w:t>
      </w:r>
      <w:r w:rsidR="006C1519">
        <w:t xml:space="preserve">of utility companies or any other works managers </w:t>
      </w:r>
      <w:r w:rsidR="006873BC">
        <w:t>need</w:t>
      </w:r>
      <w:r w:rsidR="006C1519">
        <w:t>s</w:t>
      </w:r>
      <w:r w:rsidR="006873BC">
        <w:t xml:space="preserve"> to be balanced against </w:t>
      </w:r>
      <w:r w:rsidR="00CC3153">
        <w:t xml:space="preserve">coordinating </w:t>
      </w:r>
      <w:r w:rsidR="00517A83">
        <w:t>road authorities</w:t>
      </w:r>
      <w:r w:rsidR="00815746">
        <w:t>’ capacity to undertake</w:t>
      </w:r>
      <w:r w:rsidR="00517A83">
        <w:t xml:space="preserve"> assessme</w:t>
      </w:r>
      <w:r w:rsidR="0061766A">
        <w:t>nt of applications</w:t>
      </w:r>
      <w:r w:rsidR="00517A83">
        <w:t xml:space="preserve"> </w:t>
      </w:r>
      <w:r w:rsidR="00B92429">
        <w:t xml:space="preserve">within timeframes. </w:t>
      </w:r>
      <w:r w:rsidR="00CC3153">
        <w:t>This is especially critical b</w:t>
      </w:r>
      <w:r w:rsidR="00E34994">
        <w:t>ecause</w:t>
      </w:r>
      <w:r w:rsidR="007A648F">
        <w:t xml:space="preserve"> under the Act,</w:t>
      </w:r>
      <w:r w:rsidR="00E34994">
        <w:t xml:space="preserve"> </w:t>
      </w:r>
      <w:r w:rsidR="008D1AB9">
        <w:t>any applications for consent that are not assessed within the specified period</w:t>
      </w:r>
      <w:r w:rsidR="00F86492">
        <w:t xml:space="preserve"> </w:t>
      </w:r>
      <w:r w:rsidR="008D1AB9">
        <w:t xml:space="preserve">are </w:t>
      </w:r>
      <w:r w:rsidR="007B5BBC">
        <w:t xml:space="preserve">automatically </w:t>
      </w:r>
      <w:r w:rsidR="005D688F">
        <w:t xml:space="preserve">deemed as having been </w:t>
      </w:r>
      <w:r w:rsidR="0017679D">
        <w:t>approved</w:t>
      </w:r>
      <w:r w:rsidR="00CC3153">
        <w:t xml:space="preserve">. </w:t>
      </w:r>
    </w:p>
    <w:p w14:paraId="18AD7A81" w14:textId="31E278FD" w:rsidR="00003AEB" w:rsidRDefault="00CC3153" w:rsidP="00F51947">
      <w:r>
        <w:t xml:space="preserve">If road authorities </w:t>
      </w:r>
      <w:r w:rsidR="00B742F9">
        <w:t xml:space="preserve">cannot assess the applications within the specified timeframe, their </w:t>
      </w:r>
      <w:r w:rsidR="000520A3">
        <w:t>oversight</w:t>
      </w:r>
      <w:r w:rsidR="00F313F8">
        <w:t xml:space="preserve"> </w:t>
      </w:r>
      <w:r w:rsidR="00B742F9">
        <w:t xml:space="preserve">of the road </w:t>
      </w:r>
      <w:r w:rsidR="00FA25DA">
        <w:t>c</w:t>
      </w:r>
      <w:r w:rsidR="00B742F9">
        <w:t>ould be limited.</w:t>
      </w:r>
      <w:r w:rsidR="007A648F">
        <w:t xml:space="preserve"> T</w:t>
      </w:r>
      <w:r w:rsidR="007A648F" w:rsidRPr="00B02D9C">
        <w:t xml:space="preserve">he deemed consent provision under the Act is intended to ensure that works that benefit the broader community are not unreasonably delayed. </w:t>
      </w:r>
      <w:r w:rsidR="00003AEB">
        <w:t>Service extension works and other works that directly enable a person to be provided with a utility service have been provided with reduced assessment periods because of their direct</w:t>
      </w:r>
      <w:r w:rsidR="00ED7045">
        <w:t xml:space="preserve"> impact on the communit</w:t>
      </w:r>
      <w:r w:rsidR="00F36A02">
        <w:t xml:space="preserve">y’s access to </w:t>
      </w:r>
      <w:r w:rsidR="007A648F">
        <w:t>services</w:t>
      </w:r>
      <w:r w:rsidR="009F06CB">
        <w:t xml:space="preserve">. Based on information received to date, the Department does not have sufficient evidence to suggest that </w:t>
      </w:r>
      <w:r w:rsidR="00712C49">
        <w:t xml:space="preserve">maintenance works that are traffic impact works </w:t>
      </w:r>
      <w:r w:rsidR="00FA25DA">
        <w:t>would promote a benefit</w:t>
      </w:r>
      <w:r w:rsidR="009254A3">
        <w:t xml:space="preserve"> sufficient to justify a reduced prescribed period. </w:t>
      </w:r>
    </w:p>
    <w:p w14:paraId="38FCAB6B" w14:textId="7CC3D802" w:rsidR="00FA25DA" w:rsidRDefault="00EE5119" w:rsidP="00EE6057">
      <w:r>
        <w:t>For this reason, the Department considers that the current prescribed periods for should be remade as per the current regulations.</w:t>
      </w:r>
      <w:r w:rsidR="00F86492" w:rsidRPr="00F86492">
        <w:t xml:space="preserve"> </w:t>
      </w:r>
      <w:r w:rsidR="00F86492">
        <w:t xml:space="preserve">However, the Department welcomes additional data </w:t>
      </w:r>
      <w:r w:rsidR="001F3FB1">
        <w:t xml:space="preserve">to illustrate the impact of the prescribed periods </w:t>
      </w:r>
      <w:r w:rsidR="000717F8">
        <w:t>and potential benefits of adjusting them.</w:t>
      </w:r>
    </w:p>
    <w:p w14:paraId="77E68E31" w14:textId="0983A6ED" w:rsidR="00EE6057" w:rsidRDefault="00DB71B3" w:rsidP="00DB71B3">
      <w:pPr>
        <w:pStyle w:val="Pull-outQuote"/>
        <w:rPr>
          <w:b/>
        </w:rPr>
      </w:pPr>
      <w:r>
        <w:rPr>
          <w:b/>
        </w:rPr>
        <w:t>Question for stakeholders</w:t>
      </w:r>
    </w:p>
    <w:p w14:paraId="340CC56C" w14:textId="73286441" w:rsidR="00DB71B3" w:rsidRPr="00DB71B3" w:rsidRDefault="00212AE6" w:rsidP="00DB71B3">
      <w:pPr>
        <w:pStyle w:val="Pull-outQuote"/>
      </w:pPr>
      <w:r>
        <w:t>7</w:t>
      </w:r>
      <w:r w:rsidR="00E94671">
        <w:t xml:space="preserve">. </w:t>
      </w:r>
      <w:r w:rsidR="005E287B">
        <w:t xml:space="preserve">What </w:t>
      </w:r>
      <w:r w:rsidR="00DA4A0D">
        <w:t xml:space="preserve">data is available to </w:t>
      </w:r>
      <w:r w:rsidR="007847DB">
        <w:t xml:space="preserve">illustrate </w:t>
      </w:r>
      <w:r w:rsidR="005E287B">
        <w:t>benefits</w:t>
      </w:r>
      <w:r w:rsidR="007847DB">
        <w:t xml:space="preserve"> to the community that</w:t>
      </w:r>
      <w:r w:rsidR="005E287B">
        <w:t xml:space="preserve"> </w:t>
      </w:r>
      <w:r w:rsidR="006A655F">
        <w:t xml:space="preserve">would </w:t>
      </w:r>
      <w:r w:rsidR="00EC3A35">
        <w:t xml:space="preserve">be offered by </w:t>
      </w:r>
      <w:r w:rsidR="00BA4AFD">
        <w:t>adjusting the prescribed periods</w:t>
      </w:r>
      <w:r w:rsidR="007847DB">
        <w:t xml:space="preserve"> for</w:t>
      </w:r>
      <w:r w:rsidR="006A7CE1">
        <w:t xml:space="preserve"> the assessment of applications</w:t>
      </w:r>
      <w:r w:rsidR="00373500">
        <w:t xml:space="preserve"> of</w:t>
      </w:r>
      <w:r w:rsidR="006A7CE1">
        <w:t xml:space="preserve"> </w:t>
      </w:r>
      <w:r w:rsidR="00517C08">
        <w:t xml:space="preserve">utility </w:t>
      </w:r>
      <w:r w:rsidR="006A7CE1">
        <w:t>maintenance works</w:t>
      </w:r>
      <w:r w:rsidR="00373500">
        <w:t xml:space="preserve"> that are also traffic impact works</w:t>
      </w:r>
      <w:r w:rsidR="00CB3B07">
        <w:t>?</w:t>
      </w:r>
    </w:p>
    <w:p w14:paraId="17906421" w14:textId="48EE7172" w:rsidR="00D63A9A" w:rsidRPr="00C63FF8" w:rsidRDefault="007D4C71" w:rsidP="00D63A9A">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Matters</w:t>
      </w:r>
      <w:r w:rsidR="00D63A9A" w:rsidRPr="00C63FF8">
        <w:rPr>
          <w14:textFill>
            <w14:solidFill>
              <w14:schemeClr w14:val="tx2">
                <w14:lumMod w14:val="75000"/>
                <w14:lumOff w14:val="25000"/>
                <w14:lumMod w14:val="75000"/>
                <w14:lumOff w14:val="25000"/>
                <w14:lumMod w14:val="75000"/>
              </w14:schemeClr>
            </w14:solidFill>
          </w14:textFill>
        </w:rPr>
        <w:t xml:space="preserve"> to include in road registers</w:t>
      </w:r>
    </w:p>
    <w:p w14:paraId="532BCE41" w14:textId="110F13DD" w:rsidR="00D63A9A" w:rsidRDefault="00294DF8" w:rsidP="00D63A9A">
      <w:r>
        <w:t>S</w:t>
      </w:r>
      <w:r w:rsidR="005E5BD6">
        <w:t xml:space="preserve">ection </w:t>
      </w:r>
      <w:r w:rsidR="005E5BD6">
        <w:fldChar w:fldCharType="begin"/>
      </w:r>
      <w:r w:rsidR="005E5BD6">
        <w:instrText xml:space="preserve"> REF _Ref210920393 \r \h </w:instrText>
      </w:r>
      <w:r w:rsidR="005E5BD6">
        <w:fldChar w:fldCharType="separate"/>
      </w:r>
      <w:r w:rsidR="00F170D0">
        <w:t>3.2.2.5</w:t>
      </w:r>
      <w:r w:rsidR="005E5BD6">
        <w:fldChar w:fldCharType="end"/>
      </w:r>
      <w:r>
        <w:t xml:space="preserve"> outlines the </w:t>
      </w:r>
      <w:r w:rsidR="00DB56A5">
        <w:t xml:space="preserve">additional matters </w:t>
      </w:r>
      <w:r>
        <w:t>that road authorities must include in their road registers.</w:t>
      </w:r>
    </w:p>
    <w:p w14:paraId="1048E413" w14:textId="103555E8" w:rsidR="00605301" w:rsidRPr="00D63A9A" w:rsidRDefault="00FE6ED7" w:rsidP="00D63A9A">
      <w:r>
        <w:t>Because t</w:t>
      </w:r>
      <w:r w:rsidR="005C2DB5">
        <w:t>he Department has not received any significant</w:t>
      </w:r>
      <w:r w:rsidR="0023237A">
        <w:t xml:space="preserve"> </w:t>
      </w:r>
      <w:r w:rsidR="00846603">
        <w:t xml:space="preserve">feedback </w:t>
      </w:r>
      <w:r w:rsidR="0023237A">
        <w:t xml:space="preserve">on </w:t>
      </w:r>
      <w:r w:rsidR="005B383C">
        <w:t xml:space="preserve">this </w:t>
      </w:r>
      <w:r w:rsidR="00846603">
        <w:t>topic,</w:t>
      </w:r>
      <w:r>
        <w:t xml:space="preserve"> </w:t>
      </w:r>
      <w:r w:rsidR="008B6CCE">
        <w:t xml:space="preserve">the Department considers that the current prescribed </w:t>
      </w:r>
      <w:r w:rsidR="00846603">
        <w:t>matters</w:t>
      </w:r>
      <w:r w:rsidR="008B6CCE">
        <w:t xml:space="preserve"> should be remade as per the current regulations.</w:t>
      </w:r>
      <w:r>
        <w:t xml:space="preserve"> </w:t>
      </w:r>
    </w:p>
    <w:p w14:paraId="195E0CF3" w14:textId="3655D040" w:rsidR="00D63A9A" w:rsidRPr="00C63FF8" w:rsidRDefault="00D63A9A" w:rsidP="00D63A9A">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lastRenderedPageBreak/>
        <w:t>Review and amendment of Road Management Plans</w:t>
      </w:r>
    </w:p>
    <w:p w14:paraId="24238236" w14:textId="7D60E399" w:rsidR="00D63A9A" w:rsidRDefault="005E5BD6" w:rsidP="00D63A9A">
      <w:r>
        <w:t xml:space="preserve">Section </w:t>
      </w:r>
      <w:r>
        <w:fldChar w:fldCharType="begin"/>
      </w:r>
      <w:r>
        <w:instrText xml:space="preserve"> REF _Ref210920404 \r \h </w:instrText>
      </w:r>
      <w:r>
        <w:fldChar w:fldCharType="separate"/>
      </w:r>
      <w:r w:rsidR="00F170D0">
        <w:t>3.2.2.6</w:t>
      </w:r>
      <w:r>
        <w:fldChar w:fldCharType="end"/>
      </w:r>
      <w:r w:rsidR="00210327">
        <w:t xml:space="preserve"> </w:t>
      </w:r>
      <w:r w:rsidR="00ED7C4F">
        <w:t>describes the regulations that require</w:t>
      </w:r>
      <w:r w:rsidR="00210327">
        <w:t xml:space="preserve"> road authorities with a road management plan </w:t>
      </w:r>
      <w:r w:rsidR="00ED7C4F">
        <w:t>to</w:t>
      </w:r>
      <w:r w:rsidR="00210327">
        <w:t xml:space="preserve"> review the plan every five years.</w:t>
      </w:r>
    </w:p>
    <w:p w14:paraId="4076D4BB" w14:textId="6744911A" w:rsidR="005E5BD6" w:rsidRPr="00D63A9A" w:rsidRDefault="00385389" w:rsidP="00D63A9A">
      <w:r>
        <w:t>The</w:t>
      </w:r>
      <w:r w:rsidR="00210327">
        <w:t xml:space="preserve"> Department has not received any significant </w:t>
      </w:r>
      <w:r w:rsidR="005B12A4">
        <w:t xml:space="preserve">feedback </w:t>
      </w:r>
      <w:r w:rsidR="00210327">
        <w:t>on this matter</w:t>
      </w:r>
      <w:r w:rsidR="005B12A4">
        <w:t>,</w:t>
      </w:r>
      <w:r w:rsidR="00210327">
        <w:t xml:space="preserve"> </w:t>
      </w:r>
      <w:r w:rsidR="00AA40EE">
        <w:t>therefore</w:t>
      </w:r>
      <w:r w:rsidR="00210327">
        <w:t xml:space="preserve"> </w:t>
      </w:r>
      <w:r w:rsidR="00894D5E">
        <w:t xml:space="preserve">it </w:t>
      </w:r>
      <w:r w:rsidR="00210327">
        <w:t xml:space="preserve">considers that the current prescribed </w:t>
      </w:r>
      <w:r w:rsidR="00210327" w:rsidDel="008A6C85">
        <w:t>period</w:t>
      </w:r>
      <w:r w:rsidR="00210327">
        <w:t xml:space="preserve"> </w:t>
      </w:r>
      <w:r w:rsidR="00066D10">
        <w:t>remains appropriate and</w:t>
      </w:r>
      <w:r w:rsidR="00210327">
        <w:t xml:space="preserve"> should be remade as per the current regulations. </w:t>
      </w:r>
    </w:p>
    <w:p w14:paraId="48237A47" w14:textId="52C3A31F" w:rsidR="00D63A9A" w:rsidRPr="00C63FF8" w:rsidRDefault="00D63A9A" w:rsidP="00D63A9A">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Notices of incident and condition reports</w:t>
      </w:r>
    </w:p>
    <w:p w14:paraId="1DA3AF7F" w14:textId="23DE0FDF" w:rsidR="00D63A9A" w:rsidRDefault="006F7667" w:rsidP="00D63A9A">
      <w:r>
        <w:t>S</w:t>
      </w:r>
      <w:r w:rsidR="005E5BD6">
        <w:t xml:space="preserve">ection </w:t>
      </w:r>
      <w:r w:rsidR="005E5BD6">
        <w:fldChar w:fldCharType="begin"/>
      </w:r>
      <w:r w:rsidR="005E5BD6">
        <w:instrText xml:space="preserve"> REF _Ref210920419 \r \h </w:instrText>
      </w:r>
      <w:r w:rsidR="005E5BD6">
        <w:fldChar w:fldCharType="separate"/>
      </w:r>
      <w:r w:rsidR="00F170D0">
        <w:t>3.2.2.7</w:t>
      </w:r>
      <w:r w:rsidR="005E5BD6">
        <w:fldChar w:fldCharType="end"/>
      </w:r>
      <w:r w:rsidR="00210327">
        <w:t xml:space="preserve"> outlines the </w:t>
      </w:r>
      <w:r w:rsidR="00210327" w:rsidRPr="009B2025">
        <w:t xml:space="preserve">information </w:t>
      </w:r>
      <w:r w:rsidR="00210327">
        <w:t xml:space="preserve">that </w:t>
      </w:r>
      <w:r w:rsidR="00210327" w:rsidRPr="009B2025">
        <w:t>should be included in a notice of an incident</w:t>
      </w:r>
      <w:r w:rsidR="00210327">
        <w:t xml:space="preserve"> and matters that are required to be included in</w:t>
      </w:r>
      <w:r w:rsidR="00210327" w:rsidRPr="009B2025">
        <w:t xml:space="preserve"> condition reports</w:t>
      </w:r>
      <w:r w:rsidR="006B7063">
        <w:t>.</w:t>
      </w:r>
    </w:p>
    <w:p w14:paraId="7F8B1AF6" w14:textId="1B450DA1" w:rsidR="00C53825" w:rsidRDefault="0034591B" w:rsidP="00D63A9A">
      <w:r>
        <w:t xml:space="preserve">As no significant feedback in relation to this matter has been received, the Department considers that the current prescribed periods for should be remade as per the current regulations. </w:t>
      </w:r>
    </w:p>
    <w:p w14:paraId="0F91D3DF" w14:textId="7FF7695C" w:rsidR="00C53825" w:rsidRPr="00C63FF8" w:rsidRDefault="00C53825" w:rsidP="00C53825">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Responsibility for</w:t>
      </w:r>
      <w:r w:rsidR="0076228D" w:rsidRPr="00C63FF8">
        <w:rPr>
          <w14:textFill>
            <w14:solidFill>
              <w14:schemeClr w14:val="tx2">
                <w14:lumMod w14:val="75000"/>
                <w14:lumOff w14:val="25000"/>
                <w14:lumMod w14:val="75000"/>
                <w14:lumOff w14:val="25000"/>
                <w14:lumMod w14:val="75000"/>
              </w14:schemeClr>
            </w14:solidFill>
          </w14:textFill>
        </w:rPr>
        <w:t xml:space="preserve"> certain</w:t>
      </w:r>
      <w:r w:rsidRPr="00C63FF8">
        <w:rPr>
          <w14:textFill>
            <w14:solidFill>
              <w14:schemeClr w14:val="tx2">
                <w14:lumMod w14:val="75000"/>
                <w14:lumOff w14:val="25000"/>
                <w14:lumMod w14:val="75000"/>
                <w14:lumOff w14:val="25000"/>
                <w14:lumMod w14:val="75000"/>
              </w14:schemeClr>
            </w14:solidFill>
          </w14:textFill>
        </w:rPr>
        <w:t xml:space="preserve"> road</w:t>
      </w:r>
      <w:r w:rsidR="0076228D" w:rsidRPr="00C63FF8">
        <w:rPr>
          <w14:textFill>
            <w14:solidFill>
              <w14:schemeClr w14:val="tx2">
                <w14:lumMod w14:val="75000"/>
                <w14:lumOff w14:val="25000"/>
                <w14:lumMod w14:val="75000"/>
                <w14:lumOff w14:val="25000"/>
                <w14:lumMod w14:val="75000"/>
              </w14:schemeClr>
            </w14:solidFill>
          </w14:textFill>
        </w:rPr>
        <w:t>-related</w:t>
      </w:r>
      <w:r w:rsidRPr="00C63FF8">
        <w:rPr>
          <w14:textFill>
            <w14:solidFill>
              <w14:schemeClr w14:val="tx2">
                <w14:lumMod w14:val="75000"/>
                <w14:lumOff w14:val="25000"/>
                <w14:lumMod w14:val="75000"/>
                <w14:lumOff w14:val="25000"/>
                <w14:lumMod w14:val="75000"/>
              </w14:schemeClr>
            </w14:solidFill>
          </w14:textFill>
        </w:rPr>
        <w:t xml:space="preserve"> infrastructure</w:t>
      </w:r>
    </w:p>
    <w:p w14:paraId="76FA6B18" w14:textId="22BDAC2C" w:rsidR="00F06ACA" w:rsidRDefault="005178F7" w:rsidP="00C53825">
      <w:r>
        <w:t xml:space="preserve">Section </w:t>
      </w:r>
      <w:r w:rsidR="00455F74">
        <w:fldChar w:fldCharType="begin"/>
      </w:r>
      <w:r w:rsidR="00455F74">
        <w:instrText xml:space="preserve"> REF _Ref213423383 \r \h </w:instrText>
      </w:r>
      <w:r w:rsidR="00455F74">
        <w:fldChar w:fldCharType="separate"/>
      </w:r>
      <w:r w:rsidR="00F170D0">
        <w:t>3.3.2.8</w:t>
      </w:r>
      <w:r w:rsidR="00455F74">
        <w:fldChar w:fldCharType="end"/>
      </w:r>
      <w:r w:rsidR="009C09E6">
        <w:t xml:space="preserve"> </w:t>
      </w:r>
      <w:r w:rsidR="00455CF3">
        <w:t xml:space="preserve">describes the challenges </w:t>
      </w:r>
      <w:r w:rsidR="00A125BC">
        <w:t xml:space="preserve">that </w:t>
      </w:r>
      <w:r w:rsidR="00017E86">
        <w:t xml:space="preserve">have been </w:t>
      </w:r>
      <w:r w:rsidR="00E11B70">
        <w:t xml:space="preserve">experienced </w:t>
      </w:r>
      <w:r w:rsidR="00FB01DC">
        <w:t>regarding</w:t>
      </w:r>
      <w:r w:rsidR="00E11B70">
        <w:t xml:space="preserve"> the transfer of </w:t>
      </w:r>
      <w:r w:rsidR="00455F74">
        <w:t xml:space="preserve">certain road-related infrastructure </w:t>
      </w:r>
      <w:r w:rsidR="009C09E6">
        <w:t xml:space="preserve">to the responsible road authority </w:t>
      </w:r>
      <w:r w:rsidR="00D313AA">
        <w:t xml:space="preserve">as specified </w:t>
      </w:r>
      <w:r w:rsidR="009C09E6">
        <w:t>under the Act</w:t>
      </w:r>
      <w:r w:rsidR="00693094">
        <w:t xml:space="preserve">. </w:t>
      </w:r>
      <w:r w:rsidR="00074D15">
        <w:t>To address the</w:t>
      </w:r>
      <w:r w:rsidR="00693094">
        <w:t>se</w:t>
      </w:r>
      <w:r w:rsidR="00074D15">
        <w:t xml:space="preserve"> concerns</w:t>
      </w:r>
      <w:r w:rsidR="00F06ACA">
        <w:t>,</w:t>
      </w:r>
      <w:r w:rsidR="00074D15">
        <w:t xml:space="preserve"> </w:t>
      </w:r>
      <w:r w:rsidR="00681125">
        <w:t xml:space="preserve">a project was </w:t>
      </w:r>
      <w:r w:rsidR="00E268B9">
        <w:t xml:space="preserve">established </w:t>
      </w:r>
      <w:r w:rsidR="00693094">
        <w:t xml:space="preserve">in 2021 </w:t>
      </w:r>
      <w:r w:rsidR="00E268B9">
        <w:t>to</w:t>
      </w:r>
      <w:r w:rsidR="00693094">
        <w:t xml:space="preserve"> look at ways</w:t>
      </w:r>
      <w:r w:rsidR="003F6D06">
        <w:t xml:space="preserve"> new or modified assets delivered through Victoria’s Big Build </w:t>
      </w:r>
      <w:r w:rsidR="001D7C9A">
        <w:t xml:space="preserve">are handed over to the appropriate entities for management and maintenance once they are completed. </w:t>
      </w:r>
    </w:p>
    <w:p w14:paraId="49599F32" w14:textId="7747A131" w:rsidR="00952B0A" w:rsidRDefault="001D7C9A">
      <w:r>
        <w:t xml:space="preserve">The project considered options </w:t>
      </w:r>
      <w:r w:rsidR="00952B0A">
        <w:t>and identified that legislative amendment was required to provide the necessary mechanisms</w:t>
      </w:r>
      <w:r w:rsidR="00CB19E4">
        <w:t>.</w:t>
      </w:r>
      <w:r w:rsidR="003A743F">
        <w:t xml:space="preserve"> To this end, </w:t>
      </w:r>
      <w:r w:rsidR="00A75F99">
        <w:t xml:space="preserve">Division 1 of Part 3 of </w:t>
      </w:r>
      <w:r w:rsidR="003A743F">
        <w:t>t</w:t>
      </w:r>
      <w:r w:rsidR="00952B0A">
        <w:t xml:space="preserve">he </w:t>
      </w:r>
      <w:r w:rsidR="00952B0A" w:rsidRPr="000D0BEE">
        <w:rPr>
          <w:i/>
        </w:rPr>
        <w:t xml:space="preserve">Roads </w:t>
      </w:r>
      <w:r w:rsidR="00E0320A" w:rsidRPr="000D0BEE">
        <w:rPr>
          <w:i/>
        </w:rPr>
        <w:t xml:space="preserve">and Ports Legislation </w:t>
      </w:r>
      <w:r w:rsidR="005A43C4" w:rsidRPr="000D0BEE">
        <w:rPr>
          <w:i/>
        </w:rPr>
        <w:t>Amendment (Road Safety and Other Matters) Act 2025</w:t>
      </w:r>
      <w:r w:rsidR="003A743F">
        <w:t xml:space="preserve"> </w:t>
      </w:r>
      <w:r w:rsidR="00A53DA3">
        <w:t xml:space="preserve">amended </w:t>
      </w:r>
      <w:r w:rsidR="00310F87">
        <w:t xml:space="preserve">section 37(2A) of </w:t>
      </w:r>
      <w:r w:rsidR="00A53DA3">
        <w:t>t</w:t>
      </w:r>
      <w:r w:rsidR="00A75F99">
        <w:t>he Act to enable the regulations to prescribe that</w:t>
      </w:r>
      <w:r w:rsidR="00A25664">
        <w:t>, despite section 37</w:t>
      </w:r>
      <w:r w:rsidR="00E41066">
        <w:t>(1),</w:t>
      </w:r>
      <w:r w:rsidR="00A75F99">
        <w:t xml:space="preserve"> </w:t>
      </w:r>
      <w:r w:rsidR="002F5C3C">
        <w:t>another road authority is the responsible road authority for prescribed road infrastructure</w:t>
      </w:r>
      <w:r w:rsidR="00F003EE">
        <w:t>,</w:t>
      </w:r>
      <w:r w:rsidR="002F5C3C">
        <w:t xml:space="preserve"> or </w:t>
      </w:r>
      <w:r w:rsidR="009A0B9C">
        <w:t>a prescribed class of road infrastructure</w:t>
      </w:r>
      <w:r w:rsidR="00F003EE">
        <w:t>,</w:t>
      </w:r>
      <w:r w:rsidR="009A0B9C">
        <w:t xml:space="preserve"> </w:t>
      </w:r>
      <w:r w:rsidR="00CA28FF">
        <w:t>forming part of a prescribed road or prescribed class of road</w:t>
      </w:r>
      <w:r w:rsidR="00F003EE">
        <w:t xml:space="preserve">. </w:t>
      </w:r>
    </w:p>
    <w:p w14:paraId="727A0A18" w14:textId="43288E8A" w:rsidR="005E5BD6" w:rsidRDefault="00F003EE" w:rsidP="00D63A9A">
      <w:r>
        <w:t xml:space="preserve">This amendment was necessary as the power to prescribe a different road authority to be the responsible road authority was previously limited to road-related infrastructure. </w:t>
      </w:r>
      <w:r w:rsidR="00754537">
        <w:t xml:space="preserve">Now that the necessary regulation making power exists, the Department </w:t>
      </w:r>
      <w:r w:rsidR="007D7092">
        <w:t xml:space="preserve">intends to prescribe </w:t>
      </w:r>
      <w:r w:rsidR="00FA2646">
        <w:t xml:space="preserve">the </w:t>
      </w:r>
      <w:r w:rsidR="00084985">
        <w:t>HTfV</w:t>
      </w:r>
      <w:r w:rsidR="00FA2646">
        <w:t xml:space="preserve"> to be the responsible road authority for </w:t>
      </w:r>
      <w:r w:rsidR="007D7092">
        <w:t>bridges supporting roads</w:t>
      </w:r>
      <w:r w:rsidR="00FA2646">
        <w:t xml:space="preserve"> (and pedestrians) over railway lines, where those structures would otherwise have been the responsibility of municipal councils.</w:t>
      </w:r>
      <w:r w:rsidR="0011781E">
        <w:t xml:space="preserve"> The roads and footpaths themselves would remain the responsibility of the relevant municipal council.</w:t>
      </w:r>
    </w:p>
    <w:p w14:paraId="21202111" w14:textId="4AF80316" w:rsidR="003328C2" w:rsidRPr="003F45C3" w:rsidRDefault="003328C2" w:rsidP="00D63A9A">
      <w:r>
        <w:t xml:space="preserve">The </w:t>
      </w:r>
      <w:r w:rsidR="00084985">
        <w:t>HTfV</w:t>
      </w:r>
      <w:r>
        <w:t xml:space="preserve"> is best placed to ensure that these structures are </w:t>
      </w:r>
      <w:r w:rsidR="00B529EB">
        <w:t xml:space="preserve">adequately </w:t>
      </w:r>
      <w:r>
        <w:t xml:space="preserve">maintained given </w:t>
      </w:r>
      <w:r w:rsidR="00217473">
        <w:t xml:space="preserve">its </w:t>
      </w:r>
      <w:r w:rsidR="00B15CA9">
        <w:t xml:space="preserve">function </w:t>
      </w:r>
      <w:r w:rsidR="004A7325">
        <w:t xml:space="preserve">under the </w:t>
      </w:r>
      <w:r w:rsidR="004A7325" w:rsidRPr="000D0BEE">
        <w:rPr>
          <w:i/>
        </w:rPr>
        <w:t>Transport Integration Act 2010</w:t>
      </w:r>
      <w:r w:rsidR="003F45C3">
        <w:t xml:space="preserve"> and relationships with Victorian Rail Track (VicTrack) and </w:t>
      </w:r>
      <w:r w:rsidR="0007701B">
        <w:t xml:space="preserve">public transport operators, including </w:t>
      </w:r>
      <w:r w:rsidR="00D92A90">
        <w:t>rail</w:t>
      </w:r>
      <w:r w:rsidR="0007701B">
        <w:t xml:space="preserve"> operators.</w:t>
      </w:r>
    </w:p>
    <w:p w14:paraId="1416D1E2" w14:textId="4702D574" w:rsidR="00D63A9A" w:rsidRDefault="00D63A9A" w:rsidP="00D63A9A">
      <w:pPr>
        <w:pStyle w:val="Heading3-Numbered"/>
      </w:pPr>
      <w:bookmarkStart w:id="177" w:name="_Ref211517663"/>
      <w:bookmarkStart w:id="178" w:name="_Toc226448307"/>
      <w:r>
        <w:t>Protection of people and property</w:t>
      </w:r>
      <w:bookmarkEnd w:id="177"/>
      <w:bookmarkEnd w:id="178"/>
    </w:p>
    <w:p w14:paraId="4A7E87A5" w14:textId="4A8A4C21" w:rsidR="00D63A9A" w:rsidRPr="00C63FF8" w:rsidRDefault="00D63A9A" w:rsidP="00D63A9A">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General interference with roads or construction zones</w:t>
      </w:r>
    </w:p>
    <w:p w14:paraId="68EC62B3" w14:textId="7612F305" w:rsidR="005E5BD6" w:rsidRPr="007944FB" w:rsidRDefault="005E5BD6" w:rsidP="007944FB">
      <w:r>
        <w:t xml:space="preserve">Section </w:t>
      </w:r>
      <w:r>
        <w:fldChar w:fldCharType="begin"/>
      </w:r>
      <w:r>
        <w:instrText xml:space="preserve"> REF _Ref210910035 \r \h </w:instrText>
      </w:r>
      <w:r>
        <w:fldChar w:fldCharType="separate"/>
      </w:r>
      <w:r w:rsidR="00F170D0">
        <w:t>3.2.3.1</w:t>
      </w:r>
      <w:r>
        <w:fldChar w:fldCharType="end"/>
      </w:r>
      <w:r w:rsidR="000D20AA">
        <w:t xml:space="preserve"> describes </w:t>
      </w:r>
      <w:r w:rsidR="007C74E3">
        <w:t>offences under the regulations for interfering or damaging roads or construction zones on HTfV property. Because the Depar</w:t>
      </w:r>
      <w:r w:rsidR="005D3459">
        <w:t xml:space="preserve">tment did not receive any significant feedback on the matter, the Department </w:t>
      </w:r>
      <w:r w:rsidR="00F21950">
        <w:t>considers</w:t>
      </w:r>
      <w:r w:rsidR="005D3459">
        <w:t xml:space="preserve"> that the offences should be remade as </w:t>
      </w:r>
      <w:r w:rsidR="00F21950">
        <w:t>per the current regulations.</w:t>
      </w:r>
    </w:p>
    <w:p w14:paraId="732695C9" w14:textId="2480A8B7" w:rsidR="00D63A9A" w:rsidRPr="00C63FF8" w:rsidRDefault="00D63A9A" w:rsidP="00D63A9A">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Leaving vehicles and objects on the road</w:t>
      </w:r>
    </w:p>
    <w:p w14:paraId="254E1927" w14:textId="293A4F4B" w:rsidR="005E5BD6" w:rsidRDefault="00A523BB" w:rsidP="005E5BD6">
      <w:r>
        <w:t>S</w:t>
      </w:r>
      <w:r w:rsidR="005E5BD6">
        <w:t xml:space="preserve">ection </w:t>
      </w:r>
      <w:r w:rsidR="005E5BD6">
        <w:fldChar w:fldCharType="begin"/>
      </w:r>
      <w:r w:rsidR="005E5BD6">
        <w:instrText xml:space="preserve"> REF _Ref210920456 \r \h </w:instrText>
      </w:r>
      <w:r w:rsidR="005E5BD6">
        <w:fldChar w:fldCharType="separate"/>
      </w:r>
      <w:r w:rsidR="00F170D0">
        <w:t>3.2.3.2</w:t>
      </w:r>
      <w:r w:rsidR="005E5BD6">
        <w:fldChar w:fldCharType="end"/>
      </w:r>
      <w:r w:rsidR="0037553B">
        <w:t xml:space="preserve"> describes </w:t>
      </w:r>
      <w:r w:rsidR="00483797" w:rsidRPr="000E3C26">
        <w:t xml:space="preserve">the steps that must be taken to notify </w:t>
      </w:r>
      <w:r w:rsidR="00483797">
        <w:t>an</w:t>
      </w:r>
      <w:r w:rsidR="00483797" w:rsidRPr="000E3C26">
        <w:t xml:space="preserve"> owner of </w:t>
      </w:r>
      <w:r w:rsidR="00483797">
        <w:t>a</w:t>
      </w:r>
      <w:r w:rsidR="00483797" w:rsidRPr="000E3C26">
        <w:t xml:space="preserve"> vehicle that is being moved</w:t>
      </w:r>
      <w:r w:rsidR="00483797">
        <w:t xml:space="preserve"> and offences for placing other objects on the road. Because the Department did not receive any significant feedback on the matter, the Department considers that the procedures and additional offences should be remade as per the current regulations</w:t>
      </w:r>
      <w:r w:rsidR="00C07355">
        <w:t>, with the addition of the ability to issue an infringement notice for leaving other objects on roads</w:t>
      </w:r>
      <w:r w:rsidR="00426586">
        <w:t xml:space="preserve"> </w:t>
      </w:r>
      <w:r w:rsidR="009B23AA">
        <w:t xml:space="preserve">as </w:t>
      </w:r>
      <w:r w:rsidR="00C07355">
        <w:t xml:space="preserve">noted in section </w:t>
      </w:r>
      <w:r w:rsidR="00C07355">
        <w:fldChar w:fldCharType="begin"/>
      </w:r>
      <w:r w:rsidR="00C07355">
        <w:instrText xml:space="preserve"> REF _Ref211524028 \r \h </w:instrText>
      </w:r>
      <w:r w:rsidR="00C07355">
        <w:fldChar w:fldCharType="separate"/>
      </w:r>
      <w:r w:rsidR="00F170D0">
        <w:t>3.3.3.2</w:t>
      </w:r>
      <w:r w:rsidR="00C07355">
        <w:fldChar w:fldCharType="end"/>
      </w:r>
      <w:r w:rsidR="00C07355">
        <w:t>.</w:t>
      </w:r>
    </w:p>
    <w:p w14:paraId="1DA5AC87" w14:textId="77777777" w:rsidR="00182C8B" w:rsidRDefault="00182C8B" w:rsidP="005E5BD6"/>
    <w:p w14:paraId="0CB55062" w14:textId="1A786A06" w:rsidR="000964D8" w:rsidRPr="0092107C" w:rsidRDefault="0098780A" w:rsidP="00BA5A57">
      <w:pPr>
        <w:pStyle w:val="Pull-outQuote"/>
        <w:rPr>
          <w:b/>
        </w:rPr>
      </w:pPr>
      <w:r w:rsidRPr="0092107C">
        <w:rPr>
          <w:b/>
        </w:rPr>
        <w:lastRenderedPageBreak/>
        <w:t>Question for stake</w:t>
      </w:r>
      <w:r w:rsidR="000964D8" w:rsidRPr="0092107C">
        <w:rPr>
          <w:b/>
        </w:rPr>
        <w:t>holders</w:t>
      </w:r>
    </w:p>
    <w:p w14:paraId="07888B77" w14:textId="66AEC9AC" w:rsidR="00676594" w:rsidRDefault="00212AE6" w:rsidP="00BA5A57">
      <w:pPr>
        <w:pStyle w:val="Pull-outQuote"/>
      </w:pPr>
      <w:r>
        <w:t xml:space="preserve">8. </w:t>
      </w:r>
      <w:r w:rsidR="000964D8" w:rsidRPr="000964D8">
        <w:t xml:space="preserve">The </w:t>
      </w:r>
      <w:r w:rsidR="00472B2A" w:rsidRPr="00472B2A">
        <w:t xml:space="preserve">proposed </w:t>
      </w:r>
      <w:r w:rsidR="000964D8" w:rsidRPr="000964D8">
        <w:t xml:space="preserve">Regulations introduce </w:t>
      </w:r>
      <w:r w:rsidR="00472B2A" w:rsidRPr="00472B2A">
        <w:t>new offences</w:t>
      </w:r>
      <w:r w:rsidR="000964D8" w:rsidRPr="000964D8">
        <w:t xml:space="preserve"> for leaving a bulk rubbish container of 500 litres or more </w:t>
      </w:r>
      <w:r w:rsidR="00472B2A" w:rsidRPr="00472B2A">
        <w:t xml:space="preserve">and a large object of 500 litres or 500 kilograms or more </w:t>
      </w:r>
      <w:r w:rsidR="000964D8" w:rsidRPr="000964D8">
        <w:t xml:space="preserve">on a roadway to which a clearway sign applies. </w:t>
      </w:r>
      <w:r w:rsidR="00472B2A" w:rsidRPr="00472B2A">
        <w:t>Do you agree this the right capacity and weight for these items?</w:t>
      </w:r>
    </w:p>
    <w:p w14:paraId="2A4D3FD9" w14:textId="18206E15" w:rsidR="00D63A9A" w:rsidRPr="00C63FF8" w:rsidRDefault="00D63A9A" w:rsidP="00D63A9A">
      <w:pPr>
        <w:pStyle w:val="Heading4-Numbered"/>
        <w:rPr>
          <w14:textFill>
            <w14:solidFill>
              <w14:schemeClr w14:val="tx2">
                <w14:lumMod w14:val="75000"/>
                <w14:lumOff w14:val="25000"/>
                <w14:lumMod w14:val="75000"/>
                <w14:lumOff w14:val="25000"/>
                <w14:lumMod w14:val="75000"/>
              </w14:schemeClr>
            </w14:solidFill>
          </w14:textFill>
        </w:rPr>
      </w:pPr>
      <w:bookmarkStart w:id="179" w:name="_Ref211417213"/>
      <w:r w:rsidRPr="00C63FF8">
        <w:rPr>
          <w14:textFill>
            <w14:solidFill>
              <w14:schemeClr w14:val="tx2">
                <w14:lumMod w14:val="75000"/>
                <w14:lumOff w14:val="25000"/>
                <w14:lumMod w14:val="75000"/>
                <w14:lumOff w14:val="25000"/>
                <w14:lumMod w14:val="75000"/>
              </w14:schemeClr>
            </w14:solidFill>
          </w14:textFill>
        </w:rPr>
        <w:t>Trespassing, camping and climbing bridges</w:t>
      </w:r>
      <w:bookmarkEnd w:id="179"/>
    </w:p>
    <w:p w14:paraId="63C439C5" w14:textId="61C8A600" w:rsidR="005E5BD6" w:rsidRDefault="005E5BD6" w:rsidP="007944FB">
      <w:r>
        <w:t xml:space="preserve">Section </w:t>
      </w:r>
      <w:r>
        <w:fldChar w:fldCharType="begin"/>
      </w:r>
      <w:r>
        <w:instrText xml:space="preserve"> REF _Ref210920463 \r \h </w:instrText>
      </w:r>
      <w:r>
        <w:fldChar w:fldCharType="separate"/>
      </w:r>
      <w:r w:rsidR="00F170D0">
        <w:t>3.2.3.3</w:t>
      </w:r>
      <w:r>
        <w:fldChar w:fldCharType="end"/>
      </w:r>
      <w:r w:rsidR="00821547">
        <w:t xml:space="preserve"> describes the </w:t>
      </w:r>
      <w:r w:rsidR="00C07355">
        <w:t xml:space="preserve">offences under the </w:t>
      </w:r>
      <w:r w:rsidR="003520FF">
        <w:t>regulations for trespassing or camping on HTfV property or climbing on bridges.</w:t>
      </w:r>
    </w:p>
    <w:p w14:paraId="2AD2C3D2" w14:textId="1B990419" w:rsidR="007E37A6" w:rsidRDefault="002B017A" w:rsidP="007944FB">
      <w:r>
        <w:t xml:space="preserve">As discussed at </w:t>
      </w:r>
      <w:r w:rsidR="000D39AD">
        <w:fldChar w:fldCharType="begin"/>
      </w:r>
      <w:r w:rsidR="000D39AD">
        <w:instrText xml:space="preserve"> REF _Ref211265108 \r \h </w:instrText>
      </w:r>
      <w:r w:rsidR="000D39AD">
        <w:fldChar w:fldCharType="separate"/>
      </w:r>
      <w:r w:rsidR="00F170D0">
        <w:t>3.3.3.3</w:t>
      </w:r>
      <w:r w:rsidR="000D39AD">
        <w:fldChar w:fldCharType="end"/>
      </w:r>
      <w:r w:rsidR="006E6EC4">
        <w:t xml:space="preserve">, </w:t>
      </w:r>
      <w:r w:rsidR="004075BD">
        <w:t xml:space="preserve">the ambiguity about what </w:t>
      </w:r>
      <w:r w:rsidR="00171052">
        <w:t xml:space="preserve">constitutes camping could create enforcement challenges. The </w:t>
      </w:r>
      <w:r w:rsidR="004D1FDC">
        <w:t>D</w:t>
      </w:r>
      <w:r w:rsidR="00171052">
        <w:t>epartment</w:t>
      </w:r>
      <w:r w:rsidR="004D1FDC">
        <w:t xml:space="preserve"> considered the option</w:t>
      </w:r>
      <w:r w:rsidR="00686529">
        <w:t xml:space="preserve"> of </w:t>
      </w:r>
      <w:r w:rsidR="004B50E8">
        <w:t>introducing a more specific definition of camping.</w:t>
      </w:r>
      <w:r w:rsidR="00171052">
        <w:t xml:space="preserve"> </w:t>
      </w:r>
      <w:r w:rsidR="00D64CA0" w:rsidRPr="00C34CF2">
        <w:t>However, there is limited evidence that the absence of a time limit has created significant issues. It should also be noted that Councils utilise their own separate legislation to manage camping on or near municipal roads.</w:t>
      </w:r>
      <w:r w:rsidR="00E61F8D">
        <w:t xml:space="preserve"> </w:t>
      </w:r>
      <w:r w:rsidR="00D64CA0" w:rsidRPr="00C34CF2">
        <w:t>In addition, the Heavy Vehicle National Law (HVNL) contains a framework that sets out work and rest requirements for fatigue-regulated heavy vehicles. Introducing a 24-hour time limit may conflict with rest requirements under</w:t>
      </w:r>
      <w:r w:rsidR="00E61F8D">
        <w:t xml:space="preserve"> </w:t>
      </w:r>
      <w:r w:rsidR="00D64CA0" w:rsidRPr="00C34CF2">
        <w:t>the HVNL.</w:t>
      </w:r>
      <w:r w:rsidR="00E61F8D">
        <w:t xml:space="preserve"> </w:t>
      </w:r>
      <w:r w:rsidR="00C40392">
        <w:t>For these reasons, the Department considers t</w:t>
      </w:r>
      <w:r w:rsidR="000B0485">
        <w:t>hat the existing regulations are sufficient.</w:t>
      </w:r>
    </w:p>
    <w:p w14:paraId="70973D2C" w14:textId="0AD66560" w:rsidR="00D63A9A" w:rsidRPr="00C63FF8" w:rsidRDefault="00D63A9A" w:rsidP="00D63A9A">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Hoardings and Advertisements</w:t>
      </w:r>
    </w:p>
    <w:p w14:paraId="2E06781C" w14:textId="00E064F6" w:rsidR="009A6898" w:rsidRDefault="00AA33BE" w:rsidP="007944FB">
      <w:r>
        <w:t xml:space="preserve">Section </w:t>
      </w:r>
      <w:r w:rsidR="007D0FCB">
        <w:fldChar w:fldCharType="begin"/>
      </w:r>
      <w:r w:rsidR="007D0FCB">
        <w:instrText xml:space="preserve"> REF _Ref210920470 \r \h </w:instrText>
      </w:r>
      <w:r w:rsidR="007D0FCB">
        <w:fldChar w:fldCharType="separate"/>
      </w:r>
      <w:r w:rsidR="00F170D0">
        <w:t>3.2.3.4</w:t>
      </w:r>
      <w:r w:rsidR="007D0FCB">
        <w:fldChar w:fldCharType="end"/>
      </w:r>
      <w:r w:rsidRPr="00AA33BE">
        <w:t xml:space="preserve"> </w:t>
      </w:r>
      <w:r>
        <w:t xml:space="preserve">describes the </w:t>
      </w:r>
      <w:r w:rsidRPr="00BC0F4A">
        <w:t xml:space="preserve">requirements </w:t>
      </w:r>
      <w:r w:rsidR="00B93E6A">
        <w:t>prescribed in the regulations for</w:t>
      </w:r>
      <w:r w:rsidRPr="00BC0F4A">
        <w:t xml:space="preserve"> making </w:t>
      </w:r>
      <w:r>
        <w:t xml:space="preserve">and assessing </w:t>
      </w:r>
      <w:r w:rsidRPr="00BC0F4A">
        <w:t>application</w:t>
      </w:r>
      <w:r>
        <w:t>s</w:t>
      </w:r>
      <w:r w:rsidRPr="00BC0F4A">
        <w:t xml:space="preserve"> to place hoarding and advertisements on roads</w:t>
      </w:r>
      <w:r>
        <w:t>.</w:t>
      </w:r>
    </w:p>
    <w:p w14:paraId="2D1B2760" w14:textId="4C5D71FB" w:rsidR="00EC5C94" w:rsidRPr="007944FB" w:rsidRDefault="003171C9" w:rsidP="007944FB">
      <w:r>
        <w:t>A</w:t>
      </w:r>
      <w:r w:rsidR="00985879">
        <w:t xml:space="preserve">s discussed </w:t>
      </w:r>
      <w:r>
        <w:t>in s</w:t>
      </w:r>
      <w:r w:rsidR="005E5BD6">
        <w:t>ection</w:t>
      </w:r>
      <w:r w:rsidR="00B93E6A" w:rsidRPr="00B93E6A">
        <w:t xml:space="preserve"> </w:t>
      </w:r>
      <w:r w:rsidR="00B93E6A">
        <w:fldChar w:fldCharType="begin"/>
      </w:r>
      <w:r w:rsidR="00B93E6A">
        <w:instrText xml:space="preserve"> REF _Ref211256117 \r \h </w:instrText>
      </w:r>
      <w:r w:rsidR="00B93E6A">
        <w:fldChar w:fldCharType="separate"/>
      </w:r>
      <w:r w:rsidR="00F170D0">
        <w:t>3.3.3.4</w:t>
      </w:r>
      <w:r w:rsidR="00B93E6A">
        <w:fldChar w:fldCharType="end"/>
      </w:r>
      <w:r w:rsidR="00B93E6A">
        <w:t>,</w:t>
      </w:r>
      <w:r>
        <w:t xml:space="preserve"> </w:t>
      </w:r>
      <w:r w:rsidR="00B93E6A">
        <w:t xml:space="preserve">some road authorities are concerned that signs </w:t>
      </w:r>
      <w:r w:rsidR="00BB288A">
        <w:t xml:space="preserve">placed in the road reserve </w:t>
      </w:r>
      <w:r w:rsidR="0085135C">
        <w:t xml:space="preserve">may be creating distractions for motorists. However, </w:t>
      </w:r>
      <w:r w:rsidR="0005219C">
        <w:t xml:space="preserve">the regulations already prescribe that road authorities must consider distractibility when </w:t>
      </w:r>
      <w:r w:rsidR="00A6265C">
        <w:t xml:space="preserve">considering </w:t>
      </w:r>
      <w:r w:rsidR="0029391C">
        <w:t xml:space="preserve">whether to provide </w:t>
      </w:r>
      <w:r w:rsidR="00A6265C">
        <w:t>consent</w:t>
      </w:r>
      <w:r w:rsidR="00EB5312">
        <w:t xml:space="preserve"> to place </w:t>
      </w:r>
      <w:r w:rsidR="00A20BCE">
        <w:t>signs on the road</w:t>
      </w:r>
      <w:r w:rsidR="00A6265C">
        <w:t xml:space="preserve">. This suggests that </w:t>
      </w:r>
      <w:r w:rsidR="007444DF">
        <w:t>the presence of distracting signs m</w:t>
      </w:r>
      <w:r w:rsidR="006F1E96">
        <w:t xml:space="preserve">ay be more likely to </w:t>
      </w:r>
      <w:r w:rsidR="0034383B">
        <w:t xml:space="preserve">be </w:t>
      </w:r>
      <w:r w:rsidR="00D570D8">
        <w:t>a compliance problem rather than a</w:t>
      </w:r>
      <w:r w:rsidR="00CB7730">
        <w:t xml:space="preserve"> gap in the regulations.</w:t>
      </w:r>
      <w:r w:rsidR="002323CC">
        <w:t xml:space="preserve"> For th</w:t>
      </w:r>
      <w:r w:rsidR="00734568">
        <w:t>is</w:t>
      </w:r>
      <w:r w:rsidR="002323CC">
        <w:t xml:space="preserve"> reason, the Department considers that changing the current procedural requirements or creating additional </w:t>
      </w:r>
      <w:r w:rsidR="00734568">
        <w:t>offences under the regulations would offer little additional benefit.</w:t>
      </w:r>
    </w:p>
    <w:p w14:paraId="54375C4E" w14:textId="4C8D3CA8" w:rsidR="00A37E68" w:rsidRDefault="00A37E68" w:rsidP="00C81A05">
      <w:pPr>
        <w:pStyle w:val="Heading3-Numbered"/>
      </w:pPr>
      <w:bookmarkStart w:id="180" w:name="_Ref211415145"/>
      <w:bookmarkStart w:id="181" w:name="_Toc226448308"/>
      <w:bookmarkEnd w:id="173"/>
      <w:bookmarkEnd w:id="174"/>
      <w:r>
        <w:t>Su</w:t>
      </w:r>
      <w:r w:rsidR="002B425C">
        <w:t>mmary</w:t>
      </w:r>
      <w:bookmarkEnd w:id="180"/>
      <w:r w:rsidR="006A72B8">
        <w:t xml:space="preserve"> (Option 1: remake with minor amendments)</w:t>
      </w:r>
      <w:bookmarkEnd w:id="181"/>
    </w:p>
    <w:p w14:paraId="66A30AFD" w14:textId="4DCF3DF9" w:rsidR="006D6E59" w:rsidRDefault="00E0319C" w:rsidP="00A452E6">
      <w:r>
        <w:t>As highlighted</w:t>
      </w:r>
      <w:r w:rsidR="00C74253">
        <w:t xml:space="preserve"> </w:t>
      </w:r>
      <w:r>
        <w:t>throughout</w:t>
      </w:r>
      <w:r w:rsidR="00EC1FEB">
        <w:t xml:space="preserve"> </w:t>
      </w:r>
      <w:r w:rsidR="006A72B8">
        <w:t>section</w:t>
      </w:r>
      <w:r w:rsidR="00A32362">
        <w:t xml:space="preserve"> </w:t>
      </w:r>
      <w:r w:rsidR="00363EED">
        <w:fldChar w:fldCharType="begin"/>
      </w:r>
      <w:r w:rsidR="00363EED">
        <w:instrText xml:space="preserve"> REF _Ref211604601 \r \h </w:instrText>
      </w:r>
      <w:r w:rsidR="00363EED">
        <w:fldChar w:fldCharType="separate"/>
      </w:r>
      <w:r w:rsidR="00F170D0">
        <w:t>5.1</w:t>
      </w:r>
      <w:r w:rsidR="00363EED">
        <w:fldChar w:fldCharType="end"/>
      </w:r>
      <w:r>
        <w:t>, t</w:t>
      </w:r>
      <w:r w:rsidR="00C81A05">
        <w:t xml:space="preserve">he existing </w:t>
      </w:r>
      <w:r w:rsidR="00171D8E">
        <w:t>R</w:t>
      </w:r>
      <w:r w:rsidR="00C81A05">
        <w:t>egulations are largely</w:t>
      </w:r>
      <w:r w:rsidR="002F2A83">
        <w:t xml:space="preserve"> working as intended</w:t>
      </w:r>
      <w:r w:rsidR="00C81A05">
        <w:t>.</w:t>
      </w:r>
      <w:r w:rsidR="00E52B4D">
        <w:t xml:space="preserve"> Feedback has indicated there are substantial benefits </w:t>
      </w:r>
      <w:r w:rsidR="0025538F">
        <w:t xml:space="preserve">for road authorities and other stakeholders </w:t>
      </w:r>
      <w:r w:rsidR="003B5139">
        <w:t>in reducing administrative burden and increasing efficiencies</w:t>
      </w:r>
      <w:r w:rsidR="00914CCC">
        <w:t>, particularly in relation to the conduct of works on roads</w:t>
      </w:r>
      <w:r w:rsidR="0025538F">
        <w:t>.</w:t>
      </w:r>
      <w:r w:rsidR="00882B2E">
        <w:t xml:space="preserve"> The </w:t>
      </w:r>
      <w:r w:rsidR="00171D8E">
        <w:t>R</w:t>
      </w:r>
      <w:r w:rsidR="00882B2E">
        <w:t>egulations are also working to protect the general public</w:t>
      </w:r>
      <w:r w:rsidR="00AA26AA">
        <w:t xml:space="preserve">, roads and road infrastructure, and </w:t>
      </w:r>
      <w:r w:rsidR="00232604">
        <w:t>provid</w:t>
      </w:r>
      <w:r w:rsidR="00914CCC">
        <w:t>ing additional</w:t>
      </w:r>
      <w:r w:rsidR="00232604">
        <w:t xml:space="preserve"> guidance </w:t>
      </w:r>
      <w:r w:rsidR="00914CCC">
        <w:t>in relation to road management processes and procedures.</w:t>
      </w:r>
      <w:r w:rsidR="001C4E9E">
        <w:t xml:space="preserve"> </w:t>
      </w:r>
    </w:p>
    <w:p w14:paraId="54D92624" w14:textId="5AF6D233" w:rsidR="00E52B4D" w:rsidRDefault="001C4E9E" w:rsidP="00A452E6">
      <w:r>
        <w:t xml:space="preserve">The Department has also carefully considered feedback about </w:t>
      </w:r>
      <w:r w:rsidR="001C5CF5">
        <w:t xml:space="preserve">potential </w:t>
      </w:r>
      <w:r>
        <w:t xml:space="preserve">areas </w:t>
      </w:r>
      <w:r w:rsidR="001C5CF5">
        <w:t xml:space="preserve">of improvement in the Regulations. </w:t>
      </w:r>
      <w:r w:rsidR="00401378">
        <w:t xml:space="preserve">While several important issues were raised, </w:t>
      </w:r>
      <w:r w:rsidR="00B60E30">
        <w:t xml:space="preserve">the Department considers </w:t>
      </w:r>
      <w:r w:rsidR="009C31F1">
        <w:t xml:space="preserve">that, </w:t>
      </w:r>
      <w:r w:rsidR="00B60E30">
        <w:t>in the majority of cases</w:t>
      </w:r>
      <w:r w:rsidR="009C31F1">
        <w:t>,</w:t>
      </w:r>
      <w:r w:rsidR="00B60E30">
        <w:t xml:space="preserve"> there are underlying issues with compliance, enforcement and </w:t>
      </w:r>
      <w:r w:rsidR="004255C7">
        <w:t xml:space="preserve">the complexity of </w:t>
      </w:r>
      <w:r w:rsidR="006505DC">
        <w:t xml:space="preserve">interrelated </w:t>
      </w:r>
      <w:r w:rsidR="004255C7">
        <w:t>road management</w:t>
      </w:r>
      <w:r w:rsidR="006505DC">
        <w:t xml:space="preserve"> activities.</w:t>
      </w:r>
    </w:p>
    <w:p w14:paraId="0E6B3015" w14:textId="0BEDFE06" w:rsidR="00C34CF2" w:rsidRPr="00C34CF2" w:rsidRDefault="00A85538" w:rsidP="00C34CF2">
      <w:r>
        <w:t xml:space="preserve">For the purposes of </w:t>
      </w:r>
      <w:r w:rsidR="005D6565">
        <w:t xml:space="preserve">chapter </w:t>
      </w:r>
      <w:r w:rsidR="008714BA">
        <w:fldChar w:fldCharType="begin"/>
      </w:r>
      <w:r w:rsidR="008714BA">
        <w:instrText xml:space="preserve"> REF _Ref211419777 \r \h </w:instrText>
      </w:r>
      <w:r w:rsidR="008714BA">
        <w:fldChar w:fldCharType="separate"/>
      </w:r>
      <w:r w:rsidR="00F170D0">
        <w:t>6</w:t>
      </w:r>
      <w:r w:rsidR="008714BA">
        <w:fldChar w:fldCharType="end"/>
      </w:r>
      <w:r w:rsidR="002F2A83">
        <w:t xml:space="preserve">, </w:t>
      </w:r>
      <w:r w:rsidR="00856120">
        <w:t xml:space="preserve">the Department’s </w:t>
      </w:r>
      <w:r w:rsidR="009C0574">
        <w:t>analysis will focus on</w:t>
      </w:r>
      <w:r w:rsidR="00C34CF2" w:rsidRPr="00C34CF2">
        <w:t xml:space="preserve"> the current Regulations </w:t>
      </w:r>
      <w:r w:rsidR="009C0574">
        <w:t>being</w:t>
      </w:r>
      <w:r w:rsidR="00C34CF2" w:rsidRPr="00C34CF2">
        <w:t xml:space="preserve"> remade with </w:t>
      </w:r>
      <w:r w:rsidR="009C0574">
        <w:t>minor</w:t>
      </w:r>
      <w:r w:rsidR="00C34CF2" w:rsidRPr="00C34CF2">
        <w:t xml:space="preserve"> amendments</w:t>
      </w:r>
      <w:r w:rsidR="009C0574">
        <w:t xml:space="preserve">. These </w:t>
      </w:r>
      <w:r w:rsidR="00C34CF2" w:rsidRPr="00C34CF2">
        <w:t xml:space="preserve">amendments </w:t>
      </w:r>
      <w:r w:rsidR="005A4688">
        <w:t>include the introduction of a</w:t>
      </w:r>
      <w:r w:rsidR="00380D3C">
        <w:t xml:space="preserve">n infringement for leaving objects on the road, as well as amendments to </w:t>
      </w:r>
      <w:r w:rsidR="00C34CF2" w:rsidRPr="00C34CF2">
        <w:t xml:space="preserve">support the implementation of </w:t>
      </w:r>
      <w:r w:rsidR="00C34CF2" w:rsidRPr="00C34CF2">
        <w:rPr>
          <w:i/>
        </w:rPr>
        <w:t xml:space="preserve">Road and Ports Legislation Amendment (Road Safety and Other Matters) Act 2025 </w:t>
      </w:r>
      <w:r w:rsidR="0030345D">
        <w:t>by prescribing</w:t>
      </w:r>
      <w:r w:rsidR="00C34CF2" w:rsidRPr="00C34CF2">
        <w:t>:</w:t>
      </w:r>
    </w:p>
    <w:p w14:paraId="32BAD1A7" w14:textId="22F1CAFF" w:rsidR="0030345D" w:rsidRDefault="008367BF" w:rsidP="005D15EA">
      <w:pPr>
        <w:pStyle w:val="ListParagraph"/>
        <w:numPr>
          <w:ilvl w:val="0"/>
          <w:numId w:val="29"/>
        </w:numPr>
      </w:pPr>
      <w:r>
        <w:t>t</w:t>
      </w:r>
      <w:r w:rsidR="0030345D">
        <w:t xml:space="preserve">he </w:t>
      </w:r>
      <w:r w:rsidR="00C34CF2" w:rsidRPr="00C34CF2">
        <w:t>requirements for applications for consent for works;</w:t>
      </w:r>
    </w:p>
    <w:p w14:paraId="0FA9D696" w14:textId="6F19255A" w:rsidR="00C34CF2" w:rsidRPr="00C34CF2" w:rsidRDefault="00C34CF2" w:rsidP="005D15EA">
      <w:pPr>
        <w:pStyle w:val="ListParagraph"/>
        <w:numPr>
          <w:ilvl w:val="0"/>
          <w:numId w:val="29"/>
        </w:numPr>
      </w:pPr>
      <w:r w:rsidRPr="00C34CF2">
        <w:t>the HTfV to be the responsible road authority for bridge structures over railway lines where they would otherwise be the responsibility of municipal councils in accordance with section 37(1)(e) of the Act.</w:t>
      </w:r>
    </w:p>
    <w:p w14:paraId="0199F005" w14:textId="233CADA3" w:rsidR="00C34CF2" w:rsidRPr="00C34CF2" w:rsidRDefault="00C34CF2" w:rsidP="00C34CF2">
      <w:r w:rsidRPr="00C34CF2">
        <w:t xml:space="preserve">The proposed amendments are the culmination of early consultation and feedback from the relevant areas of the Department, and a sample of road authorities and utilities. </w:t>
      </w:r>
      <w:r w:rsidR="00211086">
        <w:t xml:space="preserve">The Department welcomes </w:t>
      </w:r>
      <w:r w:rsidR="0014524A">
        <w:t>further feedback on the option identified and the analysis that follows in the next chapter.</w:t>
      </w:r>
    </w:p>
    <w:p w14:paraId="300E96E9" w14:textId="77777777" w:rsidR="00C34CF2" w:rsidRPr="00C34CF2" w:rsidRDefault="00C34CF2" w:rsidP="004A56C4">
      <w:pPr>
        <w:pStyle w:val="Heading2-Numbered"/>
      </w:pPr>
      <w:bookmarkStart w:id="182" w:name="_Toc209440318"/>
      <w:bookmarkStart w:id="183" w:name="_Ref211523978"/>
      <w:bookmarkStart w:id="184" w:name="_Ref211603512"/>
      <w:bookmarkStart w:id="185" w:name="_Toc226448309"/>
      <w:r w:rsidRPr="00C34CF2">
        <w:lastRenderedPageBreak/>
        <w:t>Fees</w:t>
      </w:r>
      <w:bookmarkEnd w:id="182"/>
      <w:bookmarkEnd w:id="183"/>
      <w:bookmarkEnd w:id="184"/>
      <w:bookmarkEnd w:id="185"/>
    </w:p>
    <w:p w14:paraId="3AC04209" w14:textId="22EDC9F6" w:rsidR="00C34CF2" w:rsidRPr="00C34CF2" w:rsidRDefault="00C34CF2" w:rsidP="004A56C4">
      <w:pPr>
        <w:pStyle w:val="Heading3-Numbered"/>
      </w:pPr>
      <w:bookmarkStart w:id="186" w:name="_Toc209440319"/>
      <w:bookmarkStart w:id="187" w:name="_Toc226448310"/>
      <w:r w:rsidRPr="00C34CF2">
        <w:t>Summary of high</w:t>
      </w:r>
      <w:r w:rsidR="002C1951">
        <w:t>-</w:t>
      </w:r>
      <w:r w:rsidRPr="00C34CF2">
        <w:t>level options</w:t>
      </w:r>
      <w:bookmarkEnd w:id="186"/>
      <w:bookmarkEnd w:id="187"/>
    </w:p>
    <w:p w14:paraId="7CB2217E" w14:textId="77777777" w:rsidR="00C34CF2" w:rsidRPr="00C34CF2" w:rsidRDefault="00C34CF2" w:rsidP="00C34CF2">
      <w:r w:rsidRPr="00C34CF2">
        <w:t>The following options presented describe the general options available to achieve the stated objectives. That is, to recover the costs of road management regulation.</w:t>
      </w:r>
    </w:p>
    <w:p w14:paraId="2FA21FC3" w14:textId="77777777" w:rsidR="00BD37B8" w:rsidRDefault="00C34CF2" w:rsidP="00741D45">
      <w:r w:rsidRPr="00C34CF2">
        <w:t xml:space="preserve">The Department is considering two broad options: </w:t>
      </w:r>
    </w:p>
    <w:p w14:paraId="384986E2" w14:textId="657AB5ED" w:rsidR="00C34CF2" w:rsidRPr="00C34CF2" w:rsidRDefault="006A610B" w:rsidP="0092107C">
      <w:pPr>
        <w:pStyle w:val="ListParagraph"/>
        <w:numPr>
          <w:ilvl w:val="0"/>
          <w:numId w:val="41"/>
        </w:numPr>
      </w:pPr>
      <w:r w:rsidRPr="00741D45">
        <w:rPr>
          <w:b/>
        </w:rPr>
        <w:t xml:space="preserve">Option </w:t>
      </w:r>
      <w:r w:rsidR="00FD4688" w:rsidRPr="00741D45">
        <w:rPr>
          <w:b/>
        </w:rPr>
        <w:t>1</w:t>
      </w:r>
      <w:r>
        <w:rPr>
          <w:b/>
        </w:rPr>
        <w:t>:</w:t>
      </w:r>
      <w:r w:rsidR="00FD4688">
        <w:t xml:space="preserve"> </w:t>
      </w:r>
      <w:r w:rsidR="00C34CF2" w:rsidRPr="00C34CF2">
        <w:t>Retaining fees at current levels (status quo)</w:t>
      </w:r>
    </w:p>
    <w:p w14:paraId="77C84D96" w14:textId="3F3C8A3D" w:rsidR="00C34CF2" w:rsidRPr="00C34CF2" w:rsidRDefault="006A610B" w:rsidP="0092107C">
      <w:pPr>
        <w:pStyle w:val="ListParagraph"/>
        <w:numPr>
          <w:ilvl w:val="0"/>
          <w:numId w:val="41"/>
        </w:numPr>
      </w:pPr>
      <w:r w:rsidRPr="00741D45">
        <w:rPr>
          <w:b/>
        </w:rPr>
        <w:t xml:space="preserve">Option </w:t>
      </w:r>
      <w:r w:rsidR="00FD4688" w:rsidRPr="00741D45">
        <w:rPr>
          <w:b/>
        </w:rPr>
        <w:t>2</w:t>
      </w:r>
      <w:r w:rsidRPr="00741D45">
        <w:rPr>
          <w:b/>
        </w:rPr>
        <w:t>:</w:t>
      </w:r>
      <w:r w:rsidR="00FD4688">
        <w:t xml:space="preserve"> </w:t>
      </w:r>
      <w:r w:rsidR="00C34CF2" w:rsidRPr="00C34CF2">
        <w:t>Restructuring some fees to ensure that the costs of road management regulation are fully recovered.</w:t>
      </w:r>
    </w:p>
    <w:p w14:paraId="5A556A41" w14:textId="77777777" w:rsidR="00C34CF2" w:rsidRPr="00C34CF2" w:rsidRDefault="00C34CF2" w:rsidP="00C34CF2">
      <w:r w:rsidRPr="00C34CF2">
        <w:t>The following table and sections outline each option under consideration and summarise what regulatory fees would look like under each high-level option.</w:t>
      </w:r>
    </w:p>
    <w:p w14:paraId="31D26008" w14:textId="46CB0A79" w:rsidR="00106762" w:rsidRDefault="00690C7A" w:rsidP="00690C7A">
      <w:pPr>
        <w:pStyle w:val="Caption"/>
      </w:pPr>
      <w:bookmarkStart w:id="188" w:name="_Toc226448352"/>
      <w:r>
        <w:t xml:space="preserve">Table </w:t>
      </w:r>
      <w:r w:rsidR="005A7DAB">
        <w:fldChar w:fldCharType="begin"/>
      </w:r>
      <w:r w:rsidR="005A7DAB">
        <w:instrText xml:space="preserve"> SEQ Table \* ARABIC </w:instrText>
      </w:r>
      <w:r w:rsidR="005A7DAB">
        <w:fldChar w:fldCharType="separate"/>
      </w:r>
      <w:r w:rsidR="00F170D0">
        <w:rPr>
          <w:noProof/>
        </w:rPr>
        <w:t>4</w:t>
      </w:r>
      <w:r w:rsidR="005A7DAB">
        <w:rPr>
          <w:noProof/>
        </w:rPr>
        <w:fldChar w:fldCharType="end"/>
      </w:r>
      <w:r>
        <w:t xml:space="preserve"> </w:t>
      </w:r>
      <w:r w:rsidR="00106762">
        <w:t xml:space="preserve">– </w:t>
      </w:r>
      <w:r w:rsidR="00106762" w:rsidRPr="00C34CF2">
        <w:t>Summary of fee options</w:t>
      </w:r>
      <w:bookmarkEnd w:id="188"/>
    </w:p>
    <w:tbl>
      <w:tblPr>
        <w:tblStyle w:val="GridTable1Light"/>
        <w:tblW w:w="10768" w:type="dxa"/>
        <w:tblLayout w:type="fixed"/>
        <w:tblLook w:val="04A0" w:firstRow="1" w:lastRow="0" w:firstColumn="1" w:lastColumn="0" w:noHBand="0" w:noVBand="1"/>
      </w:tblPr>
      <w:tblGrid>
        <w:gridCol w:w="3589"/>
        <w:gridCol w:w="3589"/>
        <w:gridCol w:w="3590"/>
      </w:tblGrid>
      <w:tr w:rsidR="00C34CF2" w:rsidRPr="00C34CF2" w14:paraId="78B6B1F3" w14:textId="77777777" w:rsidTr="00B61F39">
        <w:trPr>
          <w:cnfStyle w:val="100000000000" w:firstRow="1" w:lastRow="0" w:firstColumn="0" w:lastColumn="0" w:oddVBand="0" w:evenVBand="0" w:oddHBand="0" w:evenHBand="0" w:firstRowFirstColumn="0" w:firstRowLastColumn="0" w:lastRowFirstColumn="0" w:lastRowLastColumn="0"/>
          <w:cantSplit/>
          <w:trHeight w:val="357"/>
          <w:tblHeader/>
        </w:trPr>
        <w:tc>
          <w:tcPr>
            <w:cnfStyle w:val="001000000000" w:firstRow="0" w:lastRow="0" w:firstColumn="1" w:lastColumn="0" w:oddVBand="0" w:evenVBand="0" w:oddHBand="0" w:evenHBand="0" w:firstRowFirstColumn="0" w:firstRowLastColumn="0" w:lastRowFirstColumn="0" w:lastRowLastColumn="0"/>
            <w:tcW w:w="3589" w:type="dxa"/>
          </w:tcPr>
          <w:p w14:paraId="5E7F8F47" w14:textId="77777777" w:rsidR="00C34CF2" w:rsidRPr="00C34CF2" w:rsidRDefault="00C34CF2" w:rsidP="00C34CF2">
            <w:pPr>
              <w:spacing w:after="120"/>
              <w:rPr>
                <w:i/>
                <w:iCs/>
                <w:lang w:val="en-US"/>
              </w:rPr>
            </w:pPr>
            <w:r w:rsidRPr="00C34CF2">
              <w:rPr>
                <w:iCs/>
                <w:lang w:val="en-US"/>
              </w:rPr>
              <w:t>Fee</w:t>
            </w:r>
          </w:p>
        </w:tc>
        <w:tc>
          <w:tcPr>
            <w:tcW w:w="3589" w:type="dxa"/>
          </w:tcPr>
          <w:p w14:paraId="5EA87E6B" w14:textId="77777777" w:rsidR="00C34CF2" w:rsidRPr="00C34CF2" w:rsidRDefault="00C34CF2" w:rsidP="00C34CF2">
            <w:pPr>
              <w:spacing w:after="120"/>
              <w:cnfStyle w:val="100000000000" w:firstRow="1" w:lastRow="0" w:firstColumn="0" w:lastColumn="0" w:oddVBand="0" w:evenVBand="0" w:oddHBand="0" w:evenHBand="0" w:firstRowFirstColumn="0" w:firstRowLastColumn="0" w:lastRowFirstColumn="0" w:lastRowLastColumn="0"/>
              <w:rPr>
                <w:i/>
                <w:iCs/>
                <w:lang w:val="en-US"/>
              </w:rPr>
            </w:pPr>
            <w:r w:rsidRPr="00C34CF2">
              <w:rPr>
                <w:iCs/>
                <w:lang w:val="en-US"/>
              </w:rPr>
              <w:t>Option 1</w:t>
            </w:r>
          </w:p>
        </w:tc>
        <w:tc>
          <w:tcPr>
            <w:tcW w:w="3590" w:type="dxa"/>
          </w:tcPr>
          <w:p w14:paraId="0106B0BB" w14:textId="77777777" w:rsidR="00C34CF2" w:rsidRPr="00C34CF2" w:rsidRDefault="00C34CF2" w:rsidP="00C34CF2">
            <w:pPr>
              <w:spacing w:after="120"/>
              <w:cnfStyle w:val="100000000000" w:firstRow="1" w:lastRow="0" w:firstColumn="0" w:lastColumn="0" w:oddVBand="0" w:evenVBand="0" w:oddHBand="0" w:evenHBand="0" w:firstRowFirstColumn="0" w:firstRowLastColumn="0" w:lastRowFirstColumn="0" w:lastRowLastColumn="0"/>
              <w:rPr>
                <w:iCs/>
                <w:lang w:val="en-US"/>
              </w:rPr>
            </w:pPr>
            <w:r w:rsidRPr="00C34CF2">
              <w:rPr>
                <w:iCs/>
                <w:lang w:val="en-US"/>
              </w:rPr>
              <w:t>Option 2</w:t>
            </w:r>
          </w:p>
        </w:tc>
      </w:tr>
      <w:tr w:rsidR="00C34CF2" w:rsidRPr="00C34CF2" w14:paraId="5ADDE3CD" w14:textId="77777777" w:rsidTr="00C116C2">
        <w:trPr>
          <w:trHeight w:val="1244"/>
        </w:trPr>
        <w:tc>
          <w:tcPr>
            <w:cnfStyle w:val="001000000000" w:firstRow="0" w:lastRow="0" w:firstColumn="1" w:lastColumn="0" w:oddVBand="0" w:evenVBand="0" w:oddHBand="0" w:evenHBand="0" w:firstRowFirstColumn="0" w:firstRowLastColumn="0" w:lastRowFirstColumn="0" w:lastRowLastColumn="0"/>
            <w:tcW w:w="3589" w:type="dxa"/>
          </w:tcPr>
          <w:p w14:paraId="13D5A414" w14:textId="77777777" w:rsidR="00C34CF2" w:rsidRPr="00C34CF2" w:rsidRDefault="00C34CF2" w:rsidP="00C34CF2">
            <w:pPr>
              <w:spacing w:after="120"/>
              <w:rPr>
                <w:iCs/>
                <w:lang w:val="en-US"/>
              </w:rPr>
            </w:pPr>
            <w:r w:rsidRPr="00C34CF2">
              <w:rPr>
                <w:iCs/>
                <w:lang w:val="en-US"/>
              </w:rPr>
              <w:t>Application for consent to the conduct of proposed works (categorised by types of works and types of roads)</w:t>
            </w:r>
          </w:p>
        </w:tc>
        <w:tc>
          <w:tcPr>
            <w:tcW w:w="3589" w:type="dxa"/>
          </w:tcPr>
          <w:p w14:paraId="06044865"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rPr>
                <w:lang w:val="en-US"/>
              </w:rPr>
            </w:pPr>
            <w:r w:rsidRPr="00C34CF2">
              <w:rPr>
                <w:lang w:val="en-US"/>
              </w:rPr>
              <w:t>Remake as is (fee units as per Schedule 1, W&amp;I Regs) – partial cost recovery</w:t>
            </w:r>
          </w:p>
        </w:tc>
        <w:tc>
          <w:tcPr>
            <w:tcW w:w="3590" w:type="dxa"/>
          </w:tcPr>
          <w:p w14:paraId="6D59F5D9"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rPr>
                <w:lang w:val="en-US"/>
              </w:rPr>
            </w:pPr>
            <w:r w:rsidRPr="00C34CF2">
              <w:rPr>
                <w:lang w:val="en-US"/>
              </w:rPr>
              <w:t xml:space="preserve">Restructure fees – increase fees to enable full cost recovery </w:t>
            </w:r>
          </w:p>
          <w:p w14:paraId="4AAFF1D9"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rPr>
                <w:b/>
                <w:bCs/>
                <w:i/>
                <w:iCs/>
                <w:lang w:val="en-US"/>
              </w:rPr>
            </w:pPr>
            <w:r w:rsidRPr="00C34CF2">
              <w:rPr>
                <w:b/>
                <w:bCs/>
                <w:i/>
                <w:iCs/>
                <w:lang w:val="en-US"/>
              </w:rPr>
              <w:t>Sub-option 2a</w:t>
            </w:r>
          </w:p>
        </w:tc>
      </w:tr>
      <w:tr w:rsidR="00C34CF2" w:rsidRPr="00C34CF2" w14:paraId="1EDAE203" w14:textId="77777777" w:rsidTr="00C116C2">
        <w:trPr>
          <w:trHeight w:val="946"/>
        </w:trPr>
        <w:tc>
          <w:tcPr>
            <w:cnfStyle w:val="001000000000" w:firstRow="0" w:lastRow="0" w:firstColumn="1" w:lastColumn="0" w:oddVBand="0" w:evenVBand="0" w:oddHBand="0" w:evenHBand="0" w:firstRowFirstColumn="0" w:firstRowLastColumn="0" w:lastRowFirstColumn="0" w:lastRowLastColumn="0"/>
            <w:tcW w:w="3589" w:type="dxa"/>
          </w:tcPr>
          <w:p w14:paraId="0D7924BD" w14:textId="77777777" w:rsidR="00C34CF2" w:rsidRPr="00C34CF2" w:rsidRDefault="00C34CF2" w:rsidP="00C34CF2">
            <w:pPr>
              <w:spacing w:after="120"/>
              <w:rPr>
                <w:iCs/>
                <w:lang w:val="en-US"/>
              </w:rPr>
            </w:pPr>
            <w:r w:rsidRPr="00C34CF2">
              <w:rPr>
                <w:iCs/>
                <w:lang w:val="en-US"/>
              </w:rPr>
              <w:t>Property enquiry</w:t>
            </w:r>
          </w:p>
        </w:tc>
        <w:tc>
          <w:tcPr>
            <w:tcW w:w="3589" w:type="dxa"/>
          </w:tcPr>
          <w:p w14:paraId="7B832466"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rPr>
                <w:lang w:val="en-US"/>
              </w:rPr>
            </w:pPr>
            <w:r w:rsidRPr="00C34CF2">
              <w:rPr>
                <w:lang w:val="en-US"/>
              </w:rPr>
              <w:t>Remake as is (1.27 fee units) – full cost recovery</w:t>
            </w:r>
          </w:p>
        </w:tc>
        <w:tc>
          <w:tcPr>
            <w:tcW w:w="3590" w:type="dxa"/>
          </w:tcPr>
          <w:p w14:paraId="711850AB"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rPr>
                <w:lang w:val="en-US"/>
              </w:rPr>
            </w:pPr>
            <w:r w:rsidRPr="00C34CF2">
              <w:rPr>
                <w:lang w:val="en-US"/>
              </w:rPr>
              <w:t>Restructure fees – reduce fee to 1</w:t>
            </w:r>
            <w:r w:rsidRPr="00C34CF2">
              <w:rPr>
                <w:rFonts w:ascii="Cambria" w:hAnsi="Cambria" w:cs="Cambria"/>
                <w:lang w:val="en-US"/>
              </w:rPr>
              <w:t> </w:t>
            </w:r>
            <w:r w:rsidRPr="00C34CF2">
              <w:rPr>
                <w:lang w:val="en-US"/>
              </w:rPr>
              <w:t>fee unit</w:t>
            </w:r>
          </w:p>
          <w:p w14:paraId="4CDB9473"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rPr>
                <w:b/>
                <w:bCs/>
                <w:lang w:val="en-US"/>
              </w:rPr>
            </w:pPr>
            <w:r w:rsidRPr="00C34CF2">
              <w:rPr>
                <w:b/>
                <w:bCs/>
                <w:i/>
                <w:iCs/>
                <w:lang w:val="en-US"/>
              </w:rPr>
              <w:t>Sub-option 2b</w:t>
            </w:r>
          </w:p>
        </w:tc>
      </w:tr>
      <w:tr w:rsidR="00C34CF2" w:rsidRPr="00C34CF2" w14:paraId="502CB9F9" w14:textId="77777777" w:rsidTr="00C116C2">
        <w:trPr>
          <w:trHeight w:val="838"/>
        </w:trPr>
        <w:tc>
          <w:tcPr>
            <w:cnfStyle w:val="001000000000" w:firstRow="0" w:lastRow="0" w:firstColumn="1" w:lastColumn="0" w:oddVBand="0" w:evenVBand="0" w:oddHBand="0" w:evenHBand="0" w:firstRowFirstColumn="0" w:firstRowLastColumn="0" w:lastRowFirstColumn="0" w:lastRowLastColumn="0"/>
            <w:tcW w:w="3589" w:type="dxa"/>
          </w:tcPr>
          <w:p w14:paraId="4E1D4596" w14:textId="77777777" w:rsidR="00C34CF2" w:rsidRPr="00C34CF2" w:rsidRDefault="00C34CF2" w:rsidP="00C34CF2">
            <w:pPr>
              <w:spacing w:after="120"/>
              <w:rPr>
                <w:iCs/>
                <w:lang w:val="en-US"/>
              </w:rPr>
            </w:pPr>
            <w:r w:rsidRPr="00C34CF2">
              <w:rPr>
                <w:iCs/>
                <w:lang w:val="en-US"/>
              </w:rPr>
              <w:t>Application for consent for hoardings and advertisements</w:t>
            </w:r>
          </w:p>
        </w:tc>
        <w:tc>
          <w:tcPr>
            <w:tcW w:w="3589" w:type="dxa"/>
          </w:tcPr>
          <w:p w14:paraId="540363AF"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rPr>
                <w:lang w:val="en-US"/>
              </w:rPr>
            </w:pPr>
            <w:r w:rsidRPr="00C34CF2">
              <w:rPr>
                <w:lang w:val="en-US"/>
              </w:rPr>
              <w:t>Remake as is (17.93 fee units) – full or partial cost recovery</w:t>
            </w:r>
          </w:p>
        </w:tc>
        <w:tc>
          <w:tcPr>
            <w:tcW w:w="3590" w:type="dxa"/>
          </w:tcPr>
          <w:p w14:paraId="21140266"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rPr>
                <w:lang w:val="en-US"/>
              </w:rPr>
            </w:pPr>
            <w:r w:rsidRPr="00C34CF2">
              <w:rPr>
                <w:lang w:val="en-US"/>
              </w:rPr>
              <w:t xml:space="preserve">Restructure fees – remove fee </w:t>
            </w:r>
          </w:p>
          <w:p w14:paraId="17ACC405"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rPr>
                <w:i/>
                <w:iCs/>
                <w:lang w:val="en-US"/>
              </w:rPr>
            </w:pPr>
          </w:p>
          <w:p w14:paraId="59E8B9CC"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rPr>
                <w:b/>
                <w:bCs/>
                <w:lang w:val="en-US"/>
              </w:rPr>
            </w:pPr>
            <w:r w:rsidRPr="00C34CF2">
              <w:rPr>
                <w:b/>
                <w:bCs/>
                <w:i/>
                <w:iCs/>
                <w:lang w:val="en-US"/>
              </w:rPr>
              <w:t>Sub-option 2c</w:t>
            </w:r>
          </w:p>
        </w:tc>
      </w:tr>
    </w:tbl>
    <w:p w14:paraId="6FDD7A25" w14:textId="77777777" w:rsidR="00C34CF2" w:rsidRPr="00C63FF8" w:rsidRDefault="00C34CF2" w:rsidP="004A56C4">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Base case</w:t>
      </w:r>
    </w:p>
    <w:p w14:paraId="1EA3DC13" w14:textId="1FE30F21" w:rsidR="00C34CF2" w:rsidRPr="00C34CF2" w:rsidRDefault="00C34CF2" w:rsidP="00C34CF2">
      <w:r w:rsidRPr="00C34CF2">
        <w:t xml:space="preserve">The Department is not considering the adoption of the base case. The adoption of the base case of no regulations would </w:t>
      </w:r>
      <w:r w:rsidR="006A72B8">
        <w:t>mean</w:t>
      </w:r>
      <w:r w:rsidR="006A72B8" w:rsidRPr="00C34CF2">
        <w:t xml:space="preserve"> </w:t>
      </w:r>
      <w:r w:rsidRPr="00C34CF2">
        <w:t>that taxpayers fully fund the estimated cost of road management regulation once the current regulations expire. The estimated cost associated with this is $1</w:t>
      </w:r>
      <w:r w:rsidR="00422FC1">
        <w:t>.</w:t>
      </w:r>
      <w:r w:rsidRPr="00C34CF2">
        <w:t>068 to $1</w:t>
      </w:r>
      <w:r w:rsidR="00422FC1">
        <w:t>.</w:t>
      </w:r>
      <w:r w:rsidRPr="00C34CF2">
        <w:t>44 million per annum just to process consent for works applications received by the metropolitan region of the Department, not to mention applications received by other regions and road authorities. The Department considers this to be the least efficient and equitable option available when compared with alternative options which seek to achieve some level of cost recovery from the regulated parties.</w:t>
      </w:r>
    </w:p>
    <w:p w14:paraId="0F3E777B" w14:textId="77777777" w:rsidR="00C34CF2" w:rsidRPr="00C63FF8" w:rsidRDefault="00C34CF2" w:rsidP="004A56C4">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ab/>
        <w:t>Option 1: Remake prescribed fees without change</w:t>
      </w:r>
    </w:p>
    <w:p w14:paraId="6A7A7476" w14:textId="5D19FEC8" w:rsidR="00C34CF2" w:rsidRPr="00C34CF2" w:rsidRDefault="00C34CF2" w:rsidP="00C34CF2">
      <w:r w:rsidRPr="00C34CF2">
        <w:t>The first option for consideration is to keep the status quo – the level of fee units specified for each defined fee would remain unchanged. Refer to section</w:t>
      </w:r>
      <w:r w:rsidR="000661EC">
        <w:t xml:space="preserve"> </w:t>
      </w:r>
      <w:r w:rsidR="004E344C">
        <w:fldChar w:fldCharType="begin"/>
      </w:r>
      <w:r w:rsidR="004E344C">
        <w:instrText xml:space="preserve"> REF _Ref226042298 \r \h </w:instrText>
      </w:r>
      <w:r w:rsidR="004E344C">
        <w:fldChar w:fldCharType="separate"/>
      </w:r>
      <w:r w:rsidR="00F170D0">
        <w:t>3.4</w:t>
      </w:r>
      <w:r w:rsidR="004E344C">
        <w:fldChar w:fldCharType="end"/>
      </w:r>
      <w:r w:rsidRPr="00C34CF2">
        <w:t xml:space="preserve"> for currently prescribed fees.</w:t>
      </w:r>
    </w:p>
    <w:p w14:paraId="76D2B758" w14:textId="2312F76E" w:rsidR="00C34CF2" w:rsidRPr="00C34CF2" w:rsidRDefault="00C34CF2" w:rsidP="00C34CF2">
      <w:r w:rsidRPr="00C34CF2">
        <w:t xml:space="preserve">The evidence presented in </w:t>
      </w:r>
      <w:r w:rsidR="006A72B8">
        <w:t xml:space="preserve">section </w:t>
      </w:r>
      <w:r w:rsidR="006A72B8">
        <w:fldChar w:fldCharType="begin"/>
      </w:r>
      <w:r w:rsidR="006A72B8">
        <w:instrText xml:space="preserve"> REF _Ref211517589 \r \h </w:instrText>
      </w:r>
      <w:r w:rsidR="006A72B8">
        <w:fldChar w:fldCharType="separate"/>
      </w:r>
      <w:r w:rsidR="00F170D0">
        <w:t>3.4</w:t>
      </w:r>
      <w:r w:rsidR="006A72B8">
        <w:fldChar w:fldCharType="end"/>
      </w:r>
      <w:r w:rsidRPr="00C34CF2">
        <w:t xml:space="preserve"> suggests that costs for processing consent for works applications in the Department’s metropolitan region (up to $1</w:t>
      </w:r>
      <w:r w:rsidR="00425992">
        <w:t>.</w:t>
      </w:r>
      <w:r w:rsidRPr="00C34CF2">
        <w:t xml:space="preserve">44 million per annum) are not </w:t>
      </w:r>
      <w:r w:rsidR="006A61BA">
        <w:t>f</w:t>
      </w:r>
      <w:r w:rsidR="00E641BE">
        <w:t xml:space="preserve">ully </w:t>
      </w:r>
      <w:r w:rsidRPr="00C34CF2">
        <w:t>recovered through revenue from regulatory fees (up to $1</w:t>
      </w:r>
      <w:r w:rsidR="006E21D5">
        <w:t>.</w:t>
      </w:r>
      <w:r w:rsidRPr="00C34CF2">
        <w:t>08</w:t>
      </w:r>
      <w:r w:rsidR="006E21D5">
        <w:t xml:space="preserve"> million</w:t>
      </w:r>
      <w:r w:rsidRPr="00C34CF2">
        <w:t xml:space="preserve"> per annum). This means that </w:t>
      </w:r>
      <w:r w:rsidR="00205B9B">
        <w:t xml:space="preserve">the </w:t>
      </w:r>
      <w:r w:rsidR="00AA6F8D">
        <w:t xml:space="preserve">deficit would need to be </w:t>
      </w:r>
      <w:r w:rsidR="008C6F8A">
        <w:t>sourced</w:t>
      </w:r>
      <w:r w:rsidR="00C44B81">
        <w:t xml:space="preserve"> through</w:t>
      </w:r>
      <w:r w:rsidRPr="00C34CF2">
        <w:t xml:space="preserve"> general </w:t>
      </w:r>
      <w:r w:rsidR="00ED326A">
        <w:t>rev</w:t>
      </w:r>
      <w:r w:rsidR="00892A4B">
        <w:t>enues</w:t>
      </w:r>
      <w:r w:rsidR="008C6F8A">
        <w:t xml:space="preserve"> </w:t>
      </w:r>
      <w:r w:rsidR="000249BF">
        <w:t>and thus</w:t>
      </w:r>
      <w:r w:rsidR="00A01EFB">
        <w:t xml:space="preserve"> funded by the tax paying community</w:t>
      </w:r>
      <w:r w:rsidR="00126EED">
        <w:t>.</w:t>
      </w:r>
      <w:r w:rsidRPr="00C34CF2">
        <w:t xml:space="preserve"> </w:t>
      </w:r>
    </w:p>
    <w:p w14:paraId="0CD09B11" w14:textId="43550532" w:rsidR="00C34CF2" w:rsidRPr="00C34CF2" w:rsidRDefault="00C34CF2" w:rsidP="00C34CF2">
      <w:r w:rsidRPr="00C34CF2">
        <w:lastRenderedPageBreak/>
        <w:t>However, the processing costs for property enquiries in the Department’s metropolitan region (up to $</w:t>
      </w:r>
      <w:r w:rsidR="00E303E6">
        <w:t>0.0</w:t>
      </w:r>
      <w:r w:rsidRPr="00C34CF2">
        <w:t>5</w:t>
      </w:r>
      <w:r w:rsidR="00E303E6">
        <w:t>m</w:t>
      </w:r>
      <w:r w:rsidRPr="00C34CF2">
        <w:t xml:space="preserve"> per annum) are currently being recovered through the revenue raised through property enquiry fees ($</w:t>
      </w:r>
      <w:r w:rsidR="007A0A04">
        <w:t>0.0</w:t>
      </w:r>
      <w:r w:rsidRPr="00C34CF2">
        <w:t>9</w:t>
      </w:r>
      <w:r w:rsidR="007A0A04">
        <w:t>m</w:t>
      </w:r>
      <w:r w:rsidRPr="00C34CF2">
        <w:t xml:space="preserve"> per annum)</w:t>
      </w:r>
      <w:r w:rsidR="00D745CB">
        <w:t xml:space="preserve"> at a surplus</w:t>
      </w:r>
      <w:r w:rsidRPr="00C34CF2">
        <w:t xml:space="preserve">. </w:t>
      </w:r>
    </w:p>
    <w:p w14:paraId="39D98476" w14:textId="22C1A1FC" w:rsidR="00C34CF2" w:rsidRPr="00C34CF2" w:rsidRDefault="00C34CF2" w:rsidP="00C34CF2">
      <w:r w:rsidRPr="00C34CF2">
        <w:t xml:space="preserve">There is limited data available about the appropriateness of existing fees for the assessment of advertising and hoardings applications. In the absence of this data, it is suggested to retain fee units at the current levels. </w:t>
      </w:r>
    </w:p>
    <w:p w14:paraId="68BB7FED" w14:textId="2FB523FC" w:rsidR="00C34CF2" w:rsidRPr="00C34CF2" w:rsidRDefault="00C34CF2" w:rsidP="00C34CF2">
      <w:r w:rsidRPr="00C34CF2">
        <w:t>Based on the sample analysis in Chapter 3, under this option there would be a $</w:t>
      </w:r>
      <w:r w:rsidR="007437D4">
        <w:t>0.</w:t>
      </w:r>
      <w:r w:rsidRPr="00C34CF2">
        <w:t>323</w:t>
      </w:r>
      <w:r w:rsidR="007437D4">
        <w:t>m</w:t>
      </w:r>
      <w:r w:rsidRPr="00C34CF2">
        <w:t xml:space="preserve"> deficit per annum for the Department. This consists of consent for works applications and property enquiries processed by the relevant metropolitan teams within the Department. The figure does not include other regulatory costs and revenue as data is not available. The figure also does not take into account costs incurred and revenue received by other teams within the Department or other road authorities.</w:t>
      </w:r>
    </w:p>
    <w:p w14:paraId="7C2797DD" w14:textId="77777777" w:rsidR="00C34CF2" w:rsidRPr="00C63FF8" w:rsidRDefault="00C34CF2" w:rsidP="00062E87">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Option 2: Restructure fees to achieve full cost recovery for individual road management regulatory activities</w:t>
      </w:r>
    </w:p>
    <w:p w14:paraId="15F9E14A" w14:textId="77777777" w:rsidR="00C34CF2" w:rsidRPr="00C34CF2" w:rsidRDefault="00C34CF2" w:rsidP="00C34CF2">
      <w:r w:rsidRPr="00C34CF2">
        <w:t>This option would involve increasing some existing fees and reducing other existing fees to better reflect the costs incurred by regulators in undertaking various activities related to road management laws. By amending the existing fees, a more efficient and equitable fee structure should be achieved and there should be a closer alignment and more transparent relationship between fees charged and costs incurred.</w:t>
      </w:r>
    </w:p>
    <w:p w14:paraId="2E448BDB" w14:textId="77777777" w:rsidR="00C34CF2" w:rsidRPr="00C34CF2" w:rsidRDefault="00C34CF2" w:rsidP="00C34CF2">
      <w:r w:rsidRPr="00C34CF2">
        <w:t>Priority areas for consideration and analysis include fees in relation to consent for works. A comparison of the sources of revenue and cost items shows works in road reserves are achieving significantly less than full cost recovery. This suggests that the current fee structure may not be achieving efficiency and equity objectives as much as is possible under alternative fee structures. Therefore, it is intended to assess the impact of an option to restructure such regulatory fees.</w:t>
      </w:r>
    </w:p>
    <w:p w14:paraId="16B61E56" w14:textId="1D5DD773" w:rsidR="00C34CF2" w:rsidRPr="00C34CF2" w:rsidRDefault="00C34CF2" w:rsidP="00C34CF2">
      <w:r w:rsidRPr="00C34CF2">
        <w:t xml:space="preserve">The specific new fees and amendments to existing fees are further outlined and considered in </w:t>
      </w:r>
      <w:r w:rsidR="004F4259">
        <w:t>s</w:t>
      </w:r>
      <w:r w:rsidRPr="00C34CF2">
        <w:t>ection</w:t>
      </w:r>
      <w:r w:rsidR="002E2030">
        <w:t xml:space="preserve"> </w:t>
      </w:r>
      <w:r w:rsidR="002E2030">
        <w:fldChar w:fldCharType="begin"/>
      </w:r>
      <w:r w:rsidR="002E2030">
        <w:instrText xml:space="preserve"> REF _Ref211605088 \r \h </w:instrText>
      </w:r>
      <w:r w:rsidR="002E2030">
        <w:fldChar w:fldCharType="separate"/>
      </w:r>
      <w:r w:rsidR="00F170D0">
        <w:t>5.2.2</w:t>
      </w:r>
      <w:r w:rsidR="002E2030">
        <w:fldChar w:fldCharType="end"/>
      </w:r>
      <w:r w:rsidRPr="00C34CF2">
        <w:t>.</w:t>
      </w:r>
    </w:p>
    <w:p w14:paraId="63B6918C" w14:textId="6D80D9C9" w:rsidR="00C34CF2" w:rsidRPr="00C34CF2" w:rsidRDefault="00C34CF2" w:rsidP="00062E87">
      <w:pPr>
        <w:pStyle w:val="Heading3-Numbered"/>
      </w:pPr>
      <w:bookmarkStart w:id="189" w:name="_Toc209440320"/>
      <w:bookmarkStart w:id="190" w:name="_Ref209603465"/>
      <w:bookmarkStart w:id="191" w:name="_Ref211605088"/>
      <w:bookmarkStart w:id="192" w:name="_Toc226448311"/>
      <w:r w:rsidRPr="00C34CF2">
        <w:t xml:space="preserve">Consideration of sub-options for Option </w:t>
      </w:r>
      <w:r w:rsidR="00F003F2">
        <w:t>2</w:t>
      </w:r>
      <w:r w:rsidRPr="00C34CF2">
        <w:t xml:space="preserve"> – restructuring fees</w:t>
      </w:r>
      <w:bookmarkEnd w:id="189"/>
      <w:bookmarkEnd w:id="190"/>
      <w:bookmarkEnd w:id="191"/>
      <w:bookmarkEnd w:id="192"/>
    </w:p>
    <w:p w14:paraId="6DFA8C8F" w14:textId="77777777" w:rsidR="00C34CF2" w:rsidRPr="00C63FF8" w:rsidRDefault="00C34CF2" w:rsidP="00062E87">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Option 2a – Recovering the costs of assessing applications for consent to the conduct of proposed works</w:t>
      </w:r>
    </w:p>
    <w:p w14:paraId="3FEF4EF3" w14:textId="77777777" w:rsidR="00C34CF2" w:rsidRPr="00C34CF2" w:rsidRDefault="00C34CF2" w:rsidP="00C34CF2">
      <w:r w:rsidRPr="00C34CF2">
        <w:t xml:space="preserve">Under this sub-option, all fee units for consent for works applications would be increased by 25 per cent. </w:t>
      </w:r>
    </w:p>
    <w:p w14:paraId="5AB483A3" w14:textId="77777777" w:rsidR="00C34CF2" w:rsidRPr="00C34CF2" w:rsidRDefault="00C34CF2" w:rsidP="00C34CF2">
      <w:r w:rsidRPr="00C34CF2">
        <w:t>For example, the current fee unit for minor works conducted on a municipal road with a speed limit of not more than 50km/hour is 9.3. This would increase to 11.6 fee units.</w:t>
      </w:r>
    </w:p>
    <w:p w14:paraId="5A2AE95E" w14:textId="77777777" w:rsidR="00C34CF2" w:rsidRPr="00C34CF2" w:rsidRDefault="00C34CF2" w:rsidP="00C34CF2">
      <w:r w:rsidRPr="00C34CF2">
        <w:t>The existing fee structure would remain the same under this sub-option, with 16 different categories based on the type of works and road and location of the works. This means all applicants will experience an increase in costs and all road authorities will achieve an increase in cost recovery.</w:t>
      </w:r>
    </w:p>
    <w:p w14:paraId="3B479D3B" w14:textId="533245B3" w:rsidR="00C34CF2" w:rsidRPr="00C34CF2" w:rsidRDefault="00C34CF2" w:rsidP="00C34CF2">
      <w:r w:rsidRPr="00C34CF2">
        <w:t>Although fee unit values are adjusted annually in accordance with the Government’s indexing policy, this additional increase w</w:t>
      </w:r>
      <w:r w:rsidR="00B53245">
        <w:t xml:space="preserve">ould </w:t>
      </w:r>
      <w:r w:rsidR="00CA196C">
        <w:t xml:space="preserve">seek to fully </w:t>
      </w:r>
      <w:r w:rsidRPr="00C34CF2">
        <w:t xml:space="preserve">recover the cost of processing applications, conducting site inspections and other necessary administrative activities. </w:t>
      </w:r>
    </w:p>
    <w:p w14:paraId="61A73AB4" w14:textId="382768B1" w:rsidR="007E57AF" w:rsidRPr="00C34CF2" w:rsidRDefault="008C624D" w:rsidP="00C34CF2">
      <w:r>
        <w:t xml:space="preserve">With a 25 per cent increase in fee units, </w:t>
      </w:r>
      <w:r w:rsidR="00264992">
        <w:t xml:space="preserve">the low range estimate of </w:t>
      </w:r>
      <w:r>
        <w:t>r</w:t>
      </w:r>
      <w:r w:rsidR="007E57AF">
        <w:t xml:space="preserve">evenue would be increased by </w:t>
      </w:r>
      <w:r w:rsidR="00091144">
        <w:t>$</w:t>
      </w:r>
      <w:r w:rsidR="007E57AF">
        <w:t xml:space="preserve">0.216 million to </w:t>
      </w:r>
      <w:r w:rsidR="00091144">
        <w:t>$</w:t>
      </w:r>
      <w:r w:rsidR="007E57AF">
        <w:t xml:space="preserve">1.081 million and the high range estimate </w:t>
      </w:r>
      <w:r w:rsidR="00504201">
        <w:t xml:space="preserve">of revenue would be increased </w:t>
      </w:r>
      <w:r w:rsidR="007E57AF">
        <w:t xml:space="preserve">by </w:t>
      </w:r>
      <w:r w:rsidR="00091144">
        <w:t>$</w:t>
      </w:r>
      <w:r w:rsidR="007E57AF">
        <w:t xml:space="preserve">0.270 million to </w:t>
      </w:r>
      <w:r w:rsidR="00091144">
        <w:t>$</w:t>
      </w:r>
      <w:r w:rsidR="007E57AF">
        <w:t>1.350 million. Th</w:t>
      </w:r>
      <w:r w:rsidR="007E2543">
        <w:t>e</w:t>
      </w:r>
      <w:r w:rsidR="007E57AF">
        <w:t xml:space="preserve"> increase would provide a </w:t>
      </w:r>
      <w:r w:rsidR="006C720A">
        <w:t>more balance</w:t>
      </w:r>
      <w:r w:rsidR="00694824">
        <w:t>d estimated</w:t>
      </w:r>
      <w:r w:rsidR="007E57AF">
        <w:t xml:space="preserve"> surplus</w:t>
      </w:r>
      <w:r w:rsidR="006C720A">
        <w:t>/deficit of</w:t>
      </w:r>
      <w:r w:rsidR="007E57AF">
        <w:t xml:space="preserve"> </w:t>
      </w:r>
      <w:r w:rsidR="00091144">
        <w:t>$</w:t>
      </w:r>
      <w:r w:rsidR="007E57AF">
        <w:t xml:space="preserve">0.013 million </w:t>
      </w:r>
      <w:r w:rsidR="006C720A">
        <w:t>to</w:t>
      </w:r>
      <w:r w:rsidR="007E57AF">
        <w:t xml:space="preserve"> (</w:t>
      </w:r>
      <w:r w:rsidR="00091144">
        <w:t>$</w:t>
      </w:r>
      <w:r w:rsidR="007E57AF">
        <w:t>0.091) million. See Table</w:t>
      </w:r>
      <w:r w:rsidR="0070185A">
        <w:rPr>
          <w:rFonts w:ascii="Cambria" w:hAnsi="Cambria"/>
        </w:rPr>
        <w:t> </w:t>
      </w:r>
      <w:r w:rsidR="007E57AF">
        <w:t>2 for further details</w:t>
      </w:r>
      <w:r w:rsidR="00C510C3">
        <w:t xml:space="preserve"> and comparison</w:t>
      </w:r>
      <w:r w:rsidR="007E57AF">
        <w:t>.</w:t>
      </w:r>
    </w:p>
    <w:p w14:paraId="4567B15B" w14:textId="77777777" w:rsidR="00C34CF2" w:rsidRPr="00C63FF8" w:rsidRDefault="00C34CF2" w:rsidP="00062E87">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Option 2b - Recovering the costs of processing property enquiries</w:t>
      </w:r>
    </w:p>
    <w:p w14:paraId="360BD07E" w14:textId="77777777" w:rsidR="00C34CF2" w:rsidRPr="00C34CF2" w:rsidRDefault="00C34CF2" w:rsidP="00C34CF2">
      <w:r w:rsidRPr="00C34CF2">
        <w:t xml:space="preserve">Under this sub-option, the fee unit for property enquiries would be reduced from 1.27 fee units to 1 fee unit. </w:t>
      </w:r>
    </w:p>
    <w:p w14:paraId="7E4A42D8" w14:textId="76C39D93" w:rsidR="00C34CF2" w:rsidRDefault="00C34CF2" w:rsidP="00C34CF2">
      <w:r w:rsidRPr="00C34CF2">
        <w:t xml:space="preserve">This reduction is due to the minimal time and analysis involved in assessing the majority of property enquiries. Although some enquiries will require substantially more time due to referrals and more in-depth analysis, the </w:t>
      </w:r>
      <w:r w:rsidRPr="00C34CF2">
        <w:lastRenderedPageBreak/>
        <w:t xml:space="preserve">Department expects cost recovery </w:t>
      </w:r>
      <w:r w:rsidR="0000192C">
        <w:t>would</w:t>
      </w:r>
      <w:r w:rsidR="0000192C" w:rsidRPr="00C34CF2">
        <w:t xml:space="preserve"> </w:t>
      </w:r>
      <w:r w:rsidR="00E40922">
        <w:t xml:space="preserve">likely </w:t>
      </w:r>
      <w:r w:rsidRPr="00C34CF2">
        <w:t>still be achieved under this sub-option</w:t>
      </w:r>
      <w:r w:rsidR="001A659C">
        <w:t xml:space="preserve"> for the metropolitan region</w:t>
      </w:r>
      <w:r w:rsidR="007219A0">
        <w:t>.</w:t>
      </w:r>
    </w:p>
    <w:p w14:paraId="01F346D8" w14:textId="77777777" w:rsidR="00C34CF2" w:rsidRPr="00C63FF8" w:rsidRDefault="00C34CF2" w:rsidP="00062E87">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Option 2c - Recovering the costs of assessing applications for consent for hoardings and advertisements</w:t>
      </w:r>
    </w:p>
    <w:p w14:paraId="6CF16F02" w14:textId="77777777" w:rsidR="00C34CF2" w:rsidRPr="00C34CF2" w:rsidRDefault="00C34CF2" w:rsidP="00C34CF2">
      <w:r w:rsidRPr="00C34CF2">
        <w:t xml:space="preserve">Under this sub-option, the fee for hoardings and advertisements applications would be removed. </w:t>
      </w:r>
    </w:p>
    <w:p w14:paraId="053C95D2" w14:textId="77777777" w:rsidR="00C34CF2" w:rsidRPr="00C34CF2" w:rsidRDefault="00C34CF2" w:rsidP="00C34CF2">
      <w:r w:rsidRPr="00C34CF2">
        <w:t>The Department does not charge a fee for the assessment of applications and councils hold limited data about costs incurred and recovered for these assessments. Based on the feedback received, the potential cost under-recovery for road authorities under this sub-option could be approximately $2,000 per annum in some cases.</w:t>
      </w:r>
    </w:p>
    <w:p w14:paraId="2A464424" w14:textId="4A6A75CB" w:rsidR="00703826" w:rsidRDefault="00C34CF2" w:rsidP="00C34CF2">
      <w:r w:rsidRPr="00C34CF2">
        <w:t>Many applications for signage will progress through the planning permit system. Based on the limited data available, it is expected that removal of this fee under the regulations will not result in any significant cost under-recovery for road authorities.</w:t>
      </w:r>
    </w:p>
    <w:p w14:paraId="6394501A" w14:textId="77777777" w:rsidR="00C73A9C" w:rsidRDefault="00C73A9C" w:rsidP="00C73A9C">
      <w:pPr>
        <w:pStyle w:val="Pull-outQuote"/>
        <w:rPr>
          <w:b/>
        </w:rPr>
      </w:pPr>
      <w:r w:rsidRPr="00C73A9C">
        <w:rPr>
          <w:b/>
        </w:rPr>
        <w:t>Question for stakeholders</w:t>
      </w:r>
    </w:p>
    <w:p w14:paraId="14AF48B6" w14:textId="79700B8C" w:rsidR="00441398" w:rsidRPr="00C73A9C" w:rsidRDefault="00223A9F" w:rsidP="00C73A9C">
      <w:pPr>
        <w:pStyle w:val="Pull-outQuote"/>
        <w:rPr>
          <w:b/>
        </w:rPr>
      </w:pPr>
      <w:r>
        <w:t>9</w:t>
      </w:r>
      <w:r w:rsidR="00441398">
        <w:t xml:space="preserve">. DTP would welcome any feedback on the appropriateness of the current </w:t>
      </w:r>
      <w:r w:rsidR="00414DE0">
        <w:t xml:space="preserve">fees for applications to conduct works on roads; for </w:t>
      </w:r>
      <w:r w:rsidR="00441398">
        <w:t>property enquirie</w:t>
      </w:r>
      <w:r w:rsidR="00414DE0">
        <w:t>s; and to install hoardings and advertisements</w:t>
      </w:r>
      <w:r w:rsidR="00441398">
        <w:t xml:space="preserve">. </w:t>
      </w:r>
    </w:p>
    <w:p w14:paraId="2B702CC8" w14:textId="1DCB84DF" w:rsidR="00C34CF2" w:rsidRPr="00C34CF2" w:rsidRDefault="00223A9F" w:rsidP="00C73A9C">
      <w:pPr>
        <w:pStyle w:val="Pull-outQuote"/>
      </w:pPr>
      <w:r>
        <w:t>10</w:t>
      </w:r>
      <w:r w:rsidR="00E94671">
        <w:t xml:space="preserve">. </w:t>
      </w:r>
      <w:r w:rsidR="00FB0516">
        <w:t xml:space="preserve">DTP </w:t>
      </w:r>
      <w:r w:rsidR="00C73A9C">
        <w:t>would welcome feedback on any other reasonable fees that should be considered to be charged to assist with cost recovery</w:t>
      </w:r>
      <w:r w:rsidR="00414DE0">
        <w:t>.</w:t>
      </w:r>
    </w:p>
    <w:p w14:paraId="0972BAA5" w14:textId="7B03C855" w:rsidR="00C34CF2" w:rsidRPr="00C34CF2" w:rsidRDefault="00C34CF2" w:rsidP="00062E87">
      <w:pPr>
        <w:pStyle w:val="Heading3-Numbered"/>
      </w:pPr>
      <w:bookmarkStart w:id="193" w:name="_Toc209440321"/>
      <w:bookmarkStart w:id="194" w:name="_Toc226448312"/>
      <w:r w:rsidRPr="00C34CF2">
        <w:t xml:space="preserve">Other matters considered but not progressed </w:t>
      </w:r>
      <w:bookmarkEnd w:id="193"/>
      <w:r w:rsidRPr="00C34CF2">
        <w:t>in this RIS</w:t>
      </w:r>
      <w:bookmarkEnd w:id="194"/>
    </w:p>
    <w:p w14:paraId="116EF215" w14:textId="77777777" w:rsidR="00C34CF2" w:rsidRPr="00C63FF8" w:rsidRDefault="00C34CF2" w:rsidP="00062E87">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Cost recovery associated with the release of objects removed from roads</w:t>
      </w:r>
    </w:p>
    <w:p w14:paraId="6849D490" w14:textId="498114BA" w:rsidR="00C34CF2" w:rsidRPr="00C34CF2" w:rsidRDefault="00C34CF2" w:rsidP="00C34CF2">
      <w:r w:rsidRPr="00C34CF2">
        <w:t xml:space="preserve">The power to recover costs in relation to objects removed from roads is flexible to allow for variable circumstances. This is appropriate as it may be too difficult to generalise the costs incurred for all circumstances. Estimates of cost recovery for the removal and management of objects left on roads are therefore not available. </w:t>
      </w:r>
    </w:p>
    <w:p w14:paraId="736C7658" w14:textId="2B0B0482" w:rsidR="00C34CF2" w:rsidRPr="00C34CF2" w:rsidRDefault="00C34CF2" w:rsidP="00C34CF2">
      <w:r w:rsidRPr="00C34CF2">
        <w:t>Feedback from the Hume region of the Department indicates limited or no issues with the costs or management of objects left on the road. If the owner or person responsible for the object can be identified usually a phone call is made advising them that if they do not remove the item the Department will</w:t>
      </w:r>
      <w:r w:rsidR="00CA2D96">
        <w:t xml:space="preserve"> remove it</w:t>
      </w:r>
      <w:r w:rsidRPr="00C34CF2">
        <w:t xml:space="preserve"> and will send them an invoice for the costs incurred. The person then usually complies and removes the item themselves. </w:t>
      </w:r>
    </w:p>
    <w:p w14:paraId="23050C9A" w14:textId="77777777" w:rsidR="00C34CF2" w:rsidRPr="00C34CF2" w:rsidRDefault="00C34CF2" w:rsidP="00C34CF2">
      <w:r w:rsidRPr="00C34CF2">
        <w:t>Therefore, the Department is not further considering prescribing a fee to aid in cost recovery.</w:t>
      </w:r>
    </w:p>
    <w:p w14:paraId="13C12286" w14:textId="77777777" w:rsidR="00C34CF2" w:rsidRPr="00C63FF8" w:rsidRDefault="00C34CF2" w:rsidP="00062E87">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Other reasonable fees that could be charged and recovered</w:t>
      </w:r>
    </w:p>
    <w:p w14:paraId="73563975" w14:textId="39520CBE" w:rsidR="00C34CF2" w:rsidRPr="00C34CF2" w:rsidRDefault="00C34CF2" w:rsidP="00C34CF2">
      <w:r w:rsidRPr="00C34CF2">
        <w:t xml:space="preserve">As discussed above, section 122 </w:t>
      </w:r>
      <w:r w:rsidR="0000625A">
        <w:t xml:space="preserve">of the Act </w:t>
      </w:r>
      <w:r w:rsidRPr="00C34CF2">
        <w:t xml:space="preserve">empowers road authorities to charge and recover reasonable fees for a range of other administrative services and processes. The regulations provide the framework for how these fees are set and applied. </w:t>
      </w:r>
    </w:p>
    <w:p w14:paraId="4DE721FB" w14:textId="23B51543" w:rsidR="00C34CF2" w:rsidRPr="00C34CF2" w:rsidRDefault="00C34CF2" w:rsidP="00C34CF2">
      <w:r w:rsidRPr="00C34CF2">
        <w:t xml:space="preserve">In practice, charges should be </w:t>
      </w:r>
      <w:r w:rsidR="00996AA6">
        <w:t xml:space="preserve">imposed </w:t>
      </w:r>
      <w:r w:rsidRPr="00C34CF2">
        <w:t>where the activity involves a measurable administrative or service cost to the authority, ensuring transparency and consistency. Equity and proportionality should also be considered, especially where fees may impact community access or small-scale applicants. Clear communication of fee structures and the basis for charges is essential to uphold public trust and regulatory compliance.</w:t>
      </w:r>
    </w:p>
    <w:p w14:paraId="370F8A5A" w14:textId="77777777" w:rsidR="00C34CF2" w:rsidRPr="00C34CF2" w:rsidRDefault="00C34CF2" w:rsidP="00C34CF2">
      <w:r w:rsidRPr="00C34CF2">
        <w:t xml:space="preserve">One example of a fee that is not currently set in the regulations, but which could be included, is a fee for an application to construct new access points to a freeway. This is relevant to the Department which is responsible for freeways. There is currently no formal data identifying these requests as they are often a part </w:t>
      </w:r>
      <w:r w:rsidRPr="00C34CF2">
        <w:lastRenderedPageBreak/>
        <w:t>of pre-application process for future permit applications or as part of developer lead proposals for land use planning changes. It is difficult to estimate costs involved in the processing of these applications because each one is variable and is not necessarily a stand-alone process.</w:t>
      </w:r>
    </w:p>
    <w:p w14:paraId="6A3B754F" w14:textId="4E719CA4" w:rsidR="00C34CF2" w:rsidRPr="00C34CF2" w:rsidRDefault="00C34CF2" w:rsidP="00C34CF2">
      <w:r w:rsidRPr="00C34CF2">
        <w:t>Last year the Department reviewed about three to four applications. One of these applications required multiple reviews and was addressed with the applicant on several occasions. The activities involved in this process include pre-application discussions with proponents for alteration to existing access points, meetings and in</w:t>
      </w:r>
      <w:r w:rsidR="00A276FB">
        <w:t>-</w:t>
      </w:r>
      <w:r w:rsidRPr="00C34CF2">
        <w:t>house transport modelling.</w:t>
      </w:r>
    </w:p>
    <w:p w14:paraId="06105702" w14:textId="110CA997" w:rsidR="00C34CF2" w:rsidRPr="00C34CF2" w:rsidRDefault="00C34CF2" w:rsidP="00C34CF2">
      <w:r w:rsidRPr="00C34CF2">
        <w:t xml:space="preserve">As with the power to recover costs to recover objects, any new cost recovery powers for assessing applications for new access points to a freeway should be flexible to allow for variable circumstances. This is appropriate as it may be too difficult to generalise the costs incurred for all circumstances and applications. </w:t>
      </w:r>
    </w:p>
    <w:p w14:paraId="4E8657BD" w14:textId="5A77F33E" w:rsidR="00251ED9" w:rsidRDefault="00C34CF2">
      <w:r w:rsidRPr="00C34CF2">
        <w:t>It is understood that while these applications are not common</w:t>
      </w:r>
      <w:r w:rsidR="00557493">
        <w:t>,</w:t>
      </w:r>
      <w:r w:rsidRPr="00C34CF2">
        <w:t xml:space="preserve"> they require significant time and costs to assess. With no costs recovered through revenue from regulatory fees, regulatory costs will continue to be subsidised from general government taxation. However, given the limited data available about the assessment of applications to construct new access points to freeways, a new prescribed fee is not recommended at this time. </w:t>
      </w:r>
      <w:r w:rsidR="00251ED9">
        <w:br w:type="page"/>
      </w:r>
    </w:p>
    <w:p w14:paraId="0F1E4651" w14:textId="31881FDC" w:rsidR="003D5431" w:rsidRDefault="00C34CF2" w:rsidP="003D5431">
      <w:pPr>
        <w:pStyle w:val="Heading1-Numbered"/>
      </w:pPr>
      <w:bookmarkStart w:id="195" w:name="_Toc209440322"/>
      <w:bookmarkStart w:id="196" w:name="_Ref211419777"/>
      <w:bookmarkStart w:id="197" w:name="_Toc226448313"/>
      <w:r w:rsidRPr="00C34CF2">
        <w:lastRenderedPageBreak/>
        <w:t>Options analysis</w:t>
      </w:r>
      <w:bookmarkEnd w:id="195"/>
      <w:bookmarkEnd w:id="196"/>
      <w:bookmarkEnd w:id="197"/>
    </w:p>
    <w:p w14:paraId="355BFE4D" w14:textId="5396F52F" w:rsidR="003D5431" w:rsidRPr="00C34CF2" w:rsidRDefault="003D5431" w:rsidP="003D5431">
      <w:r>
        <w:t xml:space="preserve">This chapter </w:t>
      </w:r>
      <w:r w:rsidR="00C06E3D">
        <w:t>provides an analysis</w:t>
      </w:r>
      <w:r w:rsidR="0066495C">
        <w:t xml:space="preserve"> and assessment</w:t>
      </w:r>
      <w:r w:rsidR="00C06E3D">
        <w:t xml:space="preserve"> of the options</w:t>
      </w:r>
      <w:r w:rsidR="00904C88">
        <w:t xml:space="preserve"> identified in Chapter 5</w:t>
      </w:r>
      <w:r w:rsidR="00600E98">
        <w:t>.</w:t>
      </w:r>
      <w:r>
        <w:t xml:space="preserve"> </w:t>
      </w:r>
    </w:p>
    <w:p w14:paraId="25379B47" w14:textId="4637D5A7" w:rsidR="003D5431" w:rsidRPr="00C34CF2" w:rsidRDefault="002D1826" w:rsidP="0092107C">
      <w:pPr>
        <w:pStyle w:val="Bulletpoint"/>
        <w:ind w:left="0" w:firstLine="0"/>
        <w:contextualSpacing w:val="0"/>
      </w:pPr>
      <w:r>
        <w:t>The first part of the chapter (s</w:t>
      </w:r>
      <w:r w:rsidR="003D5431">
        <w:t>ection</w:t>
      </w:r>
      <w:r w:rsidR="003D1DE1">
        <w:t xml:space="preserve">s </w:t>
      </w:r>
      <w:r w:rsidR="00662D28">
        <w:fldChar w:fldCharType="begin"/>
      </w:r>
      <w:r w:rsidR="00662D28">
        <w:instrText xml:space="preserve"> REF _Ref211524070 \r \h </w:instrText>
      </w:r>
      <w:r w:rsidR="00662D28">
        <w:fldChar w:fldCharType="separate"/>
      </w:r>
      <w:r w:rsidR="00F170D0">
        <w:t>6.1</w:t>
      </w:r>
      <w:r w:rsidR="00662D28">
        <w:fldChar w:fldCharType="end"/>
      </w:r>
      <w:r w:rsidR="00662D28">
        <w:t xml:space="preserve">, </w:t>
      </w:r>
      <w:r w:rsidR="00662D28">
        <w:fldChar w:fldCharType="begin"/>
      </w:r>
      <w:r w:rsidR="00662D28">
        <w:instrText xml:space="preserve"> REF _Ref211524072 \r \h </w:instrText>
      </w:r>
      <w:r w:rsidR="00662D28">
        <w:fldChar w:fldCharType="separate"/>
      </w:r>
      <w:r w:rsidR="00F170D0">
        <w:t>6.2</w:t>
      </w:r>
      <w:r w:rsidR="00662D28">
        <w:fldChar w:fldCharType="end"/>
      </w:r>
      <w:r>
        <w:t xml:space="preserve"> and</w:t>
      </w:r>
      <w:r w:rsidR="00662D28">
        <w:t xml:space="preserve"> </w:t>
      </w:r>
      <w:r w:rsidR="00662D28">
        <w:fldChar w:fldCharType="begin"/>
      </w:r>
      <w:r w:rsidR="00662D28">
        <w:instrText xml:space="preserve"> REF _Ref211524074 \r \h </w:instrText>
      </w:r>
      <w:r w:rsidR="00662D28">
        <w:fldChar w:fldCharType="separate"/>
      </w:r>
      <w:r w:rsidR="00F170D0">
        <w:t>6.3</w:t>
      </w:r>
      <w:r w:rsidR="00662D28">
        <w:fldChar w:fldCharType="end"/>
      </w:r>
      <w:r>
        <w:t>)</w:t>
      </w:r>
      <w:r w:rsidR="00662D28">
        <w:t xml:space="preserve"> explain</w:t>
      </w:r>
      <w:r>
        <w:t>s</w:t>
      </w:r>
      <w:r w:rsidR="00662D28">
        <w:t xml:space="preserve"> the methodology and criteria</w:t>
      </w:r>
      <w:r>
        <w:t xml:space="preserve"> used. </w:t>
      </w:r>
      <w:r w:rsidR="00020EA0">
        <w:t>S</w:t>
      </w:r>
      <w:r w:rsidR="00A24A26">
        <w:t>ections</w:t>
      </w:r>
      <w:r w:rsidR="00662D28">
        <w:t xml:space="preserve"> </w:t>
      </w:r>
      <w:r w:rsidR="00662D28">
        <w:fldChar w:fldCharType="begin"/>
      </w:r>
      <w:r w:rsidR="00662D28">
        <w:instrText xml:space="preserve"> REF _Ref211524075 \r \h </w:instrText>
      </w:r>
      <w:r w:rsidR="00662D28">
        <w:fldChar w:fldCharType="separate"/>
      </w:r>
      <w:r w:rsidR="00F170D0">
        <w:t>6.4</w:t>
      </w:r>
      <w:r w:rsidR="00662D28">
        <w:fldChar w:fldCharType="end"/>
      </w:r>
      <w:r w:rsidR="003D5431">
        <w:t xml:space="preserve"> </w:t>
      </w:r>
      <w:r w:rsidR="00DC674B">
        <w:t xml:space="preserve">and </w:t>
      </w:r>
      <w:r w:rsidR="00DC674B">
        <w:fldChar w:fldCharType="begin"/>
      </w:r>
      <w:r w:rsidR="00DC674B">
        <w:instrText xml:space="preserve"> REF _Ref211524187 \r \h </w:instrText>
      </w:r>
      <w:r w:rsidR="00DC674B">
        <w:fldChar w:fldCharType="separate"/>
      </w:r>
      <w:r w:rsidR="00F170D0">
        <w:t>6.5</w:t>
      </w:r>
      <w:r w:rsidR="00DC674B">
        <w:fldChar w:fldCharType="end"/>
      </w:r>
      <w:r w:rsidR="00DC674B">
        <w:t xml:space="preserve"> </w:t>
      </w:r>
      <w:r w:rsidR="00020EA0">
        <w:t>then</w:t>
      </w:r>
      <w:r w:rsidR="00E658ED">
        <w:t xml:space="preserve"> </w:t>
      </w:r>
      <w:r w:rsidR="00A24A26">
        <w:t xml:space="preserve">provide an analysis of the </w:t>
      </w:r>
      <w:r w:rsidR="005E5B8F">
        <w:t>o</w:t>
      </w:r>
      <w:r w:rsidR="003D5431" w:rsidRPr="00115516">
        <w:t>ption</w:t>
      </w:r>
      <w:r w:rsidR="003D5431">
        <w:t xml:space="preserve"> </w:t>
      </w:r>
      <w:r w:rsidR="00DC674B">
        <w:t xml:space="preserve">identified </w:t>
      </w:r>
      <w:r w:rsidR="0066495C">
        <w:t xml:space="preserve">in </w:t>
      </w:r>
      <w:r w:rsidR="0066495C">
        <w:fldChar w:fldCharType="begin"/>
      </w:r>
      <w:r w:rsidR="0066495C">
        <w:instrText xml:space="preserve"> REF _Ref211524294 \r \h </w:instrText>
      </w:r>
      <w:r w:rsidR="0066495C">
        <w:fldChar w:fldCharType="separate"/>
      </w:r>
      <w:r w:rsidR="00F170D0">
        <w:t>5.1</w:t>
      </w:r>
      <w:r w:rsidR="0066495C">
        <w:fldChar w:fldCharType="end"/>
      </w:r>
      <w:r w:rsidR="0066495C">
        <w:t xml:space="preserve"> </w:t>
      </w:r>
      <w:r w:rsidR="003D5431">
        <w:t xml:space="preserve">pertaining to the regulations (excluding fees): to remake the regulations substantially as they are but with minor amendments </w:t>
      </w:r>
      <w:r w:rsidR="003D5431" w:rsidRPr="002F7435">
        <w:rPr>
          <w:b/>
        </w:rPr>
        <w:t>(Option</w:t>
      </w:r>
      <w:r w:rsidR="00CB2CD2">
        <w:rPr>
          <w:rFonts w:ascii="Cambria" w:hAnsi="Cambria"/>
          <w:b/>
        </w:rPr>
        <w:t> </w:t>
      </w:r>
      <w:r w:rsidR="003D5431" w:rsidRPr="002F7435">
        <w:rPr>
          <w:b/>
        </w:rPr>
        <w:t>1)</w:t>
      </w:r>
      <w:r w:rsidR="003D5431" w:rsidRPr="0092107C">
        <w:t>.</w:t>
      </w:r>
    </w:p>
    <w:p w14:paraId="3E68EB84" w14:textId="304A3E12" w:rsidR="003D5431" w:rsidRPr="003D5431" w:rsidRDefault="003D5431" w:rsidP="0092107C">
      <w:pPr>
        <w:pStyle w:val="Bulletpoint"/>
        <w:ind w:left="0" w:firstLine="0"/>
      </w:pPr>
      <w:r>
        <w:t xml:space="preserve">Section </w:t>
      </w:r>
      <w:r w:rsidR="00B941AA">
        <w:fldChar w:fldCharType="begin"/>
      </w:r>
      <w:r w:rsidR="00B941AA">
        <w:instrText xml:space="preserve"> REF _Ref211524027 \r \h </w:instrText>
      </w:r>
      <w:r w:rsidR="00B941AA">
        <w:fldChar w:fldCharType="separate"/>
      </w:r>
      <w:r w:rsidR="00F170D0">
        <w:t>6.6</w:t>
      </w:r>
      <w:r w:rsidR="00B941AA">
        <w:fldChar w:fldCharType="end"/>
      </w:r>
      <w:r w:rsidR="00B941AA">
        <w:t xml:space="preserve"> </w:t>
      </w:r>
      <w:r w:rsidR="001F0E3D">
        <w:t>provides an</w:t>
      </w:r>
      <w:r>
        <w:t xml:space="preserve"> </w:t>
      </w:r>
      <w:r w:rsidR="00784B05">
        <w:t xml:space="preserve">analysis </w:t>
      </w:r>
      <w:r w:rsidR="00FF56D2">
        <w:t xml:space="preserve">of </w:t>
      </w:r>
      <w:r w:rsidR="00784B05">
        <w:t>the</w:t>
      </w:r>
      <w:r>
        <w:t xml:space="preserve"> </w:t>
      </w:r>
      <w:r w:rsidRPr="00115516">
        <w:t>two options</w:t>
      </w:r>
      <w:r>
        <w:t xml:space="preserve"> </w:t>
      </w:r>
      <w:r w:rsidR="00784B05">
        <w:t xml:space="preserve">identified in section </w:t>
      </w:r>
      <w:r w:rsidR="00B76347">
        <w:fldChar w:fldCharType="begin"/>
      </w:r>
      <w:r w:rsidR="00B76347">
        <w:instrText xml:space="preserve"> REF _Ref211523978 \r \h </w:instrText>
      </w:r>
      <w:r w:rsidR="00B76347">
        <w:fldChar w:fldCharType="separate"/>
      </w:r>
      <w:r w:rsidR="00F170D0">
        <w:t>5.2</w:t>
      </w:r>
      <w:r w:rsidR="00B76347">
        <w:fldChar w:fldCharType="end"/>
      </w:r>
      <w:r w:rsidR="00B76347">
        <w:t xml:space="preserve"> </w:t>
      </w:r>
      <w:r w:rsidR="00A05CD5">
        <w:t>in relation</w:t>
      </w:r>
      <w:r>
        <w:t xml:space="preserve"> to fees: to retain fees at current levels </w:t>
      </w:r>
      <w:r w:rsidRPr="002F7435">
        <w:rPr>
          <w:b/>
        </w:rPr>
        <w:t xml:space="preserve">(Option 1) </w:t>
      </w:r>
      <w:r>
        <w:t xml:space="preserve">or to restructure some fees so that the costs of road management regulation are fully recovered </w:t>
      </w:r>
      <w:r w:rsidRPr="002F7435">
        <w:rPr>
          <w:b/>
        </w:rPr>
        <w:t>(Option 2)</w:t>
      </w:r>
      <w:r w:rsidRPr="0092107C">
        <w:t>.</w:t>
      </w:r>
      <w:r w:rsidRPr="002F7435">
        <w:rPr>
          <w:b/>
        </w:rPr>
        <w:t xml:space="preserve"> </w:t>
      </w:r>
    </w:p>
    <w:p w14:paraId="58FCA8AD" w14:textId="77777777" w:rsidR="00C34CF2" w:rsidRPr="00C34CF2" w:rsidRDefault="00C34CF2" w:rsidP="00F23FC3">
      <w:pPr>
        <w:pStyle w:val="Heading2-Numbered"/>
      </w:pPr>
      <w:bookmarkStart w:id="198" w:name="_Toc209440323"/>
      <w:bookmarkStart w:id="199" w:name="_Ref211524070"/>
      <w:bookmarkStart w:id="200" w:name="_Toc226448314"/>
      <w:r w:rsidRPr="00C34CF2">
        <w:t>Method</w:t>
      </w:r>
      <w:bookmarkEnd w:id="198"/>
      <w:r w:rsidRPr="00C34CF2">
        <w:t xml:space="preserve"> of assessment</w:t>
      </w:r>
      <w:bookmarkEnd w:id="199"/>
      <w:bookmarkEnd w:id="200"/>
    </w:p>
    <w:p w14:paraId="6FDFEADB" w14:textId="3A326991" w:rsidR="00C34CF2" w:rsidRPr="00C34CF2" w:rsidRDefault="00AA3157" w:rsidP="0030653A">
      <w:pPr>
        <w:pStyle w:val="Bulletpoint"/>
        <w:ind w:left="0" w:firstLine="0"/>
        <w:contextualSpacing w:val="0"/>
      </w:pPr>
      <w:r>
        <w:t>T</w:t>
      </w:r>
      <w:r w:rsidR="00E81B85">
        <w:t xml:space="preserve">he Department has identified one option pertaining to </w:t>
      </w:r>
      <w:r w:rsidR="001C262E">
        <w:t>the regulations (excluding fees</w:t>
      </w:r>
      <w:r w:rsidR="007B5352">
        <w:t>)</w:t>
      </w:r>
      <w:r w:rsidR="00615E6C">
        <w:t xml:space="preserve"> </w:t>
      </w:r>
      <w:r w:rsidR="008F2870">
        <w:t>as an alternative to the base case</w:t>
      </w:r>
      <w:r w:rsidR="00F10B82">
        <w:t xml:space="preserve"> where the regulations are allowed to sunset without being remade. </w:t>
      </w:r>
      <w:r>
        <w:t xml:space="preserve">As discussed in Chapter </w:t>
      </w:r>
      <w:r>
        <w:fldChar w:fldCharType="begin"/>
      </w:r>
      <w:r>
        <w:instrText xml:space="preserve"> REF _Ref211524499 \r \h </w:instrText>
      </w:r>
      <w:r>
        <w:fldChar w:fldCharType="separate"/>
      </w:r>
      <w:r w:rsidR="00F170D0">
        <w:t>5</w:t>
      </w:r>
      <w:r>
        <w:fldChar w:fldCharType="end"/>
      </w:r>
      <w:r>
        <w:t>, t</w:t>
      </w:r>
      <w:r w:rsidR="007B5352">
        <w:t>h</w:t>
      </w:r>
      <w:r w:rsidR="001F6D4D">
        <w:t>is</w:t>
      </w:r>
      <w:r w:rsidR="007B5352">
        <w:t xml:space="preserve"> option</w:t>
      </w:r>
      <w:r w:rsidR="00FA3CD4">
        <w:t xml:space="preserve"> is </w:t>
      </w:r>
      <w:r w:rsidR="001C262E">
        <w:t xml:space="preserve">to remake the regulations substantially as they are but with minor amendments </w:t>
      </w:r>
      <w:r w:rsidR="001C262E" w:rsidRPr="002F7435">
        <w:rPr>
          <w:b/>
        </w:rPr>
        <w:t>(Option 1)</w:t>
      </w:r>
      <w:r w:rsidR="001C262E" w:rsidRPr="0092107C">
        <w:t>.</w:t>
      </w:r>
      <w:r w:rsidR="00563F4E" w:rsidRPr="0092107C">
        <w:t xml:space="preserve"> </w:t>
      </w:r>
      <w:r w:rsidR="00856705" w:rsidRPr="000D0BEE">
        <w:t>In this chapter</w:t>
      </w:r>
      <w:r w:rsidR="00856705" w:rsidRPr="00E658ED">
        <w:rPr>
          <w:bCs/>
        </w:rPr>
        <w:t xml:space="preserve">, </w:t>
      </w:r>
      <w:r w:rsidR="00856705">
        <w:t>t</w:t>
      </w:r>
      <w:r w:rsidR="00C34CF2" w:rsidRPr="00C34CF2">
        <w:t xml:space="preserve">he option </w:t>
      </w:r>
      <w:r w:rsidR="00856705">
        <w:t xml:space="preserve">will be </w:t>
      </w:r>
      <w:r w:rsidR="00C34CF2" w:rsidRPr="00C34CF2">
        <w:t>assessed using a Multi-Criteria Analysis (MCA). Given the limited quantitative data available, an MCA provides a structured way of evaluating the overall costs and benefits of option</w:t>
      </w:r>
      <w:r w:rsidR="002F7B6C">
        <w:t>s</w:t>
      </w:r>
      <w:r w:rsidR="00C34CF2" w:rsidRPr="00C34CF2">
        <w:t xml:space="preserve"> against weighted criteria that are chosen based on their relative importance in achieving the objectives.</w:t>
      </w:r>
    </w:p>
    <w:p w14:paraId="7C41D6FB" w14:textId="46BB7541" w:rsidR="00C34CF2" w:rsidRPr="00C34CF2" w:rsidRDefault="00C34CF2" w:rsidP="00C34CF2">
      <w:r w:rsidRPr="00C34CF2">
        <w:t>Each</w:t>
      </w:r>
      <w:r w:rsidR="005C6EFF">
        <w:t xml:space="preserve"> criterion</w:t>
      </w:r>
      <w:r w:rsidR="00FD1A53">
        <w:t xml:space="preserve"> is</w:t>
      </w:r>
      <w:r w:rsidRPr="00C34CF2">
        <w:t xml:space="preserve"> assessed and assigned a raw score from which an overall weighted score is derived. The preferred option </w:t>
      </w:r>
      <w:r w:rsidR="00DA0984">
        <w:t xml:space="preserve">is the </w:t>
      </w:r>
      <w:r w:rsidR="00F200CA">
        <w:t xml:space="preserve">option </w:t>
      </w:r>
      <w:r w:rsidRPr="00C34CF2">
        <w:t xml:space="preserve">with the highest weighted score. An explanation of the criteria and approach to scoring is provided below. </w:t>
      </w:r>
    </w:p>
    <w:p w14:paraId="04E14C1B" w14:textId="5E1CC1BE" w:rsidR="00C34CF2" w:rsidRPr="00C34CF2" w:rsidRDefault="00CD48FA" w:rsidP="00C34CF2">
      <w:r>
        <w:t>T</w:t>
      </w:r>
      <w:r w:rsidR="00C34CF2" w:rsidRPr="00C34CF2">
        <w:t xml:space="preserve">he Department will compare and score </w:t>
      </w:r>
      <w:r w:rsidR="004E4420">
        <w:t>the option according to each criteri</w:t>
      </w:r>
      <w:r w:rsidR="00DD0597">
        <w:t>on</w:t>
      </w:r>
      <w:r w:rsidR="00C34CF2" w:rsidRPr="00C34CF2">
        <w:t xml:space="preserve"> to assess whether the expected outcome represents a positive or negative change relative to the base case.</w:t>
      </w:r>
    </w:p>
    <w:p w14:paraId="52315118" w14:textId="77777777" w:rsidR="00C34CF2" w:rsidRPr="00C34CF2" w:rsidRDefault="00C34CF2" w:rsidP="00F23FC3">
      <w:pPr>
        <w:pStyle w:val="Heading2-Numbered"/>
      </w:pPr>
      <w:bookmarkStart w:id="201" w:name="_Ref211524072"/>
      <w:bookmarkStart w:id="202" w:name="_Toc226448315"/>
      <w:r w:rsidRPr="00C34CF2">
        <w:t>Criteria for assessment</w:t>
      </w:r>
      <w:bookmarkEnd w:id="201"/>
      <w:bookmarkEnd w:id="202"/>
      <w:r w:rsidRPr="00C34CF2">
        <w:t xml:space="preserve"> </w:t>
      </w:r>
    </w:p>
    <w:p w14:paraId="4900E2C8" w14:textId="208E0F63" w:rsidR="00C34CF2" w:rsidRPr="00C34CF2" w:rsidRDefault="004A34A2" w:rsidP="00C34CF2">
      <w:bookmarkStart w:id="203" w:name="_Toc209440324"/>
      <w:r w:rsidRPr="00C34CF2">
        <w:t>The Department believes that it is appropriate to consider the merits of the option referred to in this section with the objectives outlined in Chapter 4</w:t>
      </w:r>
      <w:r w:rsidR="009F5F48">
        <w:t xml:space="preserve">. </w:t>
      </w:r>
      <w:r w:rsidR="00C34CF2" w:rsidRPr="00C34CF2">
        <w:t xml:space="preserve">The objectives of the proposed regulations are to effectively protect, manage and maintain public roads, to minimise any negative impact on safety, </w:t>
      </w:r>
      <w:r w:rsidR="00B31ABF">
        <w:t xml:space="preserve">and to </w:t>
      </w:r>
      <w:r w:rsidR="00AB3DBE">
        <w:t>reduce costs incurred by entities</w:t>
      </w:r>
      <w:r w:rsidR="001F78EB">
        <w:t xml:space="preserve"> carrying out works</w:t>
      </w:r>
      <w:r w:rsidR="006A4156">
        <w:t>, road authorities and road users</w:t>
      </w:r>
      <w:r>
        <w:t xml:space="preserve">. </w:t>
      </w:r>
    </w:p>
    <w:bookmarkEnd w:id="203"/>
    <w:p w14:paraId="69157073" w14:textId="03D39B36" w:rsidR="00C34CF2" w:rsidRPr="00C34CF2" w:rsidRDefault="00C34CF2" w:rsidP="00C34CF2">
      <w:r w:rsidRPr="00C34CF2">
        <w:t xml:space="preserve">The criteria and weightings used in the analysis of the option are shown in the table below. </w:t>
      </w:r>
    </w:p>
    <w:p w14:paraId="62B872A3" w14:textId="7204CC2C" w:rsidR="00E640D5" w:rsidRDefault="00690C7A" w:rsidP="00690C7A">
      <w:pPr>
        <w:pStyle w:val="Caption"/>
      </w:pPr>
      <w:bookmarkStart w:id="204" w:name="_Toc226448353"/>
      <w:r>
        <w:t xml:space="preserve">Table </w:t>
      </w:r>
      <w:r w:rsidR="005A7DAB">
        <w:fldChar w:fldCharType="begin"/>
      </w:r>
      <w:r w:rsidR="005A7DAB">
        <w:instrText xml:space="preserve"> SEQ Table \* ARABIC </w:instrText>
      </w:r>
      <w:r w:rsidR="005A7DAB">
        <w:fldChar w:fldCharType="separate"/>
      </w:r>
      <w:r w:rsidR="00F170D0">
        <w:rPr>
          <w:noProof/>
        </w:rPr>
        <w:t>5</w:t>
      </w:r>
      <w:r w:rsidR="005A7DAB">
        <w:rPr>
          <w:noProof/>
        </w:rPr>
        <w:fldChar w:fldCharType="end"/>
      </w:r>
      <w:r>
        <w:t xml:space="preserve"> </w:t>
      </w:r>
      <w:r w:rsidR="00E640D5" w:rsidRPr="00C34CF2">
        <w:t xml:space="preserve">– MCA </w:t>
      </w:r>
      <w:r w:rsidR="00D32DFB">
        <w:t>f</w:t>
      </w:r>
      <w:r w:rsidR="00E640D5" w:rsidRPr="00C34CF2">
        <w:t xml:space="preserve">ramework </w:t>
      </w:r>
      <w:r w:rsidR="00D32DFB">
        <w:t>c</w:t>
      </w:r>
      <w:r w:rsidR="00E640D5" w:rsidRPr="00C34CF2">
        <w:t xml:space="preserve">riteria and </w:t>
      </w:r>
      <w:r w:rsidR="00D32DFB">
        <w:t>w</w:t>
      </w:r>
      <w:r w:rsidR="00E640D5" w:rsidRPr="00C34CF2">
        <w:t>eightings</w:t>
      </w:r>
      <w:bookmarkEnd w:id="204"/>
    </w:p>
    <w:tbl>
      <w:tblPr>
        <w:tblStyle w:val="TableGrid"/>
        <w:tblW w:w="0" w:type="auto"/>
        <w:tblLook w:val="04A0" w:firstRow="1" w:lastRow="0" w:firstColumn="1" w:lastColumn="0" w:noHBand="0" w:noVBand="1"/>
      </w:tblPr>
      <w:tblGrid>
        <w:gridCol w:w="3119"/>
        <w:gridCol w:w="6379"/>
        <w:gridCol w:w="1274"/>
      </w:tblGrid>
      <w:tr w:rsidR="00C34CF2" w:rsidRPr="00C34CF2" w14:paraId="42AE849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261884F" w14:textId="77777777" w:rsidR="00C34CF2" w:rsidRPr="00C34CF2" w:rsidRDefault="00C34CF2" w:rsidP="00C34CF2">
            <w:pPr>
              <w:keepNext w:val="0"/>
            </w:pPr>
            <w:r w:rsidRPr="00C34CF2">
              <w:t>Criterion</w:t>
            </w:r>
          </w:p>
        </w:tc>
        <w:tc>
          <w:tcPr>
            <w:tcW w:w="6379" w:type="dxa"/>
          </w:tcPr>
          <w:p w14:paraId="02B72D86" w14:textId="77777777" w:rsidR="00C34CF2" w:rsidRPr="00C34CF2" w:rsidRDefault="00C34CF2" w:rsidP="00C34CF2">
            <w:pPr>
              <w:keepNext w:val="0"/>
              <w:cnfStyle w:val="100000000000" w:firstRow="1" w:lastRow="0" w:firstColumn="0" w:lastColumn="0" w:oddVBand="0" w:evenVBand="0" w:oddHBand="0" w:evenHBand="0" w:firstRowFirstColumn="0" w:firstRowLastColumn="0" w:lastRowFirstColumn="0" w:lastRowLastColumn="0"/>
            </w:pPr>
            <w:r w:rsidRPr="00C34CF2">
              <w:t>Description</w:t>
            </w:r>
          </w:p>
        </w:tc>
        <w:tc>
          <w:tcPr>
            <w:tcW w:w="1274" w:type="dxa"/>
          </w:tcPr>
          <w:p w14:paraId="485A1398" w14:textId="77777777" w:rsidR="00C34CF2" w:rsidRPr="00C34CF2" w:rsidRDefault="00C34CF2" w:rsidP="00C34CF2">
            <w:pPr>
              <w:keepNext w:val="0"/>
              <w:cnfStyle w:val="100000000000" w:firstRow="1" w:lastRow="0" w:firstColumn="0" w:lastColumn="0" w:oddVBand="0" w:evenVBand="0" w:oddHBand="0" w:evenHBand="0" w:firstRowFirstColumn="0" w:firstRowLastColumn="0" w:lastRowFirstColumn="0" w:lastRowLastColumn="0"/>
            </w:pPr>
            <w:r w:rsidRPr="00C34CF2">
              <w:t>Weight</w:t>
            </w:r>
          </w:p>
        </w:tc>
      </w:tr>
      <w:tr w:rsidR="00C34CF2" w:rsidRPr="00C34CF2" w14:paraId="7E8CE737" w14:textId="77777777">
        <w:tc>
          <w:tcPr>
            <w:cnfStyle w:val="001000000000" w:firstRow="0" w:lastRow="0" w:firstColumn="1" w:lastColumn="0" w:oddVBand="0" w:evenVBand="0" w:oddHBand="0" w:evenHBand="0" w:firstRowFirstColumn="0" w:firstRowLastColumn="0" w:lastRowFirstColumn="0" w:lastRowLastColumn="0"/>
            <w:tcW w:w="3119" w:type="dxa"/>
            <w:shd w:val="clear" w:color="auto" w:fill="03A59D" w:themeFill="accent2"/>
          </w:tcPr>
          <w:p w14:paraId="3C225613" w14:textId="77777777" w:rsidR="00C34CF2" w:rsidRPr="00C34CF2" w:rsidRDefault="00C34CF2" w:rsidP="00C34CF2">
            <w:r w:rsidRPr="00C34CF2">
              <w:t>Benefits</w:t>
            </w:r>
          </w:p>
        </w:tc>
        <w:tc>
          <w:tcPr>
            <w:tcW w:w="6379" w:type="dxa"/>
            <w:shd w:val="clear" w:color="auto" w:fill="03A59D" w:themeFill="accent2"/>
          </w:tcPr>
          <w:p w14:paraId="0C4CE4FB"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p>
        </w:tc>
        <w:tc>
          <w:tcPr>
            <w:tcW w:w="1274" w:type="dxa"/>
            <w:shd w:val="clear" w:color="auto" w:fill="03A59D" w:themeFill="accent2"/>
          </w:tcPr>
          <w:p w14:paraId="7CF92EFF"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rPr>
                <w:b/>
              </w:rPr>
            </w:pPr>
            <w:r w:rsidRPr="00C34CF2">
              <w:rPr>
                <w:b/>
              </w:rPr>
              <w:t>50%</w:t>
            </w:r>
          </w:p>
        </w:tc>
      </w:tr>
      <w:tr w:rsidR="00C34CF2" w:rsidRPr="00C34CF2" w14:paraId="50365C5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E8F2F79" w14:textId="77777777" w:rsidR="00C34CF2" w:rsidRPr="00C34CF2" w:rsidRDefault="00C34CF2" w:rsidP="00C34CF2">
            <w:pPr>
              <w:rPr>
                <w:b w:val="0"/>
              </w:rPr>
            </w:pPr>
            <w:r w:rsidRPr="00C34CF2">
              <w:rPr>
                <w:b w:val="0"/>
              </w:rPr>
              <w:t>Protection of public roads</w:t>
            </w:r>
          </w:p>
        </w:tc>
        <w:tc>
          <w:tcPr>
            <w:tcW w:w="6379" w:type="dxa"/>
          </w:tcPr>
          <w:p w14:paraId="561D36F5"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The extent to which the option discourages unauthorised and unreasonable damage to public roads.</w:t>
            </w:r>
          </w:p>
        </w:tc>
        <w:tc>
          <w:tcPr>
            <w:tcW w:w="1274" w:type="dxa"/>
          </w:tcPr>
          <w:p w14:paraId="39D2348A"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20%</w:t>
            </w:r>
          </w:p>
        </w:tc>
      </w:tr>
      <w:tr w:rsidR="00C34CF2" w:rsidRPr="00C34CF2" w14:paraId="6C83CFDC" w14:textId="77777777">
        <w:tc>
          <w:tcPr>
            <w:cnfStyle w:val="001000000000" w:firstRow="0" w:lastRow="0" w:firstColumn="1" w:lastColumn="0" w:oddVBand="0" w:evenVBand="0" w:oddHBand="0" w:evenHBand="0" w:firstRowFirstColumn="0" w:firstRowLastColumn="0" w:lastRowFirstColumn="0" w:lastRowLastColumn="0"/>
            <w:tcW w:w="3119" w:type="dxa"/>
          </w:tcPr>
          <w:p w14:paraId="50803C28" w14:textId="10418239" w:rsidR="00C34CF2" w:rsidRPr="00C34CF2" w:rsidRDefault="008E51DD" w:rsidP="00C34CF2">
            <w:pPr>
              <w:rPr>
                <w:b w:val="0"/>
              </w:rPr>
            </w:pPr>
            <w:r>
              <w:rPr>
                <w:b w:val="0"/>
              </w:rPr>
              <w:t>Effective and efficient m</w:t>
            </w:r>
            <w:r w:rsidR="00C34CF2" w:rsidRPr="00C34CF2">
              <w:rPr>
                <w:b w:val="0"/>
              </w:rPr>
              <w:t>anagement of public roads, including works</w:t>
            </w:r>
          </w:p>
        </w:tc>
        <w:tc>
          <w:tcPr>
            <w:tcW w:w="6379" w:type="dxa"/>
          </w:tcPr>
          <w:p w14:paraId="6290B53A"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 xml:space="preserve">The extent to which the option allows road authorities to effectively manage public roads and enable those carrying out works to do so efficiently. The approach taken is that the lower the burden on all parties, the more efficient the management. </w:t>
            </w:r>
          </w:p>
        </w:tc>
        <w:tc>
          <w:tcPr>
            <w:tcW w:w="1274" w:type="dxa"/>
          </w:tcPr>
          <w:p w14:paraId="64856515"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20%</w:t>
            </w:r>
          </w:p>
        </w:tc>
      </w:tr>
      <w:tr w:rsidR="00C34CF2" w:rsidRPr="00C34CF2" w14:paraId="065E922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7CA2715" w14:textId="3C2D8346" w:rsidR="00C34CF2" w:rsidRPr="00C34CF2" w:rsidRDefault="00613445" w:rsidP="00C34CF2">
            <w:pPr>
              <w:rPr>
                <w:b w:val="0"/>
              </w:rPr>
            </w:pPr>
            <w:r>
              <w:rPr>
                <w:b w:val="0"/>
              </w:rPr>
              <w:t>Effective and efficient m</w:t>
            </w:r>
            <w:r w:rsidR="00C34CF2" w:rsidRPr="00C34CF2">
              <w:rPr>
                <w:b w:val="0"/>
              </w:rPr>
              <w:t>aintenance of public roads</w:t>
            </w:r>
          </w:p>
        </w:tc>
        <w:tc>
          <w:tcPr>
            <w:tcW w:w="6379" w:type="dxa"/>
          </w:tcPr>
          <w:p w14:paraId="414A035B"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The extent to which the option facilitates effective and efficient maintenance of public roads.</w:t>
            </w:r>
          </w:p>
        </w:tc>
        <w:tc>
          <w:tcPr>
            <w:tcW w:w="1274" w:type="dxa"/>
          </w:tcPr>
          <w:p w14:paraId="4F6F92C6"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5%</w:t>
            </w:r>
          </w:p>
        </w:tc>
      </w:tr>
      <w:tr w:rsidR="00C34CF2" w:rsidRPr="00C34CF2" w14:paraId="069DBD36" w14:textId="77777777">
        <w:tc>
          <w:tcPr>
            <w:cnfStyle w:val="001000000000" w:firstRow="0" w:lastRow="0" w:firstColumn="1" w:lastColumn="0" w:oddVBand="0" w:evenVBand="0" w:oddHBand="0" w:evenHBand="0" w:firstRowFirstColumn="0" w:firstRowLastColumn="0" w:lastRowFirstColumn="0" w:lastRowLastColumn="0"/>
            <w:tcW w:w="3119" w:type="dxa"/>
          </w:tcPr>
          <w:p w14:paraId="751A4619" w14:textId="3911E19B" w:rsidR="00C34CF2" w:rsidRPr="00C34CF2" w:rsidRDefault="00613445" w:rsidP="00C34CF2">
            <w:pPr>
              <w:rPr>
                <w:b w:val="0"/>
              </w:rPr>
            </w:pPr>
            <w:r>
              <w:rPr>
                <w:b w:val="0"/>
              </w:rPr>
              <w:lastRenderedPageBreak/>
              <w:t>Improved s</w:t>
            </w:r>
            <w:r w:rsidR="00C34CF2" w:rsidRPr="00C34CF2">
              <w:rPr>
                <w:b w:val="0"/>
              </w:rPr>
              <w:t>afety</w:t>
            </w:r>
            <w:r>
              <w:rPr>
                <w:b w:val="0"/>
              </w:rPr>
              <w:t xml:space="preserve"> outcomes</w:t>
            </w:r>
          </w:p>
        </w:tc>
        <w:tc>
          <w:tcPr>
            <w:tcW w:w="6379" w:type="dxa"/>
          </w:tcPr>
          <w:p w14:paraId="0C001C0E" w14:textId="04F11B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 xml:space="preserve">The extent to which the option </w:t>
            </w:r>
            <w:r w:rsidR="00FC7E32">
              <w:t>addresse</w:t>
            </w:r>
            <w:r w:rsidR="00FC7E32" w:rsidRPr="00C34CF2">
              <w:t xml:space="preserve">s </w:t>
            </w:r>
            <w:r w:rsidRPr="00C34CF2">
              <w:t xml:space="preserve">negative road safety outcomes. </w:t>
            </w:r>
          </w:p>
        </w:tc>
        <w:tc>
          <w:tcPr>
            <w:tcW w:w="1274" w:type="dxa"/>
          </w:tcPr>
          <w:p w14:paraId="7B40F902"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5%</w:t>
            </w:r>
          </w:p>
        </w:tc>
      </w:tr>
      <w:tr w:rsidR="00C34CF2" w:rsidRPr="00C34CF2" w14:paraId="6357237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03A59D" w:themeFill="accent2"/>
          </w:tcPr>
          <w:p w14:paraId="6C708147" w14:textId="77777777" w:rsidR="00C34CF2" w:rsidRPr="00C34CF2" w:rsidRDefault="00C34CF2" w:rsidP="00C34CF2">
            <w:r w:rsidRPr="00C34CF2">
              <w:t>Costs</w:t>
            </w:r>
          </w:p>
        </w:tc>
        <w:tc>
          <w:tcPr>
            <w:tcW w:w="6379" w:type="dxa"/>
            <w:shd w:val="clear" w:color="auto" w:fill="03A59D" w:themeFill="accent2"/>
          </w:tcPr>
          <w:p w14:paraId="331C77A1"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p>
        </w:tc>
        <w:tc>
          <w:tcPr>
            <w:tcW w:w="1274" w:type="dxa"/>
            <w:shd w:val="clear" w:color="auto" w:fill="03A59D" w:themeFill="accent2"/>
          </w:tcPr>
          <w:p w14:paraId="6626389F"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rPr>
                <w:b/>
              </w:rPr>
            </w:pPr>
            <w:r w:rsidRPr="00C34CF2">
              <w:rPr>
                <w:b/>
              </w:rPr>
              <w:t>50%</w:t>
            </w:r>
          </w:p>
        </w:tc>
      </w:tr>
      <w:tr w:rsidR="00C34CF2" w:rsidRPr="00C34CF2" w14:paraId="029083A8" w14:textId="77777777">
        <w:tc>
          <w:tcPr>
            <w:cnfStyle w:val="001000000000" w:firstRow="0" w:lastRow="0" w:firstColumn="1" w:lastColumn="0" w:oddVBand="0" w:evenVBand="0" w:oddHBand="0" w:evenHBand="0" w:firstRowFirstColumn="0" w:firstRowLastColumn="0" w:lastRowFirstColumn="0" w:lastRowLastColumn="0"/>
            <w:tcW w:w="3119" w:type="dxa"/>
          </w:tcPr>
          <w:p w14:paraId="20F9A305" w14:textId="33D0AA87" w:rsidR="00C34CF2" w:rsidRPr="00C34CF2" w:rsidRDefault="00041336" w:rsidP="00C34CF2">
            <w:pPr>
              <w:rPr>
                <w:b w:val="0"/>
              </w:rPr>
            </w:pPr>
            <w:r>
              <w:rPr>
                <w:b w:val="0"/>
              </w:rPr>
              <w:t>Minimising costs on e</w:t>
            </w:r>
            <w:r w:rsidR="00C34CF2" w:rsidRPr="00C34CF2">
              <w:rPr>
                <w:b w:val="0"/>
              </w:rPr>
              <w:t>ntities carrying out works</w:t>
            </w:r>
          </w:p>
        </w:tc>
        <w:tc>
          <w:tcPr>
            <w:tcW w:w="6379" w:type="dxa"/>
          </w:tcPr>
          <w:p w14:paraId="23EFAF2A"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The extent to which the option reduces the costs incurred by entities carrying out works on public roads. Reducing the cost to these parties provides for a more efficient delivery of services and therefore reduced costs to the community.</w:t>
            </w:r>
          </w:p>
        </w:tc>
        <w:tc>
          <w:tcPr>
            <w:tcW w:w="1274" w:type="dxa"/>
          </w:tcPr>
          <w:p w14:paraId="3D1FA883"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25%</w:t>
            </w:r>
          </w:p>
        </w:tc>
      </w:tr>
      <w:tr w:rsidR="00C34CF2" w:rsidRPr="00C34CF2" w14:paraId="6948BBC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D17843E" w14:textId="672AD8AE" w:rsidR="00C34CF2" w:rsidRPr="00C34CF2" w:rsidRDefault="00041336" w:rsidP="00C34CF2">
            <w:pPr>
              <w:rPr>
                <w:b w:val="0"/>
              </w:rPr>
            </w:pPr>
            <w:r>
              <w:rPr>
                <w:b w:val="0"/>
              </w:rPr>
              <w:t>Minimising costs on r</w:t>
            </w:r>
            <w:r w:rsidR="00C34CF2" w:rsidRPr="00C34CF2">
              <w:rPr>
                <w:b w:val="0"/>
              </w:rPr>
              <w:t>oad authorities</w:t>
            </w:r>
          </w:p>
        </w:tc>
        <w:tc>
          <w:tcPr>
            <w:tcW w:w="6379" w:type="dxa"/>
          </w:tcPr>
          <w:p w14:paraId="0A3931EB"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The extent to which the option minimises the costs incurred by road authorities in the performance of their functions under the Act.</w:t>
            </w:r>
          </w:p>
        </w:tc>
        <w:tc>
          <w:tcPr>
            <w:tcW w:w="1274" w:type="dxa"/>
          </w:tcPr>
          <w:p w14:paraId="4F3CC46F"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15%</w:t>
            </w:r>
          </w:p>
        </w:tc>
      </w:tr>
      <w:tr w:rsidR="00C34CF2" w:rsidRPr="00C34CF2" w14:paraId="612F6D2E" w14:textId="77777777">
        <w:tc>
          <w:tcPr>
            <w:cnfStyle w:val="001000000000" w:firstRow="0" w:lastRow="0" w:firstColumn="1" w:lastColumn="0" w:oddVBand="0" w:evenVBand="0" w:oddHBand="0" w:evenHBand="0" w:firstRowFirstColumn="0" w:firstRowLastColumn="0" w:lastRowFirstColumn="0" w:lastRowLastColumn="0"/>
            <w:tcW w:w="3119" w:type="dxa"/>
          </w:tcPr>
          <w:p w14:paraId="265898E3" w14:textId="71C76AAB" w:rsidR="00C34CF2" w:rsidRPr="00C34CF2" w:rsidRDefault="00041336" w:rsidP="00C34CF2">
            <w:pPr>
              <w:rPr>
                <w:b w:val="0"/>
              </w:rPr>
            </w:pPr>
            <w:r>
              <w:rPr>
                <w:b w:val="0"/>
              </w:rPr>
              <w:t>Minimising costs on r</w:t>
            </w:r>
            <w:r w:rsidR="00C34CF2" w:rsidRPr="00C34CF2">
              <w:rPr>
                <w:b w:val="0"/>
              </w:rPr>
              <w:t>oad users and the broader community</w:t>
            </w:r>
          </w:p>
        </w:tc>
        <w:tc>
          <w:tcPr>
            <w:tcW w:w="6379" w:type="dxa"/>
          </w:tcPr>
          <w:p w14:paraId="2FEDFCE8" w14:textId="2CF75D70"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 xml:space="preserve">The extent to which the option minimises the costs to road users. The approach taken is that the lower the impact on road users, the </w:t>
            </w:r>
            <w:r w:rsidR="0078696E">
              <w:t>higher the rating.</w:t>
            </w:r>
          </w:p>
        </w:tc>
        <w:tc>
          <w:tcPr>
            <w:tcW w:w="1274" w:type="dxa"/>
          </w:tcPr>
          <w:p w14:paraId="580C0BD9"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10%</w:t>
            </w:r>
          </w:p>
        </w:tc>
      </w:tr>
    </w:tbl>
    <w:p w14:paraId="737C6662" w14:textId="77777777" w:rsidR="00C34CF2" w:rsidRPr="00C34CF2" w:rsidRDefault="00C34CF2" w:rsidP="00F23FC3">
      <w:pPr>
        <w:pStyle w:val="Heading2-Numbered"/>
      </w:pPr>
      <w:bookmarkStart w:id="205" w:name="_Ref211524074"/>
      <w:bookmarkStart w:id="206" w:name="_Toc226448316"/>
      <w:r w:rsidRPr="00C34CF2">
        <w:t>Criteria scoring</w:t>
      </w:r>
      <w:bookmarkEnd w:id="205"/>
      <w:bookmarkEnd w:id="206"/>
    </w:p>
    <w:p w14:paraId="0670B44B" w14:textId="72244F2B" w:rsidR="00C34CF2" w:rsidRPr="00C34CF2" w:rsidRDefault="00193C33" w:rsidP="00C34CF2">
      <w:r>
        <w:t>The option being considered</w:t>
      </w:r>
      <w:r w:rsidR="00C34CF2" w:rsidRPr="00C34CF2">
        <w:t xml:space="preserve"> has been scored against each of the criterion above using the below scoring framework, which is designed to reflect how well the option compares to the base case. A positive score is used where the option would provide an improvement over the base case, whereas a negative score reflects a worse outcome relative to the base case.</w:t>
      </w:r>
    </w:p>
    <w:p w14:paraId="3986E34C" w14:textId="171D703D" w:rsidR="00E640D5" w:rsidRDefault="00690C7A" w:rsidP="00690C7A">
      <w:pPr>
        <w:pStyle w:val="Caption"/>
      </w:pPr>
      <w:bookmarkStart w:id="207" w:name="_Toc226448354"/>
      <w:r>
        <w:t xml:space="preserve">Table </w:t>
      </w:r>
      <w:r w:rsidR="005A7DAB">
        <w:fldChar w:fldCharType="begin"/>
      </w:r>
      <w:r w:rsidR="005A7DAB">
        <w:instrText xml:space="preserve"> SEQ Table \* ARABIC </w:instrText>
      </w:r>
      <w:r w:rsidR="005A7DAB">
        <w:fldChar w:fldCharType="separate"/>
      </w:r>
      <w:r w:rsidR="00F170D0">
        <w:rPr>
          <w:noProof/>
        </w:rPr>
        <w:t>6</w:t>
      </w:r>
      <w:r w:rsidR="005A7DAB">
        <w:rPr>
          <w:noProof/>
        </w:rPr>
        <w:fldChar w:fldCharType="end"/>
      </w:r>
      <w:r>
        <w:t xml:space="preserve"> </w:t>
      </w:r>
      <w:r w:rsidR="00D32DFB">
        <w:t>–</w:t>
      </w:r>
      <w:r w:rsidR="00E640D5" w:rsidRPr="00C34CF2">
        <w:t xml:space="preserve"> MCA </w:t>
      </w:r>
      <w:r w:rsidR="003974F7">
        <w:t>s</w:t>
      </w:r>
      <w:r w:rsidR="00E640D5" w:rsidRPr="00C34CF2">
        <w:t xml:space="preserve">coring </w:t>
      </w:r>
      <w:r w:rsidR="003974F7">
        <w:t>f</w:t>
      </w:r>
      <w:r w:rsidR="00E640D5" w:rsidRPr="00C34CF2">
        <w:t>ramework</w:t>
      </w:r>
      <w:bookmarkEnd w:id="207"/>
    </w:p>
    <w:tbl>
      <w:tblPr>
        <w:tblStyle w:val="TableGrid"/>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977"/>
        <w:gridCol w:w="977"/>
        <w:gridCol w:w="979"/>
        <w:gridCol w:w="976"/>
        <w:gridCol w:w="985"/>
        <w:gridCol w:w="976"/>
        <w:gridCol w:w="978"/>
        <w:gridCol w:w="976"/>
        <w:gridCol w:w="978"/>
        <w:gridCol w:w="976"/>
        <w:gridCol w:w="974"/>
      </w:tblGrid>
      <w:tr w:rsidR="00674535" w:rsidRPr="00C34CF2" w14:paraId="0467C39A" w14:textId="77777777" w:rsidTr="001312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5" w:type="pct"/>
            <w:gridSpan w:val="5"/>
            <w:shd w:val="clear" w:color="auto" w:fill="BBFDFA" w:themeFill="accent2" w:themeFillTint="33"/>
          </w:tcPr>
          <w:p w14:paraId="0E3E2181" w14:textId="77777777" w:rsidR="00C34CF2" w:rsidRPr="00C34CF2" w:rsidRDefault="00C34CF2" w:rsidP="00C34CF2">
            <w:pPr>
              <w:keepNext w:val="0"/>
            </w:pPr>
            <w:r w:rsidRPr="00C34CF2">
              <w:t>Negative</w:t>
            </w:r>
          </w:p>
        </w:tc>
        <w:tc>
          <w:tcPr>
            <w:tcW w:w="454" w:type="pct"/>
          </w:tcPr>
          <w:p w14:paraId="009816E0" w14:textId="77777777" w:rsidR="00C34CF2" w:rsidRPr="00C34CF2" w:rsidRDefault="00C34CF2" w:rsidP="00C34CF2">
            <w:pPr>
              <w:keepNext w:val="0"/>
              <w:cnfStyle w:val="100000000000" w:firstRow="1" w:lastRow="0" w:firstColumn="0" w:lastColumn="0" w:oddVBand="0" w:evenVBand="0" w:oddHBand="0" w:evenHBand="0" w:firstRowFirstColumn="0" w:firstRowLastColumn="0" w:lastRowFirstColumn="0" w:lastRowLastColumn="0"/>
            </w:pPr>
            <w:r w:rsidRPr="00C34CF2">
              <w:t>Neutral</w:t>
            </w:r>
          </w:p>
        </w:tc>
        <w:tc>
          <w:tcPr>
            <w:tcW w:w="2271" w:type="pct"/>
            <w:gridSpan w:val="5"/>
            <w:shd w:val="clear" w:color="auto" w:fill="59FFC9" w:themeFill="accent5" w:themeFillShade="BF"/>
          </w:tcPr>
          <w:p w14:paraId="65B24E03" w14:textId="77777777" w:rsidR="00C34CF2" w:rsidRPr="00C34CF2" w:rsidRDefault="00C34CF2" w:rsidP="00C34CF2">
            <w:pPr>
              <w:keepNext w:val="0"/>
              <w:cnfStyle w:val="100000000000" w:firstRow="1" w:lastRow="0" w:firstColumn="0" w:lastColumn="0" w:oddVBand="0" w:evenVBand="0" w:oddHBand="0" w:evenHBand="0" w:firstRowFirstColumn="0" w:firstRowLastColumn="0" w:lastRowFirstColumn="0" w:lastRowLastColumn="0"/>
            </w:pPr>
            <w:r w:rsidRPr="00C34CF2">
              <w:t>Positive</w:t>
            </w:r>
          </w:p>
        </w:tc>
      </w:tr>
      <w:tr w:rsidR="006C1289" w:rsidRPr="00C34CF2" w14:paraId="3661F66C" w14:textId="77777777" w:rsidTr="001312AC">
        <w:tc>
          <w:tcPr>
            <w:cnfStyle w:val="001000000000" w:firstRow="0" w:lastRow="0" w:firstColumn="1" w:lastColumn="0" w:oddVBand="0" w:evenVBand="0" w:oddHBand="0" w:evenHBand="0" w:firstRowFirstColumn="0" w:firstRowLastColumn="0" w:lastRowFirstColumn="0" w:lastRowLastColumn="0"/>
            <w:tcW w:w="454" w:type="pct"/>
            <w:shd w:val="clear" w:color="auto" w:fill="BBFDFA" w:themeFill="accent2" w:themeFillTint="33"/>
          </w:tcPr>
          <w:p w14:paraId="1BC7A937" w14:textId="77777777" w:rsidR="00C34CF2" w:rsidRPr="00C34CF2" w:rsidRDefault="00C34CF2" w:rsidP="00C34CF2">
            <w:pPr>
              <w:rPr>
                <w:b w:val="0"/>
              </w:rPr>
            </w:pPr>
            <w:r w:rsidRPr="00C34CF2">
              <w:rPr>
                <w:b w:val="0"/>
              </w:rPr>
              <w:t>-10</w:t>
            </w:r>
          </w:p>
        </w:tc>
        <w:tc>
          <w:tcPr>
            <w:tcW w:w="454" w:type="pct"/>
            <w:shd w:val="clear" w:color="auto" w:fill="BBFDFA" w:themeFill="accent2" w:themeFillTint="33"/>
          </w:tcPr>
          <w:p w14:paraId="55B35448"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-7</w:t>
            </w:r>
          </w:p>
        </w:tc>
        <w:tc>
          <w:tcPr>
            <w:tcW w:w="455" w:type="pct"/>
            <w:shd w:val="clear" w:color="auto" w:fill="BBFDFA" w:themeFill="accent2" w:themeFillTint="33"/>
          </w:tcPr>
          <w:p w14:paraId="5BB53BED"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-5</w:t>
            </w:r>
          </w:p>
        </w:tc>
        <w:tc>
          <w:tcPr>
            <w:tcW w:w="454" w:type="pct"/>
            <w:shd w:val="clear" w:color="auto" w:fill="BBFDFA" w:themeFill="accent2" w:themeFillTint="33"/>
          </w:tcPr>
          <w:p w14:paraId="52C8D0E8"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-3</w:t>
            </w:r>
          </w:p>
        </w:tc>
        <w:tc>
          <w:tcPr>
            <w:tcW w:w="457" w:type="pct"/>
            <w:shd w:val="clear" w:color="auto" w:fill="BBFDFA" w:themeFill="accent2" w:themeFillTint="33"/>
          </w:tcPr>
          <w:p w14:paraId="7D033E00"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-1</w:t>
            </w:r>
          </w:p>
        </w:tc>
        <w:tc>
          <w:tcPr>
            <w:tcW w:w="454" w:type="pct"/>
          </w:tcPr>
          <w:p w14:paraId="006E9185"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0</w:t>
            </w:r>
          </w:p>
        </w:tc>
        <w:tc>
          <w:tcPr>
            <w:tcW w:w="455" w:type="pct"/>
            <w:shd w:val="clear" w:color="auto" w:fill="59FFC9" w:themeFill="accent5" w:themeFillShade="BF"/>
          </w:tcPr>
          <w:p w14:paraId="2CD15730"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1</w:t>
            </w:r>
          </w:p>
        </w:tc>
        <w:tc>
          <w:tcPr>
            <w:tcW w:w="454" w:type="pct"/>
            <w:shd w:val="clear" w:color="auto" w:fill="59FFC9" w:themeFill="accent5" w:themeFillShade="BF"/>
          </w:tcPr>
          <w:p w14:paraId="760A84EE"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3</w:t>
            </w:r>
          </w:p>
        </w:tc>
        <w:tc>
          <w:tcPr>
            <w:tcW w:w="455" w:type="pct"/>
            <w:shd w:val="clear" w:color="auto" w:fill="59FFC9" w:themeFill="accent5" w:themeFillShade="BF"/>
          </w:tcPr>
          <w:p w14:paraId="0C9AA885"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5</w:t>
            </w:r>
          </w:p>
        </w:tc>
        <w:tc>
          <w:tcPr>
            <w:tcW w:w="454" w:type="pct"/>
            <w:shd w:val="clear" w:color="auto" w:fill="59FFC9" w:themeFill="accent5" w:themeFillShade="BF"/>
          </w:tcPr>
          <w:p w14:paraId="243FB08A"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7</w:t>
            </w:r>
          </w:p>
        </w:tc>
        <w:tc>
          <w:tcPr>
            <w:tcW w:w="454" w:type="pct"/>
            <w:shd w:val="clear" w:color="auto" w:fill="59FFC9" w:themeFill="accent5" w:themeFillShade="BF"/>
          </w:tcPr>
          <w:p w14:paraId="3A6456C7"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10</w:t>
            </w:r>
          </w:p>
        </w:tc>
      </w:tr>
      <w:tr w:rsidR="006C1289" w:rsidRPr="00C34CF2" w14:paraId="1617C441" w14:textId="77777777" w:rsidTr="001312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 w:type="pct"/>
            <w:shd w:val="clear" w:color="auto" w:fill="BBFDFA" w:themeFill="accent2" w:themeFillTint="33"/>
          </w:tcPr>
          <w:p w14:paraId="673756D0" w14:textId="77777777" w:rsidR="00C34CF2" w:rsidRPr="00C34CF2" w:rsidRDefault="00C34CF2" w:rsidP="00C34CF2">
            <w:pPr>
              <w:rPr>
                <w:b w:val="0"/>
              </w:rPr>
            </w:pPr>
            <w:r w:rsidRPr="00C34CF2">
              <w:rPr>
                <w:b w:val="0"/>
              </w:rPr>
              <w:t>Very high</w:t>
            </w:r>
          </w:p>
        </w:tc>
        <w:tc>
          <w:tcPr>
            <w:tcW w:w="454" w:type="pct"/>
            <w:shd w:val="clear" w:color="auto" w:fill="BBFDFA" w:themeFill="accent2" w:themeFillTint="33"/>
          </w:tcPr>
          <w:p w14:paraId="510A51A3"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High</w:t>
            </w:r>
          </w:p>
        </w:tc>
        <w:tc>
          <w:tcPr>
            <w:tcW w:w="455" w:type="pct"/>
            <w:shd w:val="clear" w:color="auto" w:fill="BBFDFA" w:themeFill="accent2" w:themeFillTint="33"/>
          </w:tcPr>
          <w:p w14:paraId="13EABF85"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Medium</w:t>
            </w:r>
          </w:p>
        </w:tc>
        <w:tc>
          <w:tcPr>
            <w:tcW w:w="454" w:type="pct"/>
            <w:shd w:val="clear" w:color="auto" w:fill="BBFDFA" w:themeFill="accent2" w:themeFillTint="33"/>
          </w:tcPr>
          <w:p w14:paraId="2FC21AF9"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Low</w:t>
            </w:r>
          </w:p>
        </w:tc>
        <w:tc>
          <w:tcPr>
            <w:tcW w:w="457" w:type="pct"/>
            <w:shd w:val="clear" w:color="auto" w:fill="BBFDFA" w:themeFill="accent2" w:themeFillTint="33"/>
          </w:tcPr>
          <w:p w14:paraId="44918B23"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Very low</w:t>
            </w:r>
          </w:p>
        </w:tc>
        <w:tc>
          <w:tcPr>
            <w:tcW w:w="454" w:type="pct"/>
          </w:tcPr>
          <w:p w14:paraId="1E939EE6"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Nil</w:t>
            </w:r>
          </w:p>
        </w:tc>
        <w:tc>
          <w:tcPr>
            <w:tcW w:w="455" w:type="pct"/>
            <w:shd w:val="clear" w:color="auto" w:fill="59FFC9" w:themeFill="accent5" w:themeFillShade="BF"/>
          </w:tcPr>
          <w:p w14:paraId="2043A796"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Very low</w:t>
            </w:r>
          </w:p>
        </w:tc>
        <w:tc>
          <w:tcPr>
            <w:tcW w:w="454" w:type="pct"/>
            <w:shd w:val="clear" w:color="auto" w:fill="59FFC9" w:themeFill="accent5" w:themeFillShade="BF"/>
          </w:tcPr>
          <w:p w14:paraId="5E80EAA6"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Low</w:t>
            </w:r>
          </w:p>
        </w:tc>
        <w:tc>
          <w:tcPr>
            <w:tcW w:w="455" w:type="pct"/>
            <w:shd w:val="clear" w:color="auto" w:fill="59FFC9" w:themeFill="accent5" w:themeFillShade="BF"/>
          </w:tcPr>
          <w:p w14:paraId="12B6D53F"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Medium</w:t>
            </w:r>
          </w:p>
        </w:tc>
        <w:tc>
          <w:tcPr>
            <w:tcW w:w="454" w:type="pct"/>
            <w:shd w:val="clear" w:color="auto" w:fill="59FFC9" w:themeFill="accent5" w:themeFillShade="BF"/>
          </w:tcPr>
          <w:p w14:paraId="0B1F9DCB"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High</w:t>
            </w:r>
          </w:p>
        </w:tc>
        <w:tc>
          <w:tcPr>
            <w:tcW w:w="454" w:type="pct"/>
            <w:shd w:val="clear" w:color="auto" w:fill="59FFC9" w:themeFill="accent5" w:themeFillShade="BF"/>
          </w:tcPr>
          <w:p w14:paraId="56F5284C"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Very High</w:t>
            </w:r>
          </w:p>
        </w:tc>
      </w:tr>
    </w:tbl>
    <w:p w14:paraId="28D0A085" w14:textId="77777777" w:rsidR="00C34CF2" w:rsidRPr="00C34CF2" w:rsidRDefault="00C34CF2" w:rsidP="00F23FC3">
      <w:pPr>
        <w:pStyle w:val="Heading2-Numbered"/>
      </w:pPr>
      <w:bookmarkStart w:id="208" w:name="_Ref211524075"/>
      <w:bookmarkStart w:id="209" w:name="_Toc226448317"/>
      <w:r w:rsidRPr="00C34CF2">
        <w:t>Assessment of options</w:t>
      </w:r>
      <w:bookmarkEnd w:id="208"/>
      <w:bookmarkEnd w:id="209"/>
    </w:p>
    <w:p w14:paraId="66AADCEA" w14:textId="77777777" w:rsidR="00C34CF2" w:rsidRPr="00C34CF2" w:rsidRDefault="00C34CF2" w:rsidP="00F23FC3">
      <w:pPr>
        <w:pStyle w:val="Heading3-Numbered"/>
      </w:pPr>
      <w:bookmarkStart w:id="210" w:name="_Toc208847175"/>
      <w:bookmarkStart w:id="211" w:name="_Toc209440326"/>
      <w:bookmarkStart w:id="212" w:name="_Toc226448318"/>
      <w:r w:rsidRPr="00C34CF2">
        <w:t>Discussion of benefits</w:t>
      </w:r>
      <w:bookmarkEnd w:id="210"/>
      <w:bookmarkEnd w:id="211"/>
      <w:bookmarkEnd w:id="212"/>
    </w:p>
    <w:p w14:paraId="43E9EB9A" w14:textId="77777777" w:rsidR="00C34CF2" w:rsidRPr="00C63FF8" w:rsidRDefault="00C34CF2" w:rsidP="00F23FC3">
      <w:pPr>
        <w:pStyle w:val="Heading4-Numbered"/>
        <w:rPr>
          <w14:textFill>
            <w14:solidFill>
              <w14:schemeClr w14:val="tx2">
                <w14:lumMod w14:val="75000"/>
                <w14:lumOff w14:val="25000"/>
                <w14:lumMod w14:val="75000"/>
                <w14:lumOff w14:val="25000"/>
                <w14:lumMod w14:val="75000"/>
              </w14:schemeClr>
            </w14:solidFill>
          </w14:textFill>
        </w:rPr>
      </w:pPr>
      <w:bookmarkStart w:id="213" w:name="_Ref209604931"/>
      <w:r w:rsidRPr="00C63FF8">
        <w:rPr>
          <w14:textFill>
            <w14:solidFill>
              <w14:schemeClr w14:val="tx2">
                <w14:lumMod w14:val="75000"/>
                <w14:lumOff w14:val="25000"/>
                <w14:lumMod w14:val="75000"/>
                <w14:lumOff w14:val="25000"/>
                <w14:lumMod w14:val="75000"/>
              </w14:schemeClr>
            </w14:solidFill>
          </w14:textFill>
        </w:rPr>
        <w:t>Protection of public roads</w:t>
      </w:r>
      <w:bookmarkEnd w:id="213"/>
    </w:p>
    <w:p w14:paraId="73571BDB" w14:textId="45A47E4A" w:rsidR="00C34CF2" w:rsidRPr="00C34CF2" w:rsidRDefault="00C34CF2" w:rsidP="00C34CF2">
      <w:pPr>
        <w:rPr>
          <w:i/>
        </w:rPr>
      </w:pPr>
      <w:r w:rsidRPr="00C34CF2">
        <w:rPr>
          <w:i/>
        </w:rPr>
        <w:t>Option 1 (Remake with minor changes)</w:t>
      </w:r>
    </w:p>
    <w:p w14:paraId="1ED1376B" w14:textId="183DC8CF" w:rsidR="0051114B" w:rsidRDefault="007F644A" w:rsidP="00C34CF2">
      <w:r>
        <w:t xml:space="preserve">Option 1 would provide for additional offences for </w:t>
      </w:r>
      <w:r w:rsidR="00844366">
        <w:t xml:space="preserve">interference with public roads or </w:t>
      </w:r>
      <w:r>
        <w:t xml:space="preserve">activities that </w:t>
      </w:r>
      <w:r w:rsidR="00844366">
        <w:t xml:space="preserve">could </w:t>
      </w:r>
      <w:r>
        <w:t xml:space="preserve">result in damage </w:t>
      </w:r>
      <w:r w:rsidR="00844366">
        <w:t>to roads</w:t>
      </w:r>
      <w:r w:rsidR="00BB614A">
        <w:t>.</w:t>
      </w:r>
      <w:r w:rsidR="00844366">
        <w:t xml:space="preserve"> </w:t>
      </w:r>
      <w:r w:rsidR="00BB614A">
        <w:t xml:space="preserve">Under </w:t>
      </w:r>
      <w:r>
        <w:t xml:space="preserve">Option 1, certain activities, such as climbing on bridges, camping on the road reserves, as well as interfering with, or damaging, public roads and infrastructure (that are not a result of the conduct of works) would be prohibited. As discussed in section </w:t>
      </w:r>
      <w:r w:rsidR="004D54D5">
        <w:fldChar w:fldCharType="begin"/>
      </w:r>
      <w:r w:rsidR="004D54D5">
        <w:instrText xml:space="preserve"> REF _Ref211417213 \r \h </w:instrText>
      </w:r>
      <w:r w:rsidR="004D54D5">
        <w:fldChar w:fldCharType="separate"/>
      </w:r>
      <w:r w:rsidR="00F170D0">
        <w:t>5.1.3.3</w:t>
      </w:r>
      <w:r w:rsidR="004D54D5">
        <w:fldChar w:fldCharType="end"/>
      </w:r>
      <w:r>
        <w:t>, it is difficult to measure the effect of prohibitions on certain activities without an accurate picture of the base case and quantitative enforcement data. However,</w:t>
      </w:r>
      <w:r w:rsidR="00CD0D50">
        <w:t xml:space="preserve"> in the Department’s view</w:t>
      </w:r>
      <w:r>
        <w:t xml:space="preserve">, on balance, the </w:t>
      </w:r>
      <w:r w:rsidR="00BD31C6">
        <w:t>presence</w:t>
      </w:r>
      <w:r w:rsidR="00870C99">
        <w:t xml:space="preserve"> of these offences</w:t>
      </w:r>
      <w:r w:rsidR="00BD31C6">
        <w:t xml:space="preserve"> under the Regulations provide </w:t>
      </w:r>
      <w:r w:rsidR="00B6513D">
        <w:t xml:space="preserve">greater protection </w:t>
      </w:r>
      <w:r w:rsidR="00BD31C6">
        <w:t>of roads compared to t</w:t>
      </w:r>
      <w:r w:rsidR="00B6513D">
        <w:t xml:space="preserve">he base case. </w:t>
      </w:r>
    </w:p>
    <w:p w14:paraId="4F992FF1" w14:textId="4D8FD24E" w:rsidR="0007747B" w:rsidRDefault="00C34CF2" w:rsidP="00C34CF2">
      <w:r w:rsidRPr="00C34CF2">
        <w:lastRenderedPageBreak/>
        <w:t xml:space="preserve">Option </w:t>
      </w:r>
      <w:r w:rsidR="007874C2">
        <w:t>1</w:t>
      </w:r>
      <w:r w:rsidRPr="00C34CF2">
        <w:t xml:space="preserve"> </w:t>
      </w:r>
      <w:r w:rsidR="00D265B4">
        <w:t xml:space="preserve">also </w:t>
      </w:r>
      <w:r w:rsidR="00C20C09">
        <w:t>includes</w:t>
      </w:r>
      <w:r w:rsidR="00D265B4">
        <w:t xml:space="preserve"> new</w:t>
      </w:r>
      <w:r w:rsidRPr="00C34CF2">
        <w:t xml:space="preserve"> prescribed requirements for, and information that must be included in, an application for consent for works</w:t>
      </w:r>
      <w:r w:rsidR="008A40A1">
        <w:t>,</w:t>
      </w:r>
      <w:r w:rsidRPr="00C34CF2">
        <w:t xml:space="preserve"> </w:t>
      </w:r>
      <w:r w:rsidR="00210EBB">
        <w:t xml:space="preserve">which </w:t>
      </w:r>
      <w:r w:rsidRPr="00C34CF2">
        <w:t xml:space="preserve">provides benefits over </w:t>
      </w:r>
      <w:r w:rsidR="008A40A1">
        <w:t>the base case</w:t>
      </w:r>
      <w:r w:rsidRPr="00C34CF2">
        <w:t xml:space="preserve"> with respect to the protection of public roads. </w:t>
      </w:r>
      <w:r w:rsidR="00B76436">
        <w:t xml:space="preserve">Anecdotal evidence </w:t>
      </w:r>
      <w:r w:rsidR="006D3904">
        <w:t xml:space="preserve">from within the </w:t>
      </w:r>
      <w:r w:rsidR="00E7264A">
        <w:t>Department</w:t>
      </w:r>
      <w:r w:rsidR="006D3904">
        <w:t xml:space="preserve"> suggests</w:t>
      </w:r>
      <w:r w:rsidR="00B76436">
        <w:t xml:space="preserve"> that</w:t>
      </w:r>
      <w:r w:rsidRPr="00C34CF2">
        <w:t xml:space="preserve"> some infrastructure managers and works managers are taking advantage of the statutory deemed consent period by submitting incomplete applications. The combination of the amendments to the Act and the proposed prescribed minimum information that must be included means that the 20-business day period (or fewer for certain works as prescribed under the Regulations) would only apply if the application is complete. That is, </w:t>
      </w:r>
      <w:r w:rsidR="008A6B20">
        <w:t>the application</w:t>
      </w:r>
      <w:r w:rsidRPr="00C34CF2">
        <w:t xml:space="preserve"> contains all the prescribed information.</w:t>
      </w:r>
      <w:r w:rsidR="008E4D84">
        <w:t xml:space="preserve"> </w:t>
      </w:r>
      <w:r w:rsidRPr="00C34CF2">
        <w:t xml:space="preserve">Limiting the circumstances in which consent is deemed to have been given minimises the likelihood of exploitation. This would reduce the amount of works being carried out without the oversight of coordinating road authorities, subsequently lowering the risk of unnecessary damage to public roads. </w:t>
      </w:r>
    </w:p>
    <w:p w14:paraId="59BE6529" w14:textId="2183E4BC" w:rsidR="00C34CF2" w:rsidRPr="00C34CF2" w:rsidRDefault="00531443" w:rsidP="00C34CF2">
      <w:r>
        <w:t>Under the base case, the Act provides significant protection of roads by making it an offence to conduct unauthorised works on the road</w:t>
      </w:r>
      <w:r w:rsidR="00BD536D">
        <w:t>. However, b</w:t>
      </w:r>
      <w:r w:rsidR="0007747B">
        <w:t xml:space="preserve">y creating additional offences for interfering with the road and improving the </w:t>
      </w:r>
      <w:r w:rsidR="003C5B08">
        <w:t xml:space="preserve">process for applications to conduct works on the road, Option 1 </w:t>
      </w:r>
      <w:r w:rsidR="009A7591">
        <w:t xml:space="preserve">would </w:t>
      </w:r>
      <w:r w:rsidR="007744AD">
        <w:t xml:space="preserve">create a moderate level of additional protection of roads compared to the base case. </w:t>
      </w:r>
      <w:r w:rsidR="00C34CF2" w:rsidRPr="00C34CF2">
        <w:t xml:space="preserve">Accordingly, Option </w:t>
      </w:r>
      <w:r w:rsidR="00874DC0">
        <w:t>1</w:t>
      </w:r>
      <w:r w:rsidR="00C34CF2" w:rsidRPr="00C34CF2">
        <w:t xml:space="preserve"> is given a score of </w:t>
      </w:r>
      <w:r w:rsidR="00652449" w:rsidRPr="00054120">
        <w:rPr>
          <w:b/>
          <w:bCs/>
        </w:rPr>
        <w:t>+</w:t>
      </w:r>
      <w:r w:rsidR="00E025FB">
        <w:rPr>
          <w:b/>
          <w:bCs/>
        </w:rPr>
        <w:t>5</w:t>
      </w:r>
      <w:r w:rsidR="00C34CF2" w:rsidRPr="00C34CF2">
        <w:t>.</w:t>
      </w:r>
    </w:p>
    <w:p w14:paraId="783BB68D" w14:textId="77777777" w:rsidR="00C34CF2" w:rsidRPr="00C63FF8" w:rsidRDefault="00C34CF2" w:rsidP="00F23FC3">
      <w:pPr>
        <w:pStyle w:val="Heading4-Numbered"/>
        <w:rPr>
          <w14:textFill>
            <w14:solidFill>
              <w14:schemeClr w14:val="tx2">
                <w14:lumMod w14:val="75000"/>
                <w14:lumOff w14:val="25000"/>
                <w14:lumMod w14:val="75000"/>
                <w14:lumOff w14:val="25000"/>
                <w14:lumMod w14:val="75000"/>
              </w14:schemeClr>
            </w14:solidFill>
          </w14:textFill>
        </w:rPr>
      </w:pPr>
      <w:bookmarkStart w:id="214" w:name="_Ref211416890"/>
      <w:r w:rsidRPr="00C63FF8">
        <w:rPr>
          <w14:textFill>
            <w14:solidFill>
              <w14:schemeClr w14:val="tx2">
                <w14:lumMod w14:val="75000"/>
                <w14:lumOff w14:val="25000"/>
                <w14:lumMod w14:val="75000"/>
                <w14:lumOff w14:val="25000"/>
                <w14:lumMod w14:val="75000"/>
              </w14:schemeClr>
            </w14:solidFill>
          </w14:textFill>
        </w:rPr>
        <w:t>Management of public roads, including works</w:t>
      </w:r>
      <w:bookmarkEnd w:id="214"/>
    </w:p>
    <w:p w14:paraId="68543949" w14:textId="4AB7A6CC" w:rsidR="00C34CF2" w:rsidRPr="00C34CF2" w:rsidRDefault="00C34CF2" w:rsidP="00C34CF2">
      <w:pPr>
        <w:rPr>
          <w:i/>
        </w:rPr>
      </w:pPr>
      <w:r w:rsidRPr="00C34CF2">
        <w:rPr>
          <w:i/>
        </w:rPr>
        <w:t>Option 1 (Remake with minor changes)</w:t>
      </w:r>
    </w:p>
    <w:p w14:paraId="3E1BB4E6" w14:textId="77777777" w:rsidR="004A23A6" w:rsidRDefault="004A23A6" w:rsidP="004A23A6">
      <w:r>
        <w:t>Compared to the base case, Option 1 would increase the efficiency of the way public roads are managed across road authorities by reducing unnecessary administrative burden through the use of exemptions and the provision of clear and consistent guidance for administrative processes.</w:t>
      </w:r>
    </w:p>
    <w:p w14:paraId="47F7BCD0" w14:textId="555754F3" w:rsidR="004A23A6" w:rsidRDefault="004A23A6" w:rsidP="004A23A6">
      <w:r>
        <w:t xml:space="preserve">Road authorities have the power under the Act to both declare or discontinue a road. However, they are required to consult with the public before discontinuing a road. Under Option 1, road authorities would be exempt from the requirement to consult with the public and consider submissions before discontinuing a road in certain circumstances. As highlighted in section </w:t>
      </w:r>
      <w:r w:rsidR="00FF4060">
        <w:fldChar w:fldCharType="begin"/>
      </w:r>
      <w:r w:rsidR="00FF4060">
        <w:instrText xml:space="preserve"> REF _Ref210918239 \r \h </w:instrText>
      </w:r>
      <w:r w:rsidR="00FF4060">
        <w:fldChar w:fldCharType="separate"/>
      </w:r>
      <w:r w:rsidR="00F170D0">
        <w:t>3.2.1.3</w:t>
      </w:r>
      <w:r w:rsidR="00FF4060">
        <w:fldChar w:fldCharType="end"/>
      </w:r>
      <w:r>
        <w:t xml:space="preserve">, these exemptions reduce unnecessary administrative burden on road authorities where the discontinuance of a road would have a limited impact on road users. </w:t>
      </w:r>
    </w:p>
    <w:p w14:paraId="2D5DB0AB" w14:textId="72DD75FB" w:rsidR="00327C3F" w:rsidRDefault="00513511" w:rsidP="00327C3F">
      <w:r>
        <w:t>O</w:t>
      </w:r>
      <w:r w:rsidR="004A23A6">
        <w:t>ption</w:t>
      </w:r>
      <w:r>
        <w:t xml:space="preserve"> 1</w:t>
      </w:r>
      <w:r w:rsidR="004A23A6">
        <w:t xml:space="preserve"> </w:t>
      </w:r>
      <w:r w:rsidR="005A4125">
        <w:t xml:space="preserve">also </w:t>
      </w:r>
      <w:r w:rsidR="004A23A6">
        <w:t>provide</w:t>
      </w:r>
      <w:r>
        <w:t>s</w:t>
      </w:r>
      <w:r w:rsidR="004A23A6">
        <w:t xml:space="preserve"> for a suite of exemptions from the requirement to apply for consent, to give notice and to give notice of completion for certain types of works. It would also provide for a prescribed period that coordinating road authorities need to follow when assessing an application for consent and conditions that cannot be imposed on consents. As highlighted in </w:t>
      </w:r>
      <w:r w:rsidR="00724995">
        <w:t xml:space="preserve">section </w:t>
      </w:r>
      <w:r w:rsidR="00922CDE">
        <w:fldChar w:fldCharType="begin"/>
      </w:r>
      <w:r w:rsidR="00922CDE">
        <w:instrText xml:space="preserve"> REF _Ref210814546 \r \h </w:instrText>
      </w:r>
      <w:r w:rsidR="00922CDE">
        <w:fldChar w:fldCharType="separate"/>
      </w:r>
      <w:r w:rsidR="00F170D0">
        <w:t>3.2.1.1</w:t>
      </w:r>
      <w:r w:rsidR="00922CDE">
        <w:fldChar w:fldCharType="end"/>
      </w:r>
      <w:r w:rsidR="004A23A6">
        <w:t>, these exemptions reduce administrative burden and enable works to be carried out more quickly</w:t>
      </w:r>
      <w:r w:rsidR="004A23A6" w:rsidRPr="00666400">
        <w:t>.</w:t>
      </w:r>
      <w:r w:rsidR="00327C3F" w:rsidRPr="0092107C">
        <w:t xml:space="preserve"> </w:t>
      </w:r>
      <w:r w:rsidR="00A97D27" w:rsidRPr="0092107C">
        <w:t>In this way, exemptions for applications for consent minor works that enable a person to be provided a service by a utility would speed up the time in which a business can have their power switched on.</w:t>
      </w:r>
      <w:r w:rsidR="00A97D27" w:rsidRPr="00666400">
        <w:t xml:space="preserve"> </w:t>
      </w:r>
      <w:r w:rsidR="00327C3F" w:rsidRPr="0092107C">
        <w:t>Utilities companies have</w:t>
      </w:r>
      <w:r w:rsidR="00A97D27" w:rsidRPr="0092107C">
        <w:t xml:space="preserve"> also</w:t>
      </w:r>
      <w:r w:rsidR="00327C3F" w:rsidRPr="0092107C">
        <w:t xml:space="preserve"> suggested that delays to carrying out works incur additional costs which are ultimately passed on to their customers. </w:t>
      </w:r>
    </w:p>
    <w:p w14:paraId="06134890" w14:textId="7E4F5726" w:rsidR="004A23A6" w:rsidRDefault="00327C3F" w:rsidP="00327C3F">
      <w:r w:rsidRPr="0092107C">
        <w:t>In addition to the benefits to the entities conducting the works, for every proposed works activity that is exempt from the requirement to obtain consent under Option 1, there is a corresponding application that does not need to be reviewed by a coordinating road authority. The exact savings are unknown, however given that up to 70 per cent of utilities’ works are estimated to be exempt from consent requirements (including giving of prior notice), the exemptions relating to works under Option 1 significantly reduce the administrative burden for coordinating road authorities in comparison to the base case.</w:t>
      </w:r>
    </w:p>
    <w:p w14:paraId="0F6C85DF" w14:textId="7922D850" w:rsidR="006B6BAE" w:rsidRDefault="00C34CF2" w:rsidP="00C34CF2">
      <w:pPr>
        <w:rPr>
          <w:highlight w:val="yellow"/>
        </w:rPr>
      </w:pPr>
      <w:r w:rsidRPr="00C34CF2">
        <w:t xml:space="preserve">Option </w:t>
      </w:r>
      <w:r w:rsidR="0073437D">
        <w:t>1</w:t>
      </w:r>
      <w:r w:rsidRPr="00C34CF2">
        <w:t xml:space="preserve"> </w:t>
      </w:r>
      <w:r w:rsidR="0051114B">
        <w:t>also</w:t>
      </w:r>
      <w:r w:rsidRPr="00C34CF2">
        <w:t xml:space="preserve"> </w:t>
      </w:r>
      <w:r w:rsidR="0073437D">
        <w:t>includes</w:t>
      </w:r>
      <w:r w:rsidRPr="00C34CF2">
        <w:t xml:space="preserve"> prescribed requirements for, and information that must be included in, an application for consent for works </w:t>
      </w:r>
      <w:r w:rsidR="0073437D">
        <w:t>and</w:t>
      </w:r>
      <w:r w:rsidRPr="00C34CF2">
        <w:t xml:space="preserve"> provides benefits over </w:t>
      </w:r>
      <w:r w:rsidR="0073437D">
        <w:t>the base case</w:t>
      </w:r>
      <w:r w:rsidRPr="00C34CF2">
        <w:t xml:space="preserve"> with respect to the management of public roads. As highlighted </w:t>
      </w:r>
      <w:r w:rsidR="00C22A0F">
        <w:t xml:space="preserve">in section </w:t>
      </w:r>
      <w:r w:rsidR="00C22A0F">
        <w:fldChar w:fldCharType="begin"/>
      </w:r>
      <w:r w:rsidR="00C22A0F">
        <w:instrText xml:space="preserve"> REF _Ref209604931 \r \h </w:instrText>
      </w:r>
      <w:r w:rsidR="00C22A0F">
        <w:fldChar w:fldCharType="separate"/>
      </w:r>
      <w:r w:rsidR="00F170D0">
        <w:t>6.4.1.1</w:t>
      </w:r>
      <w:r w:rsidR="00C22A0F">
        <w:fldChar w:fldCharType="end"/>
      </w:r>
      <w:r w:rsidR="00C22A0F">
        <w:t>,</w:t>
      </w:r>
      <w:r w:rsidRPr="00C34CF2">
        <w:t xml:space="preserve"> Option </w:t>
      </w:r>
      <w:r w:rsidR="00C22A0F">
        <w:t>1</w:t>
      </w:r>
      <w:r w:rsidRPr="00C34CF2">
        <w:t xml:space="preserve"> would provide coordinating road authorities with greater oversight of works carried out on their network. Not only might this contribute to better protection of the roads, reducing the need or frequency of maintenance and repairs, but enable road authorities to more </w:t>
      </w:r>
      <w:r w:rsidRPr="00C34CF2">
        <w:lastRenderedPageBreak/>
        <w:t>effectively carry out their management functions because they would have consistent and complete information to inform their consent assessment process.</w:t>
      </w:r>
      <w:r w:rsidR="0008070F" w:rsidRPr="0008070F">
        <w:rPr>
          <w:highlight w:val="yellow"/>
        </w:rPr>
        <w:t xml:space="preserve"> </w:t>
      </w:r>
    </w:p>
    <w:p w14:paraId="3FEBF681" w14:textId="50E0DEDA" w:rsidR="00D028C6" w:rsidRPr="00C34CF2" w:rsidRDefault="00C34CF2" w:rsidP="00C34CF2">
      <w:r w:rsidRPr="00C34CF2">
        <w:t>Having a clear definition of what constitute</w:t>
      </w:r>
      <w:r w:rsidR="00D74352">
        <w:t>s</w:t>
      </w:r>
      <w:r w:rsidRPr="00C34CF2">
        <w:t xml:space="preserve"> a complete application would also benefit works managers because they could have greater confidence that their application was going to be considered ‘complete’ and have greater confidence that the deemed consent period could reliably inform project planning, which could improve overall efficiency. Understanding exactly what needs to be included in the applications for consent would also assist with administrative workload planning</w:t>
      </w:r>
      <w:r w:rsidR="006B3771">
        <w:t xml:space="preserve"> and</w:t>
      </w:r>
      <w:r w:rsidR="00D028C6" w:rsidRPr="00AD6F0D">
        <w:t xml:space="preserve"> prevent lost time </w:t>
      </w:r>
      <w:r w:rsidR="00EE68B5">
        <w:t xml:space="preserve">and costs </w:t>
      </w:r>
      <w:r w:rsidR="00D028C6" w:rsidRPr="00AD6F0D">
        <w:t xml:space="preserve">that would result from applications being rejected or subject to a long process of negotiation because they did not initially contain all the necessary information. </w:t>
      </w:r>
    </w:p>
    <w:p w14:paraId="1A49694B" w14:textId="30B7572F" w:rsidR="008E6F14" w:rsidRPr="00C34CF2" w:rsidRDefault="00C34CF2" w:rsidP="00C34CF2">
      <w:r w:rsidRPr="00C34CF2">
        <w:t>The proposed transfer of responsibility of certain bridge structures from councils to the HTfV is also expected to bring efficiency gains, particularly for councils. By ensuring those who have the necessary resources and technical expertise to inspect, maintain and repair these structures are responsible for them, it reduces the administrative burden and any potential for liability from councils</w:t>
      </w:r>
      <w:r w:rsidRPr="00482201">
        <w:t>.</w:t>
      </w:r>
      <w:r w:rsidR="006603FB" w:rsidRPr="0092107C">
        <w:t xml:space="preserve"> Higher administrative overheads for individual councils could mean that the aggregate cost to councils is likely higher than it would be for the Department (HTfV). </w:t>
      </w:r>
    </w:p>
    <w:p w14:paraId="7DCC4AF9" w14:textId="1DF89BD2" w:rsidR="00C34CF2" w:rsidRPr="00C34CF2" w:rsidRDefault="00C34CF2" w:rsidP="00C34CF2">
      <w:r w:rsidRPr="00C34CF2">
        <w:t xml:space="preserve">The </w:t>
      </w:r>
      <w:r w:rsidR="00B66435">
        <w:t xml:space="preserve">reduced </w:t>
      </w:r>
      <w:r w:rsidR="0091340A">
        <w:t xml:space="preserve">administrative burden </w:t>
      </w:r>
      <w:r w:rsidR="00B66435">
        <w:t>and</w:t>
      </w:r>
      <w:r w:rsidR="00B66435" w:rsidRPr="00C34CF2">
        <w:t xml:space="preserve"> </w:t>
      </w:r>
      <w:r w:rsidRPr="00C34CF2">
        <w:t xml:space="preserve">improved clarity and consistency under Option </w:t>
      </w:r>
      <w:r w:rsidR="00751EC3">
        <w:t>1</w:t>
      </w:r>
      <w:r w:rsidRPr="00C34CF2">
        <w:t xml:space="preserve"> could </w:t>
      </w:r>
      <w:r w:rsidR="00471739">
        <w:t xml:space="preserve">significantly </w:t>
      </w:r>
      <w:r w:rsidRPr="00C34CF2">
        <w:t xml:space="preserve">improve both the speed and quality of works that are subject to coordinating road authority consent and thus increase the efficiency of overall management of public roads. On this basis, Option </w:t>
      </w:r>
      <w:r w:rsidR="004F59F1">
        <w:t>1</w:t>
      </w:r>
      <w:r w:rsidRPr="00C34CF2">
        <w:t xml:space="preserve"> is given a score of </w:t>
      </w:r>
      <w:r w:rsidR="00652449" w:rsidRPr="00652449">
        <w:rPr>
          <w:b/>
          <w:bCs/>
        </w:rPr>
        <w:t>+</w:t>
      </w:r>
      <w:r w:rsidRPr="00C34CF2">
        <w:rPr>
          <w:b/>
        </w:rPr>
        <w:t>8</w:t>
      </w:r>
      <w:r w:rsidRPr="00C34CF2">
        <w:t>.</w:t>
      </w:r>
    </w:p>
    <w:p w14:paraId="21652F4A" w14:textId="77777777" w:rsidR="00C34CF2" w:rsidRPr="00C63FF8" w:rsidRDefault="00C34CF2" w:rsidP="00F23FC3">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Maintenance of public roads</w:t>
      </w:r>
    </w:p>
    <w:p w14:paraId="57244A97" w14:textId="094A863E" w:rsidR="00893321" w:rsidRDefault="00893321" w:rsidP="00C34CF2">
      <w:pPr>
        <w:rPr>
          <w:i/>
        </w:rPr>
      </w:pPr>
      <w:r w:rsidRPr="00893321">
        <w:rPr>
          <w:i/>
        </w:rPr>
        <w:t xml:space="preserve">Option </w:t>
      </w:r>
      <w:r>
        <w:rPr>
          <w:i/>
        </w:rPr>
        <w:t>1</w:t>
      </w:r>
      <w:r w:rsidRPr="00893321">
        <w:rPr>
          <w:i/>
        </w:rPr>
        <w:t xml:space="preserve"> (Remake with minor changes)</w:t>
      </w:r>
    </w:p>
    <w:p w14:paraId="0228FB90" w14:textId="342B892D" w:rsidR="00C34CF2" w:rsidRPr="00C34CF2" w:rsidRDefault="00C34CF2" w:rsidP="00C34CF2">
      <w:r w:rsidRPr="00C34CF2">
        <w:t>Road authorities are responsible for maintaining public roads under the Act. The Act provides that road authorities can choose to specify the standard to which they need to ensure they are maintained.</w:t>
      </w:r>
      <w:r w:rsidR="00971EE1">
        <w:t xml:space="preserve"> </w:t>
      </w:r>
      <w:r w:rsidR="002E3FE2">
        <w:t>I</w:t>
      </w:r>
      <w:r w:rsidRPr="00C34CF2">
        <w:t>t is optional for road authorities to create a road management plan</w:t>
      </w:r>
      <w:r w:rsidR="002E3FE2">
        <w:t>. However, under Option 1,</w:t>
      </w:r>
      <w:r w:rsidRPr="00C34CF2">
        <w:t xml:space="preserve"> </w:t>
      </w:r>
      <w:r w:rsidR="00332AE8">
        <w:t>r</w:t>
      </w:r>
      <w:r w:rsidR="00332AE8" w:rsidRPr="00C34CF2">
        <w:t>eviews of plan</w:t>
      </w:r>
      <w:r w:rsidR="00332AE8">
        <w:t>s</w:t>
      </w:r>
      <w:r w:rsidR="00332AE8" w:rsidRPr="00C34CF2">
        <w:t xml:space="preserve"> must be commenced within four years of the completion of the previous review. </w:t>
      </w:r>
      <w:r w:rsidR="001F60D1" w:rsidRPr="00C34CF2">
        <w:t xml:space="preserve">Option 1 also requires road authorities to notify the public if </w:t>
      </w:r>
      <w:r w:rsidR="00E45E52">
        <w:t>they</w:t>
      </w:r>
      <w:r w:rsidR="001F60D1" w:rsidRPr="00C34CF2">
        <w:t xml:space="preserve"> make amendments to </w:t>
      </w:r>
      <w:r w:rsidR="00E45E52">
        <w:t>their</w:t>
      </w:r>
      <w:r w:rsidR="001F60D1" w:rsidRPr="00C34CF2">
        <w:t xml:space="preserve"> road management plan.</w:t>
      </w:r>
      <w:r w:rsidR="0038079F">
        <w:t xml:space="preserve"> </w:t>
      </w:r>
      <w:r w:rsidRPr="00C34CF2">
        <w:t>Under the base case, there would be no clear process or consistent period within which plans must be reviewed.</w:t>
      </w:r>
      <w:r w:rsidR="00990E67" w:rsidRPr="00990E67">
        <w:t xml:space="preserve"> </w:t>
      </w:r>
      <w:r w:rsidR="00990E67" w:rsidRPr="00C34CF2">
        <w:t>Without reflecting changes in technology and the ways that roads are maintained, road management plans, and therefore the ways that public roads are maintained, may become outdated. To this end, Option 1 provides an improvement over the base case.</w:t>
      </w:r>
    </w:p>
    <w:p w14:paraId="47C332ED" w14:textId="266CE4CD" w:rsidR="00EC6F79" w:rsidRPr="00C34CF2" w:rsidRDefault="00EC6F79" w:rsidP="00EC6F79">
      <w:r w:rsidRPr="00C34CF2">
        <w:t>Although most requirements relating to civil claims are under the Act, under Option</w:t>
      </w:r>
      <w:r w:rsidRPr="00C34CF2">
        <w:rPr>
          <w:i/>
        </w:rPr>
        <w:t xml:space="preserve"> </w:t>
      </w:r>
      <w:r w:rsidRPr="00C34CF2">
        <w:t xml:space="preserve">1, the particulars of notices of incidents and the contents that must be included in condition reports would be prescribed. As highlighted in </w:t>
      </w:r>
      <w:r>
        <w:t>s</w:t>
      </w:r>
      <w:r w:rsidRPr="00C34CF2">
        <w:t xml:space="preserve">ection </w:t>
      </w:r>
      <w:r w:rsidR="00125CE0">
        <w:fldChar w:fldCharType="begin"/>
      </w:r>
      <w:r w:rsidR="00125CE0">
        <w:instrText xml:space="preserve"> REF _Ref210920419 \r \h </w:instrText>
      </w:r>
      <w:r w:rsidR="00125CE0">
        <w:fldChar w:fldCharType="separate"/>
      </w:r>
      <w:r w:rsidR="00F170D0">
        <w:t>3.2.2.7</w:t>
      </w:r>
      <w:r w:rsidR="00125CE0">
        <w:fldChar w:fldCharType="end"/>
      </w:r>
      <w:r w:rsidR="00125CE0">
        <w:t>,</w:t>
      </w:r>
      <w:r w:rsidRPr="00C34CF2">
        <w:t xml:space="preserve"> notices of incident and condition reports are crucial for ensuring that claims against road authorities are assessed efficiently and fairly, based on accurate and timely information. Prescribing the information to be included in each reduces ambiguity and contributes to more efficient notification process, which may, in turn lead to faster maintenance and repairs.</w:t>
      </w:r>
    </w:p>
    <w:p w14:paraId="03E8D54D" w14:textId="1C4BE0B3" w:rsidR="0085355C" w:rsidRDefault="0051114B" w:rsidP="00C34CF2">
      <w:r w:rsidRPr="0051114B">
        <w:t xml:space="preserve">Option 1 </w:t>
      </w:r>
      <w:r w:rsidR="0068672A">
        <w:t xml:space="preserve">also </w:t>
      </w:r>
      <w:r w:rsidR="003902D9">
        <w:t xml:space="preserve">introduces changes to </w:t>
      </w:r>
      <w:r w:rsidR="0068672A">
        <w:t>ensur</w:t>
      </w:r>
      <w:r w:rsidR="003902D9">
        <w:t>e</w:t>
      </w:r>
      <w:r w:rsidRPr="0051114B">
        <w:t xml:space="preserve"> the responsibility for certain bridge structures would be transferred from councils to the HTfV. It is expected that this change would reduce the potential for delays in repairs or for those repairs to be carried out at a lower standard, as the responsibility for these bridge structures would be transferred to those with the most appropriate technical capabilities. Given the specific nature of these structures, </w:t>
      </w:r>
      <w:r w:rsidR="0085355C">
        <w:t>the changes</w:t>
      </w:r>
      <w:r w:rsidRPr="0051114B">
        <w:t xml:space="preserve"> would be expected to </w:t>
      </w:r>
      <w:r w:rsidR="00010352">
        <w:t xml:space="preserve">provide </w:t>
      </w:r>
      <w:r w:rsidR="0085355C">
        <w:t>a</w:t>
      </w:r>
      <w:r w:rsidR="00010352">
        <w:t xml:space="preserve"> </w:t>
      </w:r>
      <w:r w:rsidR="0077565B">
        <w:t>moderate</w:t>
      </w:r>
      <w:r w:rsidRPr="0051114B">
        <w:t xml:space="preserve"> improvement over </w:t>
      </w:r>
      <w:r w:rsidR="00E438D3">
        <w:t>the base case</w:t>
      </w:r>
      <w:r w:rsidRPr="0051114B">
        <w:t xml:space="preserve">. </w:t>
      </w:r>
    </w:p>
    <w:p w14:paraId="7DDBF3C1" w14:textId="4BBC39FD" w:rsidR="009B4338" w:rsidRDefault="00060D88" w:rsidP="00C34CF2">
      <w:r>
        <w:t xml:space="preserve">Ensuring the regular review and public awareness of road management plans, </w:t>
      </w:r>
      <w:r w:rsidR="00527BC2">
        <w:t xml:space="preserve">providing greater clarity </w:t>
      </w:r>
      <w:r w:rsidR="00647A3D">
        <w:t xml:space="preserve">regarding </w:t>
      </w:r>
      <w:r w:rsidR="00871244">
        <w:t>notices of incident</w:t>
      </w:r>
      <w:r w:rsidR="00327153">
        <w:t>s</w:t>
      </w:r>
      <w:r w:rsidR="00AD1C65">
        <w:t xml:space="preserve"> and </w:t>
      </w:r>
      <w:r w:rsidR="00E42019">
        <w:t>ensuring that the appropriate road authority is responsible for bri</w:t>
      </w:r>
      <w:r w:rsidR="00BE6AAD">
        <w:t>dge structures is expected to provide a</w:t>
      </w:r>
      <w:r w:rsidR="00647A3D">
        <w:t xml:space="preserve"> moderate</w:t>
      </w:r>
      <w:r w:rsidR="00D14B6A">
        <w:t xml:space="preserve"> to high level of</w:t>
      </w:r>
      <w:r w:rsidR="00647A3D">
        <w:t xml:space="preserve"> improvement </w:t>
      </w:r>
      <w:r w:rsidR="00894305">
        <w:t>to road maintenance</w:t>
      </w:r>
      <w:r w:rsidR="00647A3D">
        <w:t>.</w:t>
      </w:r>
      <w:r w:rsidR="00681740">
        <w:t xml:space="preserve"> Therefore,</w:t>
      </w:r>
      <w:r w:rsidR="0051114B" w:rsidRPr="0051114B">
        <w:t xml:space="preserve"> Option </w:t>
      </w:r>
      <w:r w:rsidR="00E438D3">
        <w:t>1</w:t>
      </w:r>
      <w:r w:rsidR="0051114B" w:rsidRPr="0051114B">
        <w:t xml:space="preserve"> is given a score of </w:t>
      </w:r>
      <w:r w:rsidR="00652449" w:rsidRPr="00652449">
        <w:rPr>
          <w:b/>
          <w:bCs/>
        </w:rPr>
        <w:t>+</w:t>
      </w:r>
      <w:r w:rsidR="008B72FE">
        <w:rPr>
          <w:b/>
          <w:bCs/>
        </w:rPr>
        <w:t>6</w:t>
      </w:r>
      <w:r w:rsidR="00681740" w:rsidRPr="00681740">
        <w:t xml:space="preserve"> </w:t>
      </w:r>
      <w:r w:rsidR="00681740">
        <w:t>compared to the base case</w:t>
      </w:r>
      <w:r w:rsidR="0051114B" w:rsidRPr="0051114B">
        <w:t>.</w:t>
      </w:r>
    </w:p>
    <w:p w14:paraId="2B4D7F76" w14:textId="77777777" w:rsidR="00C34CF2" w:rsidRPr="00C63FF8" w:rsidRDefault="00C34CF2" w:rsidP="00F23FC3">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lastRenderedPageBreak/>
        <w:t>Safety</w:t>
      </w:r>
    </w:p>
    <w:p w14:paraId="06D5F12A" w14:textId="77B127BC" w:rsidR="00B90F8C" w:rsidRDefault="00B90F8C" w:rsidP="00C34CF2">
      <w:pPr>
        <w:rPr>
          <w:i/>
        </w:rPr>
      </w:pPr>
      <w:r w:rsidRPr="00B90F8C">
        <w:rPr>
          <w:i/>
        </w:rPr>
        <w:t xml:space="preserve">Option </w:t>
      </w:r>
      <w:r>
        <w:rPr>
          <w:i/>
        </w:rPr>
        <w:t>1</w:t>
      </w:r>
      <w:r w:rsidRPr="00B90F8C">
        <w:rPr>
          <w:i/>
        </w:rPr>
        <w:t xml:space="preserve"> (Remake with minor changes)</w:t>
      </w:r>
    </w:p>
    <w:p w14:paraId="081E02FA" w14:textId="7C17A5CE" w:rsidR="00E40583" w:rsidRPr="00C34CF2" w:rsidRDefault="00C34CF2" w:rsidP="00C34CF2">
      <w:r w:rsidRPr="00C34CF2">
        <w:t xml:space="preserve">Road authorities, infrastructure managers and works managers have certain duties under the Act. There are several principles in which a failure to uphold may result in the relevant party being negligent in its duties. For example, if a coordinating road authority does not comply with its own road management plan or maintenance policies or standards, it may be liable for damages. </w:t>
      </w:r>
    </w:p>
    <w:p w14:paraId="18071343" w14:textId="2039623A" w:rsidR="00C34CF2" w:rsidRPr="00C34CF2" w:rsidRDefault="00C34CF2" w:rsidP="00C34CF2">
      <w:r w:rsidRPr="00C34CF2">
        <w:t>Option 1 includes regulations which specify the period within which road management plans must be reviewed. This requirement ensures that coordinating road authorities’ approach to road maintenance is current best practice and consistent with other road authorities. Under the base case, there is no specified period, therefore it would be left up to coordinating road authorities as to whether or when they review their plans. As most of the obligations and duties are contained in the Act, there is only a slight improvement in safety outcomes under Option 1 compared to the base case</w:t>
      </w:r>
      <w:r w:rsidR="00F14392">
        <w:t xml:space="preserve"> with respect to road maintenance</w:t>
      </w:r>
      <w:r w:rsidRPr="00C34CF2">
        <w:t xml:space="preserve">. </w:t>
      </w:r>
    </w:p>
    <w:p w14:paraId="5B0ABAAD" w14:textId="04986D56" w:rsidR="00E15E3B" w:rsidRPr="00C34CF2" w:rsidRDefault="00C34CF2" w:rsidP="00C34CF2">
      <w:r w:rsidRPr="00C34CF2">
        <w:t xml:space="preserve">Under Option 1, there would be offences for interfering with roads or construction zones, climbing on or jumping from bridges, unauthorised access to HTfV property, and camping on the road reserve of freeways arterial roads and non-arterial roads for which the HTfV is the coordinating road authority. </w:t>
      </w:r>
    </w:p>
    <w:p w14:paraId="1A813005" w14:textId="77777777" w:rsidR="00C34CF2" w:rsidRPr="00C34CF2" w:rsidRDefault="00C34CF2" w:rsidP="00C34CF2">
      <w:r w:rsidRPr="00C34CF2">
        <w:t>Option 1 also includes criteria that coordinating road authorities must have regard to when deciding whether to give consent to place any structure, device or hoarding on or over the road. This includes whether it is likely to create a safety risk for road users by obscuring their field of view or otherwise cause a distraction.</w:t>
      </w:r>
    </w:p>
    <w:p w14:paraId="24F68F27" w14:textId="18A633B3" w:rsidR="00C34CF2" w:rsidRPr="00C34CF2" w:rsidRDefault="00C34CF2" w:rsidP="00C34CF2">
      <w:r w:rsidRPr="00C34CF2">
        <w:t xml:space="preserve">Under Option </w:t>
      </w:r>
      <w:r w:rsidR="00B90F8C">
        <w:t>1</w:t>
      </w:r>
      <w:r w:rsidRPr="00C34CF2">
        <w:t xml:space="preserve">, the regulations would </w:t>
      </w:r>
      <w:r w:rsidR="00B90F8C">
        <w:t>also</w:t>
      </w:r>
      <w:r w:rsidRPr="00C34CF2">
        <w:t xml:space="preserve"> contain </w:t>
      </w:r>
      <w:r w:rsidR="00D01CEB">
        <w:t>new</w:t>
      </w:r>
      <w:r w:rsidRPr="00C34CF2">
        <w:t xml:space="preserve"> prescribed requirements for applications for consent for works. As discussed </w:t>
      </w:r>
      <w:r w:rsidR="00B931EC">
        <w:t xml:space="preserve">in section </w:t>
      </w:r>
      <w:r w:rsidR="00647285">
        <w:fldChar w:fldCharType="begin"/>
      </w:r>
      <w:r w:rsidR="00647285">
        <w:instrText xml:space="preserve"> REF _Ref211416890 \r \h </w:instrText>
      </w:r>
      <w:r w:rsidR="00647285">
        <w:fldChar w:fldCharType="separate"/>
      </w:r>
      <w:r w:rsidR="00F170D0">
        <w:t>6.4.1.2</w:t>
      </w:r>
      <w:r w:rsidR="00647285">
        <w:fldChar w:fldCharType="end"/>
      </w:r>
      <w:r w:rsidR="00647285">
        <w:t>,</w:t>
      </w:r>
      <w:r w:rsidRPr="00C34CF2">
        <w:t xml:space="preserve"> this would minimise the opportunity for works to be carried out without the oversight of coordinating road authorities. In addition to reducing potential damage, it also reduces the likelihood of unsafe works.</w:t>
      </w:r>
    </w:p>
    <w:p w14:paraId="31C4212E" w14:textId="45DFF92D" w:rsidR="000C2BEF" w:rsidRPr="00C34CF2" w:rsidRDefault="00C34CF2" w:rsidP="00C34CF2">
      <w:r w:rsidRPr="00C34CF2">
        <w:t xml:space="preserve">In addition, </w:t>
      </w:r>
      <w:r w:rsidR="00D01CEB">
        <w:t>new</w:t>
      </w:r>
      <w:r w:rsidRPr="00C34CF2">
        <w:t xml:space="preserve"> regulation which transfers the responsibility for certain bridge structures</w:t>
      </w:r>
      <w:r w:rsidR="001124BB">
        <w:t xml:space="preserve"> over railway lines</w:t>
      </w:r>
      <w:r w:rsidRPr="00C34CF2">
        <w:t xml:space="preserve"> from municipal council</w:t>
      </w:r>
      <w:r w:rsidR="00482D57">
        <w:t>s</w:t>
      </w:r>
      <w:r w:rsidRPr="00C34CF2">
        <w:t xml:space="preserve"> to the HTfV is intended to ensure responsibility for those structures sits with those who have the appropriate technical expertise, also improv</w:t>
      </w:r>
      <w:r w:rsidR="00424AF2">
        <w:t>e</w:t>
      </w:r>
      <w:r w:rsidRPr="00C34CF2">
        <w:t xml:space="preserve"> overall safety. </w:t>
      </w:r>
    </w:p>
    <w:p w14:paraId="71F7B73A" w14:textId="25E4E51D" w:rsidR="00C34CF2" w:rsidRPr="00C34CF2" w:rsidRDefault="00D77469" w:rsidP="00C34CF2">
      <w:r>
        <w:t>The</w:t>
      </w:r>
      <w:r w:rsidR="00382352">
        <w:t xml:space="preserve"> </w:t>
      </w:r>
      <w:r w:rsidR="00144D56">
        <w:t xml:space="preserve">existing </w:t>
      </w:r>
      <w:r w:rsidR="00812326">
        <w:t>requirements regarding road management plans, offences for unsafe behaviours, and criteria</w:t>
      </w:r>
      <w:r w:rsidR="00382352">
        <w:t xml:space="preserve"> for pla</w:t>
      </w:r>
      <w:r w:rsidR="00C707A2">
        <w:t xml:space="preserve">cing signs and hoardings on the road contribute to a </w:t>
      </w:r>
      <w:r w:rsidR="00CA79D4">
        <w:t>small</w:t>
      </w:r>
      <w:r w:rsidR="00C707A2">
        <w:t xml:space="preserve"> increase in overall safety</w:t>
      </w:r>
      <w:r w:rsidR="00812326">
        <w:t xml:space="preserve">. </w:t>
      </w:r>
      <w:r w:rsidR="00C707A2">
        <w:t>T</w:t>
      </w:r>
      <w:r w:rsidR="00C34CF2" w:rsidRPr="00C34CF2">
        <w:t>he</w:t>
      </w:r>
      <w:r w:rsidR="00812326">
        <w:t xml:space="preserve"> </w:t>
      </w:r>
      <w:r w:rsidR="00C34CF2" w:rsidRPr="00C34CF2">
        <w:t xml:space="preserve">two </w:t>
      </w:r>
      <w:r>
        <w:t xml:space="preserve">new </w:t>
      </w:r>
      <w:r w:rsidR="00812326">
        <w:t xml:space="preserve">proposed </w:t>
      </w:r>
      <w:r w:rsidR="00C34CF2" w:rsidRPr="00C34CF2">
        <w:t>additions</w:t>
      </w:r>
      <w:r>
        <w:t xml:space="preserve"> </w:t>
      </w:r>
      <w:r w:rsidR="00CA79D4">
        <w:t xml:space="preserve">to include minimum requirements for </w:t>
      </w:r>
      <w:r w:rsidR="00827953">
        <w:t xml:space="preserve">applications for consent and </w:t>
      </w:r>
      <w:r w:rsidR="003F56FC">
        <w:t xml:space="preserve">the change to the responsible road authority for bridge structures </w:t>
      </w:r>
      <w:r>
        <w:t>further improve</w:t>
      </w:r>
      <w:r w:rsidR="00C34CF2" w:rsidRPr="00C34CF2">
        <w:t xml:space="preserve"> the effect on safety</w:t>
      </w:r>
      <w:r>
        <w:t>.</w:t>
      </w:r>
      <w:r w:rsidR="00C34CF2" w:rsidRPr="00C34CF2">
        <w:t xml:space="preserve"> </w:t>
      </w:r>
      <w:r>
        <w:t>T</w:t>
      </w:r>
      <w:r w:rsidR="00C34CF2" w:rsidRPr="00C34CF2">
        <w:t>herefore</w:t>
      </w:r>
      <w:r w:rsidR="001124BB">
        <w:t>,</w:t>
      </w:r>
      <w:r w:rsidR="00C34CF2" w:rsidRPr="00C34CF2">
        <w:t xml:space="preserve"> Option </w:t>
      </w:r>
      <w:r>
        <w:t>1</w:t>
      </w:r>
      <w:r w:rsidR="00C34CF2" w:rsidRPr="00C34CF2">
        <w:t xml:space="preserve"> is </w:t>
      </w:r>
      <w:r>
        <w:t>given</w:t>
      </w:r>
      <w:r w:rsidR="00C34CF2" w:rsidRPr="00C34CF2">
        <w:t xml:space="preserve"> a</w:t>
      </w:r>
      <w:r w:rsidR="001124BB">
        <w:t>n overall</w:t>
      </w:r>
      <w:r w:rsidR="00C34CF2" w:rsidRPr="00C34CF2">
        <w:t xml:space="preserve"> score</w:t>
      </w:r>
      <w:r>
        <w:t xml:space="preserve"> of</w:t>
      </w:r>
      <w:r w:rsidR="00C34CF2" w:rsidRPr="00C34CF2">
        <w:t xml:space="preserve"> </w:t>
      </w:r>
      <w:r w:rsidR="00652449" w:rsidRPr="00652449">
        <w:rPr>
          <w:b/>
          <w:bCs/>
        </w:rPr>
        <w:t>+</w:t>
      </w:r>
      <w:r w:rsidR="00E6205E">
        <w:rPr>
          <w:b/>
          <w:bCs/>
        </w:rPr>
        <w:t>5</w:t>
      </w:r>
      <w:r w:rsidR="00C34CF2" w:rsidRPr="00C34CF2">
        <w:t>.</w:t>
      </w:r>
      <w:r w:rsidR="002669E5">
        <w:t xml:space="preserve"> </w:t>
      </w:r>
    </w:p>
    <w:p w14:paraId="473D2F1F" w14:textId="67E772C8" w:rsidR="00C34CF2" w:rsidRPr="00C34CF2" w:rsidRDefault="00C34CF2" w:rsidP="00F23FC3">
      <w:pPr>
        <w:pStyle w:val="Heading3-Numbered"/>
      </w:pPr>
      <w:bookmarkStart w:id="215" w:name="_Toc208847176"/>
      <w:bookmarkStart w:id="216" w:name="_Toc209440327"/>
      <w:bookmarkStart w:id="217" w:name="_Toc226448319"/>
      <w:r w:rsidRPr="00C34CF2">
        <w:t>Discussion of costs</w:t>
      </w:r>
      <w:bookmarkEnd w:id="215"/>
      <w:bookmarkEnd w:id="216"/>
      <w:r w:rsidR="00467901">
        <w:t xml:space="preserve"> (excluding fees)</w:t>
      </w:r>
      <w:bookmarkEnd w:id="217"/>
    </w:p>
    <w:p w14:paraId="11458644" w14:textId="77777777" w:rsidR="00C34CF2" w:rsidRPr="00C63FF8" w:rsidRDefault="00C34CF2" w:rsidP="00F23FC3">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Entities carrying out works</w:t>
      </w:r>
    </w:p>
    <w:p w14:paraId="6C5FC82E" w14:textId="6B403D33" w:rsidR="003F5F3F" w:rsidRDefault="003F5F3F" w:rsidP="00C34CF2">
      <w:pPr>
        <w:rPr>
          <w:i/>
        </w:rPr>
      </w:pPr>
      <w:r w:rsidRPr="003F5F3F">
        <w:rPr>
          <w:i/>
        </w:rPr>
        <w:t xml:space="preserve">Option </w:t>
      </w:r>
      <w:r>
        <w:rPr>
          <w:i/>
        </w:rPr>
        <w:t>1</w:t>
      </w:r>
      <w:r w:rsidRPr="003F5F3F">
        <w:rPr>
          <w:i/>
        </w:rPr>
        <w:t xml:space="preserve"> (Remake with minor changes)</w:t>
      </w:r>
    </w:p>
    <w:p w14:paraId="2A9E03DC" w14:textId="05FBEAD6" w:rsidR="00C34CF2" w:rsidRPr="00C34CF2" w:rsidRDefault="00C34CF2" w:rsidP="00C34CF2">
      <w:r w:rsidRPr="00C34CF2">
        <w:t xml:space="preserve">Option 1 includes prescribed requirements for applications where the proposed works affect any non-road infrastructure that is the responsibility of another infrastructure manager. Specifically, under Option 1, applications must include particulars of notices given, or proposed to be given, to the other infrastructure managers or works managers, and details of any consultation. Given the requirement to consult is under the Act, this information should </w:t>
      </w:r>
      <w:r w:rsidR="00943A6F">
        <w:t>al</w:t>
      </w:r>
      <w:r w:rsidRPr="00C34CF2">
        <w:t>ready</w:t>
      </w:r>
      <w:r w:rsidR="00305979">
        <w:t xml:space="preserve"> be</w:t>
      </w:r>
      <w:r w:rsidRPr="00C34CF2">
        <w:t xml:space="preserve"> available and </w:t>
      </w:r>
      <w:r w:rsidR="00620AC9">
        <w:t>the administrative burden of</w:t>
      </w:r>
      <w:r w:rsidR="00CA4B9F">
        <w:t xml:space="preserve"> provid</w:t>
      </w:r>
      <w:r w:rsidR="00C552C0">
        <w:t>ing road authorities with a copy of</w:t>
      </w:r>
      <w:r w:rsidR="00CA4B9F">
        <w:t xml:space="preserve"> </w:t>
      </w:r>
      <w:r w:rsidR="00736549">
        <w:t xml:space="preserve">the documentation </w:t>
      </w:r>
      <w:r w:rsidR="00C552C0">
        <w:t>would be modest</w:t>
      </w:r>
      <w:r w:rsidRPr="00C34CF2">
        <w:t>.</w:t>
      </w:r>
    </w:p>
    <w:p w14:paraId="58D23FF6" w14:textId="4BB397F5" w:rsidR="00915B1D" w:rsidRDefault="001327E4" w:rsidP="00C34CF2">
      <w:r>
        <w:t>Option 1 also</w:t>
      </w:r>
      <w:r w:rsidR="00C34CF2" w:rsidRPr="00C34CF2">
        <w:t xml:space="preserve"> propose</w:t>
      </w:r>
      <w:r w:rsidR="005F004C">
        <w:t>s</w:t>
      </w:r>
      <w:r w:rsidR="00C34CF2" w:rsidRPr="00C34CF2">
        <w:t xml:space="preserve"> </w:t>
      </w:r>
      <w:r w:rsidR="00483241">
        <w:t>an</w:t>
      </w:r>
      <w:r w:rsidR="00C34CF2" w:rsidRPr="00C34CF2">
        <w:t xml:space="preserve"> additional regulation outlining what needs to be included in an application for consent for works</w:t>
      </w:r>
      <w:r w:rsidR="008C5B5D">
        <w:t>. Adhering to these requirements</w:t>
      </w:r>
      <w:r w:rsidR="00C34CF2" w:rsidRPr="00C34CF2">
        <w:t xml:space="preserve"> </w:t>
      </w:r>
      <w:r w:rsidR="007137A9">
        <w:t>could</w:t>
      </w:r>
      <w:r w:rsidR="007137A9" w:rsidRPr="00C34CF2">
        <w:t xml:space="preserve"> </w:t>
      </w:r>
      <w:r w:rsidR="00C34CF2" w:rsidRPr="001E787B">
        <w:t xml:space="preserve">lead to </w:t>
      </w:r>
      <w:r w:rsidR="006F346A" w:rsidRPr="0092107C">
        <w:t>delays</w:t>
      </w:r>
      <w:r w:rsidR="00363AA3" w:rsidRPr="0092107C">
        <w:t xml:space="preserve"> and</w:t>
      </w:r>
      <w:r w:rsidR="00C34CF2" w:rsidRPr="0092107C">
        <w:t xml:space="preserve"> </w:t>
      </w:r>
      <w:r w:rsidR="00C34CF2" w:rsidRPr="001E787B">
        <w:t>increased costs if</w:t>
      </w:r>
      <w:r w:rsidR="00C34CF2" w:rsidRPr="00C34CF2">
        <w:t xml:space="preserve"> works managers </w:t>
      </w:r>
      <w:r w:rsidR="00363AA3">
        <w:t xml:space="preserve">and infrastructure managers </w:t>
      </w:r>
      <w:r w:rsidR="00C34CF2" w:rsidRPr="00C34CF2">
        <w:t>are</w:t>
      </w:r>
      <w:r w:rsidR="00925A85">
        <w:t xml:space="preserve"> not</w:t>
      </w:r>
      <w:r w:rsidR="00C34CF2" w:rsidRPr="00C34CF2">
        <w:t xml:space="preserve"> already preparing and providing this information</w:t>
      </w:r>
      <w:r w:rsidR="00CC65A8">
        <w:t xml:space="preserve"> to coordinating road authorities</w:t>
      </w:r>
      <w:r w:rsidR="00C34CF2" w:rsidRPr="00C34CF2">
        <w:t xml:space="preserve">. </w:t>
      </w:r>
      <w:r w:rsidR="0008756E">
        <w:t>T</w:t>
      </w:r>
      <w:r w:rsidR="00F052C5" w:rsidRPr="00C34CF2">
        <w:t>he Department believes that most</w:t>
      </w:r>
      <w:r w:rsidR="004D516C">
        <w:t xml:space="preserve"> </w:t>
      </w:r>
      <w:r w:rsidR="00F052C5" w:rsidRPr="00C34CF2">
        <w:t>of the</w:t>
      </w:r>
      <w:r w:rsidR="004D516C">
        <w:t xml:space="preserve"> proposed</w:t>
      </w:r>
      <w:r w:rsidR="00F052C5" w:rsidRPr="00C34CF2">
        <w:t xml:space="preserve"> information</w:t>
      </w:r>
      <w:r w:rsidR="004D516C">
        <w:t xml:space="preserve"> to be</w:t>
      </w:r>
      <w:r w:rsidR="00F052C5" w:rsidRPr="00C34CF2">
        <w:t xml:space="preserve"> supplied </w:t>
      </w:r>
      <w:r w:rsidR="00F052C5" w:rsidRPr="00C34CF2">
        <w:lastRenderedPageBreak/>
        <w:t>as part of an application is already held by applicants in some form (e.g. scope of works, traffic management plans, arborist reports, consultation documentation etc.).</w:t>
      </w:r>
      <w:r w:rsidR="00603B79">
        <w:t xml:space="preserve"> </w:t>
      </w:r>
      <w:r w:rsidR="0008756E" w:rsidRPr="00C34CF2">
        <w:t xml:space="preserve">However, </w:t>
      </w:r>
      <w:r w:rsidR="0008756E">
        <w:t>the</w:t>
      </w:r>
      <w:r w:rsidR="004B6E23">
        <w:t xml:space="preserve"> </w:t>
      </w:r>
      <w:r w:rsidR="006C342E">
        <w:t>p</w:t>
      </w:r>
      <w:r w:rsidR="0099510E">
        <w:t xml:space="preserve">roposed </w:t>
      </w:r>
      <w:r w:rsidR="004B6E23">
        <w:t>re</w:t>
      </w:r>
      <w:r w:rsidR="00305E7D">
        <w:t xml:space="preserve">gulation does require an additional </w:t>
      </w:r>
      <w:r w:rsidR="00102244">
        <w:t>report</w:t>
      </w:r>
      <w:r w:rsidR="00B745B0">
        <w:t xml:space="preserve"> </w:t>
      </w:r>
      <w:r w:rsidR="0099510E">
        <w:t xml:space="preserve">about how the proposed works will </w:t>
      </w:r>
      <w:r w:rsidR="0008756E">
        <w:t>be conducted</w:t>
      </w:r>
      <w:r w:rsidR="0026658F">
        <w:t xml:space="preserve"> in such a way as to minimise damage to roads, road infrastructure or the environment, and to minimise any disruption and risks to the safety and property of road users and the Victorian community more generally</w:t>
      </w:r>
      <w:r w:rsidR="00305E7D">
        <w:t xml:space="preserve">. </w:t>
      </w:r>
    </w:p>
    <w:p w14:paraId="31693B50" w14:textId="7E0B73F6" w:rsidR="006269F5" w:rsidRDefault="008D492B" w:rsidP="00C34CF2">
      <w:r>
        <w:t>Some of th</w:t>
      </w:r>
      <w:r w:rsidR="006D0195">
        <w:t>e</w:t>
      </w:r>
      <w:r>
        <w:t xml:space="preserve"> information </w:t>
      </w:r>
      <w:r w:rsidR="005A5053">
        <w:t xml:space="preserve">in this additional report </w:t>
      </w:r>
      <w:r w:rsidR="00FD5398">
        <w:t xml:space="preserve">would ordinarily form part of a Construction Environment </w:t>
      </w:r>
      <w:r w:rsidR="001B54E3">
        <w:t xml:space="preserve">Management </w:t>
      </w:r>
      <w:r w:rsidR="00FD5398">
        <w:t>Plan</w:t>
      </w:r>
      <w:r w:rsidR="001B54E3">
        <w:rPr>
          <w:rStyle w:val="FootnoteReference"/>
        </w:rPr>
        <w:footnoteReference w:id="20"/>
      </w:r>
      <w:r w:rsidR="00FD5398">
        <w:t>, which is often a requirement of coordinating road authorities</w:t>
      </w:r>
      <w:r w:rsidR="00915B1D">
        <w:t>,</w:t>
      </w:r>
      <w:r w:rsidR="00FD5398">
        <w:t xml:space="preserve"> </w:t>
      </w:r>
      <w:r w:rsidR="00915B1D">
        <w:t xml:space="preserve">although </w:t>
      </w:r>
      <w:r w:rsidR="00FD5398">
        <w:t>not al</w:t>
      </w:r>
      <w:r w:rsidR="00915B1D">
        <w:t xml:space="preserve">l </w:t>
      </w:r>
      <w:r w:rsidR="00065C00">
        <w:t xml:space="preserve">coordinating road authorities may require one, </w:t>
      </w:r>
      <w:r w:rsidR="005F3B5C">
        <w:t xml:space="preserve">and not all </w:t>
      </w:r>
      <w:r w:rsidR="00915B1D">
        <w:t xml:space="preserve">of the proposed information </w:t>
      </w:r>
      <w:r w:rsidR="005F3B5C">
        <w:t>may necessarily be</w:t>
      </w:r>
      <w:r w:rsidR="00915B1D">
        <w:t xml:space="preserve"> included in such a plan</w:t>
      </w:r>
      <w:r w:rsidR="00FD5398">
        <w:t>.</w:t>
      </w:r>
      <w:r w:rsidR="00305E7D">
        <w:t xml:space="preserve"> </w:t>
      </w:r>
      <w:r w:rsidR="00BC6B4E">
        <w:t>Therefore</w:t>
      </w:r>
      <w:r w:rsidR="002A58ED">
        <w:t>,</w:t>
      </w:r>
      <w:r w:rsidR="00BC6B4E">
        <w:t xml:space="preserve"> the </w:t>
      </w:r>
      <w:r w:rsidR="0089761C">
        <w:t xml:space="preserve">new </w:t>
      </w:r>
      <w:r w:rsidR="00BC6B4E">
        <w:t xml:space="preserve">requirement is expected to impose a small </w:t>
      </w:r>
      <w:r w:rsidR="007A4B46">
        <w:t xml:space="preserve">administrative burden </w:t>
      </w:r>
      <w:r w:rsidR="0063403A">
        <w:t>involved in the collation of existing information and the preparation of such a report.</w:t>
      </w:r>
      <w:r w:rsidR="00CF03D1">
        <w:t xml:space="preserve"> </w:t>
      </w:r>
    </w:p>
    <w:p w14:paraId="67E3E925" w14:textId="66A725C0" w:rsidR="00C34CF2" w:rsidRPr="00C34CF2" w:rsidRDefault="00961E3F" w:rsidP="00C34CF2">
      <w:r>
        <w:t>T</w:t>
      </w:r>
      <w:r w:rsidR="001B05F2">
        <w:t>he Department considers the</w:t>
      </w:r>
      <w:r w:rsidR="00792B84">
        <w:t xml:space="preserve"> costs to </w:t>
      </w:r>
      <w:r w:rsidR="000202DC">
        <w:t>entities carrying out works</w:t>
      </w:r>
      <w:r w:rsidR="00FF5D55">
        <w:t xml:space="preserve"> </w:t>
      </w:r>
      <w:r w:rsidR="00BD5E6B">
        <w:t xml:space="preserve">imposed </w:t>
      </w:r>
      <w:r w:rsidR="00FF5D55">
        <w:t>under Option 1</w:t>
      </w:r>
      <w:r>
        <w:t xml:space="preserve"> would be modest, </w:t>
      </w:r>
      <w:r w:rsidR="002502E4">
        <w:t>with an over</w:t>
      </w:r>
      <w:r w:rsidR="00522C55">
        <w:t xml:space="preserve">all rating of </w:t>
      </w:r>
      <w:r w:rsidR="00522C55" w:rsidRPr="0092107C">
        <w:rPr>
          <w:b/>
        </w:rPr>
        <w:t>-</w:t>
      </w:r>
      <w:r w:rsidR="00102244">
        <w:rPr>
          <w:b/>
        </w:rPr>
        <w:t>3</w:t>
      </w:r>
      <w:r w:rsidR="00BF531C" w:rsidRPr="00BF531C">
        <w:t xml:space="preserve"> </w:t>
      </w:r>
      <w:r w:rsidR="00BF531C">
        <w:t>compared to the base case</w:t>
      </w:r>
      <w:r w:rsidR="00E121C4">
        <w:t xml:space="preserve">. </w:t>
      </w:r>
    </w:p>
    <w:p w14:paraId="2D74215C" w14:textId="77777777" w:rsidR="00C34CF2" w:rsidRPr="00C63FF8" w:rsidRDefault="00C34CF2" w:rsidP="00F23FC3">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Road authorities</w:t>
      </w:r>
    </w:p>
    <w:p w14:paraId="2BB99013" w14:textId="06E694BC" w:rsidR="001B6A45" w:rsidRDefault="001B6A45" w:rsidP="00C34CF2">
      <w:pPr>
        <w:rPr>
          <w:i/>
        </w:rPr>
      </w:pPr>
      <w:r w:rsidRPr="001B6A45">
        <w:rPr>
          <w:i/>
        </w:rPr>
        <w:t xml:space="preserve">Option </w:t>
      </w:r>
      <w:r>
        <w:rPr>
          <w:i/>
        </w:rPr>
        <w:t>1</w:t>
      </w:r>
      <w:r w:rsidRPr="001B6A45">
        <w:rPr>
          <w:i/>
        </w:rPr>
        <w:t xml:space="preserve"> (Remake with minor changes)</w:t>
      </w:r>
    </w:p>
    <w:p w14:paraId="418C0C1E" w14:textId="1E0ECCDD" w:rsidR="0001241E" w:rsidRPr="00CF4410" w:rsidRDefault="006651CC" w:rsidP="00C34CF2">
      <w:r w:rsidRPr="00CF4410">
        <w:t xml:space="preserve">Option 1 includes a requirement to commence a review of a </w:t>
      </w:r>
      <w:r w:rsidR="004E23CE">
        <w:t xml:space="preserve">road management </w:t>
      </w:r>
      <w:r w:rsidRPr="00CF4410">
        <w:t>plan within four years of the completion of the last review</w:t>
      </w:r>
      <w:r>
        <w:t>.</w:t>
      </w:r>
      <w:r w:rsidRPr="00CF4410">
        <w:t xml:space="preserve"> </w:t>
      </w:r>
      <w:r w:rsidR="00E26367">
        <w:t xml:space="preserve">Costs </w:t>
      </w:r>
      <w:r w:rsidR="001751BD">
        <w:t xml:space="preserve">would </w:t>
      </w:r>
      <w:r w:rsidR="00C34CF2" w:rsidRPr="00CF4410">
        <w:t xml:space="preserve">increase the more frequently road authorities need to undertake a review. </w:t>
      </w:r>
      <w:r w:rsidR="00DA51D3" w:rsidRPr="001F601D">
        <w:t>Option 1 may</w:t>
      </w:r>
      <w:r w:rsidR="00FA38C7">
        <w:t>, in this way,</w:t>
      </w:r>
      <w:r w:rsidR="00DA51D3" w:rsidRPr="001F601D">
        <w:t xml:space="preserve"> result in some additional burden over the base case.</w:t>
      </w:r>
      <w:r w:rsidR="00FA4A47">
        <w:t xml:space="preserve"> </w:t>
      </w:r>
      <w:r w:rsidR="00A56596">
        <w:t xml:space="preserve">However, </w:t>
      </w:r>
      <w:r w:rsidR="00FA4A47">
        <w:t>the Department expects that</w:t>
      </w:r>
      <w:r w:rsidR="00F44CF9">
        <w:t xml:space="preserve"> </w:t>
      </w:r>
      <w:r w:rsidR="000B7E04" w:rsidRPr="00CF4410">
        <w:t>u</w:t>
      </w:r>
      <w:r w:rsidR="00FC78AA" w:rsidRPr="00CF4410">
        <w:t>nder the base case there would still be an incentive to review road management plans regularly to minimise liability. F</w:t>
      </w:r>
      <w:r w:rsidR="00C34CF2" w:rsidRPr="00CF4410">
        <w:t>ailing to update road management plans could expose road authorities to greater risk of liability claims which could be significantly more costly. It is in coordinating authorities’ best interest to regularly review their road management plans, irrespective of whether it is a mandatory requirement.</w:t>
      </w:r>
      <w:r w:rsidR="00FF6747" w:rsidRPr="00CF4410" w:rsidDel="00FF6747">
        <w:t xml:space="preserve"> </w:t>
      </w:r>
      <w:r w:rsidR="00CA54C1">
        <w:t xml:space="preserve">Therefore, the cost associated with the requirement to review road management plans every </w:t>
      </w:r>
      <w:r w:rsidR="00590100">
        <w:t xml:space="preserve">four </w:t>
      </w:r>
      <w:r w:rsidR="00CA54C1">
        <w:t>year</w:t>
      </w:r>
      <w:r w:rsidR="00590100">
        <w:t>s</w:t>
      </w:r>
      <w:r w:rsidR="00CA54C1">
        <w:t xml:space="preserve"> is estimated to be min</w:t>
      </w:r>
      <w:r w:rsidR="00637E13">
        <w:t>or</w:t>
      </w:r>
      <w:r w:rsidR="00CA54C1">
        <w:t>.</w:t>
      </w:r>
    </w:p>
    <w:p w14:paraId="12B6C922" w14:textId="506ABF80" w:rsidR="00C34CF2" w:rsidRDefault="004C7C43" w:rsidP="00C34CF2">
      <w:r>
        <w:t>Option 1 also</w:t>
      </w:r>
      <w:r w:rsidR="00C34CF2" w:rsidRPr="00C34CF2">
        <w:t xml:space="preserve"> </w:t>
      </w:r>
      <w:r>
        <w:t>requires road authorities to include prescribed</w:t>
      </w:r>
      <w:r w:rsidR="00C34CF2" w:rsidRPr="00C34CF2">
        <w:t xml:space="preserve"> additional information regarding controlled access roads in registers of public roads</w:t>
      </w:r>
      <w:r w:rsidR="00011495">
        <w:t xml:space="preserve">. </w:t>
      </w:r>
      <w:r w:rsidR="00D94959">
        <w:t>U</w:t>
      </w:r>
      <w:r w:rsidR="00F17BFE">
        <w:t>nder the base case, r</w:t>
      </w:r>
      <w:r w:rsidR="00152E81">
        <w:t xml:space="preserve">oad authorities </w:t>
      </w:r>
      <w:r w:rsidR="00E82DA8">
        <w:t>would already be required to</w:t>
      </w:r>
      <w:r w:rsidR="00152E81">
        <w:t xml:space="preserve"> </w:t>
      </w:r>
      <w:r w:rsidR="002C6B95">
        <w:t xml:space="preserve">keep a register of public </w:t>
      </w:r>
      <w:r w:rsidR="0010783F">
        <w:t>roads</w:t>
      </w:r>
      <w:r w:rsidR="008205F9">
        <w:t xml:space="preserve"> with </w:t>
      </w:r>
      <w:r w:rsidR="00754F63">
        <w:t>details</w:t>
      </w:r>
      <w:r w:rsidR="008205F9">
        <w:t xml:space="preserve"> set out in the Act. The additional regulation under Option 1 </w:t>
      </w:r>
      <w:r w:rsidR="005F70DA">
        <w:t xml:space="preserve">merely </w:t>
      </w:r>
      <w:r w:rsidR="00627AFC">
        <w:t xml:space="preserve">requires </w:t>
      </w:r>
      <w:r w:rsidR="00C41424">
        <w:t xml:space="preserve">the inclusion of a reference to </w:t>
      </w:r>
      <w:r w:rsidR="00CE7A1D">
        <w:t xml:space="preserve">declarations and notices for controlled access roads. </w:t>
      </w:r>
      <w:r w:rsidR="002C6B95">
        <w:t>Therefore, t</w:t>
      </w:r>
      <w:r w:rsidR="00152E81">
        <w:t xml:space="preserve">he impact </w:t>
      </w:r>
      <w:r w:rsidR="002C6B95">
        <w:t xml:space="preserve">of this regulation </w:t>
      </w:r>
      <w:r w:rsidR="00152E81">
        <w:t xml:space="preserve">is expected to be </w:t>
      </w:r>
      <w:r w:rsidR="003D051F">
        <w:t>very</w:t>
      </w:r>
      <w:r w:rsidR="00152E81">
        <w:t xml:space="preserve"> minor.</w:t>
      </w:r>
    </w:p>
    <w:p w14:paraId="7E01FD79" w14:textId="7449BB8E" w:rsidR="00C34CF2" w:rsidRPr="00857F6B" w:rsidRDefault="009318FB" w:rsidP="00C34CF2">
      <w:pPr>
        <w:rPr>
          <w:i/>
        </w:rPr>
      </w:pPr>
      <w:r w:rsidRPr="0092107C">
        <w:t xml:space="preserve">The </w:t>
      </w:r>
      <w:r w:rsidR="00F72843" w:rsidRPr="0092107C">
        <w:t>Department</w:t>
      </w:r>
      <w:r w:rsidRPr="0092107C">
        <w:t xml:space="preserve"> conside</w:t>
      </w:r>
      <w:r w:rsidR="00F72843" w:rsidRPr="0092107C">
        <w:t>r</w:t>
      </w:r>
      <w:r w:rsidRPr="0092107C">
        <w:t>s the costs to road authorities under Opt</w:t>
      </w:r>
      <w:r w:rsidR="00F72843" w:rsidRPr="0092107C">
        <w:t>ion 1 would be minor, with an overall rating of</w:t>
      </w:r>
      <w:r w:rsidR="00851CD7">
        <w:t xml:space="preserve"> </w:t>
      </w:r>
      <w:r w:rsidR="00F72843" w:rsidRPr="0092107C">
        <w:rPr>
          <w:b/>
        </w:rPr>
        <w:t>-1</w:t>
      </w:r>
      <w:r w:rsidR="00F72843" w:rsidRPr="0092107C">
        <w:t xml:space="preserve"> compared to the base case.</w:t>
      </w:r>
    </w:p>
    <w:p w14:paraId="3D570632" w14:textId="77777777" w:rsidR="00C34CF2" w:rsidRPr="00C63FF8" w:rsidRDefault="00C34CF2" w:rsidP="00F23FC3">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Road users and the broader community</w:t>
      </w:r>
    </w:p>
    <w:p w14:paraId="4E9582EE" w14:textId="3A9C825D" w:rsidR="00C34CF2" w:rsidRPr="00C34CF2" w:rsidRDefault="00A93C47" w:rsidP="00C34CF2">
      <w:pPr>
        <w:rPr>
          <w:i/>
        </w:rPr>
      </w:pPr>
      <w:r w:rsidRPr="00A93C47">
        <w:rPr>
          <w:i/>
        </w:rPr>
        <w:t xml:space="preserve">Option </w:t>
      </w:r>
      <w:r>
        <w:rPr>
          <w:i/>
        </w:rPr>
        <w:t>1</w:t>
      </w:r>
      <w:r w:rsidRPr="00A93C47">
        <w:rPr>
          <w:i/>
        </w:rPr>
        <w:t xml:space="preserve"> (Remake with minor changes)</w:t>
      </w:r>
    </w:p>
    <w:p w14:paraId="43A18B24" w14:textId="77777777" w:rsidR="00C34CF2" w:rsidRPr="00C34CF2" w:rsidRDefault="00C34CF2" w:rsidP="00C34CF2">
      <w:r w:rsidRPr="00C34CF2">
        <w:t>Some of the regulations under Option 1 could be said to reduce competition by prohibiting opportunities for business activities related to camping or abseiling on or around road infrastructure. However, the regulations provide the ability for road authorities to give permission to undertake these activities which would enable them to balance the risks and benefits on a case-by-case basis.</w:t>
      </w:r>
    </w:p>
    <w:p w14:paraId="2763C94F" w14:textId="4D184EDF" w:rsidR="00C34CF2" w:rsidRDefault="00C34CF2" w:rsidP="00C34CF2">
      <w:r w:rsidRPr="00C34CF2">
        <w:t xml:space="preserve">The requirements regarding what needs to be considered when assessing an application to place hoardings, signs and advertisements on roads may, to an extent, limits businesses’ abilities to freely advertise and promote their products or services in whatever way they see fit. However, the requirements are limited to matters related to distraction, obscuring the road and impacts on safety. Where consent is refused the regulations would provide applicants with the ability to request that the decision be reviewed by the Victorian </w:t>
      </w:r>
      <w:r w:rsidRPr="00C34CF2">
        <w:lastRenderedPageBreak/>
        <w:t xml:space="preserve">and Civil Administrative Tribunal (VCAT). This provides road authorities (and VCAT, where necessary) to balance the applicants’ freedom to conduct business with the safety of road users. </w:t>
      </w:r>
      <w:r w:rsidR="00E17D6B">
        <w:t>Therefore, any additional burden over the base case is estimated to be small.</w:t>
      </w:r>
    </w:p>
    <w:p w14:paraId="12489BAD" w14:textId="00E56486" w:rsidR="00C34CF2" w:rsidRDefault="009641F1" w:rsidP="00C34CF2">
      <w:r w:rsidRPr="00696C4E">
        <w:t>Under Option 1, r</w:t>
      </w:r>
      <w:r w:rsidR="00C34CF2" w:rsidRPr="00696C4E">
        <w:t xml:space="preserve">oad users would </w:t>
      </w:r>
      <w:r w:rsidR="00E627CB">
        <w:t xml:space="preserve">not </w:t>
      </w:r>
      <w:r w:rsidR="00C34CF2" w:rsidRPr="00696C4E">
        <w:t xml:space="preserve">be </w:t>
      </w:r>
      <w:r w:rsidR="00EB1719">
        <w:t xml:space="preserve">directly financially impacted by the proposed minimum requirements for applications for consent or the </w:t>
      </w:r>
      <w:r w:rsidR="006B33A9" w:rsidRPr="00696C4E">
        <w:t>proposed</w:t>
      </w:r>
      <w:r w:rsidR="00C34CF2" w:rsidRPr="00696C4E">
        <w:t xml:space="preserve"> change in responsibility for certain bridge structures being transferred from councils to the HTfV.</w:t>
      </w:r>
    </w:p>
    <w:p w14:paraId="526860EF" w14:textId="0BEBBCCB" w:rsidR="009A6BAA" w:rsidRPr="0092107C" w:rsidRDefault="004754C4" w:rsidP="00C34CF2">
      <w:pPr>
        <w:rPr>
          <w:i/>
        </w:rPr>
      </w:pPr>
      <w:r w:rsidRPr="00A30C6D">
        <w:t xml:space="preserve">The Department considers the costs to road </w:t>
      </w:r>
      <w:r>
        <w:t>users and the broader community</w:t>
      </w:r>
      <w:r w:rsidRPr="00A30C6D">
        <w:t xml:space="preserve"> under Option 1 would be very minor, with an overall rating of</w:t>
      </w:r>
      <w:r>
        <w:t xml:space="preserve"> </w:t>
      </w:r>
      <w:r w:rsidRPr="00A30C6D">
        <w:rPr>
          <w:b/>
        </w:rPr>
        <w:t>-1</w:t>
      </w:r>
      <w:r w:rsidRPr="00A30C6D">
        <w:t xml:space="preserve"> compared to the base case.</w:t>
      </w:r>
    </w:p>
    <w:p w14:paraId="597000AF" w14:textId="4F97E188" w:rsidR="00C34CF2" w:rsidRDefault="00C34CF2" w:rsidP="0023201D">
      <w:pPr>
        <w:pStyle w:val="Heading2-Numbered"/>
      </w:pPr>
      <w:bookmarkStart w:id="218" w:name="_Toc208847177"/>
      <w:bookmarkStart w:id="219" w:name="_Toc209440328"/>
      <w:bookmarkStart w:id="220" w:name="_Ref211524187"/>
      <w:bookmarkStart w:id="221" w:name="_Toc226448320"/>
      <w:r w:rsidRPr="00F23FC3">
        <w:t xml:space="preserve">Summary of </w:t>
      </w:r>
      <w:bookmarkEnd w:id="218"/>
      <w:bookmarkEnd w:id="219"/>
      <w:r w:rsidRPr="00F23FC3">
        <w:t>assessment</w:t>
      </w:r>
      <w:bookmarkEnd w:id="220"/>
      <w:bookmarkEnd w:id="221"/>
    </w:p>
    <w:p w14:paraId="791F461E" w14:textId="42A259FB" w:rsidR="00FC3752" w:rsidRPr="00FC3752" w:rsidRDefault="00FC3752" w:rsidP="00FC3752">
      <w:pPr>
        <w:pStyle w:val="Caption"/>
      </w:pPr>
      <w:bookmarkStart w:id="222" w:name="_Toc226448355"/>
      <w:r>
        <w:t xml:space="preserve">Table </w:t>
      </w:r>
      <w:r w:rsidR="005A7DAB">
        <w:fldChar w:fldCharType="begin"/>
      </w:r>
      <w:r w:rsidR="005A7DAB">
        <w:instrText xml:space="preserve"> SEQ Table \* ARABIC </w:instrText>
      </w:r>
      <w:r w:rsidR="005A7DAB">
        <w:fldChar w:fldCharType="separate"/>
      </w:r>
      <w:r w:rsidR="00F170D0">
        <w:rPr>
          <w:noProof/>
        </w:rPr>
        <w:t>7</w:t>
      </w:r>
      <w:r w:rsidR="005A7DAB">
        <w:rPr>
          <w:noProof/>
        </w:rPr>
        <w:fldChar w:fldCharType="end"/>
      </w:r>
      <w:r>
        <w:t xml:space="preserve"> – </w:t>
      </w:r>
      <w:r w:rsidR="00C34E23">
        <w:t>Summary of assessment</w:t>
      </w:r>
      <w:bookmarkEnd w:id="222"/>
    </w:p>
    <w:tbl>
      <w:tblPr>
        <w:tblStyle w:val="GridTable1Light"/>
        <w:tblW w:w="0" w:type="auto"/>
        <w:tblLook w:val="04A0" w:firstRow="1" w:lastRow="0" w:firstColumn="1" w:lastColumn="0" w:noHBand="0" w:noVBand="1"/>
      </w:tblPr>
      <w:tblGrid>
        <w:gridCol w:w="5807"/>
        <w:gridCol w:w="1249"/>
        <w:gridCol w:w="1154"/>
      </w:tblGrid>
      <w:tr w:rsidR="00C34CF2" w:rsidRPr="00C34CF2" w14:paraId="1ABD9EE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38D71A28" w14:textId="77777777" w:rsidR="00C34CF2" w:rsidRPr="00C34CF2" w:rsidRDefault="00C34CF2" w:rsidP="00C34CF2">
            <w:pPr>
              <w:spacing w:after="120"/>
            </w:pPr>
          </w:p>
        </w:tc>
        <w:tc>
          <w:tcPr>
            <w:tcW w:w="2403" w:type="dxa"/>
            <w:gridSpan w:val="2"/>
            <w:tcBorders>
              <w:bottom w:val="none" w:sz="0" w:space="0" w:color="auto"/>
            </w:tcBorders>
          </w:tcPr>
          <w:p w14:paraId="12DF4743" w14:textId="527EAD1C" w:rsidR="00C34CF2" w:rsidRPr="00C34CF2" w:rsidRDefault="00C34CF2" w:rsidP="00C34CF2">
            <w:pPr>
              <w:spacing w:after="120"/>
              <w:cnfStyle w:val="100000000000" w:firstRow="1" w:lastRow="0" w:firstColumn="0" w:lastColumn="0" w:oddVBand="0" w:evenVBand="0" w:oddHBand="0" w:evenHBand="0" w:firstRowFirstColumn="0" w:firstRowLastColumn="0" w:lastRowFirstColumn="0" w:lastRowLastColumn="0"/>
            </w:pPr>
            <w:r w:rsidRPr="00C34CF2">
              <w:t xml:space="preserve">Option </w:t>
            </w:r>
            <w:r w:rsidR="00942669">
              <w:t>1</w:t>
            </w:r>
          </w:p>
        </w:tc>
      </w:tr>
      <w:tr w:rsidR="00C34CF2" w:rsidRPr="00C34CF2" w14:paraId="2B440C43" w14:textId="77777777">
        <w:tc>
          <w:tcPr>
            <w:cnfStyle w:val="001000000000" w:firstRow="0" w:lastRow="0" w:firstColumn="1" w:lastColumn="0" w:oddVBand="0" w:evenVBand="0" w:oddHBand="0" w:evenHBand="0" w:firstRowFirstColumn="0" w:firstRowLastColumn="0" w:lastRowFirstColumn="0" w:lastRowLastColumn="0"/>
            <w:tcW w:w="5807" w:type="dxa"/>
          </w:tcPr>
          <w:p w14:paraId="77868572" w14:textId="77777777" w:rsidR="00C34CF2" w:rsidRPr="00C34CF2" w:rsidRDefault="00C34CF2" w:rsidP="00C34CF2">
            <w:pPr>
              <w:spacing w:after="120"/>
            </w:pPr>
            <w:r w:rsidRPr="00C34CF2">
              <w:t>Criteria</w:t>
            </w:r>
          </w:p>
        </w:tc>
        <w:tc>
          <w:tcPr>
            <w:tcW w:w="1249" w:type="dxa"/>
          </w:tcPr>
          <w:p w14:paraId="75154641"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r w:rsidRPr="00C34CF2">
              <w:t>Raw</w:t>
            </w:r>
          </w:p>
        </w:tc>
        <w:tc>
          <w:tcPr>
            <w:tcW w:w="1154" w:type="dxa"/>
          </w:tcPr>
          <w:p w14:paraId="4C3513C3"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r w:rsidRPr="00C34CF2">
              <w:t>Weighted</w:t>
            </w:r>
          </w:p>
        </w:tc>
      </w:tr>
      <w:tr w:rsidR="00C34CF2" w:rsidRPr="00C34CF2" w14:paraId="40DAECD4" w14:textId="77777777">
        <w:tc>
          <w:tcPr>
            <w:cnfStyle w:val="001000000000" w:firstRow="0" w:lastRow="0" w:firstColumn="1" w:lastColumn="0" w:oddVBand="0" w:evenVBand="0" w:oddHBand="0" w:evenHBand="0" w:firstRowFirstColumn="0" w:firstRowLastColumn="0" w:lastRowFirstColumn="0" w:lastRowLastColumn="0"/>
            <w:tcW w:w="5807" w:type="dxa"/>
          </w:tcPr>
          <w:p w14:paraId="6C9739CF" w14:textId="77777777" w:rsidR="00C34CF2" w:rsidRPr="00C34CF2" w:rsidRDefault="00C34CF2" w:rsidP="00C34CF2">
            <w:pPr>
              <w:spacing w:after="120"/>
            </w:pPr>
            <w:r w:rsidRPr="00C34CF2">
              <w:t xml:space="preserve">Protection of roads </w:t>
            </w:r>
            <w:r w:rsidRPr="00C34CF2">
              <w:rPr>
                <w:b w:val="0"/>
              </w:rPr>
              <w:t>(20% weighting)</w:t>
            </w:r>
          </w:p>
        </w:tc>
        <w:tc>
          <w:tcPr>
            <w:tcW w:w="1249" w:type="dxa"/>
          </w:tcPr>
          <w:p w14:paraId="14DBAB23" w14:textId="0EF7C640" w:rsidR="00C34CF2" w:rsidRPr="00C34CF2" w:rsidRDefault="00C06B0A" w:rsidP="00C34CF2">
            <w:pPr>
              <w:spacing w:after="120"/>
              <w:cnfStyle w:val="000000000000" w:firstRow="0" w:lastRow="0" w:firstColumn="0" w:lastColumn="0" w:oddVBand="0" w:evenVBand="0" w:oddHBand="0" w:evenHBand="0" w:firstRowFirstColumn="0" w:firstRowLastColumn="0" w:lastRowFirstColumn="0" w:lastRowLastColumn="0"/>
            </w:pPr>
            <w:r>
              <w:t>5</w:t>
            </w:r>
          </w:p>
        </w:tc>
        <w:tc>
          <w:tcPr>
            <w:tcW w:w="1154" w:type="dxa"/>
          </w:tcPr>
          <w:p w14:paraId="4A412951" w14:textId="527D4D1B"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r w:rsidRPr="00C34CF2">
              <w:t>1</w:t>
            </w:r>
          </w:p>
        </w:tc>
      </w:tr>
      <w:tr w:rsidR="00C34CF2" w:rsidRPr="00C34CF2" w14:paraId="60CC36AA" w14:textId="77777777">
        <w:tc>
          <w:tcPr>
            <w:cnfStyle w:val="001000000000" w:firstRow="0" w:lastRow="0" w:firstColumn="1" w:lastColumn="0" w:oddVBand="0" w:evenVBand="0" w:oddHBand="0" w:evenHBand="0" w:firstRowFirstColumn="0" w:firstRowLastColumn="0" w:lastRowFirstColumn="0" w:lastRowLastColumn="0"/>
            <w:tcW w:w="5807" w:type="dxa"/>
          </w:tcPr>
          <w:p w14:paraId="29BC6A24" w14:textId="77777777" w:rsidR="00C34CF2" w:rsidRPr="00C34CF2" w:rsidRDefault="00C34CF2" w:rsidP="00C34CF2">
            <w:pPr>
              <w:spacing w:after="120"/>
              <w:rPr>
                <w:b w:val="0"/>
              </w:rPr>
            </w:pPr>
            <w:r w:rsidRPr="00C34CF2">
              <w:t xml:space="preserve">Management of roads </w:t>
            </w:r>
            <w:r w:rsidRPr="00C34CF2">
              <w:rPr>
                <w:b w:val="0"/>
              </w:rPr>
              <w:t>(20% weighting)</w:t>
            </w:r>
          </w:p>
        </w:tc>
        <w:tc>
          <w:tcPr>
            <w:tcW w:w="1249" w:type="dxa"/>
          </w:tcPr>
          <w:p w14:paraId="1527033F"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r w:rsidRPr="00C34CF2">
              <w:t>8</w:t>
            </w:r>
          </w:p>
        </w:tc>
        <w:tc>
          <w:tcPr>
            <w:tcW w:w="1154" w:type="dxa"/>
          </w:tcPr>
          <w:p w14:paraId="14B437C5" w14:textId="77777777" w:rsidR="00C34CF2" w:rsidRPr="00C34CF2" w:rsidRDefault="00C34CF2" w:rsidP="00C34CF2">
            <w:pPr>
              <w:spacing w:after="120"/>
              <w:cnfStyle w:val="000000000000" w:firstRow="0" w:lastRow="0" w:firstColumn="0" w:lastColumn="0" w:oddVBand="0" w:evenVBand="0" w:oddHBand="0" w:evenHBand="0" w:firstRowFirstColumn="0" w:firstRowLastColumn="0" w:lastRowFirstColumn="0" w:lastRowLastColumn="0"/>
            </w:pPr>
            <w:r w:rsidRPr="00C34CF2">
              <w:t>1.6</w:t>
            </w:r>
          </w:p>
        </w:tc>
      </w:tr>
      <w:tr w:rsidR="00C34CF2" w:rsidRPr="00C34CF2" w14:paraId="2B9A52BA" w14:textId="77777777">
        <w:tc>
          <w:tcPr>
            <w:cnfStyle w:val="001000000000" w:firstRow="0" w:lastRow="0" w:firstColumn="1" w:lastColumn="0" w:oddVBand="0" w:evenVBand="0" w:oddHBand="0" w:evenHBand="0" w:firstRowFirstColumn="0" w:firstRowLastColumn="0" w:lastRowFirstColumn="0" w:lastRowLastColumn="0"/>
            <w:tcW w:w="5807" w:type="dxa"/>
          </w:tcPr>
          <w:p w14:paraId="1559F725" w14:textId="28C86A41" w:rsidR="00C34CF2" w:rsidRPr="00C34CF2" w:rsidRDefault="00C34CF2" w:rsidP="00C34CF2">
            <w:pPr>
              <w:spacing w:after="120"/>
            </w:pPr>
            <w:r w:rsidRPr="00C34CF2">
              <w:t xml:space="preserve">Maintenance of roads </w:t>
            </w:r>
            <w:r w:rsidRPr="00C34CF2">
              <w:rPr>
                <w:b w:val="0"/>
              </w:rPr>
              <w:t>(</w:t>
            </w:r>
            <w:r w:rsidR="009A2F1E">
              <w:rPr>
                <w:b w:val="0"/>
              </w:rPr>
              <w:t>5</w:t>
            </w:r>
            <w:r w:rsidRPr="00C34CF2">
              <w:rPr>
                <w:b w:val="0"/>
              </w:rPr>
              <w:t>% weighted)</w:t>
            </w:r>
          </w:p>
        </w:tc>
        <w:tc>
          <w:tcPr>
            <w:tcW w:w="1249" w:type="dxa"/>
          </w:tcPr>
          <w:p w14:paraId="46D8AA98" w14:textId="2C03E611" w:rsidR="00C34CF2" w:rsidRPr="00C34CF2" w:rsidRDefault="00C06B0A" w:rsidP="00C34CF2">
            <w:pPr>
              <w:spacing w:after="120"/>
              <w:cnfStyle w:val="000000000000" w:firstRow="0" w:lastRow="0" w:firstColumn="0" w:lastColumn="0" w:oddVBand="0" w:evenVBand="0" w:oddHBand="0" w:evenHBand="0" w:firstRowFirstColumn="0" w:firstRowLastColumn="0" w:lastRowFirstColumn="0" w:lastRowLastColumn="0"/>
            </w:pPr>
            <w:r>
              <w:t>6</w:t>
            </w:r>
          </w:p>
        </w:tc>
        <w:tc>
          <w:tcPr>
            <w:tcW w:w="1154" w:type="dxa"/>
          </w:tcPr>
          <w:p w14:paraId="01155CEB" w14:textId="2C9DEB2D" w:rsidR="00C34CF2" w:rsidRPr="00C34CF2" w:rsidRDefault="007062B2" w:rsidP="00C34CF2">
            <w:pPr>
              <w:spacing w:after="120"/>
              <w:cnfStyle w:val="000000000000" w:firstRow="0" w:lastRow="0" w:firstColumn="0" w:lastColumn="0" w:oddVBand="0" w:evenVBand="0" w:oddHBand="0" w:evenHBand="0" w:firstRowFirstColumn="0" w:firstRowLastColumn="0" w:lastRowFirstColumn="0" w:lastRowLastColumn="0"/>
            </w:pPr>
            <w:r>
              <w:t>0.</w:t>
            </w:r>
            <w:r w:rsidR="008E56D1">
              <w:t>3</w:t>
            </w:r>
          </w:p>
        </w:tc>
      </w:tr>
      <w:tr w:rsidR="00C34CF2" w:rsidRPr="00C34CF2" w14:paraId="258885FC" w14:textId="77777777">
        <w:tc>
          <w:tcPr>
            <w:cnfStyle w:val="001000000000" w:firstRow="0" w:lastRow="0" w:firstColumn="1" w:lastColumn="0" w:oddVBand="0" w:evenVBand="0" w:oddHBand="0" w:evenHBand="0" w:firstRowFirstColumn="0" w:firstRowLastColumn="0" w:lastRowFirstColumn="0" w:lastRowLastColumn="0"/>
            <w:tcW w:w="5807" w:type="dxa"/>
          </w:tcPr>
          <w:p w14:paraId="5A647B9E" w14:textId="77777777" w:rsidR="00C34CF2" w:rsidRPr="00C34CF2" w:rsidRDefault="00C34CF2" w:rsidP="00C34CF2">
            <w:pPr>
              <w:spacing w:after="120"/>
            </w:pPr>
            <w:r w:rsidRPr="00C34CF2">
              <w:t xml:space="preserve">Safety </w:t>
            </w:r>
            <w:r w:rsidRPr="00C34CF2">
              <w:rPr>
                <w:b w:val="0"/>
              </w:rPr>
              <w:t>(5% weighted)</w:t>
            </w:r>
          </w:p>
        </w:tc>
        <w:tc>
          <w:tcPr>
            <w:tcW w:w="1249" w:type="dxa"/>
          </w:tcPr>
          <w:p w14:paraId="248F4DD9" w14:textId="4153DE63" w:rsidR="00C34CF2" w:rsidRPr="00C34CF2" w:rsidRDefault="00C06B0A" w:rsidP="00C34CF2">
            <w:pPr>
              <w:spacing w:after="120"/>
              <w:cnfStyle w:val="000000000000" w:firstRow="0" w:lastRow="0" w:firstColumn="0" w:lastColumn="0" w:oddVBand="0" w:evenVBand="0" w:oddHBand="0" w:evenHBand="0" w:firstRowFirstColumn="0" w:firstRowLastColumn="0" w:lastRowFirstColumn="0" w:lastRowLastColumn="0"/>
            </w:pPr>
            <w:r>
              <w:t>5</w:t>
            </w:r>
          </w:p>
        </w:tc>
        <w:tc>
          <w:tcPr>
            <w:tcW w:w="1154" w:type="dxa"/>
          </w:tcPr>
          <w:p w14:paraId="28AA3A3A" w14:textId="498748EA" w:rsidR="00C34CF2" w:rsidRPr="00C34CF2" w:rsidRDefault="007062B2" w:rsidP="00C34CF2">
            <w:pPr>
              <w:spacing w:after="120"/>
              <w:cnfStyle w:val="000000000000" w:firstRow="0" w:lastRow="0" w:firstColumn="0" w:lastColumn="0" w:oddVBand="0" w:evenVBand="0" w:oddHBand="0" w:evenHBand="0" w:firstRowFirstColumn="0" w:firstRowLastColumn="0" w:lastRowFirstColumn="0" w:lastRowLastColumn="0"/>
            </w:pPr>
            <w:r>
              <w:t>0</w:t>
            </w:r>
            <w:r w:rsidR="00C34CF2" w:rsidRPr="00C34CF2">
              <w:t>.</w:t>
            </w:r>
            <w:r w:rsidR="00B654FF">
              <w:t>2</w:t>
            </w:r>
            <w:r w:rsidR="00C34CF2" w:rsidRPr="00C34CF2">
              <w:t>5</w:t>
            </w:r>
          </w:p>
        </w:tc>
      </w:tr>
      <w:tr w:rsidR="00C34CF2" w:rsidRPr="00C34CF2" w14:paraId="3E42AEE6" w14:textId="77777777">
        <w:tc>
          <w:tcPr>
            <w:cnfStyle w:val="001000000000" w:firstRow="0" w:lastRow="0" w:firstColumn="1" w:lastColumn="0" w:oddVBand="0" w:evenVBand="0" w:oddHBand="0" w:evenHBand="0" w:firstRowFirstColumn="0" w:firstRowLastColumn="0" w:lastRowFirstColumn="0" w:lastRowLastColumn="0"/>
            <w:tcW w:w="5807" w:type="dxa"/>
          </w:tcPr>
          <w:p w14:paraId="0188CFE5" w14:textId="77777777" w:rsidR="00C34CF2" w:rsidRPr="00C34CF2" w:rsidRDefault="00C34CF2" w:rsidP="00C34CF2">
            <w:pPr>
              <w:spacing w:after="120"/>
              <w:rPr>
                <w:b w:val="0"/>
              </w:rPr>
            </w:pPr>
            <w:r w:rsidRPr="00C34CF2">
              <w:t>Costs – entities carrying out works</w:t>
            </w:r>
            <w:r w:rsidRPr="00C34CF2">
              <w:rPr>
                <w:b w:val="0"/>
              </w:rPr>
              <w:t xml:space="preserve"> (25% weighting)</w:t>
            </w:r>
          </w:p>
        </w:tc>
        <w:tc>
          <w:tcPr>
            <w:tcW w:w="1249" w:type="dxa"/>
          </w:tcPr>
          <w:p w14:paraId="395CC48C" w14:textId="660527C0" w:rsidR="00C34CF2" w:rsidRPr="00C34CF2" w:rsidRDefault="00C06B0A" w:rsidP="00C34CF2">
            <w:pPr>
              <w:spacing w:after="120"/>
              <w:cnfStyle w:val="000000000000" w:firstRow="0" w:lastRow="0" w:firstColumn="0" w:lastColumn="0" w:oddVBand="0" w:evenVBand="0" w:oddHBand="0" w:evenHBand="0" w:firstRowFirstColumn="0" w:firstRowLastColumn="0" w:lastRowFirstColumn="0" w:lastRowLastColumn="0"/>
            </w:pPr>
            <w:r>
              <w:t>-3</w:t>
            </w:r>
          </w:p>
        </w:tc>
        <w:tc>
          <w:tcPr>
            <w:tcW w:w="1154" w:type="dxa"/>
          </w:tcPr>
          <w:p w14:paraId="36ED076D" w14:textId="2A5EF5C0" w:rsidR="00C34CF2" w:rsidRPr="00C34CF2" w:rsidRDefault="00E87E18" w:rsidP="00C34CF2">
            <w:pPr>
              <w:spacing w:after="120"/>
              <w:cnfStyle w:val="000000000000" w:firstRow="0" w:lastRow="0" w:firstColumn="0" w:lastColumn="0" w:oddVBand="0" w:evenVBand="0" w:oddHBand="0" w:evenHBand="0" w:firstRowFirstColumn="0" w:firstRowLastColumn="0" w:lastRowFirstColumn="0" w:lastRowLastColumn="0"/>
            </w:pPr>
            <w:r>
              <w:t>-0</w:t>
            </w:r>
            <w:r w:rsidR="00A14FBA">
              <w:t>.</w:t>
            </w:r>
            <w:r>
              <w:t>7</w:t>
            </w:r>
            <w:r w:rsidR="00C34CF2" w:rsidRPr="00C34CF2">
              <w:t>5</w:t>
            </w:r>
          </w:p>
        </w:tc>
      </w:tr>
      <w:tr w:rsidR="00C34CF2" w:rsidRPr="00C34CF2" w14:paraId="6613792D" w14:textId="77777777">
        <w:tc>
          <w:tcPr>
            <w:cnfStyle w:val="001000000000" w:firstRow="0" w:lastRow="0" w:firstColumn="1" w:lastColumn="0" w:oddVBand="0" w:evenVBand="0" w:oddHBand="0" w:evenHBand="0" w:firstRowFirstColumn="0" w:firstRowLastColumn="0" w:lastRowFirstColumn="0" w:lastRowLastColumn="0"/>
            <w:tcW w:w="5807" w:type="dxa"/>
          </w:tcPr>
          <w:p w14:paraId="1F3C8047" w14:textId="77777777" w:rsidR="00C34CF2" w:rsidRPr="00C34CF2" w:rsidRDefault="00C34CF2" w:rsidP="00C34CF2">
            <w:pPr>
              <w:spacing w:after="120"/>
            </w:pPr>
            <w:r w:rsidRPr="00C34CF2">
              <w:t xml:space="preserve">Costs – road authorities </w:t>
            </w:r>
            <w:r w:rsidRPr="00C34CF2">
              <w:rPr>
                <w:b w:val="0"/>
              </w:rPr>
              <w:t>(15% weighting)</w:t>
            </w:r>
          </w:p>
        </w:tc>
        <w:tc>
          <w:tcPr>
            <w:tcW w:w="1249" w:type="dxa"/>
          </w:tcPr>
          <w:p w14:paraId="57100575" w14:textId="18068A6A" w:rsidR="00C34CF2" w:rsidRPr="00C34CF2" w:rsidRDefault="00C06B0A" w:rsidP="00C34CF2">
            <w:pPr>
              <w:spacing w:after="120"/>
              <w:cnfStyle w:val="000000000000" w:firstRow="0" w:lastRow="0" w:firstColumn="0" w:lastColumn="0" w:oddVBand="0" w:evenVBand="0" w:oddHBand="0" w:evenHBand="0" w:firstRowFirstColumn="0" w:firstRowLastColumn="0" w:lastRowFirstColumn="0" w:lastRowLastColumn="0"/>
            </w:pPr>
            <w:r>
              <w:t>-1</w:t>
            </w:r>
          </w:p>
        </w:tc>
        <w:tc>
          <w:tcPr>
            <w:tcW w:w="1154" w:type="dxa"/>
          </w:tcPr>
          <w:p w14:paraId="1CAE4ED8" w14:textId="59D6AECB" w:rsidR="00C34CF2" w:rsidRPr="00C34CF2" w:rsidRDefault="00A15AAE" w:rsidP="00C34CF2">
            <w:pPr>
              <w:spacing w:after="120"/>
              <w:cnfStyle w:val="000000000000" w:firstRow="0" w:lastRow="0" w:firstColumn="0" w:lastColumn="0" w:oddVBand="0" w:evenVBand="0" w:oddHBand="0" w:evenHBand="0" w:firstRowFirstColumn="0" w:firstRowLastColumn="0" w:lastRowFirstColumn="0" w:lastRowLastColumn="0"/>
            </w:pPr>
            <w:r>
              <w:t>-0</w:t>
            </w:r>
            <w:r w:rsidR="00C34CF2" w:rsidRPr="00C34CF2">
              <w:t>.</w:t>
            </w:r>
            <w:r>
              <w:t>1</w:t>
            </w:r>
            <w:r w:rsidR="00C34CF2" w:rsidRPr="00C34CF2">
              <w:t>5</w:t>
            </w:r>
          </w:p>
        </w:tc>
      </w:tr>
      <w:tr w:rsidR="00C34CF2" w:rsidRPr="00C34CF2" w14:paraId="558E5246" w14:textId="77777777">
        <w:tc>
          <w:tcPr>
            <w:cnfStyle w:val="001000000000" w:firstRow="0" w:lastRow="0" w:firstColumn="1" w:lastColumn="0" w:oddVBand="0" w:evenVBand="0" w:oddHBand="0" w:evenHBand="0" w:firstRowFirstColumn="0" w:firstRowLastColumn="0" w:lastRowFirstColumn="0" w:lastRowLastColumn="0"/>
            <w:tcW w:w="5807" w:type="dxa"/>
          </w:tcPr>
          <w:p w14:paraId="141CA2D8" w14:textId="77777777" w:rsidR="00C34CF2" w:rsidRPr="00C34CF2" w:rsidRDefault="00C34CF2" w:rsidP="00C34CF2">
            <w:pPr>
              <w:spacing w:after="120"/>
            </w:pPr>
            <w:r w:rsidRPr="00C34CF2">
              <w:t xml:space="preserve">Costs – road users </w:t>
            </w:r>
            <w:r w:rsidRPr="00C34CF2">
              <w:rPr>
                <w:b w:val="0"/>
              </w:rPr>
              <w:t>(10% weighting)</w:t>
            </w:r>
          </w:p>
        </w:tc>
        <w:tc>
          <w:tcPr>
            <w:tcW w:w="1249" w:type="dxa"/>
          </w:tcPr>
          <w:p w14:paraId="60C00823" w14:textId="1BFC9A88" w:rsidR="00C34CF2" w:rsidRPr="00C34CF2" w:rsidRDefault="00C06B0A" w:rsidP="00C34CF2">
            <w:pPr>
              <w:spacing w:after="120"/>
              <w:cnfStyle w:val="000000000000" w:firstRow="0" w:lastRow="0" w:firstColumn="0" w:lastColumn="0" w:oddVBand="0" w:evenVBand="0" w:oddHBand="0" w:evenHBand="0" w:firstRowFirstColumn="0" w:firstRowLastColumn="0" w:lastRowFirstColumn="0" w:lastRowLastColumn="0"/>
            </w:pPr>
            <w:r>
              <w:t>-1</w:t>
            </w:r>
          </w:p>
        </w:tc>
        <w:tc>
          <w:tcPr>
            <w:tcW w:w="1154" w:type="dxa"/>
          </w:tcPr>
          <w:p w14:paraId="4205049A" w14:textId="44C125C1" w:rsidR="00C34CF2" w:rsidRPr="00C34CF2" w:rsidRDefault="00384967" w:rsidP="00C34CF2">
            <w:pPr>
              <w:spacing w:after="120"/>
              <w:cnfStyle w:val="000000000000" w:firstRow="0" w:lastRow="0" w:firstColumn="0" w:lastColumn="0" w:oddVBand="0" w:evenVBand="0" w:oddHBand="0" w:evenHBand="0" w:firstRowFirstColumn="0" w:firstRowLastColumn="0" w:lastRowFirstColumn="0" w:lastRowLastColumn="0"/>
            </w:pPr>
            <w:r>
              <w:t>-</w:t>
            </w:r>
            <w:r w:rsidR="007062B2">
              <w:t>0</w:t>
            </w:r>
            <w:r w:rsidR="00C34CF2" w:rsidRPr="00C34CF2">
              <w:t>.</w:t>
            </w:r>
            <w:r>
              <w:t>1</w:t>
            </w:r>
          </w:p>
        </w:tc>
      </w:tr>
      <w:tr w:rsidR="00C34CF2" w:rsidRPr="00C34CF2" w14:paraId="29D384E7" w14:textId="77777777">
        <w:tc>
          <w:tcPr>
            <w:cnfStyle w:val="001000000000" w:firstRow="0" w:lastRow="0" w:firstColumn="1" w:lastColumn="0" w:oddVBand="0" w:evenVBand="0" w:oddHBand="0" w:evenHBand="0" w:firstRowFirstColumn="0" w:firstRowLastColumn="0" w:lastRowFirstColumn="0" w:lastRowLastColumn="0"/>
            <w:tcW w:w="5807" w:type="dxa"/>
          </w:tcPr>
          <w:p w14:paraId="4FF72876" w14:textId="77777777" w:rsidR="00C34CF2" w:rsidRPr="00C34CF2" w:rsidRDefault="00C34CF2" w:rsidP="00C34CF2">
            <w:pPr>
              <w:spacing w:after="120"/>
            </w:pPr>
            <w:r w:rsidRPr="00C34CF2">
              <w:t>Total</w:t>
            </w:r>
          </w:p>
        </w:tc>
        <w:tc>
          <w:tcPr>
            <w:tcW w:w="1249" w:type="dxa"/>
          </w:tcPr>
          <w:p w14:paraId="5C7BDD69" w14:textId="59683945" w:rsidR="00C34CF2" w:rsidRPr="00C34CF2" w:rsidRDefault="00B61E50" w:rsidP="00C34CF2">
            <w:pPr>
              <w:spacing w:after="120"/>
              <w:cnfStyle w:val="000000000000" w:firstRow="0" w:lastRow="0" w:firstColumn="0" w:lastColumn="0" w:oddVBand="0" w:evenVBand="0" w:oddHBand="0" w:evenHBand="0" w:firstRowFirstColumn="0" w:firstRowLastColumn="0" w:lastRowFirstColumn="0" w:lastRowLastColumn="0"/>
              <w:rPr>
                <w:b/>
              </w:rPr>
            </w:pPr>
            <w:r>
              <w:rPr>
                <w:b/>
              </w:rPr>
              <w:t>19</w:t>
            </w:r>
          </w:p>
        </w:tc>
        <w:tc>
          <w:tcPr>
            <w:tcW w:w="1154" w:type="dxa"/>
          </w:tcPr>
          <w:p w14:paraId="16E9FE75" w14:textId="13CA773C" w:rsidR="00C34CF2" w:rsidRPr="00C34CF2" w:rsidRDefault="00694C6E" w:rsidP="00C34CF2">
            <w:pPr>
              <w:spacing w:after="120"/>
              <w:cnfStyle w:val="000000000000" w:firstRow="0" w:lastRow="0" w:firstColumn="0" w:lastColumn="0" w:oddVBand="0" w:evenVBand="0" w:oddHBand="0" w:evenHBand="0" w:firstRowFirstColumn="0" w:firstRowLastColumn="0" w:lastRowFirstColumn="0" w:lastRowLastColumn="0"/>
              <w:rPr>
                <w:b/>
              </w:rPr>
            </w:pPr>
            <w:r>
              <w:rPr>
                <w:b/>
              </w:rPr>
              <w:t>2</w:t>
            </w:r>
            <w:r w:rsidR="00FA6657">
              <w:rPr>
                <w:b/>
              </w:rPr>
              <w:t>.</w:t>
            </w:r>
            <w:r w:rsidR="006D4B8C">
              <w:rPr>
                <w:b/>
              </w:rPr>
              <w:t>1</w:t>
            </w:r>
            <w:r w:rsidR="00FA6657">
              <w:rPr>
                <w:b/>
              </w:rPr>
              <w:t>5</w:t>
            </w:r>
          </w:p>
        </w:tc>
      </w:tr>
    </w:tbl>
    <w:p w14:paraId="04CDE6BC" w14:textId="25ACE508" w:rsidR="00C34CF2" w:rsidRPr="00C34CF2" w:rsidRDefault="00C34CF2" w:rsidP="00C34CF2">
      <w:r w:rsidRPr="00C34CF2">
        <w:t xml:space="preserve">As discussed previously, the Department does not consider the base case to be a feasible option for the reasons set out in Chapter </w:t>
      </w:r>
      <w:r w:rsidR="00402BF1">
        <w:fldChar w:fldCharType="begin"/>
      </w:r>
      <w:r w:rsidR="00402BF1">
        <w:instrText xml:space="preserve"> REF _Ref211524499 \r \h </w:instrText>
      </w:r>
      <w:r w:rsidR="00402BF1">
        <w:fldChar w:fldCharType="separate"/>
      </w:r>
      <w:r w:rsidR="00F170D0">
        <w:t>5</w:t>
      </w:r>
      <w:r w:rsidR="00402BF1">
        <w:fldChar w:fldCharType="end"/>
      </w:r>
      <w:r w:rsidRPr="00C34CF2">
        <w:t>.</w:t>
      </w:r>
    </w:p>
    <w:p w14:paraId="6A196813" w14:textId="5D3C419F" w:rsidR="00C34CF2" w:rsidRPr="00C34CF2" w:rsidRDefault="00C34CF2" w:rsidP="00C34CF2">
      <w:r w:rsidRPr="00C34CF2">
        <w:t xml:space="preserve">Option 1 (remaking the current Regulations </w:t>
      </w:r>
      <w:r w:rsidR="00086F2A">
        <w:t>with minor changes</w:t>
      </w:r>
      <w:r w:rsidRPr="00C34CF2">
        <w:t xml:space="preserve">) provides significant benefits across all criteria. </w:t>
      </w:r>
      <w:r w:rsidR="00086F2A">
        <w:t>The</w:t>
      </w:r>
      <w:r w:rsidRPr="00C34CF2">
        <w:t xml:space="preserve"> </w:t>
      </w:r>
      <w:r w:rsidR="00410BDE">
        <w:t>status quo is</w:t>
      </w:r>
      <w:r w:rsidRPr="00C34CF2">
        <w:t xml:space="preserve"> </w:t>
      </w:r>
      <w:r w:rsidR="00AB5170">
        <w:t xml:space="preserve">essential when compared with the base case and the </w:t>
      </w:r>
      <w:r w:rsidR="001A48E2">
        <w:t xml:space="preserve">addition of the </w:t>
      </w:r>
      <w:r w:rsidR="00EB6E3C">
        <w:t xml:space="preserve">proposed </w:t>
      </w:r>
      <w:r w:rsidRPr="00C34CF2">
        <w:t>minor changes</w:t>
      </w:r>
      <w:r w:rsidR="00086F2A">
        <w:t xml:space="preserve"> </w:t>
      </w:r>
      <w:r w:rsidRPr="00C34CF2">
        <w:t>promote</w:t>
      </w:r>
      <w:r w:rsidR="001A48E2">
        <w:t>s</w:t>
      </w:r>
      <w:r w:rsidRPr="00C34CF2">
        <w:t xml:space="preserve"> </w:t>
      </w:r>
      <w:r w:rsidR="001A48E2">
        <w:t>increased</w:t>
      </w:r>
      <w:r w:rsidRPr="00C34CF2">
        <w:t xml:space="preserve"> positive impacts across all criteria.</w:t>
      </w:r>
    </w:p>
    <w:p w14:paraId="6BBAA06E" w14:textId="77777777" w:rsidR="00C34CF2" w:rsidRPr="00C34CF2" w:rsidRDefault="00C34CF2" w:rsidP="00F23FC3">
      <w:pPr>
        <w:pStyle w:val="Heading2-Numbered"/>
      </w:pPr>
      <w:bookmarkStart w:id="223" w:name="_Toc209440329"/>
      <w:bookmarkStart w:id="224" w:name="_Ref209605132"/>
      <w:bookmarkStart w:id="225" w:name="_Ref211524027"/>
      <w:bookmarkStart w:id="226" w:name="_Ref219966632"/>
      <w:bookmarkStart w:id="227" w:name="_Ref219966673"/>
      <w:bookmarkStart w:id="228" w:name="_Toc226448321"/>
      <w:r w:rsidRPr="00C34CF2">
        <w:t>Fees</w:t>
      </w:r>
      <w:bookmarkEnd w:id="223"/>
      <w:bookmarkEnd w:id="224"/>
      <w:bookmarkEnd w:id="225"/>
      <w:bookmarkEnd w:id="226"/>
      <w:bookmarkEnd w:id="227"/>
      <w:bookmarkEnd w:id="228"/>
    </w:p>
    <w:p w14:paraId="71A97BA4" w14:textId="77777777" w:rsidR="00C34CF2" w:rsidRPr="00C34CF2" w:rsidRDefault="00C34CF2" w:rsidP="00F23FC3">
      <w:pPr>
        <w:pStyle w:val="Heading3-Numbered"/>
      </w:pPr>
      <w:bookmarkStart w:id="229" w:name="_Toc209440330"/>
      <w:bookmarkStart w:id="230" w:name="_Toc226448322"/>
      <w:r w:rsidRPr="00C34CF2">
        <w:t>Method of assessment</w:t>
      </w:r>
      <w:bookmarkEnd w:id="229"/>
      <w:bookmarkEnd w:id="230"/>
    </w:p>
    <w:p w14:paraId="0DF94123" w14:textId="335627A1" w:rsidR="00C34CF2" w:rsidRPr="00C34CF2" w:rsidRDefault="00C34CF2" w:rsidP="00C34CF2">
      <w:r w:rsidRPr="00C34CF2">
        <w:t xml:space="preserve">The various options under consideration are assessed against the base case </w:t>
      </w:r>
      <w:r w:rsidR="00DA38D7">
        <w:t>of no prescribed fees</w:t>
      </w:r>
      <w:r w:rsidRPr="00C34CF2">
        <w:t xml:space="preserve"> and scored against specific criteria under an MCA. Each criterion is given a weighting, and each option’s score for that criterion is adjusted based on this weighting. The sum of the weighted score represents the total score for that option. The option with the highest total score would represent the option most able to meet the objectives</w:t>
      </w:r>
      <w:r w:rsidR="00336DC7">
        <w:t xml:space="preserve"> of</w:t>
      </w:r>
      <w:r w:rsidRPr="00C34CF2">
        <w:t xml:space="preserve"> the proposed regulations.</w:t>
      </w:r>
    </w:p>
    <w:p w14:paraId="2E448740" w14:textId="77777777" w:rsidR="00C34CF2" w:rsidRPr="00C34CF2" w:rsidRDefault="00C34CF2" w:rsidP="00C34CF2">
      <w:r w:rsidRPr="00C34CF2">
        <w:t>The Department will compare fee options and score those options by reference to the base case to assess whether the expected outcome resulting from each option represents a positive or negative change relative to the base case.</w:t>
      </w:r>
    </w:p>
    <w:p w14:paraId="16056A2F" w14:textId="77777777" w:rsidR="00C34CF2" w:rsidRPr="00C34CF2" w:rsidRDefault="00C34CF2" w:rsidP="00F23FC3">
      <w:pPr>
        <w:pStyle w:val="Heading3-Numbered"/>
      </w:pPr>
      <w:bookmarkStart w:id="231" w:name="_Toc209440331"/>
      <w:bookmarkStart w:id="232" w:name="_Toc226448323"/>
      <w:r w:rsidRPr="00C34CF2">
        <w:lastRenderedPageBreak/>
        <w:t>Criteria for assessment</w:t>
      </w:r>
      <w:bookmarkEnd w:id="231"/>
      <w:bookmarkEnd w:id="232"/>
    </w:p>
    <w:p w14:paraId="68C74EEF" w14:textId="77777777" w:rsidR="00C34CF2" w:rsidRPr="00C34CF2" w:rsidRDefault="00C34CF2" w:rsidP="00C34CF2">
      <w:r w:rsidRPr="00C34CF2">
        <w:t xml:space="preserve">The objectives of the proposed regulations in relation to cost recovery are to efficiently and equitably recover the costs of regulating road management laws, and to minimise any negative impact of regulatory fees on safety, small businesses and participation in road management and works activities. </w:t>
      </w:r>
    </w:p>
    <w:p w14:paraId="412C1A10" w14:textId="15FCE6AE" w:rsidR="00C34CF2" w:rsidRPr="00C34CF2" w:rsidRDefault="00C34CF2" w:rsidP="00C34CF2">
      <w:r w:rsidRPr="00C34CF2">
        <w:t xml:space="preserve">The Department believes that it is appropriate to consider the merits of the options referred to in this section with the objectives outlined in Chapter </w:t>
      </w:r>
      <w:r w:rsidR="00723E13">
        <w:fldChar w:fldCharType="begin"/>
      </w:r>
      <w:r w:rsidR="00723E13">
        <w:instrText xml:space="preserve"> REF _Ref224031208 \r \h </w:instrText>
      </w:r>
      <w:r w:rsidR="00723E13">
        <w:fldChar w:fldCharType="separate"/>
      </w:r>
      <w:r w:rsidR="00F170D0">
        <w:t>4</w:t>
      </w:r>
      <w:r w:rsidR="00723E13">
        <w:fldChar w:fldCharType="end"/>
      </w:r>
      <w:r w:rsidRPr="00C34CF2">
        <w:t>.</w:t>
      </w:r>
    </w:p>
    <w:p w14:paraId="53F0BF96" w14:textId="77777777" w:rsidR="00C34CF2" w:rsidRDefault="00C34CF2" w:rsidP="00C34CF2">
      <w:r w:rsidRPr="00C34CF2">
        <w:t>Each criterion must be weighted. The criteria of efficiency and equity have been given greater weight as these criteria are the primary considerations for designing and setting fees. A lesser weight is given to the compliance and safety criterion and small business and participation criterion. Regulatory fees are not directly intended to improve safety outcomes (that is the role of the underlying regulations) or improve small business and participation outcomes, but rather as a measure to recover the costs of regulations. The Department notes there may be an indirect effect on safety if, for example, fees are set too high and there are unintended consequences where operators avoid regulatory obligations. Similarly, if fees are set too high, the impact of higher fees may disproportionally fall on small business or participation in the conduct of works or installation of signage in road reserves, or acquisition of property information.</w:t>
      </w:r>
    </w:p>
    <w:p w14:paraId="38FE5CC2" w14:textId="75FA884E" w:rsidR="00D32DFB" w:rsidRDefault="00437C76" w:rsidP="00437C76">
      <w:pPr>
        <w:pStyle w:val="Caption"/>
      </w:pPr>
      <w:bookmarkStart w:id="233" w:name="_Toc226448356"/>
      <w:r>
        <w:t xml:space="preserve">Table </w:t>
      </w:r>
      <w:r w:rsidR="005A7DAB">
        <w:fldChar w:fldCharType="begin"/>
      </w:r>
      <w:r w:rsidR="005A7DAB">
        <w:instrText xml:space="preserve"> SEQ Table \* ARABIC </w:instrText>
      </w:r>
      <w:r w:rsidR="005A7DAB">
        <w:fldChar w:fldCharType="separate"/>
      </w:r>
      <w:r w:rsidR="00F170D0">
        <w:rPr>
          <w:noProof/>
        </w:rPr>
        <w:t>8</w:t>
      </w:r>
      <w:r w:rsidR="005A7DAB">
        <w:rPr>
          <w:noProof/>
        </w:rPr>
        <w:fldChar w:fldCharType="end"/>
      </w:r>
      <w:r>
        <w:t xml:space="preserve"> </w:t>
      </w:r>
      <w:r w:rsidR="00D32DFB">
        <w:t xml:space="preserve">– </w:t>
      </w:r>
      <w:r w:rsidR="00D32DFB" w:rsidRPr="00C34CF2">
        <w:t xml:space="preserve">MCA </w:t>
      </w:r>
      <w:r w:rsidR="00D32DFB">
        <w:t>f</w:t>
      </w:r>
      <w:r w:rsidR="00D32DFB" w:rsidRPr="00C34CF2">
        <w:t xml:space="preserve">ramework </w:t>
      </w:r>
      <w:r w:rsidR="00D32DFB">
        <w:t>c</w:t>
      </w:r>
      <w:r w:rsidR="00D32DFB" w:rsidRPr="00C34CF2">
        <w:t xml:space="preserve">riteria and </w:t>
      </w:r>
      <w:r w:rsidR="00D32DFB">
        <w:t>w</w:t>
      </w:r>
      <w:r w:rsidR="00D32DFB" w:rsidRPr="00C34CF2">
        <w:t>eightings</w:t>
      </w:r>
      <w:r w:rsidR="00D32DFB">
        <w:t xml:space="preserve"> for fees</w:t>
      </w:r>
      <w:bookmarkEnd w:id="233"/>
    </w:p>
    <w:tbl>
      <w:tblPr>
        <w:tblStyle w:val="TableGrid"/>
        <w:tblW w:w="0" w:type="auto"/>
        <w:tblLook w:val="04A0" w:firstRow="1" w:lastRow="0" w:firstColumn="1" w:lastColumn="0" w:noHBand="0" w:noVBand="1"/>
      </w:tblPr>
      <w:tblGrid>
        <w:gridCol w:w="1560"/>
        <w:gridCol w:w="7938"/>
        <w:gridCol w:w="1274"/>
      </w:tblGrid>
      <w:tr w:rsidR="00C34CF2" w:rsidRPr="00C34CF2" w14:paraId="008C03AD" w14:textId="77777777" w:rsidTr="00D32D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5F2CD49" w14:textId="77777777" w:rsidR="00C34CF2" w:rsidRPr="00C34CF2" w:rsidRDefault="00C34CF2" w:rsidP="00C34CF2">
            <w:pPr>
              <w:keepNext w:val="0"/>
            </w:pPr>
            <w:r w:rsidRPr="00C34CF2">
              <w:t>Criterion</w:t>
            </w:r>
          </w:p>
        </w:tc>
        <w:tc>
          <w:tcPr>
            <w:tcW w:w="7938" w:type="dxa"/>
          </w:tcPr>
          <w:p w14:paraId="5EBA43A8" w14:textId="77777777" w:rsidR="00C34CF2" w:rsidRPr="00C34CF2" w:rsidRDefault="00C34CF2" w:rsidP="00C34CF2">
            <w:pPr>
              <w:keepNext w:val="0"/>
              <w:cnfStyle w:val="100000000000" w:firstRow="1" w:lastRow="0" w:firstColumn="0" w:lastColumn="0" w:oddVBand="0" w:evenVBand="0" w:oddHBand="0" w:evenHBand="0" w:firstRowFirstColumn="0" w:firstRowLastColumn="0" w:lastRowFirstColumn="0" w:lastRowLastColumn="0"/>
            </w:pPr>
            <w:r w:rsidRPr="00C34CF2">
              <w:t>Description</w:t>
            </w:r>
          </w:p>
        </w:tc>
        <w:tc>
          <w:tcPr>
            <w:tcW w:w="1274" w:type="dxa"/>
          </w:tcPr>
          <w:p w14:paraId="2AC27194" w14:textId="77777777" w:rsidR="00C34CF2" w:rsidRPr="00C34CF2" w:rsidRDefault="00C34CF2" w:rsidP="00C34CF2">
            <w:pPr>
              <w:keepNext w:val="0"/>
              <w:cnfStyle w:val="100000000000" w:firstRow="1" w:lastRow="0" w:firstColumn="0" w:lastColumn="0" w:oddVBand="0" w:evenVBand="0" w:oddHBand="0" w:evenHBand="0" w:firstRowFirstColumn="0" w:firstRowLastColumn="0" w:lastRowFirstColumn="0" w:lastRowLastColumn="0"/>
            </w:pPr>
            <w:r w:rsidRPr="00C34CF2">
              <w:t>Weight</w:t>
            </w:r>
          </w:p>
        </w:tc>
      </w:tr>
      <w:tr w:rsidR="00C34CF2" w:rsidRPr="00C34CF2" w14:paraId="7F9698F5" w14:textId="77777777">
        <w:tc>
          <w:tcPr>
            <w:cnfStyle w:val="001000000000" w:firstRow="0" w:lastRow="0" w:firstColumn="1" w:lastColumn="0" w:oddVBand="0" w:evenVBand="0" w:oddHBand="0" w:evenHBand="0" w:firstRowFirstColumn="0" w:firstRowLastColumn="0" w:lastRowFirstColumn="0" w:lastRowLastColumn="0"/>
            <w:tcW w:w="1560" w:type="dxa"/>
          </w:tcPr>
          <w:p w14:paraId="1675AD36" w14:textId="77777777" w:rsidR="00C34CF2" w:rsidRPr="00C34CF2" w:rsidRDefault="00C34CF2" w:rsidP="00C34CF2">
            <w:pPr>
              <w:rPr>
                <w:b w:val="0"/>
              </w:rPr>
            </w:pPr>
            <w:r w:rsidRPr="00C34CF2">
              <w:rPr>
                <w:b w:val="0"/>
              </w:rPr>
              <w:t>Efficiency</w:t>
            </w:r>
          </w:p>
        </w:tc>
        <w:tc>
          <w:tcPr>
            <w:tcW w:w="7938" w:type="dxa"/>
          </w:tcPr>
          <w:p w14:paraId="3B82AE49"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The extent to which the option promotes or improves the way the resources are allocated within the economy. This is generally achieved when the prices charged reflect the actual costs of service provision. In this case, regulatory fees need to reflect the cost of regulation to avoid the distortions associated with the recovery of costs from the general taxpayer.</w:t>
            </w:r>
          </w:p>
        </w:tc>
        <w:tc>
          <w:tcPr>
            <w:tcW w:w="1274" w:type="dxa"/>
          </w:tcPr>
          <w:p w14:paraId="1F64F84E"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35%</w:t>
            </w:r>
          </w:p>
        </w:tc>
      </w:tr>
      <w:tr w:rsidR="00C34CF2" w:rsidRPr="00C34CF2" w14:paraId="38ADBFF1" w14:textId="77777777" w:rsidTr="00D32D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F76D9ED" w14:textId="77777777" w:rsidR="00C34CF2" w:rsidRPr="00C34CF2" w:rsidRDefault="00C34CF2" w:rsidP="00C34CF2">
            <w:pPr>
              <w:rPr>
                <w:b w:val="0"/>
              </w:rPr>
            </w:pPr>
            <w:r w:rsidRPr="00C34CF2">
              <w:rPr>
                <w:b w:val="0"/>
              </w:rPr>
              <w:t>Equity</w:t>
            </w:r>
          </w:p>
        </w:tc>
        <w:tc>
          <w:tcPr>
            <w:tcW w:w="7938" w:type="dxa"/>
          </w:tcPr>
          <w:p w14:paraId="1D933ABB"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Equity has multiple dimensions. Definitions of most relevance include: where users or entities that benefit from a good or service, or that give rise to regulation, pay for it; and where users with lower abilities to pay are able to afford government goods and services.</w:t>
            </w:r>
          </w:p>
        </w:tc>
        <w:tc>
          <w:tcPr>
            <w:tcW w:w="1274" w:type="dxa"/>
          </w:tcPr>
          <w:p w14:paraId="3440E569"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35%</w:t>
            </w:r>
          </w:p>
        </w:tc>
      </w:tr>
      <w:tr w:rsidR="00C34CF2" w:rsidRPr="00C34CF2" w14:paraId="5FB6F19E" w14:textId="77777777">
        <w:tc>
          <w:tcPr>
            <w:cnfStyle w:val="001000000000" w:firstRow="0" w:lastRow="0" w:firstColumn="1" w:lastColumn="0" w:oddVBand="0" w:evenVBand="0" w:oddHBand="0" w:evenHBand="0" w:firstRowFirstColumn="0" w:firstRowLastColumn="0" w:lastRowFirstColumn="0" w:lastRowLastColumn="0"/>
            <w:tcW w:w="1560" w:type="dxa"/>
          </w:tcPr>
          <w:p w14:paraId="7CA94F5F" w14:textId="77777777" w:rsidR="00C34CF2" w:rsidRPr="00C34CF2" w:rsidRDefault="00C34CF2" w:rsidP="00C34CF2">
            <w:pPr>
              <w:rPr>
                <w:b w:val="0"/>
              </w:rPr>
            </w:pPr>
            <w:r w:rsidRPr="00C34CF2">
              <w:rPr>
                <w:b w:val="0"/>
              </w:rPr>
              <w:t>Compliance and safety</w:t>
            </w:r>
          </w:p>
        </w:tc>
        <w:tc>
          <w:tcPr>
            <w:tcW w:w="7938" w:type="dxa"/>
          </w:tcPr>
          <w:p w14:paraId="0656F304" w14:textId="7493CF3F"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Minimising the impact on safety is a key objective of the regulations. If cost recovery and fee setting choices have negative impacts on compliance or reduce regulatory effectiveness, then it is reasonable to expect there may be negative impacts on safety outcomes.</w:t>
            </w:r>
          </w:p>
        </w:tc>
        <w:tc>
          <w:tcPr>
            <w:tcW w:w="1274" w:type="dxa"/>
          </w:tcPr>
          <w:p w14:paraId="50B58B89"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15%</w:t>
            </w:r>
          </w:p>
        </w:tc>
      </w:tr>
      <w:tr w:rsidR="00C34CF2" w:rsidRPr="00C34CF2" w14:paraId="3B1F6AD2" w14:textId="77777777" w:rsidTr="00D32D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86014FE" w14:textId="77777777" w:rsidR="00C34CF2" w:rsidRPr="00C34CF2" w:rsidRDefault="00C34CF2" w:rsidP="00C34CF2">
            <w:pPr>
              <w:rPr>
                <w:b w:val="0"/>
              </w:rPr>
            </w:pPr>
            <w:r w:rsidRPr="00C34CF2">
              <w:rPr>
                <w:b w:val="0"/>
              </w:rPr>
              <w:t>Small business and participation</w:t>
            </w:r>
          </w:p>
        </w:tc>
        <w:tc>
          <w:tcPr>
            <w:tcW w:w="7938" w:type="dxa"/>
          </w:tcPr>
          <w:p w14:paraId="6911F889" w14:textId="3B3C3565"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In setting regulations, it is government policy to give specific consideration to the potential impacts of proposed regulations on small business. This criterion describes the effect of the option on small business and assess the nature and extent of the impact on small businesses. This criterion is to assess the effect of the regulatory fee option on participation in the road management and works sector.</w:t>
            </w:r>
          </w:p>
        </w:tc>
        <w:tc>
          <w:tcPr>
            <w:tcW w:w="1274" w:type="dxa"/>
          </w:tcPr>
          <w:p w14:paraId="71789CAC"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15%</w:t>
            </w:r>
          </w:p>
        </w:tc>
      </w:tr>
    </w:tbl>
    <w:p w14:paraId="3F51C957" w14:textId="77777777" w:rsidR="00C34CF2" w:rsidRPr="00C34CF2" w:rsidRDefault="00C34CF2" w:rsidP="00F23FC3">
      <w:pPr>
        <w:pStyle w:val="Heading3-Numbered"/>
      </w:pPr>
      <w:bookmarkStart w:id="234" w:name="_Toc209440332"/>
      <w:bookmarkStart w:id="235" w:name="_Toc226448324"/>
      <w:r w:rsidRPr="00C34CF2">
        <w:t>Criteria scoring</w:t>
      </w:r>
      <w:bookmarkEnd w:id="234"/>
      <w:bookmarkEnd w:id="235"/>
    </w:p>
    <w:p w14:paraId="3FA5DA49" w14:textId="5967F4F8" w:rsidR="00C34CF2" w:rsidRPr="00C34CF2" w:rsidRDefault="00C34CF2" w:rsidP="00C34CF2">
      <w:r w:rsidRPr="00C34CF2">
        <w:t xml:space="preserve">For each fee option under consideration, a score will be assigned depending on the expected impact of the option on each of the criteria measured relative to the base case. A rating scale from -10 to +10 (as shown </w:t>
      </w:r>
      <w:r w:rsidR="00F928E6" w:rsidRPr="00C34CF2">
        <w:t xml:space="preserve">in </w:t>
      </w:r>
      <w:r w:rsidR="00F928E6">
        <w:t>the</w:t>
      </w:r>
      <w:r w:rsidR="00A92B47">
        <w:t xml:space="preserve"> table</w:t>
      </w:r>
      <w:r w:rsidRPr="00C34CF2">
        <w:t xml:space="preserve"> below) will be applied against each criterion. </w:t>
      </w:r>
    </w:p>
    <w:p w14:paraId="58B3E787" w14:textId="77777777" w:rsidR="00C34CF2" w:rsidRPr="00C34CF2" w:rsidRDefault="00C34CF2" w:rsidP="00C34CF2">
      <w:r w:rsidRPr="00C34CF2">
        <w:lastRenderedPageBreak/>
        <w:t>The fee options will be compared and rated by reference to whether the expected outcome resulting from the option represents a positive or negative impact relative to the base case. To arrive at the weighted scores for each option, the raw scores will be multiplied by their allocated weighting to give a weighted score.</w:t>
      </w:r>
    </w:p>
    <w:p w14:paraId="15FD81B6" w14:textId="219E6120" w:rsidR="00B1286D" w:rsidRDefault="00437C76" w:rsidP="00437C76">
      <w:pPr>
        <w:pStyle w:val="Caption"/>
      </w:pPr>
      <w:bookmarkStart w:id="236" w:name="_Ref215848144"/>
      <w:bookmarkStart w:id="237" w:name="_Toc226448357"/>
      <w:r>
        <w:t xml:space="preserve">Table </w:t>
      </w:r>
      <w:r w:rsidR="005A7DAB">
        <w:fldChar w:fldCharType="begin"/>
      </w:r>
      <w:r w:rsidR="005A7DAB">
        <w:instrText xml:space="preserve"> SEQ Table \* ARABIC </w:instrText>
      </w:r>
      <w:r w:rsidR="005A7DAB">
        <w:fldChar w:fldCharType="separate"/>
      </w:r>
      <w:r w:rsidR="00F170D0">
        <w:rPr>
          <w:noProof/>
        </w:rPr>
        <w:t>9</w:t>
      </w:r>
      <w:r w:rsidR="005A7DAB">
        <w:rPr>
          <w:noProof/>
        </w:rPr>
        <w:fldChar w:fldCharType="end"/>
      </w:r>
      <w:r w:rsidR="00404B18">
        <w:t xml:space="preserve"> </w:t>
      </w:r>
      <w:r w:rsidR="00B1286D">
        <w:t xml:space="preserve">– </w:t>
      </w:r>
      <w:r w:rsidR="00B1286D" w:rsidRPr="00C34CF2">
        <w:t xml:space="preserve">MCA </w:t>
      </w:r>
      <w:r w:rsidR="00B1286D">
        <w:t>s</w:t>
      </w:r>
      <w:r w:rsidR="00B1286D" w:rsidRPr="00C34CF2">
        <w:t xml:space="preserve">coring </w:t>
      </w:r>
      <w:r w:rsidR="00B1286D">
        <w:t>f</w:t>
      </w:r>
      <w:r w:rsidR="00B1286D" w:rsidRPr="00C34CF2">
        <w:t>ramework</w:t>
      </w:r>
      <w:r w:rsidR="00B1286D">
        <w:t xml:space="preserve"> for fees</w:t>
      </w:r>
      <w:bookmarkEnd w:id="236"/>
      <w:bookmarkEnd w:id="237"/>
    </w:p>
    <w:tbl>
      <w:tblPr>
        <w:tblStyle w:val="TableGrid"/>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977"/>
        <w:gridCol w:w="977"/>
        <w:gridCol w:w="978"/>
        <w:gridCol w:w="976"/>
        <w:gridCol w:w="955"/>
        <w:gridCol w:w="1000"/>
        <w:gridCol w:w="6"/>
        <w:gridCol w:w="972"/>
        <w:gridCol w:w="976"/>
        <w:gridCol w:w="978"/>
        <w:gridCol w:w="976"/>
        <w:gridCol w:w="981"/>
      </w:tblGrid>
      <w:tr w:rsidR="00674535" w:rsidRPr="00C34CF2" w14:paraId="6CCB7E2F" w14:textId="77777777" w:rsidTr="00CA1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pct"/>
            <w:gridSpan w:val="5"/>
            <w:shd w:val="clear" w:color="auto" w:fill="BBFDFA" w:themeFill="accent2" w:themeFillTint="33"/>
          </w:tcPr>
          <w:p w14:paraId="30A29F81" w14:textId="77777777" w:rsidR="00C34CF2" w:rsidRPr="00C34CF2" w:rsidRDefault="00C34CF2" w:rsidP="00C34CF2">
            <w:pPr>
              <w:keepNext w:val="0"/>
            </w:pPr>
            <w:r w:rsidRPr="00C34CF2">
              <w:t>Negative</w:t>
            </w:r>
          </w:p>
        </w:tc>
        <w:tc>
          <w:tcPr>
            <w:tcW w:w="468" w:type="pct"/>
            <w:gridSpan w:val="2"/>
          </w:tcPr>
          <w:p w14:paraId="69CDF107" w14:textId="77777777" w:rsidR="00C34CF2" w:rsidRPr="00C34CF2" w:rsidRDefault="00C34CF2" w:rsidP="00C34CF2">
            <w:pPr>
              <w:keepNext w:val="0"/>
              <w:cnfStyle w:val="100000000000" w:firstRow="1" w:lastRow="0" w:firstColumn="0" w:lastColumn="0" w:oddVBand="0" w:evenVBand="0" w:oddHBand="0" w:evenHBand="0" w:firstRowFirstColumn="0" w:firstRowLastColumn="0" w:lastRowFirstColumn="0" w:lastRowLastColumn="0"/>
            </w:pPr>
            <w:r w:rsidRPr="00C34CF2">
              <w:t>Neutral</w:t>
            </w:r>
          </w:p>
        </w:tc>
        <w:tc>
          <w:tcPr>
            <w:tcW w:w="2271" w:type="pct"/>
            <w:gridSpan w:val="5"/>
            <w:shd w:val="clear" w:color="auto" w:fill="59FFC9" w:themeFill="accent5" w:themeFillShade="BF"/>
          </w:tcPr>
          <w:p w14:paraId="1CA4793B" w14:textId="77777777" w:rsidR="00C34CF2" w:rsidRPr="00C34CF2" w:rsidRDefault="00C34CF2" w:rsidP="00C34CF2">
            <w:pPr>
              <w:keepNext w:val="0"/>
              <w:cnfStyle w:val="100000000000" w:firstRow="1" w:lastRow="0" w:firstColumn="0" w:lastColumn="0" w:oddVBand="0" w:evenVBand="0" w:oddHBand="0" w:evenHBand="0" w:firstRowFirstColumn="0" w:firstRowLastColumn="0" w:lastRowFirstColumn="0" w:lastRowLastColumn="0"/>
            </w:pPr>
            <w:r w:rsidRPr="00C34CF2">
              <w:t>Positive</w:t>
            </w:r>
          </w:p>
        </w:tc>
      </w:tr>
      <w:tr w:rsidR="00365813" w:rsidRPr="00C34CF2" w14:paraId="0B39FA07" w14:textId="77777777" w:rsidTr="00CA1D6E">
        <w:tc>
          <w:tcPr>
            <w:cnfStyle w:val="001000000000" w:firstRow="0" w:lastRow="0" w:firstColumn="1" w:lastColumn="0" w:oddVBand="0" w:evenVBand="0" w:oddHBand="0" w:evenHBand="0" w:firstRowFirstColumn="0" w:firstRowLastColumn="0" w:lastRowFirstColumn="0" w:lastRowLastColumn="0"/>
            <w:tcW w:w="454" w:type="pct"/>
            <w:shd w:val="clear" w:color="auto" w:fill="BBFDFA" w:themeFill="accent2" w:themeFillTint="33"/>
          </w:tcPr>
          <w:p w14:paraId="55B4C24A" w14:textId="77777777" w:rsidR="00C34CF2" w:rsidRPr="00C34CF2" w:rsidRDefault="00C34CF2" w:rsidP="00C34CF2">
            <w:pPr>
              <w:rPr>
                <w:b w:val="0"/>
              </w:rPr>
            </w:pPr>
            <w:r w:rsidRPr="00C34CF2">
              <w:rPr>
                <w:b w:val="0"/>
              </w:rPr>
              <w:t>-10</w:t>
            </w:r>
          </w:p>
        </w:tc>
        <w:tc>
          <w:tcPr>
            <w:tcW w:w="454" w:type="pct"/>
            <w:shd w:val="clear" w:color="auto" w:fill="BBFDFA" w:themeFill="accent2" w:themeFillTint="33"/>
          </w:tcPr>
          <w:p w14:paraId="128E7C68"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-7</w:t>
            </w:r>
          </w:p>
        </w:tc>
        <w:tc>
          <w:tcPr>
            <w:tcW w:w="455" w:type="pct"/>
            <w:shd w:val="clear" w:color="auto" w:fill="BBFDFA" w:themeFill="accent2" w:themeFillTint="33"/>
          </w:tcPr>
          <w:p w14:paraId="7F476E5B"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-5</w:t>
            </w:r>
          </w:p>
        </w:tc>
        <w:tc>
          <w:tcPr>
            <w:tcW w:w="454" w:type="pct"/>
            <w:shd w:val="clear" w:color="auto" w:fill="BBFDFA" w:themeFill="accent2" w:themeFillTint="33"/>
          </w:tcPr>
          <w:p w14:paraId="72618B52"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-3</w:t>
            </w:r>
          </w:p>
        </w:tc>
        <w:tc>
          <w:tcPr>
            <w:tcW w:w="444" w:type="pct"/>
            <w:shd w:val="clear" w:color="auto" w:fill="BBFDFA" w:themeFill="accent2" w:themeFillTint="33"/>
          </w:tcPr>
          <w:p w14:paraId="232AC925"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-1</w:t>
            </w:r>
          </w:p>
        </w:tc>
        <w:tc>
          <w:tcPr>
            <w:tcW w:w="465" w:type="pct"/>
          </w:tcPr>
          <w:p w14:paraId="3B7349C3"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0</w:t>
            </w:r>
          </w:p>
        </w:tc>
        <w:tc>
          <w:tcPr>
            <w:tcW w:w="455" w:type="pct"/>
            <w:gridSpan w:val="2"/>
            <w:shd w:val="clear" w:color="auto" w:fill="59FFC9" w:themeFill="accent5" w:themeFillShade="BF"/>
          </w:tcPr>
          <w:p w14:paraId="50E195F4"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1</w:t>
            </w:r>
          </w:p>
        </w:tc>
        <w:tc>
          <w:tcPr>
            <w:tcW w:w="454" w:type="pct"/>
            <w:shd w:val="clear" w:color="auto" w:fill="59FFC9" w:themeFill="accent5" w:themeFillShade="BF"/>
          </w:tcPr>
          <w:p w14:paraId="7942A2DB"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3</w:t>
            </w:r>
          </w:p>
        </w:tc>
        <w:tc>
          <w:tcPr>
            <w:tcW w:w="455" w:type="pct"/>
            <w:shd w:val="clear" w:color="auto" w:fill="59FFC9" w:themeFill="accent5" w:themeFillShade="BF"/>
          </w:tcPr>
          <w:p w14:paraId="0C6E9702"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5</w:t>
            </w:r>
          </w:p>
        </w:tc>
        <w:tc>
          <w:tcPr>
            <w:tcW w:w="454" w:type="pct"/>
            <w:shd w:val="clear" w:color="auto" w:fill="59FFC9" w:themeFill="accent5" w:themeFillShade="BF"/>
          </w:tcPr>
          <w:p w14:paraId="09A3ED7D"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7</w:t>
            </w:r>
          </w:p>
        </w:tc>
        <w:tc>
          <w:tcPr>
            <w:tcW w:w="456" w:type="pct"/>
            <w:shd w:val="clear" w:color="auto" w:fill="59FFC9" w:themeFill="accent5" w:themeFillShade="BF"/>
          </w:tcPr>
          <w:p w14:paraId="70DA8C01"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10</w:t>
            </w:r>
          </w:p>
        </w:tc>
      </w:tr>
      <w:tr w:rsidR="00365813" w:rsidRPr="00C34CF2" w14:paraId="2856D466" w14:textId="77777777" w:rsidTr="00CA1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 w:type="pct"/>
            <w:shd w:val="clear" w:color="auto" w:fill="BBFDFA" w:themeFill="accent2" w:themeFillTint="33"/>
          </w:tcPr>
          <w:p w14:paraId="4A39952A" w14:textId="77777777" w:rsidR="00C34CF2" w:rsidRPr="00C34CF2" w:rsidRDefault="00C34CF2" w:rsidP="00C34CF2">
            <w:pPr>
              <w:rPr>
                <w:b w:val="0"/>
              </w:rPr>
            </w:pPr>
            <w:r w:rsidRPr="00C34CF2">
              <w:rPr>
                <w:b w:val="0"/>
              </w:rPr>
              <w:t>Very high</w:t>
            </w:r>
          </w:p>
        </w:tc>
        <w:tc>
          <w:tcPr>
            <w:tcW w:w="454" w:type="pct"/>
            <w:shd w:val="clear" w:color="auto" w:fill="BBFDFA" w:themeFill="accent2" w:themeFillTint="33"/>
          </w:tcPr>
          <w:p w14:paraId="1E1C560F"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High</w:t>
            </w:r>
          </w:p>
        </w:tc>
        <w:tc>
          <w:tcPr>
            <w:tcW w:w="455" w:type="pct"/>
            <w:shd w:val="clear" w:color="auto" w:fill="BBFDFA" w:themeFill="accent2" w:themeFillTint="33"/>
          </w:tcPr>
          <w:p w14:paraId="401E4335"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Medium</w:t>
            </w:r>
          </w:p>
        </w:tc>
        <w:tc>
          <w:tcPr>
            <w:tcW w:w="454" w:type="pct"/>
            <w:shd w:val="clear" w:color="auto" w:fill="BBFDFA" w:themeFill="accent2" w:themeFillTint="33"/>
          </w:tcPr>
          <w:p w14:paraId="64052636"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Low</w:t>
            </w:r>
          </w:p>
        </w:tc>
        <w:tc>
          <w:tcPr>
            <w:tcW w:w="444" w:type="pct"/>
            <w:shd w:val="clear" w:color="auto" w:fill="BBFDFA" w:themeFill="accent2" w:themeFillTint="33"/>
          </w:tcPr>
          <w:p w14:paraId="3497DD47"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Very low</w:t>
            </w:r>
          </w:p>
        </w:tc>
        <w:tc>
          <w:tcPr>
            <w:tcW w:w="465" w:type="pct"/>
          </w:tcPr>
          <w:p w14:paraId="4110C9B4"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Nil</w:t>
            </w:r>
          </w:p>
        </w:tc>
        <w:tc>
          <w:tcPr>
            <w:tcW w:w="455" w:type="pct"/>
            <w:gridSpan w:val="2"/>
            <w:shd w:val="clear" w:color="auto" w:fill="59FFC9" w:themeFill="accent5" w:themeFillShade="BF"/>
          </w:tcPr>
          <w:p w14:paraId="3C16E139"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Very low</w:t>
            </w:r>
          </w:p>
        </w:tc>
        <w:tc>
          <w:tcPr>
            <w:tcW w:w="454" w:type="pct"/>
            <w:shd w:val="clear" w:color="auto" w:fill="59FFC9" w:themeFill="accent5" w:themeFillShade="BF"/>
          </w:tcPr>
          <w:p w14:paraId="54CB1196"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Low</w:t>
            </w:r>
          </w:p>
        </w:tc>
        <w:tc>
          <w:tcPr>
            <w:tcW w:w="455" w:type="pct"/>
            <w:shd w:val="clear" w:color="auto" w:fill="59FFC9" w:themeFill="accent5" w:themeFillShade="BF"/>
          </w:tcPr>
          <w:p w14:paraId="0D6E8515"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Medium</w:t>
            </w:r>
          </w:p>
        </w:tc>
        <w:tc>
          <w:tcPr>
            <w:tcW w:w="454" w:type="pct"/>
            <w:shd w:val="clear" w:color="auto" w:fill="59FFC9" w:themeFill="accent5" w:themeFillShade="BF"/>
          </w:tcPr>
          <w:p w14:paraId="63F42515"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High</w:t>
            </w:r>
          </w:p>
        </w:tc>
        <w:tc>
          <w:tcPr>
            <w:tcW w:w="456" w:type="pct"/>
            <w:shd w:val="clear" w:color="auto" w:fill="59FFC9" w:themeFill="accent5" w:themeFillShade="BF"/>
          </w:tcPr>
          <w:p w14:paraId="283F8826"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Very High</w:t>
            </w:r>
          </w:p>
        </w:tc>
      </w:tr>
    </w:tbl>
    <w:p w14:paraId="261F288B" w14:textId="77777777" w:rsidR="00C34CF2" w:rsidRPr="00C34CF2" w:rsidRDefault="00C34CF2" w:rsidP="00F23FC3">
      <w:pPr>
        <w:pStyle w:val="Heading3-Numbered"/>
      </w:pPr>
      <w:bookmarkStart w:id="238" w:name="_Toc209440333"/>
      <w:bookmarkStart w:id="239" w:name="_Toc226448325"/>
      <w:r w:rsidRPr="00C34CF2">
        <w:t>Assessment of options</w:t>
      </w:r>
      <w:bookmarkEnd w:id="238"/>
      <w:bookmarkEnd w:id="239"/>
    </w:p>
    <w:p w14:paraId="14632E05" w14:textId="77777777" w:rsidR="00C34CF2" w:rsidRPr="00C63FF8" w:rsidRDefault="00C34CF2" w:rsidP="0040550A">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ab/>
        <w:t>Option 1: Remake prescribed fees without changes (status quo)</w:t>
      </w:r>
    </w:p>
    <w:p w14:paraId="3BE94145" w14:textId="77777777" w:rsidR="00C34CF2" w:rsidRPr="00C34CF2" w:rsidRDefault="00C34CF2" w:rsidP="00C34CF2">
      <w:r w:rsidRPr="00C34CF2">
        <w:t>Under Option 1, current regulatory fees would be remade.</w:t>
      </w:r>
    </w:p>
    <w:p w14:paraId="7E79CA88" w14:textId="2F235942" w:rsidR="00C34CF2" w:rsidRPr="00C34CF2" w:rsidRDefault="00C34CF2" w:rsidP="00C34CF2">
      <w:r w:rsidRPr="00C34CF2">
        <w:rPr>
          <w:i/>
          <w:iCs/>
        </w:rPr>
        <w:t>Efficiency:</w:t>
      </w:r>
      <w:r w:rsidRPr="00C34CF2">
        <w:t xml:space="preserve"> The Department’s analysis in this RIS suggests that this option recovers all the regulatory costs associated with providing property information upon request</w:t>
      </w:r>
      <w:r w:rsidR="004035DD">
        <w:t xml:space="preserve">, and </w:t>
      </w:r>
      <w:r w:rsidR="00AF1973">
        <w:t xml:space="preserve">that </w:t>
      </w:r>
      <w:r w:rsidR="00DE5A69">
        <w:t>there may be</w:t>
      </w:r>
      <w:r w:rsidR="00A51A56">
        <w:t xml:space="preserve"> </w:t>
      </w:r>
      <w:r w:rsidR="005B548D">
        <w:t xml:space="preserve">a level of </w:t>
      </w:r>
      <w:r w:rsidR="007755EC">
        <w:t>over</w:t>
      </w:r>
      <w:r w:rsidR="005B548D">
        <w:t>-</w:t>
      </w:r>
      <w:r w:rsidR="007755EC">
        <w:t>recovery</w:t>
      </w:r>
      <w:r w:rsidR="00AF1973">
        <w:t>. Over-recovery of costs</w:t>
      </w:r>
      <w:r w:rsidR="00326669">
        <w:t xml:space="preserve"> is </w:t>
      </w:r>
      <w:r w:rsidR="00AF1973">
        <w:t>undesirable,</w:t>
      </w:r>
      <w:r w:rsidR="00326669">
        <w:t xml:space="preserve"> and </w:t>
      </w:r>
      <w:r w:rsidR="00CC3F99">
        <w:t xml:space="preserve">a more efficient proposal is discussed </w:t>
      </w:r>
      <w:r w:rsidR="00326669">
        <w:t>in Option 2</w:t>
      </w:r>
      <w:r w:rsidR="007755EC">
        <w:t>.</w:t>
      </w:r>
      <w:r w:rsidRPr="00C34CF2">
        <w:t xml:space="preserve"> </w:t>
      </w:r>
      <w:r w:rsidR="00D4312F">
        <w:t xml:space="preserve">Yet </w:t>
      </w:r>
      <w:r w:rsidRPr="00C34CF2">
        <w:t xml:space="preserve">efficiency under </w:t>
      </w:r>
      <w:r w:rsidR="00F31597">
        <w:t xml:space="preserve">Option 1 </w:t>
      </w:r>
      <w:r w:rsidRPr="00C34CF2">
        <w:t xml:space="preserve">is considered better than the base case. </w:t>
      </w:r>
      <w:r w:rsidR="00F31597">
        <w:t>Other</w:t>
      </w:r>
      <w:r w:rsidRPr="00C34CF2">
        <w:t xml:space="preserve"> regulatory costs, such as those associated with assessing applications to conduct works, achieve less than full cost recovery under this option. This suggests that the fee structure under Option 1 may not be achieving efficiency as much as is possible under alternative fees structures and is therefore only moderately better than the base case. For this reason, this criterion is scored </w:t>
      </w:r>
      <w:r w:rsidRPr="00C34CF2">
        <w:rPr>
          <w:b/>
          <w:bCs/>
        </w:rPr>
        <w:t>+3</w:t>
      </w:r>
      <w:r w:rsidRPr="00C34CF2">
        <w:t>.</w:t>
      </w:r>
    </w:p>
    <w:p w14:paraId="215BB4C6" w14:textId="77777777" w:rsidR="00C34CF2" w:rsidRPr="00C34CF2" w:rsidRDefault="00C34CF2" w:rsidP="00C34CF2">
      <w:r w:rsidRPr="00C34CF2">
        <w:rPr>
          <w:i/>
          <w:iCs/>
        </w:rPr>
        <w:t>Equity:</w:t>
      </w:r>
      <w:r w:rsidRPr="00C34CF2">
        <w:t xml:space="preserve"> This option charges different fees for applications for the conduct of different types of works on different types of roads based on the level of traffic management and associated risks involved. The presumption is that minor works on lower speed roads would cause less disruption. In general, those conducting works that are less disruptive may include smaller scale builders and developers, whose capacity to pay to conduct works may be less than utility companies, providers of public transport and other large operators. These large operators are more likely to conduct large scale projects which necessitate major traffic disruptions on major roads. There is only one set fee for property enquiries and those who benefit from the service are the ones who pay. This criterion is scored </w:t>
      </w:r>
      <w:r w:rsidRPr="00C34CF2">
        <w:rPr>
          <w:b/>
          <w:bCs/>
        </w:rPr>
        <w:t>+2</w:t>
      </w:r>
      <w:r w:rsidRPr="00C34CF2">
        <w:t>.</w:t>
      </w:r>
    </w:p>
    <w:p w14:paraId="5632E306" w14:textId="77777777" w:rsidR="00C34CF2" w:rsidRPr="00C34CF2" w:rsidRDefault="00C34CF2" w:rsidP="00C34CF2">
      <w:r w:rsidRPr="00C34CF2">
        <w:rPr>
          <w:i/>
          <w:iCs/>
        </w:rPr>
        <w:t>Compliance and safety:</w:t>
      </w:r>
      <w:r w:rsidRPr="00C34CF2">
        <w:t xml:space="preserve"> Any form of cost recovery gives rise to the risks of non-compliance with regulatory requirements. While these risks should be minimised so far as is possible, the Department considers there is likely only a minor impact on compliance and safety compared to the base case if fees were to remain at the status quo. The Department notes the base case would mean there are no exemptions from applying for consent to conduct works. Therefore, there would be a significantly larger number of works requiring consent and fees to be paid for the assessment of the associated applications. Current feedback suggests there are a number of works conducted on road reserves without consent. However, the core compliance issue for many companies such as utility providers may be more to do with the length of time to process applications rather than the fees required to be paid. Current compliance and safety outcomes do not suggest that regulatory fees have a significant impact on this criterion. Therefore, this criterion is scored </w:t>
      </w:r>
      <w:r w:rsidRPr="00C34CF2">
        <w:rPr>
          <w:b/>
          <w:bCs/>
        </w:rPr>
        <w:t>-1</w:t>
      </w:r>
      <w:r w:rsidRPr="00C34CF2">
        <w:t>.</w:t>
      </w:r>
    </w:p>
    <w:p w14:paraId="793C47E0" w14:textId="77777777" w:rsidR="00C34CF2" w:rsidRPr="00C34CF2" w:rsidRDefault="00C34CF2" w:rsidP="00C34CF2">
      <w:r w:rsidRPr="00C34CF2">
        <w:rPr>
          <w:i/>
          <w:iCs/>
        </w:rPr>
        <w:t>Small business and participation:</w:t>
      </w:r>
      <w:r w:rsidRPr="00C34CF2">
        <w:t xml:space="preserve"> Current feedback about the number of works on road reserves conducted without the required consent suggests there may be an impact of regulatory fees on small business and participation. However, it is difficult to establish if these works have been conducted by small businesses or larger companies, and if fees are a main barrier. The Department expects the fees involved in obtaining consent for works would be relatively minimal in comparison with other project costs and not likely a barrier </w:t>
      </w:r>
      <w:r w:rsidRPr="00C34CF2">
        <w:lastRenderedPageBreak/>
        <w:t xml:space="preserve">for most projects. The Department also expects the fees for property enquiries and hoardings and advertising may have a minimal impact on small business and participation Therefore, this criterion is score </w:t>
      </w:r>
      <w:r w:rsidRPr="00C34CF2">
        <w:rPr>
          <w:b/>
          <w:bCs/>
        </w:rPr>
        <w:t>-1</w:t>
      </w:r>
      <w:r w:rsidRPr="00C34CF2">
        <w:t>.</w:t>
      </w:r>
    </w:p>
    <w:p w14:paraId="189E4F65" w14:textId="77777777" w:rsidR="00C34CF2" w:rsidRPr="00C63FF8" w:rsidRDefault="00C34CF2" w:rsidP="0040550A">
      <w:pPr>
        <w:pStyle w:val="Heading4-Numbered"/>
        <w:rPr>
          <w14:textFill>
            <w14:solidFill>
              <w14:schemeClr w14:val="tx2">
                <w14:lumMod w14:val="75000"/>
                <w14:lumOff w14:val="25000"/>
                <w14:lumMod w14:val="75000"/>
                <w14:lumOff w14:val="25000"/>
                <w14:lumMod w14:val="75000"/>
              </w14:schemeClr>
            </w14:solidFill>
          </w14:textFill>
        </w:rPr>
      </w:pPr>
      <w:r w:rsidRPr="00C63FF8">
        <w:rPr>
          <w14:textFill>
            <w14:solidFill>
              <w14:schemeClr w14:val="tx2">
                <w14:lumMod w14:val="75000"/>
                <w14:lumOff w14:val="25000"/>
                <w14:lumMod w14:val="75000"/>
                <w14:lumOff w14:val="25000"/>
                <w14:lumMod w14:val="75000"/>
              </w14:schemeClr>
            </w14:solidFill>
          </w14:textFill>
        </w:rPr>
        <w:t>Option 2: Restructure fees to achieve full cost recovery for individual road management regulatory activities</w:t>
      </w:r>
    </w:p>
    <w:p w14:paraId="0C588247" w14:textId="77777777" w:rsidR="00C34CF2" w:rsidRPr="00C34CF2" w:rsidRDefault="00C34CF2" w:rsidP="00C34CF2">
      <w:r w:rsidRPr="00C34CF2">
        <w:t xml:space="preserve">Under Option 2, the Department considered: </w:t>
      </w:r>
    </w:p>
    <w:p w14:paraId="3A8A9431" w14:textId="77777777" w:rsidR="00C34CF2" w:rsidRPr="00C34CF2" w:rsidRDefault="00C34CF2" w:rsidP="005D15EA">
      <w:pPr>
        <w:numPr>
          <w:ilvl w:val="1"/>
          <w:numId w:val="25"/>
        </w:numPr>
        <w:ind w:left="426"/>
      </w:pPr>
      <w:r w:rsidRPr="00C34CF2">
        <w:t>Increasing all fee units for consent for works applications by 25 per cent.</w:t>
      </w:r>
    </w:p>
    <w:p w14:paraId="7163F0B1" w14:textId="77777777" w:rsidR="00C34CF2" w:rsidRPr="00C34CF2" w:rsidRDefault="00C34CF2" w:rsidP="005D15EA">
      <w:pPr>
        <w:numPr>
          <w:ilvl w:val="1"/>
          <w:numId w:val="25"/>
        </w:numPr>
        <w:ind w:left="426"/>
      </w:pPr>
      <w:r w:rsidRPr="00C34CF2">
        <w:t>Reducing the fee unit for property enquiries from 1.27 fee units to 1 fee unit.</w:t>
      </w:r>
    </w:p>
    <w:p w14:paraId="2215AECA" w14:textId="77777777" w:rsidR="00C34CF2" w:rsidRPr="00C34CF2" w:rsidRDefault="00C34CF2" w:rsidP="005D15EA">
      <w:pPr>
        <w:numPr>
          <w:ilvl w:val="1"/>
          <w:numId w:val="25"/>
        </w:numPr>
        <w:ind w:left="426"/>
      </w:pPr>
      <w:r w:rsidRPr="00C34CF2">
        <w:t>Removing the fee for hoardings and advertisements applications.</w:t>
      </w:r>
    </w:p>
    <w:p w14:paraId="34DF31DB" w14:textId="77777777" w:rsidR="00C34CF2" w:rsidRPr="00C34CF2" w:rsidRDefault="00C34CF2" w:rsidP="00C34CF2">
      <w:r w:rsidRPr="00C34CF2">
        <w:rPr>
          <w:i/>
          <w:iCs/>
        </w:rPr>
        <w:t>Efficiency:</w:t>
      </w:r>
      <w:r w:rsidRPr="00C34CF2">
        <w:t xml:space="preserve"> This option will restructure fees to improve cost recovery where there is currently cost under-recovery; reduce fees where fees recovered are exceeding costs; and remove fees where they are not being fully utilised. This mix of measures means there will be targeted improvements and broad efficiencies in the way costs are recovered. Road authorities will be able to recover a more appropriate level of costs for the assessment of consent for works applications, whilst their ability to recover other costs will be reduced. The Department expects there will be a moderate improvement to the efficiency of cost recovery compared to the status quo. For this reason, this criterion is scored </w:t>
      </w:r>
      <w:r w:rsidRPr="00C34CF2">
        <w:rPr>
          <w:b/>
          <w:bCs/>
        </w:rPr>
        <w:t>+4</w:t>
      </w:r>
      <w:r w:rsidRPr="00C34CF2">
        <w:t>.</w:t>
      </w:r>
    </w:p>
    <w:p w14:paraId="71887A6B" w14:textId="2F50E507" w:rsidR="00C34CF2" w:rsidRPr="00C34CF2" w:rsidRDefault="00C34CF2" w:rsidP="00C34CF2">
      <w:r w:rsidRPr="00C34CF2">
        <w:rPr>
          <w:i/>
          <w:iCs/>
        </w:rPr>
        <w:t>Equity:</w:t>
      </w:r>
      <w:r w:rsidRPr="00C34CF2">
        <w:t xml:space="preserve"> This option seeks to restructure fees to recover additional costs from those who would already benefit from conducting works in the road reserve. </w:t>
      </w:r>
      <w:r w:rsidR="00D51C6F">
        <w:t>An</w:t>
      </w:r>
      <w:r w:rsidRPr="00C34CF2">
        <w:t xml:space="preserve"> increase of 25 per cent of the current fee unit values</w:t>
      </w:r>
      <w:r w:rsidR="008963CE">
        <w:t>, as discussed in section</w:t>
      </w:r>
      <w:r w:rsidR="00022EE4">
        <w:t xml:space="preserve"> </w:t>
      </w:r>
      <w:r w:rsidR="008963CE">
        <w:t>5.2</w:t>
      </w:r>
      <w:r w:rsidR="009D19E0">
        <w:t>.2.1</w:t>
      </w:r>
      <w:r w:rsidR="00A1063D">
        <w:t>,</w:t>
      </w:r>
      <w:r w:rsidRPr="00C34CF2">
        <w:t xml:space="preserve"> </w:t>
      </w:r>
      <w:r w:rsidR="00D51C6F">
        <w:t>is</w:t>
      </w:r>
      <w:r w:rsidRPr="00C34CF2">
        <w:t xml:space="preserve"> considered reasonable and unlikely to deter any parties from applying for consent. It is acknowledged these </w:t>
      </w:r>
      <w:r w:rsidR="000C2E2C">
        <w:t>additional</w:t>
      </w:r>
      <w:r w:rsidRPr="00C34CF2">
        <w:t xml:space="preserve"> costs may be passed on to other parties, such as customers of utility companies. However, these additional costs are considered minor when distributed among the customer base. This option also means fees will not be charged at a level which exceeds cost recovery, meaning individuals or businesses which require property information or the installation or hoardings and advertisement will not be charged more than the costs to process these enquiries and applications. For these reasons, this criterion is scored </w:t>
      </w:r>
      <w:r w:rsidRPr="00C34CF2">
        <w:rPr>
          <w:b/>
          <w:bCs/>
        </w:rPr>
        <w:t>+3</w:t>
      </w:r>
      <w:r w:rsidRPr="00C34CF2">
        <w:t>.</w:t>
      </w:r>
    </w:p>
    <w:p w14:paraId="1BCD4F3D" w14:textId="77777777" w:rsidR="00C34CF2" w:rsidRPr="00C34CF2" w:rsidRDefault="00C34CF2" w:rsidP="00C34CF2">
      <w:r w:rsidRPr="00C34CF2">
        <w:rPr>
          <w:i/>
          <w:iCs/>
        </w:rPr>
        <w:t>Compliance and safety:</w:t>
      </w:r>
      <w:r w:rsidRPr="00C34CF2">
        <w:t xml:space="preserve"> Restructuring fees to achieve full cost recovery for works on road reserves would imply an increase in fees for some parties, such as utility companies. This may increase the risk of non-compliance by incentivising certain parties to not attain the required consent for works, thus impacting negatively on compliance and safety. However, the Department would not expect a 25 per cent increase in regulatory fees to have a significant impact but assesses there may be a minor negative impact on compliance and safety. The removal of fees for the assessment of applications to install hoardings and advertising is unlikely to have a significant negative effect on compliance and safety due to most applications progressing through the planning permit process. Accordingly, this criterion is scored </w:t>
      </w:r>
      <w:r w:rsidRPr="00C34CF2">
        <w:rPr>
          <w:b/>
          <w:bCs/>
        </w:rPr>
        <w:t>-2</w:t>
      </w:r>
      <w:r w:rsidRPr="00C34CF2">
        <w:t>.</w:t>
      </w:r>
    </w:p>
    <w:p w14:paraId="2E658E16" w14:textId="325B5BE6" w:rsidR="00340A9A" w:rsidRDefault="00C34CF2" w:rsidP="00C34CF2">
      <w:r w:rsidRPr="00C34CF2">
        <w:rPr>
          <w:i/>
          <w:iCs/>
        </w:rPr>
        <w:t>Small business and participation:</w:t>
      </w:r>
      <w:r w:rsidRPr="00C34CF2">
        <w:t xml:space="preserve"> Charging at full cost recovery levels for the conduct of works on road reserves may have some minor negative impacts on small business and possibly impede participation. In most cases the regulated parties that will be required to pay increased fees have a capacity to absorb or pass on fee increases. However, in some cases, such as for small residential developers, it is foreseeable that an increase in fees may impact on the small businesses involved in providing services and, in turn, may impact on participation in the market. Therefore, this criterion is scored </w:t>
      </w:r>
      <w:r w:rsidRPr="00C34CF2">
        <w:rPr>
          <w:b/>
          <w:bCs/>
        </w:rPr>
        <w:t>-2</w:t>
      </w:r>
      <w:r w:rsidRPr="00C34CF2">
        <w:t>.</w:t>
      </w:r>
    </w:p>
    <w:p w14:paraId="75E14378" w14:textId="77777777" w:rsidR="00340A9A" w:rsidRDefault="00340A9A">
      <w:r>
        <w:br w:type="page"/>
      </w:r>
    </w:p>
    <w:p w14:paraId="09089AF1" w14:textId="77777777" w:rsidR="00C34CF2" w:rsidRPr="00C34CF2" w:rsidRDefault="00C34CF2" w:rsidP="0040550A">
      <w:pPr>
        <w:pStyle w:val="Heading3-Numbered"/>
      </w:pPr>
      <w:bookmarkStart w:id="240" w:name="_Toc209440334"/>
      <w:bookmarkStart w:id="241" w:name="_Ref211524110"/>
      <w:bookmarkStart w:id="242" w:name="_Toc226448326"/>
      <w:r w:rsidRPr="00C34CF2">
        <w:lastRenderedPageBreak/>
        <w:t>Summary of assessment</w:t>
      </w:r>
      <w:bookmarkEnd w:id="240"/>
      <w:bookmarkEnd w:id="241"/>
      <w:bookmarkEnd w:id="242"/>
    </w:p>
    <w:p w14:paraId="50E333A8" w14:textId="3B9C9E7F" w:rsidR="00186004" w:rsidRPr="00186004" w:rsidRDefault="00437C76" w:rsidP="00437C76">
      <w:pPr>
        <w:pStyle w:val="Caption"/>
      </w:pPr>
      <w:bookmarkStart w:id="243" w:name="_Toc226448358"/>
      <w:r>
        <w:t xml:space="preserve">Table </w:t>
      </w:r>
      <w:r w:rsidR="005A7DAB">
        <w:fldChar w:fldCharType="begin"/>
      </w:r>
      <w:r w:rsidR="005A7DAB">
        <w:instrText xml:space="preserve"> SEQ Table \* ARABIC </w:instrText>
      </w:r>
      <w:r w:rsidR="005A7DAB">
        <w:fldChar w:fldCharType="separate"/>
      </w:r>
      <w:r w:rsidR="00F170D0">
        <w:rPr>
          <w:noProof/>
        </w:rPr>
        <w:t>10</w:t>
      </w:r>
      <w:r w:rsidR="005A7DAB">
        <w:rPr>
          <w:noProof/>
        </w:rPr>
        <w:fldChar w:fldCharType="end"/>
      </w:r>
      <w:r w:rsidR="00186004">
        <w:t xml:space="preserve"> </w:t>
      </w:r>
      <w:r>
        <w:t xml:space="preserve">– </w:t>
      </w:r>
      <w:r w:rsidR="00186004">
        <w:t>Summary of assessment</w:t>
      </w:r>
      <w:bookmarkEnd w:id="243"/>
    </w:p>
    <w:tbl>
      <w:tblPr>
        <w:tblStyle w:val="TableGrid"/>
        <w:tblW w:w="10762" w:type="dxa"/>
        <w:tblLayout w:type="fixed"/>
        <w:tblLook w:val="04A0" w:firstRow="1" w:lastRow="0" w:firstColumn="1" w:lastColumn="0" w:noHBand="0" w:noVBand="1"/>
      </w:tblPr>
      <w:tblGrid>
        <w:gridCol w:w="1696"/>
        <w:gridCol w:w="748"/>
        <w:gridCol w:w="1032"/>
        <w:gridCol w:w="1031"/>
        <w:gridCol w:w="1032"/>
        <w:gridCol w:w="1031"/>
        <w:gridCol w:w="1032"/>
        <w:gridCol w:w="1031"/>
        <w:gridCol w:w="1285"/>
        <w:gridCol w:w="844"/>
      </w:tblGrid>
      <w:tr w:rsidR="007C339D" w:rsidRPr="00C34CF2" w14:paraId="193CC7A4" w14:textId="77777777" w:rsidTr="00791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A2CC4D4" w14:textId="77777777" w:rsidR="00C34CF2" w:rsidRPr="00C34CF2" w:rsidRDefault="00C34CF2" w:rsidP="00C34CF2">
            <w:pPr>
              <w:keepNext w:val="0"/>
            </w:pPr>
          </w:p>
        </w:tc>
        <w:tc>
          <w:tcPr>
            <w:tcW w:w="1780" w:type="dxa"/>
            <w:gridSpan w:val="2"/>
          </w:tcPr>
          <w:p w14:paraId="1287B21D" w14:textId="77777777" w:rsidR="00C34CF2" w:rsidRPr="00C34CF2" w:rsidRDefault="00C34CF2" w:rsidP="00C34CF2">
            <w:pPr>
              <w:keepNext w:val="0"/>
              <w:cnfStyle w:val="100000000000" w:firstRow="1" w:lastRow="0" w:firstColumn="0" w:lastColumn="0" w:oddVBand="0" w:evenVBand="0" w:oddHBand="0" w:evenHBand="0" w:firstRowFirstColumn="0" w:firstRowLastColumn="0" w:lastRowFirstColumn="0" w:lastRowLastColumn="0"/>
              <w:rPr>
                <w:b w:val="0"/>
                <w:bCs/>
              </w:rPr>
            </w:pPr>
            <w:r w:rsidRPr="00C34CF2">
              <w:rPr>
                <w:b w:val="0"/>
                <w:bCs/>
              </w:rPr>
              <w:t xml:space="preserve">Criterion 1 – Efficiency </w:t>
            </w:r>
            <w:r w:rsidRPr="00C34CF2">
              <w:rPr>
                <w:b w:val="0"/>
                <w:bCs/>
              </w:rPr>
              <w:br/>
              <w:t>(35% weighting)</w:t>
            </w:r>
          </w:p>
        </w:tc>
        <w:tc>
          <w:tcPr>
            <w:tcW w:w="2063" w:type="dxa"/>
            <w:gridSpan w:val="2"/>
          </w:tcPr>
          <w:p w14:paraId="7AC8C5BE" w14:textId="77777777" w:rsidR="00C34CF2" w:rsidRPr="00C34CF2" w:rsidRDefault="00C34CF2" w:rsidP="00C34CF2">
            <w:pPr>
              <w:keepNext w:val="0"/>
              <w:cnfStyle w:val="100000000000" w:firstRow="1" w:lastRow="0" w:firstColumn="0" w:lastColumn="0" w:oddVBand="0" w:evenVBand="0" w:oddHBand="0" w:evenHBand="0" w:firstRowFirstColumn="0" w:firstRowLastColumn="0" w:lastRowFirstColumn="0" w:lastRowLastColumn="0"/>
              <w:rPr>
                <w:b w:val="0"/>
                <w:bCs/>
              </w:rPr>
            </w:pPr>
            <w:r w:rsidRPr="00C34CF2">
              <w:rPr>
                <w:b w:val="0"/>
                <w:bCs/>
              </w:rPr>
              <w:t xml:space="preserve">Criterion 2 – </w:t>
            </w:r>
            <w:r w:rsidRPr="00C34CF2">
              <w:rPr>
                <w:b w:val="0"/>
                <w:bCs/>
              </w:rPr>
              <w:br/>
              <w:t xml:space="preserve">Equity </w:t>
            </w:r>
            <w:r w:rsidRPr="00C34CF2">
              <w:rPr>
                <w:b w:val="0"/>
                <w:bCs/>
              </w:rPr>
              <w:br/>
              <w:t>(35% weighting)</w:t>
            </w:r>
          </w:p>
        </w:tc>
        <w:tc>
          <w:tcPr>
            <w:tcW w:w="2063" w:type="dxa"/>
            <w:gridSpan w:val="2"/>
          </w:tcPr>
          <w:p w14:paraId="0357079B" w14:textId="77777777" w:rsidR="00C34CF2" w:rsidRPr="00C34CF2" w:rsidRDefault="00C34CF2" w:rsidP="00C34CF2">
            <w:pPr>
              <w:keepNext w:val="0"/>
              <w:cnfStyle w:val="100000000000" w:firstRow="1" w:lastRow="0" w:firstColumn="0" w:lastColumn="0" w:oddVBand="0" w:evenVBand="0" w:oddHBand="0" w:evenHBand="0" w:firstRowFirstColumn="0" w:firstRowLastColumn="0" w:lastRowFirstColumn="0" w:lastRowLastColumn="0"/>
              <w:rPr>
                <w:b w:val="0"/>
                <w:bCs/>
              </w:rPr>
            </w:pPr>
            <w:r w:rsidRPr="00C34CF2">
              <w:rPr>
                <w:b w:val="0"/>
                <w:bCs/>
              </w:rPr>
              <w:t xml:space="preserve">Criterion 3 – Compliance and safety </w:t>
            </w:r>
            <w:r w:rsidRPr="00C34CF2">
              <w:rPr>
                <w:b w:val="0"/>
                <w:bCs/>
              </w:rPr>
              <w:br/>
              <w:t>(15% weighting)</w:t>
            </w:r>
          </w:p>
        </w:tc>
        <w:tc>
          <w:tcPr>
            <w:tcW w:w="2316" w:type="dxa"/>
            <w:gridSpan w:val="2"/>
          </w:tcPr>
          <w:p w14:paraId="3CCB8945" w14:textId="77777777" w:rsidR="00C34CF2" w:rsidRPr="00C34CF2" w:rsidRDefault="00C34CF2" w:rsidP="00C34CF2">
            <w:pPr>
              <w:keepNext w:val="0"/>
              <w:cnfStyle w:val="100000000000" w:firstRow="1" w:lastRow="0" w:firstColumn="0" w:lastColumn="0" w:oddVBand="0" w:evenVBand="0" w:oddHBand="0" w:evenHBand="0" w:firstRowFirstColumn="0" w:firstRowLastColumn="0" w:lastRowFirstColumn="0" w:lastRowLastColumn="0"/>
              <w:rPr>
                <w:b w:val="0"/>
                <w:bCs/>
              </w:rPr>
            </w:pPr>
            <w:r w:rsidRPr="00C34CF2">
              <w:rPr>
                <w:b w:val="0"/>
                <w:bCs/>
              </w:rPr>
              <w:t xml:space="preserve">Criterion 4 – </w:t>
            </w:r>
            <w:r w:rsidRPr="00C34CF2">
              <w:rPr>
                <w:b w:val="0"/>
                <w:bCs/>
              </w:rPr>
              <w:br/>
              <w:t xml:space="preserve">Small business and participation </w:t>
            </w:r>
            <w:r w:rsidRPr="00C34CF2">
              <w:rPr>
                <w:b w:val="0"/>
                <w:bCs/>
              </w:rPr>
              <w:br/>
              <w:t>(15% weighting)</w:t>
            </w:r>
          </w:p>
        </w:tc>
        <w:tc>
          <w:tcPr>
            <w:tcW w:w="844" w:type="dxa"/>
          </w:tcPr>
          <w:p w14:paraId="675DEC3D" w14:textId="77777777" w:rsidR="00C34CF2" w:rsidRPr="00C34CF2" w:rsidRDefault="00C34CF2" w:rsidP="00C34CF2">
            <w:pPr>
              <w:keepNext w:val="0"/>
              <w:cnfStyle w:val="100000000000" w:firstRow="1" w:lastRow="0" w:firstColumn="0" w:lastColumn="0" w:oddVBand="0" w:evenVBand="0" w:oddHBand="0" w:evenHBand="0" w:firstRowFirstColumn="0" w:firstRowLastColumn="0" w:lastRowFirstColumn="0" w:lastRowLastColumn="0"/>
              <w:rPr>
                <w:b w:val="0"/>
                <w:bCs/>
              </w:rPr>
            </w:pPr>
            <w:r w:rsidRPr="00C34CF2">
              <w:rPr>
                <w:b w:val="0"/>
                <w:bCs/>
              </w:rPr>
              <w:t>Total</w:t>
            </w:r>
          </w:p>
        </w:tc>
      </w:tr>
      <w:tr w:rsidR="00791183" w:rsidRPr="00C34CF2" w14:paraId="0C969908" w14:textId="77777777" w:rsidTr="00791183">
        <w:tc>
          <w:tcPr>
            <w:cnfStyle w:val="001000000000" w:firstRow="0" w:lastRow="0" w:firstColumn="1" w:lastColumn="0" w:oddVBand="0" w:evenVBand="0" w:oddHBand="0" w:evenHBand="0" w:firstRowFirstColumn="0" w:firstRowLastColumn="0" w:lastRowFirstColumn="0" w:lastRowLastColumn="0"/>
            <w:tcW w:w="1696" w:type="dxa"/>
          </w:tcPr>
          <w:p w14:paraId="4BC38C22" w14:textId="77777777" w:rsidR="00C34CF2" w:rsidRPr="00C34CF2" w:rsidRDefault="00C34CF2" w:rsidP="00C34CF2"/>
        </w:tc>
        <w:tc>
          <w:tcPr>
            <w:tcW w:w="748" w:type="dxa"/>
          </w:tcPr>
          <w:p w14:paraId="27E3DEFA"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rPr>
                <w:bCs/>
              </w:rPr>
              <w:t>Raw</w:t>
            </w:r>
          </w:p>
        </w:tc>
        <w:tc>
          <w:tcPr>
            <w:tcW w:w="1032" w:type="dxa"/>
          </w:tcPr>
          <w:p w14:paraId="6BEDE280"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rPr>
                <w:bCs/>
              </w:rPr>
              <w:t>Weight</w:t>
            </w:r>
          </w:p>
        </w:tc>
        <w:tc>
          <w:tcPr>
            <w:tcW w:w="1031" w:type="dxa"/>
          </w:tcPr>
          <w:p w14:paraId="201745DB"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rPr>
                <w:bCs/>
              </w:rPr>
              <w:t>Raw</w:t>
            </w:r>
          </w:p>
        </w:tc>
        <w:tc>
          <w:tcPr>
            <w:tcW w:w="1032" w:type="dxa"/>
          </w:tcPr>
          <w:p w14:paraId="37DFB80D"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rPr>
                <w:bCs/>
              </w:rPr>
              <w:t>Weight</w:t>
            </w:r>
          </w:p>
        </w:tc>
        <w:tc>
          <w:tcPr>
            <w:tcW w:w="1031" w:type="dxa"/>
          </w:tcPr>
          <w:p w14:paraId="1CA4AE3B"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rPr>
                <w:bCs/>
              </w:rPr>
              <w:t>Raw</w:t>
            </w:r>
          </w:p>
        </w:tc>
        <w:tc>
          <w:tcPr>
            <w:tcW w:w="1032" w:type="dxa"/>
          </w:tcPr>
          <w:p w14:paraId="74BCC94C"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rPr>
                <w:bCs/>
              </w:rPr>
              <w:t>Weight</w:t>
            </w:r>
          </w:p>
        </w:tc>
        <w:tc>
          <w:tcPr>
            <w:tcW w:w="1031" w:type="dxa"/>
          </w:tcPr>
          <w:p w14:paraId="09836DD6"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rPr>
                <w:bCs/>
              </w:rPr>
              <w:t>Raw</w:t>
            </w:r>
          </w:p>
        </w:tc>
        <w:tc>
          <w:tcPr>
            <w:tcW w:w="1285" w:type="dxa"/>
          </w:tcPr>
          <w:p w14:paraId="12195CB9"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rPr>
                <w:bCs/>
              </w:rPr>
              <w:t>Weight</w:t>
            </w:r>
          </w:p>
        </w:tc>
        <w:tc>
          <w:tcPr>
            <w:tcW w:w="844" w:type="dxa"/>
          </w:tcPr>
          <w:p w14:paraId="7206DE99"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p>
        </w:tc>
      </w:tr>
      <w:tr w:rsidR="00791183" w:rsidRPr="00C34CF2" w14:paraId="55117366" w14:textId="77777777" w:rsidTr="007C33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8798EB8" w14:textId="77777777" w:rsidR="00C34CF2" w:rsidRPr="00C34CF2" w:rsidRDefault="00C34CF2" w:rsidP="00C34CF2">
            <w:r w:rsidRPr="00C34CF2">
              <w:t xml:space="preserve">Option 1 </w:t>
            </w:r>
            <w:r w:rsidRPr="00C34CF2">
              <w:br/>
              <w:t>(status quo)</w:t>
            </w:r>
          </w:p>
        </w:tc>
        <w:tc>
          <w:tcPr>
            <w:tcW w:w="748" w:type="dxa"/>
          </w:tcPr>
          <w:p w14:paraId="3A64CEE8"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3</w:t>
            </w:r>
          </w:p>
        </w:tc>
        <w:tc>
          <w:tcPr>
            <w:tcW w:w="1032" w:type="dxa"/>
          </w:tcPr>
          <w:p w14:paraId="48627E9C"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1.05</w:t>
            </w:r>
          </w:p>
        </w:tc>
        <w:tc>
          <w:tcPr>
            <w:tcW w:w="1031" w:type="dxa"/>
          </w:tcPr>
          <w:p w14:paraId="05A008D5"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2</w:t>
            </w:r>
          </w:p>
        </w:tc>
        <w:tc>
          <w:tcPr>
            <w:tcW w:w="1032" w:type="dxa"/>
          </w:tcPr>
          <w:p w14:paraId="677F84E8" w14:textId="63F9C8E3"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0.</w:t>
            </w:r>
            <w:r w:rsidR="00DB2045">
              <w:t>7</w:t>
            </w:r>
            <w:r w:rsidR="00AC3E7A">
              <w:t>0</w:t>
            </w:r>
          </w:p>
        </w:tc>
        <w:tc>
          <w:tcPr>
            <w:tcW w:w="1031" w:type="dxa"/>
          </w:tcPr>
          <w:p w14:paraId="221A9498"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-1</w:t>
            </w:r>
          </w:p>
        </w:tc>
        <w:tc>
          <w:tcPr>
            <w:tcW w:w="1032" w:type="dxa"/>
          </w:tcPr>
          <w:p w14:paraId="70C35CAA"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-0.15</w:t>
            </w:r>
          </w:p>
        </w:tc>
        <w:tc>
          <w:tcPr>
            <w:tcW w:w="1031" w:type="dxa"/>
          </w:tcPr>
          <w:p w14:paraId="11C6D09C"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-1</w:t>
            </w:r>
          </w:p>
        </w:tc>
        <w:tc>
          <w:tcPr>
            <w:tcW w:w="1285" w:type="dxa"/>
          </w:tcPr>
          <w:p w14:paraId="133DA50D" w14:textId="77777777"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pPr>
            <w:r w:rsidRPr="00C34CF2">
              <w:t>-0.15</w:t>
            </w:r>
          </w:p>
        </w:tc>
        <w:tc>
          <w:tcPr>
            <w:tcW w:w="844" w:type="dxa"/>
          </w:tcPr>
          <w:p w14:paraId="3EF195ED" w14:textId="009C8C9A" w:rsidR="00C34CF2" w:rsidRPr="00C34CF2" w:rsidRDefault="00C34CF2" w:rsidP="00C34CF2">
            <w:pPr>
              <w:cnfStyle w:val="000000010000" w:firstRow="0" w:lastRow="0" w:firstColumn="0" w:lastColumn="0" w:oddVBand="0" w:evenVBand="0" w:oddHBand="0" w:evenHBand="1" w:firstRowFirstColumn="0" w:firstRowLastColumn="0" w:lastRowFirstColumn="0" w:lastRowLastColumn="0"/>
              <w:rPr>
                <w:b/>
                <w:bCs/>
              </w:rPr>
            </w:pPr>
            <w:r w:rsidRPr="00C34CF2">
              <w:rPr>
                <w:b/>
                <w:bCs/>
              </w:rPr>
              <w:t>1.</w:t>
            </w:r>
            <w:r w:rsidR="001513D4">
              <w:rPr>
                <w:b/>
                <w:bCs/>
              </w:rPr>
              <w:t>45</w:t>
            </w:r>
          </w:p>
        </w:tc>
      </w:tr>
      <w:tr w:rsidR="00791183" w:rsidRPr="00C34CF2" w14:paraId="735BFB11" w14:textId="77777777" w:rsidTr="007C339D">
        <w:tc>
          <w:tcPr>
            <w:cnfStyle w:val="001000000000" w:firstRow="0" w:lastRow="0" w:firstColumn="1" w:lastColumn="0" w:oddVBand="0" w:evenVBand="0" w:oddHBand="0" w:evenHBand="0" w:firstRowFirstColumn="0" w:firstRowLastColumn="0" w:lastRowFirstColumn="0" w:lastRowLastColumn="0"/>
            <w:tcW w:w="1696" w:type="dxa"/>
          </w:tcPr>
          <w:p w14:paraId="1984E2C7" w14:textId="77777777" w:rsidR="00C34CF2" w:rsidRPr="00C34CF2" w:rsidRDefault="00C34CF2" w:rsidP="00C34CF2">
            <w:r w:rsidRPr="00C34CF2">
              <w:t>Option 2</w:t>
            </w:r>
            <w:r w:rsidRPr="00C34CF2">
              <w:br/>
              <w:t>(fee restructure)</w:t>
            </w:r>
          </w:p>
        </w:tc>
        <w:tc>
          <w:tcPr>
            <w:tcW w:w="748" w:type="dxa"/>
          </w:tcPr>
          <w:p w14:paraId="19FCB427"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4</w:t>
            </w:r>
          </w:p>
        </w:tc>
        <w:tc>
          <w:tcPr>
            <w:tcW w:w="1032" w:type="dxa"/>
          </w:tcPr>
          <w:p w14:paraId="0E97F711"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1.40</w:t>
            </w:r>
          </w:p>
        </w:tc>
        <w:tc>
          <w:tcPr>
            <w:tcW w:w="1031" w:type="dxa"/>
          </w:tcPr>
          <w:p w14:paraId="76EDF1CF"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3</w:t>
            </w:r>
          </w:p>
        </w:tc>
        <w:tc>
          <w:tcPr>
            <w:tcW w:w="1032" w:type="dxa"/>
          </w:tcPr>
          <w:p w14:paraId="2162799A"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1.05</w:t>
            </w:r>
          </w:p>
        </w:tc>
        <w:tc>
          <w:tcPr>
            <w:tcW w:w="1031" w:type="dxa"/>
          </w:tcPr>
          <w:p w14:paraId="59DFD5E5"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-2</w:t>
            </w:r>
          </w:p>
        </w:tc>
        <w:tc>
          <w:tcPr>
            <w:tcW w:w="1032" w:type="dxa"/>
          </w:tcPr>
          <w:p w14:paraId="7B1DA0EF"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-0.30</w:t>
            </w:r>
          </w:p>
        </w:tc>
        <w:tc>
          <w:tcPr>
            <w:tcW w:w="1031" w:type="dxa"/>
          </w:tcPr>
          <w:p w14:paraId="3AB3DC7F"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-2</w:t>
            </w:r>
          </w:p>
        </w:tc>
        <w:tc>
          <w:tcPr>
            <w:tcW w:w="1285" w:type="dxa"/>
          </w:tcPr>
          <w:p w14:paraId="211ECEBA"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pPr>
            <w:r w:rsidRPr="00C34CF2">
              <w:t>-0.30</w:t>
            </w:r>
          </w:p>
        </w:tc>
        <w:tc>
          <w:tcPr>
            <w:tcW w:w="844" w:type="dxa"/>
          </w:tcPr>
          <w:p w14:paraId="35ED8033" w14:textId="77777777" w:rsidR="00C34CF2" w:rsidRPr="00C34CF2" w:rsidRDefault="00C34CF2" w:rsidP="00C34CF2">
            <w:pPr>
              <w:cnfStyle w:val="000000000000" w:firstRow="0" w:lastRow="0" w:firstColumn="0" w:lastColumn="0" w:oddVBand="0" w:evenVBand="0" w:oddHBand="0" w:evenHBand="0" w:firstRowFirstColumn="0" w:firstRowLastColumn="0" w:lastRowFirstColumn="0" w:lastRowLastColumn="0"/>
              <w:rPr>
                <w:b/>
                <w:bCs/>
              </w:rPr>
            </w:pPr>
            <w:r w:rsidRPr="00C34CF2">
              <w:rPr>
                <w:b/>
                <w:bCs/>
              </w:rPr>
              <w:t>1.85</w:t>
            </w:r>
          </w:p>
        </w:tc>
      </w:tr>
    </w:tbl>
    <w:p w14:paraId="479B9054" w14:textId="00620DD3" w:rsidR="00251ED9" w:rsidRDefault="00251ED9" w:rsidP="00251ED9">
      <w:bookmarkStart w:id="244" w:name="_Toc209440335"/>
    </w:p>
    <w:p w14:paraId="4CB8F6BF" w14:textId="77777777" w:rsidR="00251ED9" w:rsidRDefault="00251ED9">
      <w:r>
        <w:br w:type="page"/>
      </w:r>
    </w:p>
    <w:p w14:paraId="2ABBB383" w14:textId="48678D11" w:rsidR="00C34CF2" w:rsidRPr="00C34CF2" w:rsidRDefault="00C34CF2" w:rsidP="003F77FC">
      <w:pPr>
        <w:pStyle w:val="Heading1-Numbered"/>
      </w:pPr>
      <w:bookmarkStart w:id="245" w:name="_Toc226448327"/>
      <w:r w:rsidRPr="00C34CF2">
        <w:lastRenderedPageBreak/>
        <w:t xml:space="preserve">Preferred </w:t>
      </w:r>
      <w:bookmarkEnd w:id="244"/>
      <w:r w:rsidRPr="00C34CF2">
        <w:t>options</w:t>
      </w:r>
      <w:bookmarkEnd w:id="245"/>
    </w:p>
    <w:p w14:paraId="7DE277A3" w14:textId="5C926DF1" w:rsidR="00C34CF2" w:rsidRPr="00C34CF2" w:rsidRDefault="00C34CF2" w:rsidP="003F77FC">
      <w:pPr>
        <w:pStyle w:val="Heading2-Numbered"/>
      </w:pPr>
      <w:bookmarkStart w:id="246" w:name="_Toc209440336"/>
      <w:bookmarkStart w:id="247" w:name="_Toc226448328"/>
      <w:r w:rsidRPr="00C34CF2">
        <w:t>Minor amendments</w:t>
      </w:r>
      <w:bookmarkEnd w:id="246"/>
      <w:r w:rsidRPr="00C34CF2">
        <w:t xml:space="preserve"> to </w:t>
      </w:r>
      <w:r w:rsidR="00C67331">
        <w:t>the current r</w:t>
      </w:r>
      <w:r w:rsidRPr="00C34CF2">
        <w:t>egulations</w:t>
      </w:r>
      <w:bookmarkEnd w:id="247"/>
    </w:p>
    <w:p w14:paraId="74149A41" w14:textId="4CB3673C" w:rsidR="00C34CF2" w:rsidRDefault="008B2EA5" w:rsidP="00C34CF2">
      <w:r>
        <w:t xml:space="preserve">The analysis shows Option </w:t>
      </w:r>
      <w:r w:rsidR="002C475F">
        <w:t>1</w:t>
      </w:r>
      <w:r>
        <w:t xml:space="preserve"> </w:t>
      </w:r>
      <w:r w:rsidR="006808A8">
        <w:t xml:space="preserve">provides </w:t>
      </w:r>
      <w:r w:rsidR="0065630F">
        <w:t>significant</w:t>
      </w:r>
      <w:r w:rsidR="00066610">
        <w:t xml:space="preserve"> overall benefit</w:t>
      </w:r>
      <w:r w:rsidR="001E4209">
        <w:t>s</w:t>
      </w:r>
      <w:r w:rsidR="0065630F">
        <w:t xml:space="preserve"> in comparison with the base case</w:t>
      </w:r>
      <w:r w:rsidR="00E42DB9">
        <w:t xml:space="preserve">. </w:t>
      </w:r>
    </w:p>
    <w:p w14:paraId="1D95E470" w14:textId="6017BC69" w:rsidR="00610133" w:rsidRPr="00C34CF2" w:rsidRDefault="001B5017" w:rsidP="00610133">
      <w:r>
        <w:t xml:space="preserve">In addition to the </w:t>
      </w:r>
      <w:r w:rsidR="005714F7">
        <w:t xml:space="preserve">benefits of remaking the </w:t>
      </w:r>
      <w:r w:rsidR="00347440">
        <w:t>R</w:t>
      </w:r>
      <w:r w:rsidR="005714F7">
        <w:t>egulations in their current form</w:t>
      </w:r>
      <w:r w:rsidR="005F2BF8">
        <w:t xml:space="preserve"> (the status quo)</w:t>
      </w:r>
      <w:r w:rsidR="005714F7">
        <w:t>, there would be a</w:t>
      </w:r>
      <w:r w:rsidR="00791F41">
        <w:t xml:space="preserve"> small improvement in safety outcomes due to the transfer of responsibility</w:t>
      </w:r>
      <w:r w:rsidR="00A21303">
        <w:t xml:space="preserve"> for</w:t>
      </w:r>
      <w:r w:rsidR="00791F41">
        <w:t xml:space="preserve"> bridge structures to those with the most appropriate expertise. </w:t>
      </w:r>
      <w:r w:rsidR="00347440">
        <w:t xml:space="preserve">The </w:t>
      </w:r>
      <w:r w:rsidR="00DF7FE8">
        <w:t>changes</w:t>
      </w:r>
      <w:r w:rsidR="00610133">
        <w:t xml:space="preserve"> would</w:t>
      </w:r>
      <w:r w:rsidR="00596B05">
        <w:t xml:space="preserve"> </w:t>
      </w:r>
      <w:r w:rsidR="00A21303">
        <w:t xml:space="preserve">also </w:t>
      </w:r>
      <w:r w:rsidR="00596B05">
        <w:t>deliver additional benefits for coordinating road authorities, while reducing the resourcing burden on councils</w:t>
      </w:r>
      <w:r w:rsidR="00791F41">
        <w:t xml:space="preserve">. </w:t>
      </w:r>
      <w:r w:rsidR="00610133">
        <w:t xml:space="preserve">Although </w:t>
      </w:r>
      <w:r w:rsidR="009872B5">
        <w:t xml:space="preserve">introducing minimum requirements for information to include in applications for consent would result in </w:t>
      </w:r>
      <w:r w:rsidR="00610133">
        <w:t>a small increase in administrative burden on those proposing to conduct works, this is not considered to be significant and is outweighed by the overall benefits.</w:t>
      </w:r>
    </w:p>
    <w:p w14:paraId="6AAF64ED" w14:textId="55A5B5C0" w:rsidR="000D4424" w:rsidRDefault="000D4424" w:rsidP="00C34CF2">
      <w:r>
        <w:t xml:space="preserve">Given the </w:t>
      </w:r>
      <w:r w:rsidR="00E45E72">
        <w:t xml:space="preserve">nature of the expected benefits over the </w:t>
      </w:r>
      <w:r w:rsidR="00730D1B">
        <w:t xml:space="preserve">base case and </w:t>
      </w:r>
      <w:r w:rsidR="00E45E72">
        <w:t xml:space="preserve">the status quo, </w:t>
      </w:r>
      <w:r w:rsidR="00566A77" w:rsidRPr="004A499C">
        <w:rPr>
          <w:b/>
        </w:rPr>
        <w:t xml:space="preserve">Option </w:t>
      </w:r>
      <w:r w:rsidR="00B439F5">
        <w:rPr>
          <w:b/>
        </w:rPr>
        <w:t>1</w:t>
      </w:r>
      <w:r w:rsidR="00566A77">
        <w:t xml:space="preserve"> is </w:t>
      </w:r>
      <w:r w:rsidR="00212B7A">
        <w:t>the Department’s preferred option</w:t>
      </w:r>
      <w:r w:rsidR="00E45E72">
        <w:t>.</w:t>
      </w:r>
      <w:r w:rsidR="009724E2">
        <w:t xml:space="preserve"> </w:t>
      </w:r>
    </w:p>
    <w:p w14:paraId="556E9B22" w14:textId="77777777" w:rsidR="00C34CF2" w:rsidRPr="00C34CF2" w:rsidRDefault="00C34CF2" w:rsidP="003F77FC">
      <w:pPr>
        <w:pStyle w:val="Heading2-Numbered"/>
      </w:pPr>
      <w:bookmarkStart w:id="248" w:name="_Toc209440337"/>
      <w:bookmarkStart w:id="249" w:name="_Toc226448329"/>
      <w:r w:rsidRPr="00C34CF2">
        <w:t>No change to fees</w:t>
      </w:r>
      <w:bookmarkEnd w:id="248"/>
      <w:bookmarkEnd w:id="249"/>
    </w:p>
    <w:p w14:paraId="14E75167" w14:textId="2F3E8175" w:rsidR="008B50CA" w:rsidRDefault="00AC2096" w:rsidP="00C34CF2">
      <w:r>
        <w:t xml:space="preserve">At this stage, the Department considers that there is insufficient evidence to support the implementation of Option 2 and therefore proposes </w:t>
      </w:r>
      <w:r w:rsidRPr="000D0BEE">
        <w:rPr>
          <w:b/>
        </w:rPr>
        <w:t>Option 1</w:t>
      </w:r>
      <w:r>
        <w:t xml:space="preserve">. </w:t>
      </w:r>
    </w:p>
    <w:p w14:paraId="000A506B" w14:textId="779FEADE" w:rsidR="00B55310" w:rsidRDefault="008113A4" w:rsidP="00C34CF2">
      <w:r>
        <w:t>T</w:t>
      </w:r>
      <w:r w:rsidRPr="00C34CF2">
        <w:t>he Department has undertaken an analysis of the costs of regulation based on a sample of costs incurred by several road authorities during recent years and considered different sub-options for restructuring fees.</w:t>
      </w:r>
      <w:r>
        <w:t xml:space="preserve"> </w:t>
      </w:r>
      <w:r w:rsidR="00034B60">
        <w:t>W</w:t>
      </w:r>
      <w:r w:rsidR="00B55310" w:rsidRPr="00C34CF2">
        <w:t xml:space="preserve">hile </w:t>
      </w:r>
      <w:r w:rsidR="00B55310">
        <w:t xml:space="preserve">the sample data suggests that </w:t>
      </w:r>
      <w:r w:rsidR="00B55310" w:rsidRPr="00C34CF2">
        <w:t xml:space="preserve">Option 2 </w:t>
      </w:r>
      <w:r w:rsidR="00A84293">
        <w:t xml:space="preserve">may </w:t>
      </w:r>
      <w:r w:rsidR="00B55310" w:rsidRPr="00C34CF2">
        <w:t>result in more efficient and equitable outcomes than Option 1,</w:t>
      </w:r>
      <w:r w:rsidR="00D93FA5">
        <w:t xml:space="preserve"> the data is insufficient to illustrate </w:t>
      </w:r>
      <w:r w:rsidR="00672287">
        <w:t>whether</w:t>
      </w:r>
      <w:r w:rsidR="00D93FA5">
        <w:t xml:space="preserve"> </w:t>
      </w:r>
      <w:r w:rsidR="00A84293">
        <w:t>Option 2 would enable</w:t>
      </w:r>
      <w:r w:rsidR="00915970">
        <w:t xml:space="preserve"> </w:t>
      </w:r>
      <w:r w:rsidR="00672287">
        <w:t>adequate</w:t>
      </w:r>
      <w:r w:rsidR="00915970">
        <w:t xml:space="preserve"> cost-recovery.</w:t>
      </w:r>
    </w:p>
    <w:p w14:paraId="5A201024" w14:textId="586419B7" w:rsidR="003247EE" w:rsidRDefault="00485467" w:rsidP="00C34CF2">
      <w:r>
        <w:t xml:space="preserve">The Department is seeking further data, evidence and feedback to </w:t>
      </w:r>
      <w:r w:rsidR="00915970">
        <w:t xml:space="preserve">understand the appropriateness of </w:t>
      </w:r>
      <w:r w:rsidR="009F24C5">
        <w:t xml:space="preserve">any </w:t>
      </w:r>
      <w:r w:rsidR="00915970">
        <w:t>restructuring</w:t>
      </w:r>
      <w:r w:rsidR="009F24C5">
        <w:t xml:space="preserve"> of</w:t>
      </w:r>
      <w:r w:rsidR="00915970">
        <w:t xml:space="preserve"> fees</w:t>
      </w:r>
      <w:r w:rsidR="0045444F">
        <w:t xml:space="preserve"> under the regulations</w:t>
      </w:r>
      <w:r w:rsidR="00915970">
        <w:t>.</w:t>
      </w:r>
      <w:r w:rsidR="00DE4FD2" w:rsidRPr="00DE4FD2">
        <w:t xml:space="preserve"> </w:t>
      </w:r>
      <w:r w:rsidR="00DE4FD2" w:rsidRPr="00C34CF2">
        <w:t>Option</w:t>
      </w:r>
      <w:r w:rsidR="00DE4FD2">
        <w:rPr>
          <w:rFonts w:ascii="Cambria" w:hAnsi="Cambria"/>
        </w:rPr>
        <w:t> </w:t>
      </w:r>
      <w:r w:rsidR="00DE4FD2" w:rsidRPr="00C34CF2">
        <w:t>2 is presented in this RIS to inform stakeholders of a probable future change to the regulations and initiate consultation on the proposal.</w:t>
      </w:r>
    </w:p>
    <w:p w14:paraId="784A6204" w14:textId="529974FA" w:rsidR="003247EE" w:rsidRDefault="00CA244D" w:rsidP="00C34CF2">
      <w:r>
        <w:t>Further investigation into the appropriateness of</w:t>
      </w:r>
      <w:r w:rsidR="003247EE" w:rsidRPr="00C34CF2">
        <w:t xml:space="preserve"> Option 2 should </w:t>
      </w:r>
      <w:r>
        <w:t>consider</w:t>
      </w:r>
      <w:r w:rsidR="003247EE" w:rsidRPr="00C34CF2">
        <w:t xml:space="preserve"> only recovering the directly attributed costs for the processing of consent for works applications to minimise the impacts on small business and participation. Further, any reduction or removal of fees for the processing of hoarding and advertising applications will require further consultation with stakeholders, particularly councils. </w:t>
      </w:r>
    </w:p>
    <w:p w14:paraId="6ED8A0BD" w14:textId="7971A31D" w:rsidR="00AD18D8" w:rsidRDefault="005C5781" w:rsidP="00C34CF2">
      <w:r>
        <w:t xml:space="preserve">The data shows there is currently </w:t>
      </w:r>
      <w:r w:rsidR="00126933">
        <w:t>a cost over-recovery</w:t>
      </w:r>
      <w:r w:rsidR="00080A74">
        <w:t xml:space="preserve"> for the processing of property enquires</w:t>
      </w:r>
      <w:r w:rsidR="00213DC4">
        <w:t>, and t</w:t>
      </w:r>
      <w:r w:rsidR="00031EE5">
        <w:t>here</w:t>
      </w:r>
      <w:r w:rsidR="00E26D62">
        <w:t xml:space="preserve"> is </w:t>
      </w:r>
      <w:r w:rsidR="00A43C59">
        <w:t xml:space="preserve">work underway to </w:t>
      </w:r>
      <w:r w:rsidR="00213DC4">
        <w:t xml:space="preserve">further </w:t>
      </w:r>
      <w:r w:rsidR="00A43C59">
        <w:t xml:space="preserve">streamline the </w:t>
      </w:r>
      <w:r w:rsidR="00CD4140">
        <w:t xml:space="preserve">process for </w:t>
      </w:r>
      <w:r w:rsidR="00EF457F">
        <w:t>reviewing</w:t>
      </w:r>
      <w:r w:rsidR="00A43C59">
        <w:t xml:space="preserve"> property enquiries</w:t>
      </w:r>
      <w:r w:rsidR="00AC3A7C">
        <w:t xml:space="preserve">. This work involves </w:t>
      </w:r>
      <w:r w:rsidR="00031EE5">
        <w:t xml:space="preserve">substantial </w:t>
      </w:r>
      <w:r w:rsidR="000A2D7C">
        <w:t xml:space="preserve">improvements to mapping systems to </w:t>
      </w:r>
      <w:r w:rsidR="0018470C">
        <w:t>improve efficiencies</w:t>
      </w:r>
      <w:r w:rsidR="00346286">
        <w:t xml:space="preserve"> in processing property enquiries that relate to the Department’s </w:t>
      </w:r>
      <w:r w:rsidR="00D62B2D">
        <w:t>projects</w:t>
      </w:r>
      <w:r w:rsidR="0018470C">
        <w:t>. Th</w:t>
      </w:r>
      <w:r w:rsidR="00D62B2D">
        <w:t>ese improvements</w:t>
      </w:r>
      <w:r w:rsidR="0018470C">
        <w:t xml:space="preserve"> will </w:t>
      </w:r>
      <w:r w:rsidR="00105697">
        <w:t xml:space="preserve">enable Landata </w:t>
      </w:r>
      <w:r w:rsidR="00344BF5">
        <w:t xml:space="preserve">to process more enquiries, </w:t>
      </w:r>
      <w:r w:rsidR="0018470C">
        <w:t>thereby</w:t>
      </w:r>
      <w:r w:rsidR="00344BF5">
        <w:t xml:space="preserve"> </w:t>
      </w:r>
      <w:r w:rsidR="00E9257C">
        <w:t>reduc</w:t>
      </w:r>
      <w:r w:rsidR="00344BF5">
        <w:t>ing</w:t>
      </w:r>
      <w:r w:rsidR="00E9257C">
        <w:t xml:space="preserve"> the number of enquiries </w:t>
      </w:r>
      <w:r w:rsidR="00B06CC8">
        <w:t xml:space="preserve">that are required to be passed on to </w:t>
      </w:r>
      <w:r w:rsidR="00E9257C">
        <w:t>t</w:t>
      </w:r>
      <w:r w:rsidR="00FE786F">
        <w:t>he Department</w:t>
      </w:r>
      <w:r w:rsidR="00B06CC8">
        <w:t xml:space="preserve"> for further</w:t>
      </w:r>
      <w:r w:rsidR="00FE786F">
        <w:t xml:space="preserve"> </w:t>
      </w:r>
      <w:r w:rsidR="00105697">
        <w:t>process</w:t>
      </w:r>
      <w:r w:rsidR="00B06CC8">
        <w:t>ing</w:t>
      </w:r>
      <w:r w:rsidR="00105697">
        <w:t>.</w:t>
      </w:r>
      <w:r w:rsidR="0018470C">
        <w:t xml:space="preserve"> </w:t>
      </w:r>
      <w:r w:rsidR="00A044E0">
        <w:t>T</w:t>
      </w:r>
      <w:r w:rsidR="00A813AD">
        <w:t xml:space="preserve">he Department proposes to review </w:t>
      </w:r>
      <w:r w:rsidR="00655485">
        <w:t xml:space="preserve">the efficient costs </w:t>
      </w:r>
      <w:r w:rsidR="00A044E0">
        <w:t xml:space="preserve">of processing property enquiries </w:t>
      </w:r>
      <w:r w:rsidR="00655485">
        <w:t xml:space="preserve">and </w:t>
      </w:r>
      <w:r w:rsidR="00A044E0">
        <w:t xml:space="preserve">the </w:t>
      </w:r>
      <w:r w:rsidR="00655485">
        <w:t>appropriateness of the fee</w:t>
      </w:r>
      <w:r w:rsidR="00A044E0">
        <w:t xml:space="preserve"> amount</w:t>
      </w:r>
      <w:r w:rsidR="00655485">
        <w:t xml:space="preserve"> once this </w:t>
      </w:r>
      <w:r w:rsidR="00A044E0">
        <w:t xml:space="preserve">work is </w:t>
      </w:r>
      <w:r w:rsidR="00C12943">
        <w:t>complete and improvements can be measured.</w:t>
      </w:r>
    </w:p>
    <w:p w14:paraId="503CA00F" w14:textId="5A98A50F" w:rsidR="00AC2096" w:rsidRPr="00C34CF2" w:rsidRDefault="00B55310" w:rsidP="00C34CF2">
      <w:r>
        <w:t xml:space="preserve">For this reason, </w:t>
      </w:r>
      <w:r w:rsidRPr="00C34CF2">
        <w:t>the Department is seeking feedback on any possible transition to restructure fees to achieve full cost recovery before any changes are made to fees.</w:t>
      </w:r>
      <w:r w:rsidR="003247EE">
        <w:t xml:space="preserve"> </w:t>
      </w:r>
    </w:p>
    <w:p w14:paraId="2C88E771" w14:textId="6E8CC3D2" w:rsidR="005312D1" w:rsidRDefault="005312D1" w:rsidP="005312D1">
      <w:pPr>
        <w:pStyle w:val="Pull-outQuote"/>
        <w:rPr>
          <w:b/>
          <w:bCs/>
        </w:rPr>
      </w:pPr>
      <w:r w:rsidRPr="005312D1">
        <w:rPr>
          <w:b/>
          <w:bCs/>
        </w:rPr>
        <w:t>Question for stakeholders</w:t>
      </w:r>
    </w:p>
    <w:p w14:paraId="68AFA82B" w14:textId="09A3E2BD" w:rsidR="005312D1" w:rsidRDefault="00A92A9C" w:rsidP="00D65698">
      <w:pPr>
        <w:pStyle w:val="Pull-outQuote"/>
      </w:pPr>
      <w:r>
        <w:t>11</w:t>
      </w:r>
      <w:r w:rsidR="00E94671">
        <w:t>.</w:t>
      </w:r>
      <w:r w:rsidR="00753EC5">
        <w:t xml:space="preserve"> </w:t>
      </w:r>
      <w:r w:rsidR="005312D1">
        <w:t>Do you agree with the range of feasible high-level options identified for consideration? If not, what other options should be considered?</w:t>
      </w:r>
    </w:p>
    <w:p w14:paraId="43367122" w14:textId="6F3E10EC" w:rsidR="005312D1" w:rsidRDefault="00A92A9C" w:rsidP="00D65698">
      <w:pPr>
        <w:pStyle w:val="Pull-outQuote"/>
      </w:pPr>
      <w:r>
        <w:t>12</w:t>
      </w:r>
      <w:r w:rsidR="00E94671">
        <w:t>.</w:t>
      </w:r>
      <w:r w:rsidR="00753EC5">
        <w:t xml:space="preserve"> </w:t>
      </w:r>
      <w:r w:rsidR="005312D1">
        <w:t>Do you support the assessment of options in the multi-criteria analysis? If not, why? How would you score and weight each criterion for each option presented?</w:t>
      </w:r>
    </w:p>
    <w:p w14:paraId="5DDBCBB5" w14:textId="429CA7A0" w:rsidR="00753EC5" w:rsidRDefault="00A92A9C" w:rsidP="00753EC5">
      <w:pPr>
        <w:pStyle w:val="Pull-outQuote"/>
      </w:pPr>
      <w:r>
        <w:lastRenderedPageBreak/>
        <w:t>13</w:t>
      </w:r>
      <w:r w:rsidR="00E94671">
        <w:t>.</w:t>
      </w:r>
      <w:r w:rsidR="00753EC5">
        <w:t xml:space="preserve"> </w:t>
      </w:r>
      <w:r w:rsidR="005312D1">
        <w:t>Do you agree that maintaining the current structure and level of cost recovery – as under</w:t>
      </w:r>
      <w:r w:rsidR="00F94A4D">
        <w:t xml:space="preserve"> fees</w:t>
      </w:r>
      <w:r w:rsidR="005312D1">
        <w:t xml:space="preserve"> Option 1– is the best option? If not, why? What is your preferred option?</w:t>
      </w:r>
    </w:p>
    <w:p w14:paraId="40C1D64D" w14:textId="0ED77AFF" w:rsidR="005312D1" w:rsidRDefault="00A92A9C" w:rsidP="00753EC5">
      <w:pPr>
        <w:pStyle w:val="Pull-outQuote"/>
      </w:pPr>
      <w:r>
        <w:t>14</w:t>
      </w:r>
      <w:r w:rsidR="00E94671">
        <w:t>.</w:t>
      </w:r>
      <w:r w:rsidR="00753EC5">
        <w:t xml:space="preserve"> </w:t>
      </w:r>
      <w:r w:rsidR="005312D1">
        <w:t xml:space="preserve">If </w:t>
      </w:r>
      <w:r w:rsidR="00F94A4D">
        <w:t xml:space="preserve">fees </w:t>
      </w:r>
      <w:r w:rsidR="005312D1">
        <w:t>Option 2 were adopted, are there any changes that should be made to support efficient cost recovery?</w:t>
      </w:r>
    </w:p>
    <w:p w14:paraId="4207CB57" w14:textId="4E78AB9A" w:rsidR="005312D1" w:rsidRDefault="00A92A9C" w:rsidP="00753EC5">
      <w:pPr>
        <w:pStyle w:val="Pull-outQuote"/>
      </w:pPr>
      <w:r>
        <w:t>15</w:t>
      </w:r>
      <w:r w:rsidR="00E94671">
        <w:t>.</w:t>
      </w:r>
      <w:r w:rsidR="00753EC5">
        <w:t xml:space="preserve"> </w:t>
      </w:r>
      <w:r w:rsidR="006C214C">
        <w:t xml:space="preserve">DTP </w:t>
      </w:r>
      <w:r w:rsidR="005312D1">
        <w:t>would welcome feedback on any increases or reductions to fees that should be considered to assist with efficient cost recovery.</w:t>
      </w:r>
    </w:p>
    <w:p w14:paraId="6E469EEF" w14:textId="77777777" w:rsidR="0062578D" w:rsidRPr="0062578D" w:rsidRDefault="0062578D" w:rsidP="0062578D"/>
    <w:p w14:paraId="46E318E7" w14:textId="297CF3CB" w:rsidR="0062578D" w:rsidRDefault="0062578D" w:rsidP="00B90097">
      <w:pPr>
        <w:tabs>
          <w:tab w:val="left" w:pos="1060"/>
        </w:tabs>
      </w:pPr>
      <w:r>
        <w:tab/>
      </w:r>
    </w:p>
    <w:p w14:paraId="0E2659F6" w14:textId="3C1C22B0" w:rsidR="001F27DD" w:rsidRDefault="0062578D" w:rsidP="001F27DD">
      <w:pPr>
        <w:pStyle w:val="Heading2-Numbered"/>
      </w:pPr>
      <w:r>
        <w:br w:type="page"/>
      </w:r>
      <w:bookmarkStart w:id="250" w:name="_Toc210043255"/>
      <w:bookmarkStart w:id="251" w:name="_Toc226448330"/>
      <w:r w:rsidR="001F27DD">
        <w:lastRenderedPageBreak/>
        <w:t>Summary of changes in the proposed Regulations</w:t>
      </w:r>
      <w:bookmarkEnd w:id="250"/>
      <w:bookmarkEnd w:id="251"/>
    </w:p>
    <w:p w14:paraId="5ADBCB89" w14:textId="0D7FD721" w:rsidR="00CB41D0" w:rsidRDefault="00CB41D0" w:rsidP="00CB41D0">
      <w:pPr>
        <w:pStyle w:val="Caption"/>
      </w:pPr>
      <w:bookmarkStart w:id="252" w:name="_Toc226448359"/>
      <w:r>
        <w:t xml:space="preserve">Table </w:t>
      </w:r>
      <w:r w:rsidR="00E41F1F">
        <w:fldChar w:fldCharType="begin"/>
      </w:r>
      <w:r w:rsidR="00E41F1F">
        <w:instrText xml:space="preserve"> SEQ Table \* ARABIC </w:instrText>
      </w:r>
      <w:r w:rsidR="00E41F1F">
        <w:fldChar w:fldCharType="separate"/>
      </w:r>
      <w:r w:rsidR="00F170D0">
        <w:rPr>
          <w:noProof/>
        </w:rPr>
        <w:t>11</w:t>
      </w:r>
      <w:r w:rsidR="00E41F1F">
        <w:rPr>
          <w:noProof/>
        </w:rPr>
        <w:fldChar w:fldCharType="end"/>
      </w:r>
      <w:r>
        <w:t xml:space="preserve"> – Road Management (Works and Infrastructure) Regulations</w:t>
      </w:r>
      <w:bookmarkEnd w:id="252"/>
    </w:p>
    <w:tbl>
      <w:tblPr>
        <w:tblStyle w:val="ListTable3-Accent4"/>
        <w:tblW w:w="10712" w:type="dxa"/>
        <w:tblLook w:val="04A0" w:firstRow="1" w:lastRow="0" w:firstColumn="1" w:lastColumn="0" w:noHBand="0" w:noVBand="1"/>
      </w:tblPr>
      <w:tblGrid>
        <w:gridCol w:w="3338"/>
        <w:gridCol w:w="7374"/>
      </w:tblGrid>
      <w:tr w:rsidR="00CB41D0" w:rsidRPr="007202C6" w14:paraId="35D850F7" w14:textId="77777777" w:rsidTr="00A54A78">
        <w:trPr>
          <w:cnfStyle w:val="100000000000" w:firstRow="1" w:lastRow="0" w:firstColumn="0" w:lastColumn="0" w:oddVBand="0" w:evenVBand="0" w:oddHBand="0" w:evenHBand="0" w:firstRowFirstColumn="0" w:firstRowLastColumn="0" w:lastRowFirstColumn="0" w:lastRowLastColumn="0"/>
          <w:trHeight w:val="525"/>
        </w:trPr>
        <w:tc>
          <w:tcPr>
            <w:cnfStyle w:val="001000000100" w:firstRow="0" w:lastRow="0" w:firstColumn="1" w:lastColumn="0" w:oddVBand="0" w:evenVBand="0" w:oddHBand="0" w:evenHBand="0" w:firstRowFirstColumn="1" w:firstRowLastColumn="0" w:lastRowFirstColumn="0" w:lastRowLastColumn="0"/>
            <w:tcW w:w="3338" w:type="dxa"/>
          </w:tcPr>
          <w:p w14:paraId="3D1C3570" w14:textId="77777777" w:rsidR="00CB41D0" w:rsidRPr="007202C6" w:rsidRDefault="00CB41D0" w:rsidP="00A54A78">
            <w:pPr>
              <w:rPr>
                <w:b w:val="0"/>
                <w:color w:val="auto"/>
              </w:rPr>
            </w:pPr>
            <w:r w:rsidRPr="007202C6">
              <w:rPr>
                <w:color w:val="auto"/>
              </w:rPr>
              <w:t>Proposed regulation number</w:t>
            </w:r>
          </w:p>
        </w:tc>
        <w:tc>
          <w:tcPr>
            <w:tcW w:w="7374" w:type="dxa"/>
          </w:tcPr>
          <w:p w14:paraId="7E3AEE63" w14:textId="77777777" w:rsidR="00CB41D0" w:rsidRPr="007202C6" w:rsidRDefault="00CB41D0" w:rsidP="00A54A78">
            <w:pPr>
              <w:cnfStyle w:val="100000000000" w:firstRow="1" w:lastRow="0" w:firstColumn="0" w:lastColumn="0" w:oddVBand="0" w:evenVBand="0" w:oddHBand="0" w:evenHBand="0" w:firstRowFirstColumn="0" w:firstRowLastColumn="0" w:lastRowFirstColumn="0" w:lastRowLastColumn="0"/>
              <w:rPr>
                <w:b w:val="0"/>
                <w:color w:val="auto"/>
              </w:rPr>
            </w:pPr>
            <w:r w:rsidRPr="007202C6">
              <w:rPr>
                <w:color w:val="auto"/>
              </w:rPr>
              <w:t>Proposed regulation description</w:t>
            </w:r>
          </w:p>
        </w:tc>
      </w:tr>
      <w:tr w:rsidR="00CB41D0" w:rsidRPr="00E93D6A" w14:paraId="6BB3C74E" w14:textId="77777777" w:rsidTr="00A54A78">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338" w:type="dxa"/>
            <w:hideMark/>
          </w:tcPr>
          <w:p w14:paraId="46A6D717" w14:textId="77777777" w:rsidR="00CB41D0" w:rsidRPr="00E93D6A" w:rsidRDefault="00CB41D0" w:rsidP="00A54A78">
            <w:pPr>
              <w:spacing w:after="120"/>
            </w:pPr>
            <w:r w:rsidRPr="00E93D6A">
              <w:t xml:space="preserve">r.6 Meaning of </w:t>
            </w:r>
            <w:r w:rsidRPr="00E93D6A">
              <w:rPr>
                <w:i/>
                <w:iCs/>
              </w:rPr>
              <w:t>minor works</w:t>
            </w:r>
          </w:p>
        </w:tc>
        <w:tc>
          <w:tcPr>
            <w:tcW w:w="7374" w:type="dxa"/>
            <w:hideMark/>
          </w:tcPr>
          <w:p w14:paraId="09967283" w14:textId="77777777" w:rsidR="00CB41D0" w:rsidRPr="00E93D6A" w:rsidRDefault="00CB41D0" w:rsidP="00A54A78">
            <w:pPr>
              <w:spacing w:after="120"/>
              <w:cnfStyle w:val="000000100000" w:firstRow="0" w:lastRow="0" w:firstColumn="0" w:lastColumn="0" w:oddVBand="0" w:evenVBand="0" w:oddHBand="1" w:evenHBand="0" w:firstRowFirstColumn="0" w:firstRowLastColumn="0" w:lastRowFirstColumn="0" w:lastRowLastColumn="0"/>
            </w:pPr>
            <w:r w:rsidRPr="00E93D6A">
              <w:t>Minor improvements to the interactions of the subregulations to make clearer.</w:t>
            </w:r>
          </w:p>
        </w:tc>
      </w:tr>
      <w:tr w:rsidR="00CB41D0" w:rsidRPr="00E93D6A" w14:paraId="0FC2B551" w14:textId="77777777" w:rsidTr="00A54A78">
        <w:trPr>
          <w:trHeight w:val="332"/>
        </w:trPr>
        <w:tc>
          <w:tcPr>
            <w:cnfStyle w:val="001000000000" w:firstRow="0" w:lastRow="0" w:firstColumn="1" w:lastColumn="0" w:oddVBand="0" w:evenVBand="0" w:oddHBand="0" w:evenHBand="0" w:firstRowFirstColumn="0" w:firstRowLastColumn="0" w:lastRowFirstColumn="0" w:lastRowLastColumn="0"/>
            <w:tcW w:w="3338" w:type="dxa"/>
            <w:hideMark/>
          </w:tcPr>
          <w:p w14:paraId="6AF1F29F" w14:textId="77777777" w:rsidR="00CB41D0" w:rsidRPr="00E93D6A" w:rsidRDefault="00CB41D0" w:rsidP="00A54A78">
            <w:pPr>
              <w:spacing w:after="120"/>
            </w:pPr>
            <w:r w:rsidRPr="00E93D6A">
              <w:t xml:space="preserve">r.9 Meaning of </w:t>
            </w:r>
            <w:r w:rsidRPr="00E93D6A">
              <w:rPr>
                <w:i/>
                <w:iCs/>
              </w:rPr>
              <w:t>traffic impact works</w:t>
            </w:r>
          </w:p>
        </w:tc>
        <w:tc>
          <w:tcPr>
            <w:tcW w:w="7374" w:type="dxa"/>
            <w:hideMark/>
          </w:tcPr>
          <w:p w14:paraId="5EF59E31" w14:textId="607024FA" w:rsidR="00CB41D0" w:rsidRPr="00E93D6A" w:rsidRDefault="00CB41D0" w:rsidP="00A54A78">
            <w:pPr>
              <w:spacing w:after="120"/>
              <w:cnfStyle w:val="000000000000" w:firstRow="0" w:lastRow="0" w:firstColumn="0" w:lastColumn="0" w:oddVBand="0" w:evenVBand="0" w:oddHBand="0" w:evenHBand="0" w:firstRowFirstColumn="0" w:firstRowLastColumn="0" w:lastRowFirstColumn="0" w:lastRowLastColumn="0"/>
            </w:pPr>
            <w:r w:rsidRPr="00E93D6A">
              <w:t xml:space="preserve">Relocation of the term </w:t>
            </w:r>
            <w:r w:rsidRPr="00E93D6A">
              <w:rPr>
                <w:i/>
                <w:iCs/>
              </w:rPr>
              <w:t>traffic impact works</w:t>
            </w:r>
            <w:r w:rsidRPr="00E93D6A">
              <w:t xml:space="preserve"> from Regulation 5</w:t>
            </w:r>
            <w:r w:rsidR="00A27369">
              <w:t>.</w:t>
            </w:r>
            <w:r w:rsidRPr="00E93D6A">
              <w:t xml:space="preserve"> </w:t>
            </w:r>
            <w:r w:rsidR="00A27369">
              <w:br/>
            </w:r>
            <w:r w:rsidRPr="00E93D6A">
              <w:t>Definition to become a standalone regulation (Regulation 9).</w:t>
            </w:r>
          </w:p>
        </w:tc>
      </w:tr>
      <w:tr w:rsidR="00CB41D0" w:rsidRPr="00E93D6A" w14:paraId="71AA6219" w14:textId="77777777" w:rsidTr="0092107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338" w:type="dxa"/>
          </w:tcPr>
          <w:p w14:paraId="3BB28D0A" w14:textId="065C13AE" w:rsidR="00CB41D0" w:rsidRPr="00E93D6A" w:rsidRDefault="00CB41D0" w:rsidP="00A54A78">
            <w:pPr>
              <w:spacing w:after="120"/>
            </w:pPr>
          </w:p>
        </w:tc>
        <w:tc>
          <w:tcPr>
            <w:tcW w:w="7374" w:type="dxa"/>
          </w:tcPr>
          <w:p w14:paraId="4BD97D57" w14:textId="050E562F" w:rsidR="00CB41D0" w:rsidRPr="00E93D6A" w:rsidRDefault="00CB41D0" w:rsidP="00A54A78">
            <w:pPr>
              <w:spacing w:after="120"/>
              <w:cnfStyle w:val="000000100000" w:firstRow="0" w:lastRow="0" w:firstColumn="0" w:lastColumn="0" w:oddVBand="0" w:evenVBand="0" w:oddHBand="1" w:evenHBand="0" w:firstRowFirstColumn="0" w:firstRowLastColumn="0" w:lastRowFirstColumn="0" w:lastRowLastColumn="0"/>
            </w:pPr>
          </w:p>
        </w:tc>
      </w:tr>
      <w:tr w:rsidR="00CB41D0" w:rsidRPr="00E93D6A" w14:paraId="1240DAA9" w14:textId="77777777" w:rsidTr="00A54A78">
        <w:trPr>
          <w:trHeight w:val="332"/>
        </w:trPr>
        <w:tc>
          <w:tcPr>
            <w:cnfStyle w:val="001000000000" w:firstRow="0" w:lastRow="0" w:firstColumn="1" w:lastColumn="0" w:oddVBand="0" w:evenVBand="0" w:oddHBand="0" w:evenHBand="0" w:firstRowFirstColumn="0" w:firstRowLastColumn="0" w:lastRowFirstColumn="0" w:lastRowLastColumn="0"/>
            <w:tcW w:w="3338" w:type="dxa"/>
            <w:hideMark/>
          </w:tcPr>
          <w:p w14:paraId="30823DB6" w14:textId="77777777" w:rsidR="00CB41D0" w:rsidRPr="00E93D6A" w:rsidRDefault="00CB41D0" w:rsidP="00A54A78">
            <w:pPr>
              <w:spacing w:after="120"/>
            </w:pPr>
            <w:r w:rsidRPr="00E93D6A">
              <w:t>r.19 Applications for consent of proposed works</w:t>
            </w:r>
          </w:p>
        </w:tc>
        <w:tc>
          <w:tcPr>
            <w:tcW w:w="7374" w:type="dxa"/>
            <w:hideMark/>
          </w:tcPr>
          <w:p w14:paraId="0F8646DD" w14:textId="77777777" w:rsidR="00CB41D0" w:rsidRPr="00E93D6A" w:rsidRDefault="00CB41D0" w:rsidP="00A54A78">
            <w:pPr>
              <w:spacing w:after="120"/>
              <w:cnfStyle w:val="000000000000" w:firstRow="0" w:lastRow="0" w:firstColumn="0" w:lastColumn="0" w:oddVBand="0" w:evenVBand="0" w:oddHBand="0" w:evenHBand="0" w:firstRowFirstColumn="0" w:firstRowLastColumn="0" w:lastRowFirstColumn="0" w:lastRowLastColumn="0"/>
            </w:pPr>
            <w:r w:rsidRPr="00E93D6A">
              <w:t>Introduc</w:t>
            </w:r>
            <w:r>
              <w:t>es</w:t>
            </w:r>
            <w:r w:rsidRPr="00E93D6A">
              <w:t xml:space="preserve"> a new regulation to prescribe information which must be included in an application for consent to conduct works on a road. The information which must be included </w:t>
            </w:r>
            <w:r>
              <w:t xml:space="preserve">in an application </w:t>
            </w:r>
            <w:r w:rsidRPr="00E93D6A">
              <w:t>is:</w:t>
            </w:r>
          </w:p>
          <w:p w14:paraId="2D59344C" w14:textId="120D03BF" w:rsidR="00CB41D0" w:rsidRPr="00FA04FC" w:rsidRDefault="00CB41D0" w:rsidP="005D15EA">
            <w:pPr>
              <w:numPr>
                <w:ilvl w:val="0"/>
                <w:numId w:val="32"/>
              </w:numPr>
              <w:cnfStyle w:val="000000000000" w:firstRow="0" w:lastRow="0" w:firstColumn="0" w:lastColumn="0" w:oddVBand="0" w:evenVBand="0" w:oddHBand="0" w:evenHBand="0" w:firstRowFirstColumn="0" w:firstRowLastColumn="0" w:lastRowFirstColumn="0" w:lastRowLastColumn="0"/>
            </w:pPr>
            <w:r w:rsidRPr="00FA04FC">
              <w:t xml:space="preserve">information about who is proposing to conduct the works (name, address and contact details of the infrastructure manager </w:t>
            </w:r>
            <w:r w:rsidR="004F7485">
              <w:t>or</w:t>
            </w:r>
            <w:r w:rsidRPr="00FA04FC">
              <w:t xml:space="preserve"> works manager),</w:t>
            </w:r>
          </w:p>
          <w:p w14:paraId="5238214C" w14:textId="1855727B" w:rsidR="00CB41D0" w:rsidRPr="00FA04FC" w:rsidRDefault="00CB41D0" w:rsidP="005D15EA">
            <w:pPr>
              <w:numPr>
                <w:ilvl w:val="0"/>
                <w:numId w:val="32"/>
              </w:numPr>
              <w:cnfStyle w:val="000000000000" w:firstRow="0" w:lastRow="0" w:firstColumn="0" w:lastColumn="0" w:oddVBand="0" w:evenVBand="0" w:oddHBand="0" w:evenHBand="0" w:firstRowFirstColumn="0" w:firstRowLastColumn="0" w:lastRowFirstColumn="0" w:lastRowLastColumn="0"/>
            </w:pPr>
            <w:r w:rsidRPr="00FA04FC">
              <w:t>a description of the scope and site location of the proposed works (including any site drawings and reinstatement details),</w:t>
            </w:r>
          </w:p>
          <w:p w14:paraId="0A9F5D9C" w14:textId="10B768D9" w:rsidR="00D97095" w:rsidRPr="00FA04FC" w:rsidRDefault="00F35F4D" w:rsidP="005D15EA">
            <w:pPr>
              <w:numPr>
                <w:ilvl w:val="0"/>
                <w:numId w:val="32"/>
              </w:numPr>
              <w:cnfStyle w:val="000000000000" w:firstRow="0" w:lastRow="0" w:firstColumn="0" w:lastColumn="0" w:oddVBand="0" w:evenVBand="0" w:oddHBand="0" w:evenHBand="0" w:firstRowFirstColumn="0" w:firstRowLastColumn="0" w:lastRowFirstColumn="0" w:lastRowLastColumn="0"/>
            </w:pPr>
            <w:r>
              <w:t>the expected commencement and completion dates</w:t>
            </w:r>
            <w:r w:rsidR="00DD0D9B">
              <w:t>,</w:t>
            </w:r>
          </w:p>
          <w:p w14:paraId="5EA914DB" w14:textId="52AE7FFC" w:rsidR="00DD0D9B" w:rsidRPr="00FA04FC" w:rsidRDefault="00A85FF4" w:rsidP="005D15EA">
            <w:pPr>
              <w:numPr>
                <w:ilvl w:val="0"/>
                <w:numId w:val="32"/>
              </w:numPr>
              <w:cnfStyle w:val="000000000000" w:firstRow="0" w:lastRow="0" w:firstColumn="0" w:lastColumn="0" w:oddVBand="0" w:evenVBand="0" w:oddHBand="0" w:evenHBand="0" w:firstRowFirstColumn="0" w:firstRowLastColumn="0" w:lastRowFirstColumn="0" w:lastRowLastColumn="0"/>
            </w:pPr>
            <w:r>
              <w:t>a report describing h</w:t>
            </w:r>
            <w:r w:rsidR="00EA6A76">
              <w:t>ow</w:t>
            </w:r>
            <w:r>
              <w:t xml:space="preserve"> the </w:t>
            </w:r>
            <w:r w:rsidR="00071666">
              <w:t xml:space="preserve">works and </w:t>
            </w:r>
            <w:r w:rsidR="00EA6A76">
              <w:t xml:space="preserve">infrastructure </w:t>
            </w:r>
            <w:r w:rsidR="00071666">
              <w:t xml:space="preserve">management principles have been </w:t>
            </w:r>
            <w:r w:rsidR="002122E9">
              <w:t>considered in relation to the proposed works,</w:t>
            </w:r>
          </w:p>
          <w:p w14:paraId="4E624AB5" w14:textId="77777777" w:rsidR="00CB41D0" w:rsidRPr="00FA04FC" w:rsidRDefault="00CB41D0" w:rsidP="005D15EA">
            <w:pPr>
              <w:numPr>
                <w:ilvl w:val="0"/>
                <w:numId w:val="32"/>
              </w:numPr>
              <w:cnfStyle w:val="000000000000" w:firstRow="0" w:lastRow="0" w:firstColumn="0" w:lastColumn="0" w:oddVBand="0" w:evenVBand="0" w:oddHBand="0" w:evenHBand="0" w:firstRowFirstColumn="0" w:firstRowLastColumn="0" w:lastRowFirstColumn="0" w:lastRowLastColumn="0"/>
            </w:pPr>
            <w:r w:rsidRPr="00FA04FC">
              <w:t>copies of:</w:t>
            </w:r>
          </w:p>
          <w:p w14:paraId="3A981A71" w14:textId="77777777" w:rsidR="00CB41D0" w:rsidRPr="00FA04FC" w:rsidRDefault="00CB41D0" w:rsidP="005D15EA">
            <w:pPr>
              <w:numPr>
                <w:ilvl w:val="1"/>
                <w:numId w:val="32"/>
              </w:numPr>
              <w:cnfStyle w:val="000000000000" w:firstRow="0" w:lastRow="0" w:firstColumn="0" w:lastColumn="0" w:oddVBand="0" w:evenVBand="0" w:oddHBand="0" w:evenHBand="0" w:firstRowFirstColumn="0" w:firstRowLastColumn="0" w:lastRowFirstColumn="0" w:lastRowLastColumn="0"/>
            </w:pPr>
            <w:r w:rsidRPr="00FA04FC">
              <w:t>any Memorandum of Authorisations obtained in relation to the proposed works, and</w:t>
            </w:r>
          </w:p>
          <w:p w14:paraId="38C27692" w14:textId="58514097" w:rsidR="00CB1A2C" w:rsidRPr="00FA04FC" w:rsidRDefault="00F47ABA" w:rsidP="005D15EA">
            <w:pPr>
              <w:numPr>
                <w:ilvl w:val="1"/>
                <w:numId w:val="32"/>
              </w:numPr>
              <w:cnfStyle w:val="000000000000" w:firstRow="0" w:lastRow="0" w:firstColumn="0" w:lastColumn="0" w:oddVBand="0" w:evenVBand="0" w:oddHBand="0" w:evenHBand="0" w:firstRowFirstColumn="0" w:firstRowLastColumn="0" w:lastRowFirstColumn="0" w:lastRowLastColumn="0"/>
            </w:pPr>
            <w:r>
              <w:t>construction drawings in relation to the worksite prepared by an appropriately qualified person,</w:t>
            </w:r>
          </w:p>
          <w:p w14:paraId="783B33D8" w14:textId="380E8944" w:rsidR="00CB41D0" w:rsidRPr="00E93D6A" w:rsidRDefault="00CB41D0" w:rsidP="0092107C">
            <w:pPr>
              <w:numPr>
                <w:ilvl w:val="1"/>
                <w:numId w:val="32"/>
              </w:numPr>
              <w:cnfStyle w:val="000000000000" w:firstRow="0" w:lastRow="0" w:firstColumn="0" w:lastColumn="0" w:oddVBand="0" w:evenVBand="0" w:oddHBand="0" w:evenHBand="0" w:firstRowFirstColumn="0" w:firstRowLastColumn="0" w:lastRowFirstColumn="0" w:lastRowLastColumn="0"/>
            </w:pPr>
            <w:r w:rsidRPr="00FA04FC">
              <w:t>evidence of public liability insurance.</w:t>
            </w:r>
          </w:p>
        </w:tc>
      </w:tr>
      <w:tr w:rsidR="00CB41D0" w:rsidRPr="00E93D6A" w14:paraId="5CD20A27" w14:textId="77777777" w:rsidTr="00A54A78">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338" w:type="dxa"/>
            <w:hideMark/>
          </w:tcPr>
          <w:p w14:paraId="5D113C2A" w14:textId="77777777" w:rsidR="00CB41D0" w:rsidRPr="00E93D6A" w:rsidRDefault="00CB41D0" w:rsidP="00A54A78">
            <w:pPr>
              <w:spacing w:after="120"/>
            </w:pPr>
            <w:r w:rsidRPr="00E93D6A">
              <w:t>r.20 Prescribed particulars—Schedule 7, clause 16(3)</w:t>
            </w:r>
          </w:p>
        </w:tc>
        <w:tc>
          <w:tcPr>
            <w:tcW w:w="7374" w:type="dxa"/>
            <w:hideMark/>
          </w:tcPr>
          <w:p w14:paraId="793E0EFD" w14:textId="77777777" w:rsidR="00CB41D0" w:rsidRPr="00E93D6A" w:rsidRDefault="00CB41D0" w:rsidP="00A54A78">
            <w:pPr>
              <w:spacing w:after="120"/>
              <w:cnfStyle w:val="000000100000" w:firstRow="0" w:lastRow="0" w:firstColumn="0" w:lastColumn="0" w:oddVBand="0" w:evenVBand="0" w:oddHBand="1" w:evenHBand="0" w:firstRowFirstColumn="0" w:firstRowLastColumn="0" w:lastRowFirstColumn="0" w:lastRowLastColumn="0"/>
            </w:pPr>
            <w:r w:rsidRPr="00E93D6A">
              <w:t xml:space="preserve">Relocation of the regulation about prescribed particulars for Schedule 7, clause 16(3) from Regulation 19 to </w:t>
            </w:r>
            <w:r>
              <w:t>Regulation 20.</w:t>
            </w:r>
          </w:p>
        </w:tc>
      </w:tr>
      <w:tr w:rsidR="00CB41D0" w:rsidRPr="00E93D6A" w14:paraId="527D493A" w14:textId="77777777" w:rsidTr="00A54A78">
        <w:trPr>
          <w:trHeight w:val="332"/>
        </w:trPr>
        <w:tc>
          <w:tcPr>
            <w:cnfStyle w:val="001000000000" w:firstRow="0" w:lastRow="0" w:firstColumn="1" w:lastColumn="0" w:oddVBand="0" w:evenVBand="0" w:oddHBand="0" w:evenHBand="0" w:firstRowFirstColumn="0" w:firstRowLastColumn="0" w:lastRowFirstColumn="0" w:lastRowLastColumn="0"/>
            <w:tcW w:w="3338" w:type="dxa"/>
          </w:tcPr>
          <w:p w14:paraId="00DC58F5" w14:textId="356028B8" w:rsidR="00CB41D0" w:rsidRPr="00E93D6A" w:rsidRDefault="00CB41D0" w:rsidP="00A54A78">
            <w:r>
              <w:t>r.2</w:t>
            </w:r>
            <w:r w:rsidR="008F058A">
              <w:t>2</w:t>
            </w:r>
            <w:r w:rsidR="00611AC1">
              <w:t xml:space="preserve"> </w:t>
            </w:r>
            <w:r w:rsidR="00611AC1" w:rsidRPr="005F0DCF">
              <w:t xml:space="preserve">Prescribed road infrastructure and responsible road authority </w:t>
            </w:r>
          </w:p>
        </w:tc>
        <w:tc>
          <w:tcPr>
            <w:tcW w:w="7374" w:type="dxa"/>
          </w:tcPr>
          <w:p w14:paraId="204D59DD" w14:textId="212EFE4D" w:rsidR="00CB41D0" w:rsidRPr="00E93D6A" w:rsidRDefault="00CB41D0" w:rsidP="00A54A78">
            <w:pPr>
              <w:cnfStyle w:val="000000000000" w:firstRow="0" w:lastRow="0" w:firstColumn="0" w:lastColumn="0" w:oddVBand="0" w:evenVBand="0" w:oddHBand="0" w:evenHBand="0" w:firstRowFirstColumn="0" w:firstRowLastColumn="0" w:lastRowFirstColumn="0" w:lastRowLastColumn="0"/>
            </w:pPr>
            <w:r>
              <w:t>New Regulation 2</w:t>
            </w:r>
            <w:r w:rsidR="008F058A">
              <w:t>2</w:t>
            </w:r>
            <w:r>
              <w:t xml:space="preserve"> provides that</w:t>
            </w:r>
            <w:r w:rsidR="003E1A72">
              <w:t xml:space="preserve"> the</w:t>
            </w:r>
            <w:r>
              <w:t xml:space="preserve"> </w:t>
            </w:r>
            <w:r w:rsidRPr="00105808">
              <w:t xml:space="preserve">HTfV </w:t>
            </w:r>
            <w:r>
              <w:t>is</w:t>
            </w:r>
            <w:r w:rsidRPr="00105808">
              <w:t xml:space="preserve"> the responsible road authority for bridges supporting roads (and pedestrians) over railway lines, where those structures would otherwise have been the responsibility of municipal councils. The roads and footpaths themselves remain the responsibility of the relevant municipal council.</w:t>
            </w:r>
          </w:p>
        </w:tc>
      </w:tr>
      <w:tr w:rsidR="00CB41D0" w:rsidRPr="00E93D6A" w14:paraId="5BF780F6" w14:textId="77777777" w:rsidTr="00A54A78">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338" w:type="dxa"/>
            <w:hideMark/>
          </w:tcPr>
          <w:p w14:paraId="2B6F2886" w14:textId="77777777" w:rsidR="00CB41D0" w:rsidRPr="00E93D6A" w:rsidRDefault="00CB41D0" w:rsidP="00A54A78">
            <w:pPr>
              <w:spacing w:after="120"/>
            </w:pPr>
            <w:r w:rsidRPr="00E93D6A">
              <w:t>General updates</w:t>
            </w:r>
          </w:p>
        </w:tc>
        <w:tc>
          <w:tcPr>
            <w:tcW w:w="7374" w:type="dxa"/>
            <w:hideMark/>
          </w:tcPr>
          <w:p w14:paraId="627274CB" w14:textId="77777777" w:rsidR="00CB41D0" w:rsidRPr="00E93D6A" w:rsidRDefault="00CB41D0" w:rsidP="00A54A78">
            <w:pPr>
              <w:spacing w:after="120"/>
              <w:cnfStyle w:val="000000100000" w:firstRow="0" w:lastRow="0" w:firstColumn="0" w:lastColumn="0" w:oddVBand="0" w:evenVBand="0" w:oddHBand="1" w:evenHBand="0" w:firstRowFirstColumn="0" w:firstRowLastColumn="0" w:lastRowFirstColumn="0" w:lastRowLastColumn="0"/>
            </w:pPr>
            <w:r w:rsidRPr="00E93D6A">
              <w:t xml:space="preserve">Reordering of the Parts of the regulations relating to Consents, Exemptions and General to </w:t>
            </w:r>
            <w:r>
              <w:t>present</w:t>
            </w:r>
            <w:r w:rsidRPr="00E93D6A">
              <w:t xml:space="preserve"> a more logical flow.</w:t>
            </w:r>
          </w:p>
        </w:tc>
      </w:tr>
      <w:tr w:rsidR="00CB41D0" w:rsidRPr="00E93D6A" w14:paraId="00233ACC" w14:textId="77777777" w:rsidTr="00A54A78">
        <w:trPr>
          <w:trHeight w:val="332"/>
        </w:trPr>
        <w:tc>
          <w:tcPr>
            <w:cnfStyle w:val="001000000000" w:firstRow="0" w:lastRow="0" w:firstColumn="1" w:lastColumn="0" w:oddVBand="0" w:evenVBand="0" w:oddHBand="0" w:evenHBand="0" w:firstRowFirstColumn="0" w:firstRowLastColumn="0" w:lastRowFirstColumn="0" w:lastRowLastColumn="0"/>
            <w:tcW w:w="3338" w:type="dxa"/>
            <w:hideMark/>
          </w:tcPr>
          <w:p w14:paraId="411B48D1" w14:textId="77777777" w:rsidR="00CB41D0" w:rsidRPr="00E93D6A" w:rsidRDefault="00CB41D0" w:rsidP="00A54A78">
            <w:pPr>
              <w:spacing w:after="120"/>
            </w:pPr>
            <w:r w:rsidRPr="00E93D6A">
              <w:t>Other minor and technical updates</w:t>
            </w:r>
          </w:p>
        </w:tc>
        <w:tc>
          <w:tcPr>
            <w:tcW w:w="7374" w:type="dxa"/>
            <w:hideMark/>
          </w:tcPr>
          <w:p w14:paraId="4EC53F89" w14:textId="77777777" w:rsidR="00CB41D0" w:rsidRPr="00E93D6A" w:rsidRDefault="00CB41D0" w:rsidP="00A54A78">
            <w:pPr>
              <w:spacing w:after="120"/>
              <w:cnfStyle w:val="000000000000" w:firstRow="0" w:lastRow="0" w:firstColumn="0" w:lastColumn="0" w:oddVBand="0" w:evenVBand="0" w:oddHBand="0" w:evenHBand="0" w:firstRowFirstColumn="0" w:firstRowLastColumn="0" w:lastRowFirstColumn="0" w:lastRowLastColumn="0"/>
            </w:pPr>
            <w:r w:rsidRPr="00E93D6A">
              <w:t xml:space="preserve">Other updates in the proposed Regulations include changes to </w:t>
            </w:r>
            <w:r>
              <w:t xml:space="preserve">terminology, </w:t>
            </w:r>
            <w:r w:rsidRPr="00E93D6A">
              <w:t xml:space="preserve">dates, headings and regulation numbers. </w:t>
            </w:r>
          </w:p>
        </w:tc>
      </w:tr>
    </w:tbl>
    <w:p w14:paraId="26461842" w14:textId="77777777" w:rsidR="001E1E01" w:rsidRDefault="001E1E01" w:rsidP="00437C76">
      <w:pPr>
        <w:pStyle w:val="Caption"/>
      </w:pPr>
    </w:p>
    <w:p w14:paraId="01F98141" w14:textId="77777777" w:rsidR="001E1E01" w:rsidRDefault="001E1E01">
      <w:pPr>
        <w:rPr>
          <w:i/>
          <w:iCs/>
          <w:color w:val="36383D" w:themeColor="accent6"/>
          <w:sz w:val="18"/>
          <w:szCs w:val="18"/>
        </w:rPr>
      </w:pPr>
      <w:r>
        <w:br w:type="page"/>
      </w:r>
    </w:p>
    <w:p w14:paraId="7055EDA2" w14:textId="6AB73AFE" w:rsidR="001F27DD" w:rsidRDefault="00437C76" w:rsidP="00437C76">
      <w:pPr>
        <w:pStyle w:val="Caption"/>
      </w:pPr>
      <w:bookmarkStart w:id="253" w:name="_Toc226448360"/>
      <w:r>
        <w:lastRenderedPageBreak/>
        <w:t xml:space="preserve">Table </w:t>
      </w:r>
      <w:r w:rsidR="00E41F1F">
        <w:fldChar w:fldCharType="begin"/>
      </w:r>
      <w:r w:rsidR="00E41F1F">
        <w:instrText xml:space="preserve"> SEQ Table \* ARABIC </w:instrText>
      </w:r>
      <w:r w:rsidR="00E41F1F">
        <w:fldChar w:fldCharType="separate"/>
      </w:r>
      <w:r w:rsidR="00F170D0">
        <w:rPr>
          <w:noProof/>
        </w:rPr>
        <w:t>12</w:t>
      </w:r>
      <w:r w:rsidR="00E41F1F">
        <w:rPr>
          <w:noProof/>
        </w:rPr>
        <w:fldChar w:fldCharType="end"/>
      </w:r>
      <w:r w:rsidR="001F27DD">
        <w:t xml:space="preserve"> </w:t>
      </w:r>
      <w:r>
        <w:t>–</w:t>
      </w:r>
      <w:r w:rsidR="001F27DD">
        <w:t xml:space="preserve"> </w:t>
      </w:r>
      <w:r w:rsidR="001F27DD" w:rsidRPr="007E6071">
        <w:t>Road Management (General) Regulations</w:t>
      </w:r>
      <w:bookmarkEnd w:id="253"/>
    </w:p>
    <w:tbl>
      <w:tblPr>
        <w:tblStyle w:val="ListTable3-Accent4"/>
        <w:tblW w:w="10712" w:type="dxa"/>
        <w:tblLook w:val="04A0" w:firstRow="1" w:lastRow="0" w:firstColumn="1" w:lastColumn="0" w:noHBand="0" w:noVBand="1"/>
      </w:tblPr>
      <w:tblGrid>
        <w:gridCol w:w="3338"/>
        <w:gridCol w:w="7374"/>
      </w:tblGrid>
      <w:tr w:rsidR="001F27DD" w:rsidRPr="007202C6" w14:paraId="0B79CDA7" w14:textId="77777777" w:rsidTr="00AA6DFC">
        <w:trPr>
          <w:cnfStyle w:val="100000000000" w:firstRow="1" w:lastRow="0" w:firstColumn="0" w:lastColumn="0" w:oddVBand="0" w:evenVBand="0" w:oddHBand="0" w:evenHBand="0" w:firstRowFirstColumn="0" w:firstRowLastColumn="0" w:lastRowFirstColumn="0" w:lastRowLastColumn="0"/>
          <w:cantSplit/>
          <w:trHeight w:val="525"/>
          <w:tblHeader/>
        </w:trPr>
        <w:tc>
          <w:tcPr>
            <w:cnfStyle w:val="001000000100" w:firstRow="0" w:lastRow="0" w:firstColumn="1" w:lastColumn="0" w:oddVBand="0" w:evenVBand="0" w:oddHBand="0" w:evenHBand="0" w:firstRowFirstColumn="1" w:firstRowLastColumn="0" w:lastRowFirstColumn="0" w:lastRowLastColumn="0"/>
            <w:tcW w:w="3338" w:type="dxa"/>
          </w:tcPr>
          <w:p w14:paraId="2B8A53B1" w14:textId="77777777" w:rsidR="001F27DD" w:rsidRPr="007202C6" w:rsidRDefault="001F27DD" w:rsidP="00AA6DFC">
            <w:pPr>
              <w:rPr>
                <w:b w:val="0"/>
                <w:color w:val="auto"/>
              </w:rPr>
            </w:pPr>
            <w:r w:rsidRPr="007202C6">
              <w:rPr>
                <w:color w:val="auto"/>
              </w:rPr>
              <w:t>Proposed regulation number</w:t>
            </w:r>
          </w:p>
        </w:tc>
        <w:tc>
          <w:tcPr>
            <w:tcW w:w="7374" w:type="dxa"/>
          </w:tcPr>
          <w:p w14:paraId="74B9803E" w14:textId="77777777" w:rsidR="001F27DD" w:rsidRPr="007202C6" w:rsidRDefault="001F27DD" w:rsidP="00AA6DFC">
            <w:pPr>
              <w:cnfStyle w:val="100000000000" w:firstRow="1" w:lastRow="0" w:firstColumn="0" w:lastColumn="0" w:oddVBand="0" w:evenVBand="0" w:oddHBand="0" w:evenHBand="0" w:firstRowFirstColumn="0" w:firstRowLastColumn="0" w:lastRowFirstColumn="0" w:lastRowLastColumn="0"/>
              <w:rPr>
                <w:b w:val="0"/>
                <w:color w:val="auto"/>
              </w:rPr>
            </w:pPr>
            <w:r w:rsidRPr="007202C6">
              <w:rPr>
                <w:color w:val="auto"/>
              </w:rPr>
              <w:t>Proposed regulation description</w:t>
            </w:r>
          </w:p>
        </w:tc>
      </w:tr>
      <w:tr w:rsidR="001F27DD" w:rsidRPr="005F5592" w14:paraId="626A8CEC" w14:textId="77777777" w:rsidTr="00AA6DFC">
        <w:trPr>
          <w:cnfStyle w:val="000000100000" w:firstRow="0" w:lastRow="0" w:firstColumn="0" w:lastColumn="0" w:oddVBand="0" w:evenVBand="0" w:oddHBand="1" w:evenHBand="0" w:firstRowFirstColumn="0" w:firstRowLastColumn="0" w:lastRowFirstColumn="0" w:lastRowLastColumn="0"/>
          <w:cantSplit/>
          <w:trHeight w:val="348"/>
        </w:trPr>
        <w:tc>
          <w:tcPr>
            <w:cnfStyle w:val="001000000000" w:firstRow="0" w:lastRow="0" w:firstColumn="1" w:lastColumn="0" w:oddVBand="0" w:evenVBand="0" w:oddHBand="0" w:evenHBand="0" w:firstRowFirstColumn="0" w:firstRowLastColumn="0" w:lastRowFirstColumn="0" w:lastRowLastColumn="0"/>
            <w:tcW w:w="3338" w:type="dxa"/>
          </w:tcPr>
          <w:p w14:paraId="5AD32E59" w14:textId="7317F942" w:rsidR="001F27DD" w:rsidRPr="005B1D01" w:rsidRDefault="00CC4DD7" w:rsidP="00AA6DFC">
            <w:pPr>
              <w:rPr>
                <w:bCs w:val="0"/>
              </w:rPr>
            </w:pPr>
            <w:r>
              <w:rPr>
                <w:bCs w:val="0"/>
              </w:rPr>
              <w:t>r.5 Definitions</w:t>
            </w:r>
          </w:p>
        </w:tc>
        <w:tc>
          <w:tcPr>
            <w:tcW w:w="7374" w:type="dxa"/>
          </w:tcPr>
          <w:p w14:paraId="77D17F12" w14:textId="44621566" w:rsidR="00F619E7" w:rsidRDefault="000E6CA0" w:rsidP="00AA6DFC">
            <w:pPr>
              <w:spacing w:before="60" w:after="60"/>
              <w:ind w:right="-36"/>
              <w:cnfStyle w:val="000000100000" w:firstRow="0" w:lastRow="0" w:firstColumn="0" w:lastColumn="0" w:oddVBand="0" w:evenVBand="0" w:oddHBand="1" w:evenHBand="0" w:firstRowFirstColumn="0" w:firstRowLastColumn="0" w:lastRowFirstColumn="0" w:lastRowLastColumn="0"/>
            </w:pPr>
            <w:r>
              <w:t>The definition</w:t>
            </w:r>
            <w:r w:rsidR="007721EE">
              <w:t>s</w:t>
            </w:r>
            <w:r w:rsidR="00E971D8">
              <w:t xml:space="preserve"> for</w:t>
            </w:r>
            <w:r>
              <w:t xml:space="preserve"> </w:t>
            </w:r>
            <w:r w:rsidRPr="00505E97">
              <w:rPr>
                <w:i/>
                <w:iCs/>
              </w:rPr>
              <w:t>appropriate road authority</w:t>
            </w:r>
            <w:r w:rsidR="00315FFF">
              <w:rPr>
                <w:b/>
                <w:bCs/>
                <w:i/>
                <w:iCs/>
              </w:rPr>
              <w:t xml:space="preserve"> </w:t>
            </w:r>
            <w:r w:rsidR="007721EE" w:rsidRPr="007721EE">
              <w:t>and</w:t>
            </w:r>
            <w:r w:rsidR="00315FFF">
              <w:t xml:space="preserve"> </w:t>
            </w:r>
            <w:r w:rsidR="007721EE" w:rsidRPr="00505E97">
              <w:rPr>
                <w:i/>
                <w:iCs/>
              </w:rPr>
              <w:t>responsible person</w:t>
            </w:r>
            <w:r w:rsidR="007721EE">
              <w:t xml:space="preserve"> have b</w:t>
            </w:r>
            <w:r w:rsidR="00315FFF">
              <w:t xml:space="preserve">een relocated </w:t>
            </w:r>
            <w:r w:rsidR="00391833">
              <w:t>from Regulation 25</w:t>
            </w:r>
            <w:r w:rsidR="00F403EA">
              <w:t xml:space="preserve"> to Regulation 5</w:t>
            </w:r>
            <w:r w:rsidR="00391833">
              <w:t>.</w:t>
            </w:r>
          </w:p>
          <w:p w14:paraId="72A5EC63" w14:textId="01DBB6EF" w:rsidR="003022A7" w:rsidRPr="00F619E7" w:rsidRDefault="003022A7" w:rsidP="00AA6DFC">
            <w:pPr>
              <w:spacing w:before="60" w:after="60"/>
              <w:ind w:right="-36"/>
              <w:cnfStyle w:val="000000100000" w:firstRow="0" w:lastRow="0" w:firstColumn="0" w:lastColumn="0" w:oddVBand="0" w:evenVBand="0" w:oddHBand="1" w:evenHBand="0" w:firstRowFirstColumn="0" w:firstRowLastColumn="0" w:lastRowFirstColumn="0" w:lastRowLastColumn="0"/>
            </w:pPr>
            <w:r>
              <w:t xml:space="preserve">The definition for </w:t>
            </w:r>
            <w:r w:rsidRPr="003022A7">
              <w:rPr>
                <w:i/>
                <w:iCs/>
              </w:rPr>
              <w:t>camp</w:t>
            </w:r>
            <w:r>
              <w:t xml:space="preserve"> has </w:t>
            </w:r>
            <w:r w:rsidR="005E14DE">
              <w:t>been relocated from Regulation 21 t</w:t>
            </w:r>
            <w:r w:rsidR="000F34FD">
              <w:t>o</w:t>
            </w:r>
            <w:r w:rsidR="005E14DE">
              <w:t xml:space="preserve"> Regulation 5.</w:t>
            </w:r>
          </w:p>
        </w:tc>
      </w:tr>
      <w:tr w:rsidR="00971E21" w:rsidRPr="005F5592" w14:paraId="79721F0E" w14:textId="77777777" w:rsidTr="00AA6DFC">
        <w:trPr>
          <w:cantSplit/>
          <w:trHeight w:val="348"/>
        </w:trPr>
        <w:tc>
          <w:tcPr>
            <w:cnfStyle w:val="001000000000" w:firstRow="0" w:lastRow="0" w:firstColumn="1" w:lastColumn="0" w:oddVBand="0" w:evenVBand="0" w:oddHBand="0" w:evenHBand="0" w:firstRowFirstColumn="0" w:firstRowLastColumn="0" w:lastRowFirstColumn="0" w:lastRowLastColumn="0"/>
            <w:tcW w:w="3338" w:type="dxa"/>
          </w:tcPr>
          <w:p w14:paraId="48674BCB" w14:textId="59BF4E0A" w:rsidR="00971E21" w:rsidRDefault="00971E21" w:rsidP="00971E21">
            <w:r>
              <w:t>r.9,10,13 Relating to notices published in relation to review and amendment of road management plans</w:t>
            </w:r>
          </w:p>
        </w:tc>
        <w:tc>
          <w:tcPr>
            <w:tcW w:w="7374" w:type="dxa"/>
          </w:tcPr>
          <w:p w14:paraId="3DD397C4" w14:textId="56304B7B" w:rsidR="00971E21" w:rsidRDefault="00971E21" w:rsidP="00971E21">
            <w:pPr>
              <w:spacing w:before="60" w:after="60"/>
              <w:ind w:right="-36"/>
              <w:cnfStyle w:val="000000000000" w:firstRow="0" w:lastRow="0" w:firstColumn="0" w:lastColumn="0" w:oddVBand="0" w:evenVBand="0" w:oddHBand="0" w:evenHBand="0" w:firstRowFirstColumn="0" w:firstRowLastColumn="0" w:lastRowFirstColumn="0" w:lastRowLastColumn="0"/>
            </w:pPr>
            <w:r>
              <w:t xml:space="preserve">Updates the requirements to publish a notice to </w:t>
            </w:r>
            <w:r w:rsidR="00752884">
              <w:t xml:space="preserve">include </w:t>
            </w:r>
            <w:r>
              <w:t xml:space="preserve">an approved internet site. </w:t>
            </w:r>
          </w:p>
        </w:tc>
      </w:tr>
      <w:tr w:rsidR="00EF019F" w:rsidRPr="005F5592" w14:paraId="2FBA95C3" w14:textId="77777777" w:rsidTr="00AA6DFC">
        <w:trPr>
          <w:cnfStyle w:val="000000100000" w:firstRow="0" w:lastRow="0" w:firstColumn="0" w:lastColumn="0" w:oddVBand="0" w:evenVBand="0" w:oddHBand="1" w:evenHBand="0" w:firstRowFirstColumn="0" w:firstRowLastColumn="0" w:lastRowFirstColumn="0" w:lastRowLastColumn="0"/>
          <w:cantSplit/>
          <w:trHeight w:val="348"/>
        </w:trPr>
        <w:tc>
          <w:tcPr>
            <w:cnfStyle w:val="001000000000" w:firstRow="0" w:lastRow="0" w:firstColumn="1" w:lastColumn="0" w:oddVBand="0" w:evenVBand="0" w:oddHBand="0" w:evenHBand="0" w:firstRowFirstColumn="0" w:firstRowLastColumn="0" w:lastRowFirstColumn="0" w:lastRowLastColumn="0"/>
            <w:tcW w:w="3338" w:type="dxa"/>
          </w:tcPr>
          <w:p w14:paraId="15875B06" w14:textId="70F66E42" w:rsidR="00EF019F" w:rsidRDefault="005D349D" w:rsidP="00971E21">
            <w:r>
              <w:t>r.16</w:t>
            </w:r>
            <w:r w:rsidR="00D3194E">
              <w:t xml:space="preserve"> Interference with roads</w:t>
            </w:r>
          </w:p>
        </w:tc>
        <w:tc>
          <w:tcPr>
            <w:tcW w:w="7374" w:type="dxa"/>
          </w:tcPr>
          <w:p w14:paraId="04BBB27A" w14:textId="4D351D89" w:rsidR="00EF019F" w:rsidRDefault="00D3194E" w:rsidP="00971E21">
            <w:pPr>
              <w:spacing w:before="60" w:after="60"/>
              <w:ind w:right="-36"/>
              <w:cnfStyle w:val="000000100000" w:firstRow="0" w:lastRow="0" w:firstColumn="0" w:lastColumn="0" w:oddVBand="0" w:evenVBand="0" w:oddHBand="1" w:evenHBand="0" w:firstRowFirstColumn="0" w:firstRowLastColumn="0" w:lastRowFirstColumn="0" w:lastRowLastColumn="0"/>
            </w:pPr>
            <w:r>
              <w:t xml:space="preserve">Regulation 16 </w:t>
            </w:r>
            <w:r w:rsidR="00042E56">
              <w:t xml:space="preserve">is reordered </w:t>
            </w:r>
            <w:r>
              <w:t xml:space="preserve">to </w:t>
            </w:r>
            <w:r w:rsidR="009E05D6">
              <w:t>make</w:t>
            </w:r>
            <w:r>
              <w:t xml:space="preserve"> </w:t>
            </w:r>
            <w:r w:rsidR="00AE6C54">
              <w:t>separate sub-regulations and</w:t>
            </w:r>
            <w:r w:rsidR="009E05D6">
              <w:t xml:space="preserve"> present</w:t>
            </w:r>
            <w:r w:rsidR="00AE6C54">
              <w:t xml:space="preserve"> </w:t>
            </w:r>
            <w:r>
              <w:t>a more logical flow.</w:t>
            </w:r>
            <w:r w:rsidR="005D349D">
              <w:t xml:space="preserve"> </w:t>
            </w:r>
            <w:r w:rsidR="00931C97">
              <w:t xml:space="preserve">This </w:t>
            </w:r>
            <w:r w:rsidR="008A5950">
              <w:t xml:space="preserve">change </w:t>
            </w:r>
            <w:r w:rsidR="00931C97">
              <w:t xml:space="preserve">is also to ensure the sub-regulations are more suitable to be </w:t>
            </w:r>
            <w:r w:rsidR="00912830">
              <w:t>made infringeable.</w:t>
            </w:r>
            <w:r w:rsidR="00931C97">
              <w:t xml:space="preserve"> </w:t>
            </w:r>
          </w:p>
        </w:tc>
      </w:tr>
      <w:tr w:rsidR="00971E21" w:rsidRPr="005F7526" w14:paraId="094D2A24" w14:textId="77777777" w:rsidTr="00AA6DFC">
        <w:trPr>
          <w:cantSplit/>
          <w:trHeight w:val="332"/>
        </w:trPr>
        <w:tc>
          <w:tcPr>
            <w:cnfStyle w:val="001000000000" w:firstRow="0" w:lastRow="0" w:firstColumn="1" w:lastColumn="0" w:oddVBand="0" w:evenVBand="0" w:oddHBand="0" w:evenHBand="0" w:firstRowFirstColumn="0" w:firstRowLastColumn="0" w:lastRowFirstColumn="0" w:lastRowLastColumn="0"/>
            <w:tcW w:w="3338" w:type="dxa"/>
          </w:tcPr>
          <w:p w14:paraId="2CAD166C" w14:textId="77777777" w:rsidR="00971E21" w:rsidRDefault="00971E21" w:rsidP="00971E21">
            <w:pPr>
              <w:pStyle w:val="ListBullet"/>
              <w:ind w:left="0" w:firstLine="0"/>
            </w:pPr>
            <w:r>
              <w:t>r.20 Prohibited uses of bridges</w:t>
            </w:r>
          </w:p>
        </w:tc>
        <w:tc>
          <w:tcPr>
            <w:tcW w:w="7374" w:type="dxa"/>
          </w:tcPr>
          <w:p w14:paraId="0741FB2A" w14:textId="77777777" w:rsidR="00971E21" w:rsidRPr="005F7526" w:rsidRDefault="00971E21" w:rsidP="00971E21">
            <w:pPr>
              <w:cnfStyle w:val="000000000000" w:firstRow="0" w:lastRow="0" w:firstColumn="0" w:lastColumn="0" w:oddVBand="0" w:evenVBand="0" w:oddHBand="0" w:evenHBand="0" w:firstRowFirstColumn="0" w:firstRowLastColumn="0" w:lastRowFirstColumn="0" w:lastRowLastColumn="0"/>
            </w:pPr>
            <w:r>
              <w:t xml:space="preserve">Amends the prohibited uses of bridges to make the restrictions clearer in relation to climbing, jumping and rappelling. </w:t>
            </w:r>
          </w:p>
        </w:tc>
      </w:tr>
      <w:tr w:rsidR="00BA38FC" w:rsidRPr="005F7526" w14:paraId="6D335619" w14:textId="77777777" w:rsidTr="00AA6DFC">
        <w:trPr>
          <w:cnfStyle w:val="000000100000" w:firstRow="0" w:lastRow="0" w:firstColumn="0" w:lastColumn="0" w:oddVBand="0" w:evenVBand="0" w:oddHBand="1" w:evenHBand="0" w:firstRowFirstColumn="0" w:firstRowLastColumn="0" w:lastRowFirstColumn="0" w:lastRowLastColumn="0"/>
          <w:cantSplit/>
          <w:trHeight w:val="332"/>
        </w:trPr>
        <w:tc>
          <w:tcPr>
            <w:cnfStyle w:val="001000000000" w:firstRow="0" w:lastRow="0" w:firstColumn="1" w:lastColumn="0" w:oddVBand="0" w:evenVBand="0" w:oddHBand="0" w:evenHBand="0" w:firstRowFirstColumn="0" w:firstRowLastColumn="0" w:lastRowFirstColumn="0" w:lastRowLastColumn="0"/>
            <w:tcW w:w="3338" w:type="dxa"/>
          </w:tcPr>
          <w:p w14:paraId="5AF9A1A6" w14:textId="06C82602" w:rsidR="00BA38FC" w:rsidRDefault="00BA38FC" w:rsidP="00971E21">
            <w:pPr>
              <w:pStyle w:val="ListBullet"/>
              <w:ind w:left="0" w:firstLine="0"/>
            </w:pPr>
            <w:r>
              <w:t>r.21 Camping</w:t>
            </w:r>
          </w:p>
        </w:tc>
        <w:tc>
          <w:tcPr>
            <w:tcW w:w="7374" w:type="dxa"/>
          </w:tcPr>
          <w:p w14:paraId="35BB4ADA" w14:textId="6505B03C" w:rsidR="00BA38FC" w:rsidRDefault="00BA38FC" w:rsidP="00971E21">
            <w:pPr>
              <w:cnfStyle w:val="000000100000" w:firstRow="0" w:lastRow="0" w:firstColumn="0" w:lastColumn="0" w:oddVBand="0" w:evenVBand="0" w:oddHBand="1" w:evenHBand="0" w:firstRowFirstColumn="0" w:firstRowLastColumn="0" w:lastRowFirstColumn="0" w:lastRowLastColumn="0"/>
            </w:pPr>
            <w:r>
              <w:t xml:space="preserve">The definition for </w:t>
            </w:r>
            <w:r w:rsidRPr="003022A7">
              <w:rPr>
                <w:i/>
                <w:iCs/>
              </w:rPr>
              <w:t>camp</w:t>
            </w:r>
            <w:r>
              <w:t xml:space="preserve"> has been relocated from Regulation 21 to Regulation 5.</w:t>
            </w:r>
          </w:p>
        </w:tc>
      </w:tr>
      <w:tr w:rsidR="00CC015E" w:rsidRPr="005F7526" w14:paraId="26A04352" w14:textId="77777777" w:rsidTr="00AA6DFC">
        <w:trPr>
          <w:cantSplit/>
          <w:trHeight w:val="332"/>
        </w:trPr>
        <w:tc>
          <w:tcPr>
            <w:cnfStyle w:val="001000000000" w:firstRow="0" w:lastRow="0" w:firstColumn="1" w:lastColumn="0" w:oddVBand="0" w:evenVBand="0" w:oddHBand="0" w:evenHBand="0" w:firstRowFirstColumn="0" w:firstRowLastColumn="0" w:lastRowFirstColumn="0" w:lastRowLastColumn="0"/>
            <w:tcW w:w="3338" w:type="dxa"/>
          </w:tcPr>
          <w:p w14:paraId="5CF2A7CC" w14:textId="194B9FC4" w:rsidR="00CC015E" w:rsidRDefault="00CC015E" w:rsidP="00971E21">
            <w:pPr>
              <w:pStyle w:val="ListBullet"/>
              <w:ind w:left="0" w:firstLine="0"/>
            </w:pPr>
            <w:r>
              <w:t xml:space="preserve">r.23 </w:t>
            </w:r>
            <w:r w:rsidR="008F46E9" w:rsidRPr="008F46E9">
              <w:t>Hoardings and advertisements</w:t>
            </w:r>
          </w:p>
        </w:tc>
        <w:tc>
          <w:tcPr>
            <w:tcW w:w="7374" w:type="dxa"/>
          </w:tcPr>
          <w:p w14:paraId="641C240F" w14:textId="23DBB42C" w:rsidR="00CC015E" w:rsidRDefault="00E148AB" w:rsidP="00971E21">
            <w:pPr>
              <w:cnfStyle w:val="000000000000" w:firstRow="0" w:lastRow="0" w:firstColumn="0" w:lastColumn="0" w:oddVBand="0" w:evenVBand="0" w:oddHBand="0" w:evenHBand="0" w:firstRowFirstColumn="0" w:firstRowLastColumn="0" w:lastRowFirstColumn="0" w:lastRowLastColumn="0"/>
            </w:pPr>
            <w:r>
              <w:t xml:space="preserve">Regulation </w:t>
            </w:r>
            <w:r w:rsidR="00E0624C">
              <w:t xml:space="preserve">23 </w:t>
            </w:r>
            <w:r w:rsidR="00E12F5F">
              <w:t xml:space="preserve">is reordered </w:t>
            </w:r>
            <w:r w:rsidR="00E0624C">
              <w:t xml:space="preserve">to </w:t>
            </w:r>
            <w:r w:rsidR="00C62F50">
              <w:t xml:space="preserve">reflect the order in which things </w:t>
            </w:r>
            <w:r w:rsidR="00472F75">
              <w:t>happen</w:t>
            </w:r>
            <w:r w:rsidR="00AD0C3C">
              <w:t xml:space="preserve"> </w:t>
            </w:r>
            <w:r w:rsidR="00AD0C3C" w:rsidRPr="00AD0C3C">
              <w:t>(i.e. application, consideration, decision, review of decision).</w:t>
            </w:r>
          </w:p>
        </w:tc>
      </w:tr>
      <w:tr w:rsidR="0079006D" w:rsidRPr="005F7526" w14:paraId="2354F079" w14:textId="77777777" w:rsidTr="00AA6DFC">
        <w:trPr>
          <w:cnfStyle w:val="000000100000" w:firstRow="0" w:lastRow="0" w:firstColumn="0" w:lastColumn="0" w:oddVBand="0" w:evenVBand="0" w:oddHBand="1" w:evenHBand="0" w:firstRowFirstColumn="0" w:firstRowLastColumn="0" w:lastRowFirstColumn="0" w:lastRowLastColumn="0"/>
          <w:cantSplit/>
          <w:trHeight w:val="332"/>
        </w:trPr>
        <w:tc>
          <w:tcPr>
            <w:cnfStyle w:val="001000000000" w:firstRow="0" w:lastRow="0" w:firstColumn="1" w:lastColumn="0" w:oddVBand="0" w:evenVBand="0" w:oddHBand="0" w:evenHBand="0" w:firstRowFirstColumn="0" w:firstRowLastColumn="0" w:lastRowFirstColumn="0" w:lastRowLastColumn="0"/>
            <w:tcW w:w="3338" w:type="dxa"/>
          </w:tcPr>
          <w:p w14:paraId="2F5F2BA8" w14:textId="57A25E3B" w:rsidR="0079006D" w:rsidRDefault="0079006D" w:rsidP="00971E21">
            <w:pPr>
              <w:pStyle w:val="ListBullet"/>
              <w:ind w:left="0" w:firstLine="0"/>
            </w:pPr>
            <w:r>
              <w:t xml:space="preserve">r.24 </w:t>
            </w:r>
            <w:r w:rsidR="00D44904" w:rsidRPr="00D44904">
              <w:t>Direction to remove objects, substances and materials from road</w:t>
            </w:r>
          </w:p>
        </w:tc>
        <w:tc>
          <w:tcPr>
            <w:tcW w:w="7374" w:type="dxa"/>
          </w:tcPr>
          <w:p w14:paraId="711A91B6" w14:textId="213730A8" w:rsidR="0079006D" w:rsidRDefault="00514292" w:rsidP="00971E21">
            <w:pPr>
              <w:cnfStyle w:val="000000100000" w:firstRow="0" w:lastRow="0" w:firstColumn="0" w:lastColumn="0" w:oddVBand="0" w:evenVBand="0" w:oddHBand="1" w:evenHBand="0" w:firstRowFirstColumn="0" w:firstRowLastColumn="0" w:lastRowFirstColumn="0" w:lastRowLastColumn="0"/>
            </w:pPr>
            <w:r w:rsidRPr="00C4662E">
              <w:t xml:space="preserve">The definition for </w:t>
            </w:r>
            <w:r w:rsidRPr="00C4662E">
              <w:rPr>
                <w:i/>
                <w:iCs/>
              </w:rPr>
              <w:t>low value</w:t>
            </w:r>
            <w:r w:rsidRPr="00C4662E">
              <w:t xml:space="preserve"> has been relocated from Regulation 2</w:t>
            </w:r>
            <w:r>
              <w:t>5</w:t>
            </w:r>
            <w:r w:rsidRPr="00C4662E">
              <w:t xml:space="preserve"> to </w:t>
            </w:r>
            <w:r>
              <w:t>form part of Regulation 25(3)</w:t>
            </w:r>
            <w:r w:rsidRPr="00C4662E">
              <w:t>.</w:t>
            </w:r>
          </w:p>
        </w:tc>
      </w:tr>
      <w:tr w:rsidR="00BA38FC" w:rsidRPr="005F7526" w14:paraId="5B888896" w14:textId="77777777" w:rsidTr="00AA6DFC">
        <w:trPr>
          <w:cantSplit/>
          <w:trHeight w:val="332"/>
        </w:trPr>
        <w:tc>
          <w:tcPr>
            <w:cnfStyle w:val="001000000000" w:firstRow="0" w:lastRow="0" w:firstColumn="1" w:lastColumn="0" w:oddVBand="0" w:evenVBand="0" w:oddHBand="0" w:evenHBand="0" w:firstRowFirstColumn="0" w:firstRowLastColumn="0" w:lastRowFirstColumn="0" w:lastRowLastColumn="0"/>
            <w:tcW w:w="3338" w:type="dxa"/>
          </w:tcPr>
          <w:p w14:paraId="1A6D8BBB" w14:textId="6DA4513F" w:rsidR="00BA38FC" w:rsidRDefault="00BA38FC" w:rsidP="00971E21">
            <w:pPr>
              <w:pStyle w:val="ListBullet"/>
              <w:ind w:left="0" w:firstLine="0"/>
            </w:pPr>
            <w:r>
              <w:t xml:space="preserve">r.25 </w:t>
            </w:r>
            <w:r w:rsidR="00B34EC9" w:rsidRPr="00B34EC9">
              <w:t>Removal of objects, substances and materials from road</w:t>
            </w:r>
          </w:p>
        </w:tc>
        <w:tc>
          <w:tcPr>
            <w:tcW w:w="7374" w:type="dxa"/>
          </w:tcPr>
          <w:p w14:paraId="77964957" w14:textId="7E00EF08" w:rsidR="00BA38FC" w:rsidRDefault="00E12F5F" w:rsidP="00E12F5F">
            <w:pPr>
              <w:spacing w:before="60" w:after="60"/>
              <w:ind w:right="-36"/>
              <w:cnfStyle w:val="000000000000" w:firstRow="0" w:lastRow="0" w:firstColumn="0" w:lastColumn="0" w:oddVBand="0" w:evenVBand="0" w:oddHBand="0" w:evenHBand="0" w:firstRowFirstColumn="0" w:firstRowLastColumn="0" w:lastRowFirstColumn="0" w:lastRowLastColumn="0"/>
            </w:pPr>
            <w:r>
              <w:t xml:space="preserve">Regulation 25 is reordered to make clearer. </w:t>
            </w:r>
            <w:r w:rsidR="00C4662E">
              <w:t xml:space="preserve">The definitions for </w:t>
            </w:r>
            <w:r w:rsidR="00C4662E" w:rsidRPr="00505E97">
              <w:rPr>
                <w:i/>
                <w:iCs/>
              </w:rPr>
              <w:t>appropriate road authority</w:t>
            </w:r>
            <w:r w:rsidR="00C4662E">
              <w:rPr>
                <w:b/>
                <w:bCs/>
                <w:i/>
                <w:iCs/>
              </w:rPr>
              <w:t xml:space="preserve"> </w:t>
            </w:r>
            <w:r w:rsidR="00C4662E" w:rsidRPr="007721EE">
              <w:t>and</w:t>
            </w:r>
            <w:r w:rsidR="00C4662E">
              <w:t xml:space="preserve"> </w:t>
            </w:r>
            <w:r w:rsidR="00C4662E" w:rsidRPr="00505E97">
              <w:rPr>
                <w:i/>
                <w:iCs/>
              </w:rPr>
              <w:t>responsible person</w:t>
            </w:r>
            <w:r w:rsidR="00C4662E">
              <w:t xml:space="preserve"> have been relocated from Regulation 25 to Regulation 5.</w:t>
            </w:r>
            <w:r>
              <w:t xml:space="preserve"> </w:t>
            </w:r>
            <w:r w:rsidR="00C4662E" w:rsidRPr="00C4662E">
              <w:t xml:space="preserve">The definition for </w:t>
            </w:r>
            <w:r w:rsidR="00C4662E" w:rsidRPr="00C4662E">
              <w:rPr>
                <w:i/>
                <w:iCs/>
              </w:rPr>
              <w:t>low value</w:t>
            </w:r>
            <w:r w:rsidR="00C4662E" w:rsidRPr="00C4662E">
              <w:t xml:space="preserve"> has been </w:t>
            </w:r>
            <w:r w:rsidR="00E46FBD">
              <w:t>altered</w:t>
            </w:r>
            <w:r w:rsidR="00C4662E" w:rsidRPr="00C4662E">
              <w:t xml:space="preserve"> </w:t>
            </w:r>
            <w:r w:rsidR="00FA0C84">
              <w:t>to</w:t>
            </w:r>
            <w:r w:rsidR="00C4662E" w:rsidRPr="00C4662E">
              <w:t xml:space="preserve"> </w:t>
            </w:r>
            <w:r w:rsidR="00C16CC0">
              <w:t>form part of Regulation 2</w:t>
            </w:r>
            <w:r w:rsidR="00514292">
              <w:t>5</w:t>
            </w:r>
            <w:r w:rsidR="00C16CC0">
              <w:t>(3)</w:t>
            </w:r>
            <w:r w:rsidR="00C4662E" w:rsidRPr="00C4662E">
              <w:t>.</w:t>
            </w:r>
          </w:p>
        </w:tc>
      </w:tr>
      <w:tr w:rsidR="00910F0B" w:rsidRPr="005F7526" w14:paraId="2C85FB85" w14:textId="77777777" w:rsidTr="00AA6DFC">
        <w:trPr>
          <w:cnfStyle w:val="000000100000" w:firstRow="0" w:lastRow="0" w:firstColumn="0" w:lastColumn="0" w:oddVBand="0" w:evenVBand="0" w:oddHBand="1" w:evenHBand="0" w:firstRowFirstColumn="0" w:firstRowLastColumn="0" w:lastRowFirstColumn="0" w:lastRowLastColumn="0"/>
          <w:cantSplit/>
          <w:trHeight w:val="332"/>
        </w:trPr>
        <w:tc>
          <w:tcPr>
            <w:cnfStyle w:val="001000000000" w:firstRow="0" w:lastRow="0" w:firstColumn="1" w:lastColumn="0" w:oddVBand="0" w:evenVBand="0" w:oddHBand="0" w:evenHBand="0" w:firstRowFirstColumn="0" w:firstRowLastColumn="0" w:lastRowFirstColumn="0" w:lastRowLastColumn="0"/>
            <w:tcW w:w="3338" w:type="dxa"/>
          </w:tcPr>
          <w:p w14:paraId="7E2E1903" w14:textId="21839F1D" w:rsidR="00910F0B" w:rsidRDefault="00910F0B" w:rsidP="00971E21">
            <w:pPr>
              <w:pStyle w:val="ListBullet"/>
              <w:ind w:left="0" w:firstLine="0"/>
            </w:pPr>
            <w:r>
              <w:t>r.28</w:t>
            </w:r>
            <w:r w:rsidR="00EC5CDC">
              <w:t xml:space="preserve"> </w:t>
            </w:r>
            <w:r w:rsidR="00EC5CDC" w:rsidRPr="00EC5CDC">
              <w:t>No charges for certain uses of road reserves</w:t>
            </w:r>
          </w:p>
        </w:tc>
        <w:tc>
          <w:tcPr>
            <w:tcW w:w="7374" w:type="dxa"/>
          </w:tcPr>
          <w:p w14:paraId="49827316" w14:textId="739539DF" w:rsidR="00910F0B" w:rsidRDefault="00E12F5F" w:rsidP="00C4662E">
            <w:pPr>
              <w:spacing w:before="60" w:after="60"/>
              <w:ind w:right="-36"/>
              <w:cnfStyle w:val="000000100000" w:firstRow="0" w:lastRow="0" w:firstColumn="0" w:lastColumn="0" w:oddVBand="0" w:evenVBand="0" w:oddHBand="1" w:evenHBand="0" w:firstRowFirstColumn="0" w:firstRowLastColumn="0" w:lastRowFirstColumn="0" w:lastRowLastColumn="0"/>
            </w:pPr>
            <w:r>
              <w:t>Regulation 28 is reordered to make clearer.</w:t>
            </w:r>
          </w:p>
        </w:tc>
      </w:tr>
      <w:tr w:rsidR="00971E21" w14:paraId="54473A6F" w14:textId="77777777" w:rsidTr="00AA6DFC">
        <w:trPr>
          <w:cantSplit/>
          <w:trHeight w:val="332"/>
        </w:trPr>
        <w:tc>
          <w:tcPr>
            <w:cnfStyle w:val="001000000000" w:firstRow="0" w:lastRow="0" w:firstColumn="1" w:lastColumn="0" w:oddVBand="0" w:evenVBand="0" w:oddHBand="0" w:evenHBand="0" w:firstRowFirstColumn="0" w:firstRowLastColumn="0" w:lastRowFirstColumn="0" w:lastRowLastColumn="0"/>
            <w:tcW w:w="3338" w:type="dxa"/>
          </w:tcPr>
          <w:p w14:paraId="70565D2C" w14:textId="77777777" w:rsidR="00971E21" w:rsidRDefault="00971E21" w:rsidP="00971E21">
            <w:r>
              <w:t>Schedule 1—Road management infringements</w:t>
            </w:r>
          </w:p>
        </w:tc>
        <w:tc>
          <w:tcPr>
            <w:tcW w:w="7374" w:type="dxa"/>
          </w:tcPr>
          <w:p w14:paraId="3C4166BB" w14:textId="77777777" w:rsidR="00971E21" w:rsidRDefault="00971E21" w:rsidP="00320AEF">
            <w:pPr>
              <w:cnfStyle w:val="000000000000" w:firstRow="0" w:lastRow="0" w:firstColumn="0" w:lastColumn="0" w:oddVBand="0" w:evenVBand="0" w:oddHBand="0" w:evenHBand="0" w:firstRowFirstColumn="0" w:firstRowLastColumn="0" w:lastRowFirstColumn="0" w:lastRowLastColumn="0"/>
            </w:pPr>
            <w:r>
              <w:t xml:space="preserve">Introduces two new offences to further deter unwanted behaviours: </w:t>
            </w:r>
          </w:p>
          <w:p w14:paraId="0309112B" w14:textId="77777777" w:rsidR="00B05EB9" w:rsidRDefault="00971E21" w:rsidP="00320AEF">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t>Place or leave refuse, rubbish or other materials on a road</w:t>
            </w:r>
          </w:p>
          <w:p w14:paraId="3D17C757" w14:textId="02251ECA" w:rsidR="00320AEF" w:rsidRDefault="00320AEF" w:rsidP="00320AEF">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320AEF">
              <w:t>Place or leave a shipping container, bulk rubbish container or large object on a roadway to which a clearway sign applies</w:t>
            </w:r>
          </w:p>
        </w:tc>
      </w:tr>
      <w:tr w:rsidR="00971E21" w14:paraId="47825445" w14:textId="77777777" w:rsidTr="00AA6DFC">
        <w:trPr>
          <w:cnfStyle w:val="000000100000" w:firstRow="0" w:lastRow="0" w:firstColumn="0" w:lastColumn="0" w:oddVBand="0" w:evenVBand="0" w:oddHBand="1" w:evenHBand="0" w:firstRowFirstColumn="0" w:firstRowLastColumn="0" w:lastRowFirstColumn="0" w:lastRowLastColumn="0"/>
          <w:cantSplit/>
          <w:trHeight w:val="332"/>
        </w:trPr>
        <w:tc>
          <w:tcPr>
            <w:cnfStyle w:val="001000000000" w:firstRow="0" w:lastRow="0" w:firstColumn="1" w:lastColumn="0" w:oddVBand="0" w:evenVBand="0" w:oddHBand="0" w:evenHBand="0" w:firstRowFirstColumn="0" w:firstRowLastColumn="0" w:lastRowFirstColumn="0" w:lastRowLastColumn="0"/>
            <w:tcW w:w="3338" w:type="dxa"/>
          </w:tcPr>
          <w:p w14:paraId="4B998865" w14:textId="77777777" w:rsidR="00971E21" w:rsidRDefault="00971E21" w:rsidP="00971E21">
            <w:r w:rsidRPr="001A5D45">
              <w:t>Other minor and technical updates</w:t>
            </w:r>
          </w:p>
        </w:tc>
        <w:tc>
          <w:tcPr>
            <w:tcW w:w="7374" w:type="dxa"/>
          </w:tcPr>
          <w:p w14:paraId="5C125CE3" w14:textId="65EB8531" w:rsidR="00971E21" w:rsidRDefault="00971E21" w:rsidP="00971E21">
            <w:pPr>
              <w:cnfStyle w:val="000000100000" w:firstRow="0" w:lastRow="0" w:firstColumn="0" w:lastColumn="0" w:oddVBand="0" w:evenVBand="0" w:oddHBand="1" w:evenHBand="0" w:firstRowFirstColumn="0" w:firstRowLastColumn="0" w:lastRowFirstColumn="0" w:lastRowLastColumn="0"/>
            </w:pPr>
            <w:r w:rsidRPr="00BF6C11">
              <w:t xml:space="preserve">Other updates in the proposed Regulations include changes to </w:t>
            </w:r>
            <w:r>
              <w:t xml:space="preserve">terminology, </w:t>
            </w:r>
            <w:r w:rsidRPr="00BF6C11">
              <w:t xml:space="preserve">dates, headings and regulation numbers. </w:t>
            </w:r>
          </w:p>
        </w:tc>
      </w:tr>
    </w:tbl>
    <w:p w14:paraId="643854C0" w14:textId="77777777" w:rsidR="001F27DD" w:rsidRDefault="001F27DD" w:rsidP="001F27DD">
      <w:pPr>
        <w:pStyle w:val="Heading2-Numbered"/>
      </w:pPr>
      <w:bookmarkStart w:id="254" w:name="_Toc210043256"/>
      <w:bookmarkStart w:id="255" w:name="_Toc226448331"/>
      <w:r>
        <w:t xml:space="preserve">Summary of </w:t>
      </w:r>
      <w:r w:rsidRPr="001E01EA">
        <w:t>competition and small business impacts</w:t>
      </w:r>
      <w:bookmarkEnd w:id="254"/>
      <w:bookmarkEnd w:id="255"/>
    </w:p>
    <w:p w14:paraId="60183F3C" w14:textId="77777777" w:rsidR="001F27DD" w:rsidRDefault="001F27DD" w:rsidP="001F27DD">
      <w:r>
        <w:rPr>
          <w:lang w:eastAsia="ja-JP"/>
        </w:rPr>
        <w:t>The Victorian Guide to Regulation states that it is good practice for a RIS to consider the impacts of the proposed regulatory option on both small business and on competition more broadly.</w:t>
      </w:r>
      <w:r w:rsidRPr="00C53F5B">
        <w:t xml:space="preserve"> </w:t>
      </w:r>
    </w:p>
    <w:p w14:paraId="1D3ED9CF" w14:textId="532554E8" w:rsidR="001F27DD" w:rsidRDefault="001F27DD" w:rsidP="001F27DD">
      <w:r>
        <w:t xml:space="preserve">It is possible that the introduction of new regulatory requirements can have disproportionate impacts on small business. This can be due to smaller businesses having fewer resources or less capability to interpret and respond to new compliance requirements. New or updated regulatory requirements can also potentially affect competition in the economy by introducing restrictions on the ability of businesses or individuals to effectively operate in particular markets. The Competition Principles Agreement within the National </w:t>
      </w:r>
      <w:r>
        <w:lastRenderedPageBreak/>
        <w:t xml:space="preserve">Competition Policy Agreements has a guiding principle for legislation (including regulations) which is that legislation should not restrict competition unless it can be demonstrated that the overall benefits of the restriction outweigh the costs, and that the Government’s objectives can only be achieved by restricting competition. </w:t>
      </w:r>
    </w:p>
    <w:p w14:paraId="0F369B17" w14:textId="77777777" w:rsidR="001F27DD" w:rsidRDefault="001F27DD" w:rsidP="001F27DD">
      <w:pPr>
        <w:rPr>
          <w:lang w:eastAsia="ja-JP"/>
        </w:rPr>
      </w:pPr>
      <w:r w:rsidRPr="00C53F5B">
        <w:rPr>
          <w:lang w:eastAsia="ja-JP"/>
        </w:rPr>
        <w:t>The Department considers that any impacts to competition or small business from the proposed changes to the Regulations will be minimal.</w:t>
      </w:r>
    </w:p>
    <w:p w14:paraId="3CE8805F" w14:textId="77777777" w:rsidR="001F27DD" w:rsidRDefault="001F27DD" w:rsidP="001F27DD">
      <w:pPr>
        <w:pStyle w:val="Heading3-Numbered"/>
      </w:pPr>
      <w:bookmarkStart w:id="256" w:name="_Toc210043257"/>
      <w:bookmarkStart w:id="257" w:name="_Toc226448332"/>
      <w:r>
        <w:t xml:space="preserve">Impact on small </w:t>
      </w:r>
      <w:r w:rsidRPr="00464FDD">
        <w:t>business</w:t>
      </w:r>
      <w:bookmarkEnd w:id="256"/>
      <w:bookmarkEnd w:id="257"/>
    </w:p>
    <w:p w14:paraId="3E918D23" w14:textId="77777777" w:rsidR="001F27DD" w:rsidRDefault="001F27DD" w:rsidP="001F27DD">
      <w:r w:rsidRPr="000E367C">
        <w:t>The Department expects the fees involved in obtaining consent for works</w:t>
      </w:r>
      <w:r>
        <w:t xml:space="preserve"> on roads</w:t>
      </w:r>
      <w:r w:rsidRPr="000E367C">
        <w:t xml:space="preserve"> </w:t>
      </w:r>
      <w:r>
        <w:t xml:space="preserve">under the proposed regulations </w:t>
      </w:r>
      <w:r w:rsidRPr="000E367C">
        <w:t>would be relatively minimal in comparison with other project costs</w:t>
      </w:r>
      <w:r>
        <w:t>, such as extending or relocating utilities,</w:t>
      </w:r>
      <w:r w:rsidRPr="000E367C">
        <w:t xml:space="preserve"> and </w:t>
      </w:r>
      <w:r>
        <w:t xml:space="preserve">are </w:t>
      </w:r>
      <w:r w:rsidRPr="000E367C">
        <w:t xml:space="preserve">not likely a barrier for most projects. </w:t>
      </w:r>
      <w:r>
        <w:t xml:space="preserve">The exemptions from having to apply for consent under the proposed regulations also reduce barriers for business undertaking certain minor works. </w:t>
      </w:r>
    </w:p>
    <w:p w14:paraId="70E03C46" w14:textId="4506D8E2" w:rsidR="001F27DD" w:rsidRDefault="001F27DD" w:rsidP="001F27DD">
      <w:r>
        <w:t xml:space="preserve">The Department expects the fees for property enquiries may have a minimal impact on small business participation, and the fees for hoardings and advertising may have a moderate impact on small business participation. </w:t>
      </w:r>
    </w:p>
    <w:p w14:paraId="65752AFC" w14:textId="02AB08AE" w:rsidR="001F27DD" w:rsidRDefault="001F27DD" w:rsidP="001F27DD">
      <w:r w:rsidRPr="00C34CF2">
        <w:t xml:space="preserve">Some of the </w:t>
      </w:r>
      <w:r>
        <w:t xml:space="preserve">proposed </w:t>
      </w:r>
      <w:r w:rsidRPr="00C34CF2">
        <w:t xml:space="preserve">regulations could be said to </w:t>
      </w:r>
      <w:r>
        <w:t>prevent</w:t>
      </w:r>
      <w:r w:rsidRPr="00C34CF2">
        <w:t xml:space="preserve"> opportunities for business activities related to camping or abseiling on or around road infrastructure. However,</w:t>
      </w:r>
      <w:r>
        <w:t xml:space="preserve"> business may already be prevented from undertaking such activities under other legislation or their own safety concerns, and </w:t>
      </w:r>
      <w:r w:rsidR="00F5097B">
        <w:t xml:space="preserve">the </w:t>
      </w:r>
      <w:r>
        <w:t>HTfV can still provide</w:t>
      </w:r>
      <w:r w:rsidRPr="00C34CF2">
        <w:t xml:space="preserve"> permission</w:t>
      </w:r>
      <w:r>
        <w:t xml:space="preserve">s </w:t>
      </w:r>
      <w:r w:rsidRPr="00C34CF2">
        <w:t>on a case-by-case basis.</w:t>
      </w:r>
      <w:r>
        <w:t xml:space="preserve"> Therefore, these kinds of limitations are unlikely to be significant in practice.</w:t>
      </w:r>
    </w:p>
    <w:p w14:paraId="5AFEF291" w14:textId="77777777" w:rsidR="001F27DD" w:rsidRDefault="001F27DD" w:rsidP="001F27DD">
      <w:r>
        <w:t>The proposed regulations primarily set out specific rules for the appropriate management of roads, including works on roads. The proposed regulations have been assessed as having no or potentially very minor adverse impact on small businesses in Victoria.</w:t>
      </w:r>
    </w:p>
    <w:p w14:paraId="01AC8989" w14:textId="77777777" w:rsidR="001F27DD" w:rsidRDefault="001F27DD" w:rsidP="001F27DD">
      <w:bookmarkStart w:id="258" w:name="_Toc210043258"/>
      <w:r w:rsidRPr="00464FDD">
        <w:rPr>
          <w:rFonts w:asciiTheme="majorHAnsi" w:eastAsiaTheme="majorEastAsia" w:hAnsiTheme="majorHAnsi" w:cstheme="majorBidi"/>
          <w:b/>
          <w:color w:val="36383D" w:themeColor="accent6"/>
          <w:szCs w:val="35"/>
        </w:rPr>
        <w:t>Impact on competition</w:t>
      </w:r>
      <w:r>
        <w:t xml:space="preserve"> </w:t>
      </w:r>
      <w:bookmarkEnd w:id="258"/>
    </w:p>
    <w:p w14:paraId="5324EC9D" w14:textId="77777777" w:rsidR="001F27DD" w:rsidRDefault="001F27DD" w:rsidP="001F27DD">
      <w:r>
        <w:t>The Department has assessed that the proposed regulations are unlikely to create any substantial</w:t>
      </w:r>
      <w:r w:rsidDel="49E504F2">
        <w:t xml:space="preserve"> </w:t>
      </w:r>
      <w:r>
        <w:t>competition impacts. The proposed regulations have been assessed as not: limiting the number or range of suppliers, limiting the ability of suppliers to compete, reducing the incentive of suppliers to compete, or limiting the choices or information available to customers.</w:t>
      </w:r>
    </w:p>
    <w:p w14:paraId="4A962472" w14:textId="41C29CC3" w:rsidR="001F27DD" w:rsidRDefault="001F27DD" w:rsidP="001F27DD">
      <w:r>
        <w:t xml:space="preserve">Therefore, the proposed regulations have been assessed as not having an impact on competition. </w:t>
      </w:r>
    </w:p>
    <w:p w14:paraId="6204B8E8" w14:textId="77777777" w:rsidR="005D46F3" w:rsidRDefault="005D46F3">
      <w:r>
        <w:br w:type="page"/>
      </w:r>
    </w:p>
    <w:p w14:paraId="7D00F8FC" w14:textId="77777777" w:rsidR="001F27DD" w:rsidRDefault="001F27DD" w:rsidP="001F27DD">
      <w:pPr>
        <w:pStyle w:val="Heading1-Numbered"/>
      </w:pPr>
      <w:bookmarkStart w:id="259" w:name="_Toc210043259"/>
      <w:bookmarkStart w:id="260" w:name="_Toc226448333"/>
      <w:r>
        <w:lastRenderedPageBreak/>
        <w:t>Implementation</w:t>
      </w:r>
      <w:bookmarkEnd w:id="259"/>
      <w:bookmarkEnd w:id="260"/>
    </w:p>
    <w:p w14:paraId="295CD801" w14:textId="77777777" w:rsidR="001F27DD" w:rsidRDefault="001F27DD" w:rsidP="001F27DD">
      <w:pPr>
        <w:pStyle w:val="Heading2-Numbered"/>
      </w:pPr>
      <w:bookmarkStart w:id="261" w:name="_Toc210043260"/>
      <w:bookmarkStart w:id="262" w:name="_Toc226448334"/>
      <w:r>
        <w:t>Making of the proposed Regulations</w:t>
      </w:r>
      <w:bookmarkEnd w:id="261"/>
      <w:bookmarkEnd w:id="262"/>
    </w:p>
    <w:p w14:paraId="69D76CF6" w14:textId="77777777" w:rsidR="001F27DD" w:rsidRDefault="001F27DD" w:rsidP="001F27DD">
      <w:r>
        <w:t xml:space="preserve">Following the formal RIS consultation period, the Department will review and consider all submissions and comments made on the proposed Regulations. </w:t>
      </w:r>
    </w:p>
    <w:p w14:paraId="087C07F7" w14:textId="77777777" w:rsidR="001F27DD" w:rsidRDefault="001F27DD" w:rsidP="001F27DD">
      <w:r>
        <w:t xml:space="preserve">The Department will make any necessary changes to the draft Regulations before recommending to the Minister that they are made. A notice of decision outlining any changes from the draft will be published on the Victorian Public Notices website. </w:t>
      </w:r>
    </w:p>
    <w:p w14:paraId="194A461B" w14:textId="77777777" w:rsidR="001F27DD" w:rsidRDefault="001F27DD" w:rsidP="001F27DD">
      <w:r>
        <w:t xml:space="preserve">The Department will also communicate the outcomes of the consultation and its recommendations to stakeholders, including the public, following the Minister’s decision. </w:t>
      </w:r>
    </w:p>
    <w:p w14:paraId="51703633" w14:textId="69123EFE" w:rsidR="001F27DD" w:rsidRDefault="001F27DD" w:rsidP="001F27DD">
      <w:r>
        <w:t>If the Minister approves the proposed Regulations, they will be formally made by the Governor in Council. The new regulations will commence mid-2026.</w:t>
      </w:r>
    </w:p>
    <w:p w14:paraId="58DC2BCD" w14:textId="77777777" w:rsidR="001F27DD" w:rsidRDefault="001F27DD" w:rsidP="001F27DD">
      <w:pPr>
        <w:pStyle w:val="Heading2-Numbered"/>
      </w:pPr>
      <w:bookmarkStart w:id="263" w:name="_Toc210043261"/>
      <w:bookmarkStart w:id="264" w:name="_Toc226448335"/>
      <w:r>
        <w:t>Changes to processes and systems</w:t>
      </w:r>
      <w:bookmarkEnd w:id="263"/>
      <w:bookmarkEnd w:id="264"/>
    </w:p>
    <w:p w14:paraId="1189392F" w14:textId="77777777" w:rsidR="001F27DD" w:rsidRDefault="001F27DD" w:rsidP="001F27DD">
      <w:r w:rsidRPr="000B2323">
        <w:t xml:space="preserve">The implementation of the </w:t>
      </w:r>
      <w:r>
        <w:t xml:space="preserve">proposed </w:t>
      </w:r>
      <w:r w:rsidRPr="000B2323">
        <w:t xml:space="preserve">changes will involve direct engagement of the impacted groups. </w:t>
      </w:r>
      <w:r>
        <w:t>Road authorities such as the Department and councils</w:t>
      </w:r>
      <w:r w:rsidRPr="000B2323">
        <w:t xml:space="preserve"> will be the primary agenc</w:t>
      </w:r>
      <w:r>
        <w:t>ies</w:t>
      </w:r>
      <w:r w:rsidRPr="000B2323">
        <w:t xml:space="preserve"> to implement any changes arising from the new Regulations and </w:t>
      </w:r>
      <w:r>
        <w:t xml:space="preserve">will need to </w:t>
      </w:r>
      <w:r w:rsidRPr="000B2323">
        <w:t>undertake communication and consultation with industry and the public to implement the new regulations as required.</w:t>
      </w:r>
    </w:p>
    <w:p w14:paraId="58636E27" w14:textId="77777777" w:rsidR="001F27DD" w:rsidRDefault="001F27DD" w:rsidP="001F27DD">
      <w:r>
        <w:t xml:space="preserve">If </w:t>
      </w:r>
      <w:r w:rsidRPr="00EF1516">
        <w:t xml:space="preserve">changes to </w:t>
      </w:r>
      <w:r>
        <w:t xml:space="preserve">information required in applications to conduct works on roads were to be introduced, road authorities would need to update </w:t>
      </w:r>
      <w:r w:rsidRPr="00EF1516">
        <w:t xml:space="preserve">documentation such as letters, forms, notices, website information and publications. </w:t>
      </w:r>
      <w:r>
        <w:t xml:space="preserve">Some minor changes to software or processing systems may also be required. </w:t>
      </w:r>
      <w:r w:rsidRPr="00EF1516">
        <w:t>Staff training is likely to be required.</w:t>
      </w:r>
    </w:p>
    <w:p w14:paraId="7985C334" w14:textId="77777777" w:rsidR="001F27DD" w:rsidRDefault="001F27DD" w:rsidP="001F27DD">
      <w:r w:rsidRPr="00406A25">
        <w:t xml:space="preserve">The proposed transfer of responsibility of certain bridge structures from councils to the HTfV is expected </w:t>
      </w:r>
      <w:r>
        <w:t>to</w:t>
      </w:r>
      <w:r w:rsidRPr="00406A25">
        <w:t xml:space="preserve"> ensur</w:t>
      </w:r>
      <w:r>
        <w:t>e</w:t>
      </w:r>
      <w:r w:rsidRPr="00406A25">
        <w:t xml:space="preserve"> those who have the necessary resources and technical expertise to inspect, maintain and repair these structures are responsible for them</w:t>
      </w:r>
      <w:r>
        <w:t>. This will</w:t>
      </w:r>
      <w:r w:rsidRPr="00406A25">
        <w:t xml:space="preserve"> reduce the administrative burden</w:t>
      </w:r>
      <w:r>
        <w:t xml:space="preserve"> on </w:t>
      </w:r>
      <w:r w:rsidRPr="00406A25">
        <w:t>councils</w:t>
      </w:r>
      <w:r>
        <w:t xml:space="preserve"> but may require further training, processing, record management and other system changes within the Department</w:t>
      </w:r>
      <w:r w:rsidRPr="00406A25">
        <w:t>.</w:t>
      </w:r>
    </w:p>
    <w:p w14:paraId="1B9E9775" w14:textId="2B0C246E" w:rsidR="001F27DD" w:rsidRDefault="001F27DD" w:rsidP="001F27DD">
      <w:r w:rsidRPr="00223F22">
        <w:t>State Government</w:t>
      </w:r>
      <w:r>
        <w:t>, council and other road authorities</w:t>
      </w:r>
      <w:r w:rsidRPr="00223F22">
        <w:t xml:space="preserve"> will need to be aware of the new regulations and make some minor amendments to references in their documentation and public-facing information</w:t>
      </w:r>
      <w:r>
        <w:t>.</w:t>
      </w:r>
      <w:r w:rsidRPr="00223F22">
        <w:t xml:space="preserve"> </w:t>
      </w:r>
      <w:r>
        <w:t>I</w:t>
      </w:r>
      <w:r w:rsidRPr="00223F22">
        <w:t>ndividual</w:t>
      </w:r>
      <w:r>
        <w:t>s and businesses applying to conduct works on roads may</w:t>
      </w:r>
      <w:r w:rsidRPr="00223F22">
        <w:t xml:space="preserve"> need to </w:t>
      </w:r>
      <w:r>
        <w:t xml:space="preserve">adjust administrative practices to </w:t>
      </w:r>
      <w:r w:rsidRPr="00223F22">
        <w:t>meet new requirements</w:t>
      </w:r>
      <w:r>
        <w:t>.</w:t>
      </w:r>
      <w:r w:rsidRPr="00223F22">
        <w:t xml:space="preserve"> </w:t>
      </w:r>
      <w:r>
        <w:t>F</w:t>
      </w:r>
      <w:r w:rsidRPr="00223F22">
        <w:t xml:space="preserve">or example, </w:t>
      </w:r>
      <w:r>
        <w:t>they may need to change or include more information in their internal application checklists and templates for consent to carry out works</w:t>
      </w:r>
      <w:r w:rsidR="00B805A6">
        <w:t>.</w:t>
      </w:r>
      <w:r>
        <w:t xml:space="preserve"> </w:t>
      </w:r>
    </w:p>
    <w:p w14:paraId="0D4B3558" w14:textId="2547A50A" w:rsidR="001F27DD" w:rsidRDefault="001F27DD" w:rsidP="001F27DD">
      <w:r>
        <w:t xml:space="preserve">Fee units would continue to be used to describe the set fees in the proposed Regulations, therefore, there will be no implementation changes required. </w:t>
      </w:r>
    </w:p>
    <w:p w14:paraId="489348F9" w14:textId="77777777" w:rsidR="005D46F3" w:rsidRDefault="005D46F3">
      <w:r>
        <w:br w:type="page"/>
      </w:r>
    </w:p>
    <w:p w14:paraId="5FE9AD1D" w14:textId="77777777" w:rsidR="001F27DD" w:rsidRDefault="001F27DD" w:rsidP="001F27DD">
      <w:pPr>
        <w:pStyle w:val="Heading1-Numbered"/>
      </w:pPr>
      <w:bookmarkStart w:id="265" w:name="_Toc210043262"/>
      <w:bookmarkStart w:id="266" w:name="_Toc226448336"/>
      <w:r>
        <w:lastRenderedPageBreak/>
        <w:t>Evaluation</w:t>
      </w:r>
      <w:bookmarkEnd w:id="265"/>
      <w:bookmarkEnd w:id="266"/>
    </w:p>
    <w:p w14:paraId="22A3132B" w14:textId="77777777" w:rsidR="001F27DD" w:rsidRDefault="001F27DD" w:rsidP="001F27DD">
      <w:r>
        <w:t xml:space="preserve">Regulations should be evaluated regularly to assess whether their objectives are being met and are still fit for purpose. </w:t>
      </w:r>
    </w:p>
    <w:p w14:paraId="65232618" w14:textId="77777777" w:rsidR="001F27DD" w:rsidRDefault="001F27DD" w:rsidP="001F27DD">
      <w:r>
        <w:t>The SL Act provides for the expiry of regulations ten years after commencement. The SL Act also requires that a RIS is prepared and that there is appropriate consultation before new regulations are made if they are likely to impose a significant economic or social burden on a sector of the community. This process ensures that the community has an opportunity to comment when regulations are proposed to be made.</w:t>
      </w:r>
    </w:p>
    <w:p w14:paraId="053FD921" w14:textId="3E2A2C8E" w:rsidR="00236842" w:rsidRDefault="00236842" w:rsidP="001F27DD">
      <w:r w:rsidRPr="00236842">
        <w:t xml:space="preserve">The Department will </w:t>
      </w:r>
      <w:r>
        <w:t>consider</w:t>
      </w:r>
      <w:r w:rsidRPr="00236842">
        <w:t xml:space="preserve"> if the regulations are still needed to meet the</w:t>
      </w:r>
      <w:r w:rsidR="008C54D1">
        <w:t>ir</w:t>
      </w:r>
      <w:r w:rsidRPr="00236842">
        <w:t xml:space="preserve"> </w:t>
      </w:r>
      <w:r>
        <w:t>objectives</w:t>
      </w:r>
      <w:r w:rsidRPr="00236842">
        <w:t xml:space="preserve">. If they are, </w:t>
      </w:r>
      <w:r w:rsidR="00C94828">
        <w:t>the Department</w:t>
      </w:r>
      <w:r w:rsidRPr="00236842">
        <w:t xml:space="preserve"> will prepare a new </w:t>
      </w:r>
      <w:r w:rsidR="00C94828">
        <w:t>RIS</w:t>
      </w:r>
      <w:r w:rsidRPr="00236842">
        <w:t xml:space="preserve"> to make sure the re</w:t>
      </w:r>
      <w:r w:rsidR="00C94828">
        <w:t>g</w:t>
      </w:r>
      <w:r w:rsidRPr="00236842">
        <w:t>ulations still work well and serve their purpose.</w:t>
      </w:r>
    </w:p>
    <w:p w14:paraId="1B600991" w14:textId="77777777" w:rsidR="001F27DD" w:rsidRPr="00687C28" w:rsidRDefault="001F27DD" w:rsidP="001F27DD">
      <w:pPr>
        <w:rPr>
          <w:rFonts w:cs="Segoe UI"/>
        </w:rPr>
      </w:pPr>
      <w:r w:rsidRPr="18EAF52B">
        <w:rPr>
          <w:rFonts w:cs="Segoe UI"/>
        </w:rPr>
        <w:t xml:space="preserve">The evaluation of the </w:t>
      </w:r>
      <w:r>
        <w:rPr>
          <w:rFonts w:cs="Segoe UI"/>
        </w:rPr>
        <w:t>regulations</w:t>
      </w:r>
      <w:r w:rsidRPr="18EAF52B">
        <w:rPr>
          <w:rFonts w:cs="Segoe UI"/>
        </w:rPr>
        <w:t xml:space="preserve"> would be structured around the </w:t>
      </w:r>
      <w:r>
        <w:rPr>
          <w:rFonts w:cs="Segoe UI"/>
        </w:rPr>
        <w:t xml:space="preserve">same </w:t>
      </w:r>
      <w:r w:rsidRPr="18EAF52B">
        <w:rPr>
          <w:rFonts w:cs="Segoe UI"/>
        </w:rPr>
        <w:t xml:space="preserve">objectives identified in Chapter 4 of this RIS. The proposed </w:t>
      </w:r>
      <w:r>
        <w:rPr>
          <w:rFonts w:cs="Segoe UI"/>
        </w:rPr>
        <w:t xml:space="preserve">high-level </w:t>
      </w:r>
      <w:r w:rsidRPr="18EAF52B">
        <w:rPr>
          <w:rFonts w:cs="Segoe UI"/>
        </w:rPr>
        <w:t>approach to this evaluation includes:</w:t>
      </w:r>
    </w:p>
    <w:p w14:paraId="4E5BB673" w14:textId="77777777" w:rsidR="001F27DD" w:rsidRPr="006733B7" w:rsidRDefault="001F27DD" w:rsidP="005D15EA">
      <w:pPr>
        <w:pStyle w:val="ListBullet"/>
        <w:numPr>
          <w:ilvl w:val="0"/>
          <w:numId w:val="37"/>
        </w:numPr>
        <w:spacing w:before="0" w:after="60"/>
        <w:ind w:left="357" w:hanging="357"/>
      </w:pPr>
      <w:r>
        <w:t>I</w:t>
      </w:r>
      <w:r w:rsidRPr="18EAF52B">
        <w:t>dentifying the proposed Regulations or provisions in primary legislation, or changes in such law, that are relevant to the specific objective</w:t>
      </w:r>
      <w:r>
        <w:t>.</w:t>
      </w:r>
    </w:p>
    <w:p w14:paraId="2F732B27" w14:textId="77777777" w:rsidR="001F27DD" w:rsidRPr="006733B7" w:rsidRDefault="001F27DD" w:rsidP="005D15EA">
      <w:pPr>
        <w:pStyle w:val="ListBullet"/>
        <w:numPr>
          <w:ilvl w:val="0"/>
          <w:numId w:val="37"/>
        </w:numPr>
        <w:spacing w:before="0" w:after="60"/>
        <w:ind w:left="357" w:hanging="357"/>
      </w:pPr>
      <w:r>
        <w:t>I</w:t>
      </w:r>
      <w:r w:rsidRPr="18EAF52B">
        <w:t>dentifying indicators — the changes in outputs or outcomes providing an indication that the objectives of the intervention are being achieved</w:t>
      </w:r>
      <w:r>
        <w:t>.</w:t>
      </w:r>
    </w:p>
    <w:p w14:paraId="704B34AE" w14:textId="77777777" w:rsidR="001F27DD" w:rsidRPr="006733B7" w:rsidRDefault="001F27DD" w:rsidP="005D15EA">
      <w:pPr>
        <w:pStyle w:val="ListBullet"/>
        <w:numPr>
          <w:ilvl w:val="0"/>
          <w:numId w:val="37"/>
        </w:numPr>
        <w:spacing w:before="0" w:after="60"/>
        <w:ind w:left="357" w:hanging="357"/>
      </w:pPr>
      <w:r>
        <w:t>I</w:t>
      </w:r>
      <w:r w:rsidRPr="18EAF52B">
        <w:t>dentifying the baseline data — the data that will be collected prior to the commencement of the intervention, that will be used as the basis of the analysis</w:t>
      </w:r>
      <w:r>
        <w:t>.</w:t>
      </w:r>
    </w:p>
    <w:p w14:paraId="1030FC49" w14:textId="77777777" w:rsidR="001F27DD" w:rsidRPr="006733B7" w:rsidRDefault="001F27DD" w:rsidP="005D15EA">
      <w:pPr>
        <w:pStyle w:val="ListBullet"/>
        <w:numPr>
          <w:ilvl w:val="0"/>
          <w:numId w:val="37"/>
        </w:numPr>
        <w:spacing w:before="0" w:after="60"/>
        <w:ind w:left="357" w:hanging="357"/>
      </w:pPr>
      <w:r>
        <w:t>I</w:t>
      </w:r>
      <w:r w:rsidRPr="18EAF52B">
        <w:t>dentifying the data to be collected — the data that will be collected after the commencement of the intervention. This data will be assessed against the baseline data</w:t>
      </w:r>
      <w:r>
        <w:t xml:space="preserve">. </w:t>
      </w:r>
    </w:p>
    <w:p w14:paraId="424B46C6" w14:textId="001D0583" w:rsidR="001F27DD" w:rsidRPr="006733B7" w:rsidRDefault="00EA25A2" w:rsidP="005D15EA">
      <w:pPr>
        <w:pStyle w:val="ListBullet"/>
        <w:numPr>
          <w:ilvl w:val="0"/>
          <w:numId w:val="37"/>
        </w:numPr>
        <w:spacing w:before="0" w:after="60"/>
        <w:ind w:left="357" w:hanging="357"/>
      </w:pPr>
      <w:r>
        <w:t>C</w:t>
      </w:r>
      <w:r w:rsidR="001F27DD" w:rsidRPr="006733B7">
        <w:t>omparing the outputs and outcomes post-implementation against the baseline data.</w:t>
      </w:r>
    </w:p>
    <w:p w14:paraId="5CE6F3FE" w14:textId="61A98336" w:rsidR="001F27DD" w:rsidRDefault="001F27DD" w:rsidP="001F27DD">
      <w:pPr>
        <w:rPr>
          <w:rFonts w:cs="Segoe UI"/>
        </w:rPr>
      </w:pPr>
      <w:r w:rsidRPr="18EAF52B">
        <w:rPr>
          <w:rFonts w:cs="Segoe UI"/>
        </w:rPr>
        <w:t xml:space="preserve">An example of how the evaluation could be implemented relates to the proposed changes to </w:t>
      </w:r>
      <w:r>
        <w:rPr>
          <w:rFonts w:cs="Segoe UI"/>
        </w:rPr>
        <w:t xml:space="preserve">applications to conduct works on roads. </w:t>
      </w:r>
      <w:r w:rsidRPr="18EAF52B">
        <w:rPr>
          <w:rFonts w:cs="Segoe UI"/>
        </w:rPr>
        <w:t xml:space="preserve">If </w:t>
      </w:r>
      <w:r>
        <w:rPr>
          <w:rFonts w:cs="Segoe UI"/>
        </w:rPr>
        <w:t>particular information is prescribed</w:t>
      </w:r>
      <w:r w:rsidRPr="18EAF52B">
        <w:rPr>
          <w:rFonts w:cs="Segoe UI"/>
        </w:rPr>
        <w:t xml:space="preserve"> as proposed, the number of </w:t>
      </w:r>
      <w:r>
        <w:rPr>
          <w:rFonts w:cs="Segoe UI"/>
        </w:rPr>
        <w:t xml:space="preserve">fully completed </w:t>
      </w:r>
      <w:r w:rsidRPr="18EAF52B">
        <w:rPr>
          <w:rFonts w:cs="Segoe UI"/>
        </w:rPr>
        <w:t xml:space="preserve">applications received and assessed could be collected over a particular timeframe. This data could then be compared with the number of applications </w:t>
      </w:r>
      <w:r>
        <w:rPr>
          <w:rFonts w:cs="Segoe UI"/>
        </w:rPr>
        <w:t xml:space="preserve">received and assessed </w:t>
      </w:r>
      <w:r w:rsidRPr="18EAF52B">
        <w:rPr>
          <w:rFonts w:cs="Segoe UI"/>
        </w:rPr>
        <w:t xml:space="preserve">for a similar timeframe prior to the introduction of the </w:t>
      </w:r>
      <w:r>
        <w:rPr>
          <w:rFonts w:cs="Segoe UI"/>
        </w:rPr>
        <w:t>prescribed information</w:t>
      </w:r>
      <w:r w:rsidRPr="18EAF52B">
        <w:rPr>
          <w:rFonts w:cs="Segoe UI"/>
        </w:rPr>
        <w:t xml:space="preserve">. This would enable an analysis to determine if there has been any change in the </w:t>
      </w:r>
      <w:r>
        <w:rPr>
          <w:rFonts w:cs="Segoe UI"/>
        </w:rPr>
        <w:t>time taken to assess applications and if there is an improvement in the consistency and quality of applications</w:t>
      </w:r>
      <w:r w:rsidRPr="18EAF52B">
        <w:rPr>
          <w:rFonts w:cs="Segoe UI"/>
        </w:rPr>
        <w:t xml:space="preserve">. </w:t>
      </w:r>
    </w:p>
    <w:p w14:paraId="3F1BA00F" w14:textId="77777777" w:rsidR="005D46F3" w:rsidRDefault="005D46F3">
      <w:pPr>
        <w:rPr>
          <w:rFonts w:cs="Segoe UI"/>
        </w:rPr>
      </w:pPr>
      <w:r>
        <w:rPr>
          <w:rFonts w:cs="Segoe UI"/>
        </w:rPr>
        <w:br w:type="page"/>
      </w:r>
    </w:p>
    <w:p w14:paraId="232B3DDA" w14:textId="77777777" w:rsidR="001F27DD" w:rsidRDefault="001F27DD" w:rsidP="001F27DD">
      <w:pPr>
        <w:pStyle w:val="Heading1-Numbered"/>
      </w:pPr>
      <w:bookmarkStart w:id="267" w:name="_Toc210043263"/>
      <w:bookmarkStart w:id="268" w:name="_Toc226448337"/>
      <w:r>
        <w:lastRenderedPageBreak/>
        <w:t>Consultation</w:t>
      </w:r>
      <w:bookmarkEnd w:id="267"/>
      <w:bookmarkEnd w:id="268"/>
    </w:p>
    <w:p w14:paraId="4CF0A139" w14:textId="77777777" w:rsidR="001F27DD" w:rsidRDefault="001F27DD" w:rsidP="001F27DD">
      <w:r>
        <w:t xml:space="preserve">Targeted consultation has been undertaken during the development of the proposed Regulations. The Department engaged in online meetings and email correspondence with stakeholders between May and September 2025. Stakeholders contacted include all 79 Victorian councils; the Municipal Association of Victoria, </w:t>
      </w:r>
      <w:r w:rsidRPr="00D24D5E">
        <w:t>the peak body for local government in Victoria</w:t>
      </w:r>
      <w:r>
        <w:t xml:space="preserve">; a variety of utility providers including electricity, gas and telecommunications companies; VicWater, the industry peak body for Victorian water corporations; and several state government departments. </w:t>
      </w:r>
    </w:p>
    <w:p w14:paraId="4665D70E" w14:textId="597094E7" w:rsidR="001F27DD" w:rsidRDefault="001F27DD" w:rsidP="001F27DD">
      <w:r>
        <w:t>Organisations that engaged in consultation during the preliminary consultation process:</w:t>
      </w:r>
    </w:p>
    <w:p w14:paraId="4BF81BA3" w14:textId="77777777" w:rsidR="001F27DD" w:rsidRDefault="001F27DD" w:rsidP="005D15EA">
      <w:pPr>
        <w:pStyle w:val="ListBullet"/>
        <w:numPr>
          <w:ilvl w:val="0"/>
          <w:numId w:val="37"/>
        </w:numPr>
        <w:spacing w:before="0" w:after="0"/>
        <w:ind w:left="357" w:hanging="357"/>
      </w:pPr>
      <w:r>
        <w:t>Councils</w:t>
      </w:r>
    </w:p>
    <w:p w14:paraId="0849171B" w14:textId="77777777" w:rsidR="001F27DD" w:rsidRDefault="001F27DD" w:rsidP="005D15EA">
      <w:pPr>
        <w:pStyle w:val="ListBullet2"/>
        <w:numPr>
          <w:ilvl w:val="1"/>
          <w:numId w:val="37"/>
        </w:numPr>
      </w:pPr>
      <w:r>
        <w:t>Ballarat City Council</w:t>
      </w:r>
    </w:p>
    <w:p w14:paraId="770826F2" w14:textId="77777777" w:rsidR="001F27DD" w:rsidRDefault="001F27DD" w:rsidP="005D15EA">
      <w:pPr>
        <w:pStyle w:val="ListBullet2"/>
        <w:numPr>
          <w:ilvl w:val="1"/>
          <w:numId w:val="37"/>
        </w:numPr>
      </w:pPr>
      <w:r>
        <w:t>Bayside City Council</w:t>
      </w:r>
    </w:p>
    <w:p w14:paraId="0ECAFE57" w14:textId="77777777" w:rsidR="001F27DD" w:rsidRDefault="001F27DD" w:rsidP="005D15EA">
      <w:pPr>
        <w:pStyle w:val="ListBullet2"/>
        <w:numPr>
          <w:ilvl w:val="1"/>
          <w:numId w:val="37"/>
        </w:numPr>
      </w:pPr>
      <w:r>
        <w:t>Casey City Council</w:t>
      </w:r>
    </w:p>
    <w:p w14:paraId="1C8BFCCA" w14:textId="77777777" w:rsidR="001F27DD" w:rsidRDefault="001F27DD" w:rsidP="005D15EA">
      <w:pPr>
        <w:pStyle w:val="ListBullet2"/>
        <w:numPr>
          <w:ilvl w:val="1"/>
          <w:numId w:val="37"/>
        </w:numPr>
      </w:pPr>
      <w:r>
        <w:t>East Gippsland Shire Council</w:t>
      </w:r>
    </w:p>
    <w:p w14:paraId="416D992A" w14:textId="77777777" w:rsidR="001F27DD" w:rsidRDefault="001F27DD" w:rsidP="005D15EA">
      <w:pPr>
        <w:pStyle w:val="ListBullet2"/>
        <w:numPr>
          <w:ilvl w:val="1"/>
          <w:numId w:val="37"/>
        </w:numPr>
      </w:pPr>
      <w:r>
        <w:t>Glenelg Shire Council</w:t>
      </w:r>
    </w:p>
    <w:p w14:paraId="2499BA8C" w14:textId="77777777" w:rsidR="001F27DD" w:rsidRDefault="001F27DD" w:rsidP="005D15EA">
      <w:pPr>
        <w:pStyle w:val="ListBullet2"/>
        <w:numPr>
          <w:ilvl w:val="1"/>
          <w:numId w:val="37"/>
        </w:numPr>
      </w:pPr>
      <w:r>
        <w:t>Melbourne City Council</w:t>
      </w:r>
    </w:p>
    <w:p w14:paraId="389661FB" w14:textId="77777777" w:rsidR="001F27DD" w:rsidRDefault="001F27DD" w:rsidP="005D15EA">
      <w:pPr>
        <w:pStyle w:val="ListBullet2"/>
        <w:numPr>
          <w:ilvl w:val="1"/>
          <w:numId w:val="37"/>
        </w:numPr>
      </w:pPr>
      <w:r>
        <w:t>Mildura Rural City Council</w:t>
      </w:r>
    </w:p>
    <w:p w14:paraId="7C399AD8" w14:textId="77777777" w:rsidR="001F27DD" w:rsidRDefault="001F27DD" w:rsidP="005D15EA">
      <w:pPr>
        <w:pStyle w:val="ListBullet2"/>
        <w:numPr>
          <w:ilvl w:val="1"/>
          <w:numId w:val="37"/>
        </w:numPr>
      </w:pPr>
      <w:r>
        <w:t>Monash City Council</w:t>
      </w:r>
    </w:p>
    <w:p w14:paraId="48F6474E" w14:textId="77777777" w:rsidR="001F27DD" w:rsidRDefault="001F27DD" w:rsidP="005D15EA">
      <w:pPr>
        <w:pStyle w:val="ListBullet2"/>
        <w:numPr>
          <w:ilvl w:val="1"/>
          <w:numId w:val="37"/>
        </w:numPr>
      </w:pPr>
      <w:r>
        <w:t>Moyne Shire Council</w:t>
      </w:r>
    </w:p>
    <w:p w14:paraId="2B1A5879" w14:textId="77777777" w:rsidR="001F27DD" w:rsidRDefault="001F27DD" w:rsidP="005D15EA">
      <w:pPr>
        <w:pStyle w:val="ListBullet2"/>
        <w:numPr>
          <w:ilvl w:val="1"/>
          <w:numId w:val="37"/>
        </w:numPr>
      </w:pPr>
      <w:r>
        <w:t>Swan Hill Rural City Council</w:t>
      </w:r>
    </w:p>
    <w:p w14:paraId="2CC0EB55" w14:textId="77777777" w:rsidR="001F27DD" w:rsidRDefault="001F27DD" w:rsidP="005D15EA">
      <w:pPr>
        <w:pStyle w:val="ListBullet2"/>
        <w:numPr>
          <w:ilvl w:val="1"/>
          <w:numId w:val="37"/>
        </w:numPr>
        <w:spacing w:after="0"/>
      </w:pPr>
      <w:r>
        <w:t>Whitehorse City Council</w:t>
      </w:r>
    </w:p>
    <w:p w14:paraId="0010D966" w14:textId="77777777" w:rsidR="001F27DD" w:rsidRDefault="001F27DD" w:rsidP="005D15EA">
      <w:pPr>
        <w:pStyle w:val="ListBullet"/>
        <w:numPr>
          <w:ilvl w:val="0"/>
          <w:numId w:val="37"/>
        </w:numPr>
        <w:spacing w:before="0" w:after="60"/>
        <w:ind w:left="357" w:hanging="357"/>
      </w:pPr>
      <w:r>
        <w:t xml:space="preserve">The </w:t>
      </w:r>
      <w:r w:rsidRPr="001F4908">
        <w:t>Municipal Association of Victoria</w:t>
      </w:r>
    </w:p>
    <w:p w14:paraId="2170D667" w14:textId="77777777" w:rsidR="001F27DD" w:rsidRDefault="001F27DD" w:rsidP="005D15EA">
      <w:pPr>
        <w:pStyle w:val="ListBullet"/>
        <w:numPr>
          <w:ilvl w:val="0"/>
          <w:numId w:val="37"/>
        </w:numPr>
        <w:spacing w:before="0" w:after="60"/>
        <w:ind w:left="357" w:hanging="357"/>
      </w:pPr>
      <w:r w:rsidRPr="00540572">
        <w:t xml:space="preserve">CitiPower Pty Ltd </w:t>
      </w:r>
      <w:r>
        <w:t>and</w:t>
      </w:r>
      <w:r w:rsidRPr="00540572">
        <w:t xml:space="preserve"> Powercor Australia Ltd </w:t>
      </w:r>
    </w:p>
    <w:p w14:paraId="00DDF7AD" w14:textId="77777777" w:rsidR="001F27DD" w:rsidRDefault="001F27DD" w:rsidP="005D15EA">
      <w:pPr>
        <w:pStyle w:val="ListBullet"/>
        <w:numPr>
          <w:ilvl w:val="0"/>
          <w:numId w:val="37"/>
        </w:numPr>
        <w:spacing w:before="0" w:after="60"/>
        <w:ind w:left="357" w:hanging="357"/>
      </w:pPr>
      <w:r w:rsidRPr="00F64587">
        <w:t>Jemena Pty Ltd</w:t>
      </w:r>
      <w:r>
        <w:t xml:space="preserve"> and Zinfra Pty Ltd</w:t>
      </w:r>
    </w:p>
    <w:p w14:paraId="5E73692F" w14:textId="77777777" w:rsidR="001F27DD" w:rsidRDefault="001F27DD" w:rsidP="005D15EA">
      <w:pPr>
        <w:pStyle w:val="ListBullet"/>
        <w:numPr>
          <w:ilvl w:val="0"/>
          <w:numId w:val="37"/>
        </w:numPr>
        <w:spacing w:before="0" w:after="60"/>
        <w:ind w:left="357" w:hanging="357"/>
      </w:pPr>
      <w:r>
        <w:t>T</w:t>
      </w:r>
      <w:r w:rsidRPr="008B4B18">
        <w:t>he Department of Energy, Environment and Climate Action (including on behalf of Parks Victoria</w:t>
      </w:r>
      <w:r>
        <w:t>)</w:t>
      </w:r>
    </w:p>
    <w:p w14:paraId="0C9718E7" w14:textId="77777777" w:rsidR="001F27DD" w:rsidRPr="009455E5" w:rsidRDefault="001F27DD" w:rsidP="005D15EA">
      <w:pPr>
        <w:pStyle w:val="ListBullet"/>
        <w:numPr>
          <w:ilvl w:val="0"/>
          <w:numId w:val="37"/>
        </w:numPr>
        <w:spacing w:before="0" w:after="60"/>
        <w:ind w:left="357" w:hanging="357"/>
      </w:pPr>
      <w:r>
        <w:t xml:space="preserve">The </w:t>
      </w:r>
      <w:r w:rsidRPr="009455E5">
        <w:t>Department of Justice and Community Safety</w:t>
      </w:r>
    </w:p>
    <w:p w14:paraId="1BA31948" w14:textId="77777777" w:rsidR="001F27DD" w:rsidRPr="00D70176" w:rsidRDefault="001F27DD" w:rsidP="005D15EA">
      <w:pPr>
        <w:pStyle w:val="ListBullet"/>
        <w:numPr>
          <w:ilvl w:val="0"/>
          <w:numId w:val="37"/>
        </w:numPr>
        <w:spacing w:before="0" w:after="60"/>
        <w:ind w:left="357" w:hanging="357"/>
      </w:pPr>
      <w:r>
        <w:t>R</w:t>
      </w:r>
      <w:r w:rsidRPr="008B4B18">
        <w:t>elevant areas within the Department</w:t>
      </w:r>
    </w:p>
    <w:p w14:paraId="39A18192" w14:textId="5B0D9DF2" w:rsidR="0062578D" w:rsidRDefault="0062578D"/>
    <w:p w14:paraId="06AB7400" w14:textId="77777777" w:rsidR="005D46F3" w:rsidRDefault="005D46F3">
      <w:pPr>
        <w:rPr>
          <w:rFonts w:asciiTheme="majorHAnsi" w:eastAsiaTheme="majorEastAsia" w:hAnsiTheme="majorHAnsi" w:cstheme="majorBidi"/>
          <w:b/>
          <w:color w:val="075D5F" w:themeColor="accent1"/>
          <w:sz w:val="28"/>
          <w:szCs w:val="50"/>
        </w:rPr>
      </w:pPr>
      <w:bookmarkStart w:id="269" w:name="_Ref212454008"/>
      <w:bookmarkStart w:id="270" w:name="_Ref212474121"/>
      <w:bookmarkStart w:id="271" w:name="_Ref212474125"/>
      <w:bookmarkStart w:id="272" w:name="_Ref212474153"/>
      <w:r>
        <w:br w:type="page"/>
      </w:r>
    </w:p>
    <w:p w14:paraId="4AEAB70B" w14:textId="0D36B431" w:rsidR="0062578D" w:rsidRDefault="0062578D" w:rsidP="005B35C6">
      <w:pPr>
        <w:pStyle w:val="Heading1"/>
      </w:pPr>
      <w:bookmarkStart w:id="273" w:name="_Ref226040854"/>
      <w:bookmarkStart w:id="274" w:name="_Toc226448338"/>
      <w:r>
        <w:lastRenderedPageBreak/>
        <w:t>Appendix 1 – Cost recovery</w:t>
      </w:r>
      <w:bookmarkEnd w:id="269"/>
      <w:bookmarkEnd w:id="270"/>
      <w:bookmarkEnd w:id="271"/>
      <w:bookmarkEnd w:id="272"/>
      <w:bookmarkEnd w:id="273"/>
      <w:bookmarkEnd w:id="274"/>
    </w:p>
    <w:p w14:paraId="28DDF286" w14:textId="0CACE47E" w:rsidR="00C526C2" w:rsidRPr="00C34CF2" w:rsidRDefault="00C526C2" w:rsidP="005B35C6">
      <w:pPr>
        <w:pStyle w:val="Heading2"/>
      </w:pPr>
      <w:bookmarkStart w:id="275" w:name="_Toc226448339"/>
      <w:r w:rsidRPr="00C34CF2">
        <w:t>General principles of cost recovery</w:t>
      </w:r>
      <w:bookmarkEnd w:id="275"/>
    </w:p>
    <w:p w14:paraId="65ADC7BC" w14:textId="25D13A0F" w:rsidR="00C526C2" w:rsidRPr="00C34CF2" w:rsidRDefault="00C526C2" w:rsidP="00C526C2">
      <w:r w:rsidRPr="00C34CF2">
        <w:t>The costs of administering and enforcing regulation</w:t>
      </w:r>
      <w:r w:rsidR="002864F5">
        <w:t>s</w:t>
      </w:r>
      <w:r w:rsidRPr="00C34CF2">
        <w:t xml:space="preserve"> are borne by the government and its agencies. Such costs would be avoided if the regulated activity ceased. Accordingly, the incidence of these costs can be attributed to those participating in the activity.</w:t>
      </w:r>
    </w:p>
    <w:p w14:paraId="56D454F5" w14:textId="6EA3B806" w:rsidR="00C526C2" w:rsidRPr="00C34CF2" w:rsidRDefault="00C526C2" w:rsidP="00C526C2">
      <w:r w:rsidRPr="00C34CF2">
        <w:t xml:space="preserve">According to the Pricing for Value guide </w:t>
      </w:r>
      <w:r w:rsidR="00521855">
        <w:t xml:space="preserve">prepared </w:t>
      </w:r>
      <w:r w:rsidRPr="00C34CF2">
        <w:t>by the Department of Treasury and Finance (DTF), regulators are encouraged to fully recover the costs of service provision unless this would substantially conflict with other Pricing Principles in the guide or with other important objectives.</w:t>
      </w:r>
    </w:p>
    <w:p w14:paraId="2ACC16CB" w14:textId="77777777" w:rsidR="00C526C2" w:rsidRPr="00C34CF2" w:rsidRDefault="00C526C2" w:rsidP="00C526C2">
      <w:r w:rsidRPr="00C34CF2">
        <w:t xml:space="preserve">Without fees to recover the costs of the services, the taxpayer would effectively be funding road authorities’ costs associated with assessing applications for consent to conduct works and consent for hoardings and advertising; supplying information in relation to specific property enquiries; and other functions such as the removal of objects from roads, and this would be contrary to DTF’s Pricing for Value principles. </w:t>
      </w:r>
    </w:p>
    <w:p w14:paraId="729330C6" w14:textId="77777777" w:rsidR="00C526C2" w:rsidRPr="00C34CF2" w:rsidRDefault="00C526C2" w:rsidP="00C526C2">
      <w:r w:rsidRPr="00C34CF2">
        <w:t xml:space="preserve">According to Principle 1, the regulator should aim to recover the full costs of service provision to promote efficient consumption. In the context of the road management regulations, the fee pricing should reflect the costs of delivering the associated regulatory services (for example, the costs of processing applications to conduct works). Doing so ensures that the value of resources required to administer the regulations are known to the community. </w:t>
      </w:r>
    </w:p>
    <w:p w14:paraId="13C323A1" w14:textId="77777777" w:rsidR="00C526C2" w:rsidRPr="00C34CF2" w:rsidRDefault="00C526C2" w:rsidP="00C526C2">
      <w:r w:rsidRPr="00C34CF2">
        <w:t>From an efficiency and equity perspective, the cost of services should be borne by those who create the need for regulation and not the general community. In accordance with Principle 2, only those wishing to conduct works, install hoardings and advertising, obtain specific property information or recover an object that has been removed from a road should be the parties required to pay for the cost of these services.</w:t>
      </w:r>
    </w:p>
    <w:p w14:paraId="5F33E3EF" w14:textId="77777777" w:rsidR="00282411" w:rsidRPr="00C34CF2" w:rsidRDefault="00282411" w:rsidP="003974B3">
      <w:pPr>
        <w:pStyle w:val="Heading2"/>
      </w:pPr>
      <w:bookmarkStart w:id="276" w:name="_Ref212474093"/>
      <w:bookmarkStart w:id="277" w:name="_Ref212474100"/>
      <w:bookmarkStart w:id="278" w:name="_Toc226448340"/>
      <w:r w:rsidRPr="00C34CF2">
        <w:t>Current legislative and regulatory requirements</w:t>
      </w:r>
      <w:bookmarkEnd w:id="276"/>
      <w:bookmarkEnd w:id="277"/>
      <w:bookmarkEnd w:id="278"/>
    </w:p>
    <w:p w14:paraId="64BC2B8D" w14:textId="77777777" w:rsidR="00282411" w:rsidRPr="00C34CF2" w:rsidRDefault="00282411" w:rsidP="00282411">
      <w:r w:rsidRPr="00C34CF2">
        <w:t xml:space="preserve">The </w:t>
      </w:r>
      <w:r>
        <w:t>Act</w:t>
      </w:r>
      <w:r w:rsidRPr="00C34CF2">
        <w:t xml:space="preserve"> empowers the Governor in Council to make regulations to give effect to the Act. If authorised under the regulations, section 122 of the Act further empowers road authorities to charge and recover reasonable fees for:</w:t>
      </w:r>
    </w:p>
    <w:p w14:paraId="21DFB75C" w14:textId="77777777" w:rsidR="00282411" w:rsidRPr="00C34CF2" w:rsidRDefault="00282411" w:rsidP="005D15EA">
      <w:pPr>
        <w:numPr>
          <w:ilvl w:val="0"/>
          <w:numId w:val="16"/>
        </w:numPr>
        <w:rPr>
          <w:i/>
          <w:iCs/>
        </w:rPr>
      </w:pPr>
      <w:r w:rsidRPr="00C34CF2">
        <w:rPr>
          <w:i/>
          <w:iCs/>
        </w:rPr>
        <w:t>considering an application for an approval, permit or consent;</w:t>
      </w:r>
    </w:p>
    <w:p w14:paraId="1E8A16EC" w14:textId="77777777" w:rsidR="00282411" w:rsidRPr="00C34CF2" w:rsidRDefault="00282411" w:rsidP="005D15EA">
      <w:pPr>
        <w:numPr>
          <w:ilvl w:val="0"/>
          <w:numId w:val="16"/>
        </w:numPr>
        <w:rPr>
          <w:i/>
          <w:iCs/>
        </w:rPr>
      </w:pPr>
      <w:r w:rsidRPr="00C34CF2">
        <w:rPr>
          <w:i/>
          <w:iCs/>
        </w:rPr>
        <w:t>carrying out an inspection in connection with an application for an approval, permit or consent;</w:t>
      </w:r>
    </w:p>
    <w:p w14:paraId="329E0EB0" w14:textId="77777777" w:rsidR="00282411" w:rsidRPr="00C34CF2" w:rsidRDefault="00282411" w:rsidP="005D15EA">
      <w:pPr>
        <w:numPr>
          <w:ilvl w:val="0"/>
          <w:numId w:val="16"/>
        </w:numPr>
        <w:rPr>
          <w:i/>
          <w:iCs/>
        </w:rPr>
      </w:pPr>
      <w:r w:rsidRPr="00C34CF2">
        <w:rPr>
          <w:i/>
          <w:iCs/>
        </w:rPr>
        <w:t>issuing an approval, permit or consent;</w:t>
      </w:r>
    </w:p>
    <w:p w14:paraId="74A63D31" w14:textId="77777777" w:rsidR="00282411" w:rsidRPr="00C34CF2" w:rsidRDefault="00282411" w:rsidP="005D15EA">
      <w:pPr>
        <w:numPr>
          <w:ilvl w:val="0"/>
          <w:numId w:val="16"/>
        </w:numPr>
        <w:rPr>
          <w:i/>
          <w:iCs/>
        </w:rPr>
      </w:pPr>
      <w:r w:rsidRPr="00C34CF2">
        <w:rPr>
          <w:i/>
          <w:iCs/>
        </w:rPr>
        <w:t>issuing a certificate.</w:t>
      </w:r>
    </w:p>
    <w:p w14:paraId="2886770A" w14:textId="19D7A236" w:rsidR="00282411" w:rsidRPr="00C34CF2" w:rsidRDefault="00124FC1" w:rsidP="00282411">
      <w:r>
        <w:t>All</w:t>
      </w:r>
      <w:r w:rsidRPr="00C34CF2">
        <w:t xml:space="preserve"> </w:t>
      </w:r>
      <w:r w:rsidR="00AE0CC5">
        <w:t xml:space="preserve">set </w:t>
      </w:r>
      <w:r w:rsidR="00282411" w:rsidRPr="00C34CF2">
        <w:t xml:space="preserve">fees in the regulations are prescribed as fee units. As of 1 July 2025, the value of a fee unit is $16.81. </w:t>
      </w:r>
    </w:p>
    <w:p w14:paraId="49918663" w14:textId="4E6C7BD6" w:rsidR="00282411" w:rsidRPr="00C34CF2" w:rsidRDefault="00282411" w:rsidP="007247CA">
      <w:pPr>
        <w:pStyle w:val="Heading3"/>
      </w:pPr>
      <w:bookmarkStart w:id="279" w:name="_Toc226448341"/>
      <w:r w:rsidRPr="00C34CF2">
        <w:t>Proposed works applications</w:t>
      </w:r>
      <w:bookmarkEnd w:id="279"/>
    </w:p>
    <w:p w14:paraId="6EDD4FF1" w14:textId="6BA682D2" w:rsidR="0082792F" w:rsidRDefault="00282411" w:rsidP="00282411">
      <w:r w:rsidRPr="00C34CF2">
        <w:t xml:space="preserve">Current fees for applications for consent to the conduct of proposed works are specified in Schedule 1 of the </w:t>
      </w:r>
      <w:r>
        <w:t xml:space="preserve">W&amp;I </w:t>
      </w:r>
      <w:r w:rsidRPr="00C34CF2">
        <w:t xml:space="preserve">Regulations and summarised with fee unit values in </w:t>
      </w:r>
      <w:r w:rsidR="000C0398">
        <w:fldChar w:fldCharType="begin"/>
      </w:r>
      <w:r w:rsidR="000C0398">
        <w:instrText xml:space="preserve"> REF _Ref226445833 \h </w:instrText>
      </w:r>
      <w:r w:rsidR="000C0398">
        <w:fldChar w:fldCharType="separate"/>
      </w:r>
      <w:r w:rsidR="00F170D0">
        <w:t xml:space="preserve">Table </w:t>
      </w:r>
      <w:r w:rsidR="00F170D0">
        <w:rPr>
          <w:noProof/>
        </w:rPr>
        <w:t>13</w:t>
      </w:r>
      <w:r w:rsidR="000C0398">
        <w:fldChar w:fldCharType="end"/>
      </w:r>
      <w:r w:rsidR="004A7202">
        <w:t>.</w:t>
      </w:r>
    </w:p>
    <w:p w14:paraId="2AC1353C" w14:textId="77777777" w:rsidR="0082792F" w:rsidRDefault="0082792F">
      <w:r>
        <w:br w:type="page"/>
      </w:r>
    </w:p>
    <w:p w14:paraId="3B50B16F" w14:textId="4105AF7A" w:rsidR="00282411" w:rsidRDefault="00437C76" w:rsidP="00437C76">
      <w:pPr>
        <w:pStyle w:val="Caption"/>
      </w:pPr>
      <w:bookmarkStart w:id="280" w:name="_Ref226445833"/>
      <w:bookmarkStart w:id="281" w:name="_Toc226448361"/>
      <w:r>
        <w:lastRenderedPageBreak/>
        <w:t xml:space="preserve">Table </w:t>
      </w:r>
      <w:r w:rsidR="005A7DAB">
        <w:fldChar w:fldCharType="begin"/>
      </w:r>
      <w:r w:rsidR="005A7DAB">
        <w:instrText xml:space="preserve"> SEQ Table \* ARABIC </w:instrText>
      </w:r>
      <w:r w:rsidR="005A7DAB">
        <w:fldChar w:fldCharType="separate"/>
      </w:r>
      <w:r w:rsidR="00F170D0">
        <w:rPr>
          <w:noProof/>
        </w:rPr>
        <w:t>13</w:t>
      </w:r>
      <w:r w:rsidR="005A7DAB">
        <w:rPr>
          <w:noProof/>
        </w:rPr>
        <w:fldChar w:fldCharType="end"/>
      </w:r>
      <w:bookmarkEnd w:id="280"/>
      <w:r>
        <w:t xml:space="preserve"> </w:t>
      </w:r>
      <w:r w:rsidR="00282411" w:rsidRPr="00C34CF2">
        <w:t>– Current fees prescribed under the Road Management (Works and Infrastructure) Regulations for proposed works with fee unit values</w:t>
      </w:r>
      <w:bookmarkEnd w:id="281"/>
    </w:p>
    <w:tbl>
      <w:tblPr>
        <w:tblStyle w:val="GridTable1Light"/>
        <w:tblW w:w="0" w:type="auto"/>
        <w:tblLook w:val="04A0" w:firstRow="1" w:lastRow="0" w:firstColumn="1" w:lastColumn="0" w:noHBand="0" w:noVBand="1"/>
      </w:tblPr>
      <w:tblGrid>
        <w:gridCol w:w="2386"/>
        <w:gridCol w:w="2094"/>
        <w:gridCol w:w="2094"/>
        <w:gridCol w:w="2094"/>
        <w:gridCol w:w="2094"/>
      </w:tblGrid>
      <w:tr w:rsidR="00282411" w:rsidRPr="00C34CF2" w14:paraId="48968C81"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6" w:type="dxa"/>
            <w:noWrap/>
            <w:hideMark/>
          </w:tcPr>
          <w:p w14:paraId="21B3C3EC" w14:textId="77777777" w:rsidR="00282411" w:rsidRPr="00C34CF2" w:rsidRDefault="00282411">
            <w:pPr>
              <w:spacing w:after="120"/>
            </w:pPr>
            <w:r w:rsidRPr="00C34CF2">
              <w:t>Column 1</w:t>
            </w:r>
          </w:p>
        </w:tc>
        <w:tc>
          <w:tcPr>
            <w:tcW w:w="8376" w:type="dxa"/>
            <w:gridSpan w:val="4"/>
            <w:noWrap/>
            <w:hideMark/>
          </w:tcPr>
          <w:p w14:paraId="086FEAFC" w14:textId="77777777" w:rsidR="00282411" w:rsidRPr="00C34CF2" w:rsidRDefault="00282411">
            <w:pPr>
              <w:spacing w:after="120"/>
              <w:cnfStyle w:val="100000000000" w:firstRow="1" w:lastRow="0" w:firstColumn="0" w:lastColumn="0" w:oddVBand="0" w:evenVBand="0" w:oddHBand="0" w:evenHBand="0" w:firstRowFirstColumn="0" w:firstRowLastColumn="0" w:lastRowFirstColumn="0" w:lastRowLastColumn="0"/>
            </w:pPr>
            <w:r w:rsidRPr="00C34CF2">
              <w:t>Column 2</w:t>
            </w:r>
          </w:p>
        </w:tc>
      </w:tr>
      <w:tr w:rsidR="00282411" w:rsidRPr="00C34CF2" w14:paraId="617A5B3B" w14:textId="77777777">
        <w:trPr>
          <w:trHeight w:val="1155"/>
        </w:trPr>
        <w:tc>
          <w:tcPr>
            <w:cnfStyle w:val="001000000000" w:firstRow="0" w:lastRow="0" w:firstColumn="1" w:lastColumn="0" w:oddVBand="0" w:evenVBand="0" w:oddHBand="0" w:evenHBand="0" w:firstRowFirstColumn="0" w:firstRowLastColumn="0" w:lastRowFirstColumn="0" w:lastRowLastColumn="0"/>
            <w:tcW w:w="2386" w:type="dxa"/>
            <w:vMerge w:val="restart"/>
            <w:shd w:val="clear" w:color="auto" w:fill="F2F2F2" w:themeFill="background1" w:themeFillShade="F2"/>
            <w:noWrap/>
            <w:hideMark/>
          </w:tcPr>
          <w:p w14:paraId="52990B3A" w14:textId="77777777" w:rsidR="00282411" w:rsidRPr="00C34CF2" w:rsidRDefault="00282411">
            <w:pPr>
              <w:spacing w:after="120"/>
            </w:pPr>
            <w:r w:rsidRPr="00C34CF2">
              <w:rPr>
                <w:rFonts w:ascii="Cambria" w:hAnsi="Cambria" w:cs="Cambria"/>
                <w:b w:val="0"/>
                <w:bCs w:val="0"/>
              </w:rPr>
              <w:t> </w:t>
            </w:r>
          </w:p>
          <w:p w14:paraId="54508C28" w14:textId="77777777" w:rsidR="00282411" w:rsidRPr="00C34CF2" w:rsidRDefault="00282411">
            <w:pPr>
              <w:spacing w:after="120"/>
              <w:rPr>
                <w:b w:val="0"/>
                <w:bCs w:val="0"/>
              </w:rPr>
            </w:pPr>
            <w:r w:rsidRPr="00C34CF2">
              <w:rPr>
                <w:rFonts w:ascii="Cambria" w:hAnsi="Cambria" w:cs="Cambria"/>
                <w:b w:val="0"/>
                <w:bCs w:val="0"/>
              </w:rPr>
              <w:t> </w:t>
            </w:r>
          </w:p>
        </w:tc>
        <w:tc>
          <w:tcPr>
            <w:tcW w:w="4188" w:type="dxa"/>
            <w:gridSpan w:val="2"/>
            <w:shd w:val="clear" w:color="auto" w:fill="BFBFBF" w:themeFill="background1" w:themeFillShade="BF"/>
            <w:hideMark/>
          </w:tcPr>
          <w:p w14:paraId="311DBD70"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Works (other than minor works conducted by a person referred to in regulation 10(2) that are traffic impact works)</w:t>
            </w:r>
          </w:p>
        </w:tc>
        <w:tc>
          <w:tcPr>
            <w:tcW w:w="4188" w:type="dxa"/>
            <w:gridSpan w:val="2"/>
            <w:shd w:val="clear" w:color="auto" w:fill="BFBFBF" w:themeFill="background1" w:themeFillShade="BF"/>
            <w:hideMark/>
          </w:tcPr>
          <w:p w14:paraId="5CF94289"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Minor works conducted by a person referred to in regulation 10(2) that are traffic impact works</w:t>
            </w:r>
          </w:p>
        </w:tc>
      </w:tr>
      <w:tr w:rsidR="00282411" w:rsidRPr="00C34CF2" w14:paraId="0A1F639A" w14:textId="77777777">
        <w:trPr>
          <w:trHeight w:val="1200"/>
        </w:trPr>
        <w:tc>
          <w:tcPr>
            <w:cnfStyle w:val="001000000000" w:firstRow="0" w:lastRow="0" w:firstColumn="1" w:lastColumn="0" w:oddVBand="0" w:evenVBand="0" w:oddHBand="0" w:evenHBand="0" w:firstRowFirstColumn="0" w:firstRowLastColumn="0" w:lastRowFirstColumn="0" w:lastRowLastColumn="0"/>
            <w:tcW w:w="2386" w:type="dxa"/>
            <w:vMerge/>
            <w:shd w:val="clear" w:color="auto" w:fill="F2F2F2" w:themeFill="background1" w:themeFillShade="F2"/>
            <w:noWrap/>
            <w:hideMark/>
          </w:tcPr>
          <w:p w14:paraId="2E0AE1FE" w14:textId="77777777" w:rsidR="00282411" w:rsidRPr="00C34CF2" w:rsidRDefault="00282411">
            <w:pPr>
              <w:spacing w:after="120"/>
              <w:rPr>
                <w:b w:val="0"/>
                <w:bCs w:val="0"/>
              </w:rPr>
            </w:pPr>
          </w:p>
        </w:tc>
        <w:tc>
          <w:tcPr>
            <w:tcW w:w="2094" w:type="dxa"/>
            <w:shd w:val="clear" w:color="auto" w:fill="D9D9D9" w:themeFill="background1" w:themeFillShade="D9"/>
            <w:hideMark/>
          </w:tcPr>
          <w:p w14:paraId="728C94E7"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Conducted on, or on any part of, the roadway, pathway or shoulder</w:t>
            </w:r>
          </w:p>
        </w:tc>
        <w:tc>
          <w:tcPr>
            <w:tcW w:w="2094" w:type="dxa"/>
            <w:shd w:val="clear" w:color="auto" w:fill="D9D9D9" w:themeFill="background1" w:themeFillShade="D9"/>
            <w:hideMark/>
          </w:tcPr>
          <w:p w14:paraId="163954A3"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Not conducted on, or on any part of, the roadway, pathway or shoulder</w:t>
            </w:r>
          </w:p>
        </w:tc>
        <w:tc>
          <w:tcPr>
            <w:tcW w:w="2094" w:type="dxa"/>
            <w:shd w:val="clear" w:color="auto" w:fill="D9D9D9" w:themeFill="background1" w:themeFillShade="D9"/>
            <w:hideMark/>
          </w:tcPr>
          <w:p w14:paraId="3070A84A"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Conducted on, or on any part of, the roadway, pathway or shoulder</w:t>
            </w:r>
          </w:p>
        </w:tc>
        <w:tc>
          <w:tcPr>
            <w:tcW w:w="2094" w:type="dxa"/>
            <w:shd w:val="clear" w:color="auto" w:fill="D9D9D9" w:themeFill="background1" w:themeFillShade="D9"/>
            <w:hideMark/>
          </w:tcPr>
          <w:p w14:paraId="6CF4E5C3"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Not conducted on, or on any part of, the roadway, pathway or shoulder</w:t>
            </w:r>
          </w:p>
        </w:tc>
      </w:tr>
      <w:tr w:rsidR="00282411" w:rsidRPr="00C34CF2" w14:paraId="43593BC9" w14:textId="77777777">
        <w:trPr>
          <w:trHeight w:val="512"/>
        </w:trPr>
        <w:tc>
          <w:tcPr>
            <w:cnfStyle w:val="001000000000" w:firstRow="0" w:lastRow="0" w:firstColumn="1" w:lastColumn="0" w:oddVBand="0" w:evenVBand="0" w:oddHBand="0" w:evenHBand="0" w:firstRowFirstColumn="0" w:firstRowLastColumn="0" w:lastRowFirstColumn="0" w:lastRowLastColumn="0"/>
            <w:tcW w:w="10762" w:type="dxa"/>
            <w:gridSpan w:val="5"/>
            <w:shd w:val="clear" w:color="auto" w:fill="F2F2F2" w:themeFill="background1" w:themeFillShade="F2"/>
            <w:noWrap/>
            <w:hideMark/>
          </w:tcPr>
          <w:p w14:paraId="713CC4DD" w14:textId="77777777" w:rsidR="00282411" w:rsidRPr="00C34CF2" w:rsidRDefault="00282411">
            <w:pPr>
              <w:spacing w:after="120"/>
            </w:pPr>
            <w:r w:rsidRPr="00C34CF2">
              <w:rPr>
                <w:b w:val="0"/>
                <w:bCs w:val="0"/>
              </w:rPr>
              <w:t>Freeway</w:t>
            </w:r>
          </w:p>
        </w:tc>
      </w:tr>
      <w:tr w:rsidR="00282411" w:rsidRPr="00C34CF2" w14:paraId="1BF337BB" w14:textId="77777777">
        <w:trPr>
          <w:trHeight w:val="300"/>
        </w:trPr>
        <w:tc>
          <w:tcPr>
            <w:cnfStyle w:val="001000000000" w:firstRow="0" w:lastRow="0" w:firstColumn="1" w:lastColumn="0" w:oddVBand="0" w:evenVBand="0" w:oddHBand="0" w:evenHBand="0" w:firstRowFirstColumn="0" w:firstRowLastColumn="0" w:lastRowFirstColumn="0" w:lastRowLastColumn="0"/>
            <w:tcW w:w="2386" w:type="dxa"/>
            <w:noWrap/>
            <w:hideMark/>
          </w:tcPr>
          <w:p w14:paraId="51575E44" w14:textId="77777777" w:rsidR="00282411" w:rsidRPr="00C34CF2" w:rsidRDefault="00282411" w:rsidP="005D15EA">
            <w:pPr>
              <w:numPr>
                <w:ilvl w:val="0"/>
                <w:numId w:val="15"/>
              </w:numPr>
              <w:spacing w:after="120"/>
              <w:rPr>
                <w:b w:val="0"/>
                <w:bCs w:val="0"/>
              </w:rPr>
            </w:pPr>
            <w:r w:rsidRPr="00C34CF2">
              <w:rPr>
                <w:b w:val="0"/>
                <w:bCs w:val="0"/>
              </w:rPr>
              <w:t>Fee units</w:t>
            </w:r>
          </w:p>
        </w:tc>
        <w:tc>
          <w:tcPr>
            <w:tcW w:w="2094" w:type="dxa"/>
            <w:noWrap/>
            <w:hideMark/>
          </w:tcPr>
          <w:p w14:paraId="1FC84526"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43.2</w:t>
            </w:r>
          </w:p>
        </w:tc>
        <w:tc>
          <w:tcPr>
            <w:tcW w:w="2094" w:type="dxa"/>
            <w:noWrap/>
            <w:hideMark/>
          </w:tcPr>
          <w:p w14:paraId="6111929A"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30.2</w:t>
            </w:r>
          </w:p>
        </w:tc>
        <w:tc>
          <w:tcPr>
            <w:tcW w:w="2094" w:type="dxa"/>
            <w:noWrap/>
            <w:hideMark/>
          </w:tcPr>
          <w:p w14:paraId="7A3208F1"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16</w:t>
            </w:r>
          </w:p>
        </w:tc>
        <w:tc>
          <w:tcPr>
            <w:tcW w:w="2094" w:type="dxa"/>
            <w:noWrap/>
            <w:hideMark/>
          </w:tcPr>
          <w:p w14:paraId="6C8DEE13"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9.5</w:t>
            </w:r>
          </w:p>
        </w:tc>
      </w:tr>
      <w:tr w:rsidR="00282411" w:rsidRPr="00C34CF2" w14:paraId="7AFEC498" w14:textId="77777777">
        <w:trPr>
          <w:trHeight w:val="300"/>
        </w:trPr>
        <w:tc>
          <w:tcPr>
            <w:cnfStyle w:val="001000000000" w:firstRow="0" w:lastRow="0" w:firstColumn="1" w:lastColumn="0" w:oddVBand="0" w:evenVBand="0" w:oddHBand="0" w:evenHBand="0" w:firstRowFirstColumn="0" w:firstRowLastColumn="0" w:lastRowFirstColumn="0" w:lastRowLastColumn="0"/>
            <w:tcW w:w="2386" w:type="dxa"/>
            <w:noWrap/>
            <w:hideMark/>
          </w:tcPr>
          <w:p w14:paraId="5CADB8E7" w14:textId="77777777" w:rsidR="00282411" w:rsidRPr="00C34CF2" w:rsidRDefault="00282411" w:rsidP="005D15EA">
            <w:pPr>
              <w:numPr>
                <w:ilvl w:val="0"/>
                <w:numId w:val="15"/>
              </w:numPr>
              <w:spacing w:after="120"/>
              <w:rPr>
                <w:b w:val="0"/>
                <w:bCs w:val="0"/>
                <w:i/>
                <w:iCs/>
              </w:rPr>
            </w:pPr>
            <w:r w:rsidRPr="00C34CF2">
              <w:rPr>
                <w:b w:val="0"/>
                <w:bCs w:val="0"/>
                <w:i/>
                <w:iCs/>
              </w:rPr>
              <w:t>Fee units value ($)</w:t>
            </w:r>
          </w:p>
        </w:tc>
        <w:tc>
          <w:tcPr>
            <w:tcW w:w="2094" w:type="dxa"/>
            <w:noWrap/>
            <w:hideMark/>
          </w:tcPr>
          <w:p w14:paraId="0F9B6A0F" w14:textId="0ED4AEF5"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726.</w:t>
            </w:r>
            <w:r>
              <w:rPr>
                <w:i/>
                <w:iCs/>
              </w:rPr>
              <w:t>2</w:t>
            </w:r>
            <w:r w:rsidR="007548CA">
              <w:rPr>
                <w:i/>
                <w:iCs/>
              </w:rPr>
              <w:t>0</w:t>
            </w:r>
          </w:p>
        </w:tc>
        <w:tc>
          <w:tcPr>
            <w:tcW w:w="2094" w:type="dxa"/>
            <w:noWrap/>
            <w:hideMark/>
          </w:tcPr>
          <w:p w14:paraId="584089C1" w14:textId="20386A38"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507.</w:t>
            </w:r>
            <w:r>
              <w:rPr>
                <w:i/>
                <w:iCs/>
              </w:rPr>
              <w:t>7</w:t>
            </w:r>
            <w:r w:rsidR="007548CA">
              <w:rPr>
                <w:i/>
                <w:iCs/>
              </w:rPr>
              <w:t>0</w:t>
            </w:r>
          </w:p>
        </w:tc>
        <w:tc>
          <w:tcPr>
            <w:tcW w:w="2094" w:type="dxa"/>
            <w:noWrap/>
            <w:hideMark/>
          </w:tcPr>
          <w:p w14:paraId="3EF195D1"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26</w:t>
            </w:r>
            <w:r>
              <w:rPr>
                <w:i/>
                <w:iCs/>
              </w:rPr>
              <w:t>9</w:t>
            </w:r>
          </w:p>
        </w:tc>
        <w:tc>
          <w:tcPr>
            <w:tcW w:w="2094" w:type="dxa"/>
            <w:noWrap/>
            <w:hideMark/>
          </w:tcPr>
          <w:p w14:paraId="550D518F" w14:textId="01268B00"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159.7</w:t>
            </w:r>
            <w:r w:rsidR="007548CA">
              <w:rPr>
                <w:i/>
                <w:iCs/>
              </w:rPr>
              <w:t>0</w:t>
            </w:r>
          </w:p>
        </w:tc>
      </w:tr>
      <w:tr w:rsidR="00282411" w:rsidRPr="00C34CF2" w14:paraId="2C08E87B" w14:textId="77777777">
        <w:trPr>
          <w:trHeight w:val="548"/>
        </w:trPr>
        <w:tc>
          <w:tcPr>
            <w:cnfStyle w:val="001000000000" w:firstRow="0" w:lastRow="0" w:firstColumn="1" w:lastColumn="0" w:oddVBand="0" w:evenVBand="0" w:oddHBand="0" w:evenHBand="0" w:firstRowFirstColumn="0" w:firstRowLastColumn="0" w:lastRowFirstColumn="0" w:lastRowLastColumn="0"/>
            <w:tcW w:w="10762" w:type="dxa"/>
            <w:gridSpan w:val="5"/>
            <w:shd w:val="clear" w:color="auto" w:fill="F2F2F2" w:themeFill="background1" w:themeFillShade="F2"/>
            <w:noWrap/>
            <w:hideMark/>
          </w:tcPr>
          <w:p w14:paraId="1AC8FFC5" w14:textId="77777777" w:rsidR="00282411" w:rsidRPr="00C34CF2" w:rsidRDefault="00282411">
            <w:pPr>
              <w:spacing w:after="120"/>
            </w:pPr>
            <w:r w:rsidRPr="00C34CF2">
              <w:rPr>
                <w:b w:val="0"/>
                <w:bCs w:val="0"/>
              </w:rPr>
              <w:t>Arterial road</w:t>
            </w:r>
            <w:r w:rsidRPr="00C34CF2">
              <w:rPr>
                <w:rFonts w:ascii="Cambria" w:hAnsi="Cambria" w:cs="Cambria"/>
              </w:rPr>
              <w:t> </w:t>
            </w:r>
          </w:p>
        </w:tc>
      </w:tr>
      <w:tr w:rsidR="00282411" w:rsidRPr="00C34CF2" w14:paraId="13F15F3E" w14:textId="77777777">
        <w:trPr>
          <w:trHeight w:val="300"/>
        </w:trPr>
        <w:tc>
          <w:tcPr>
            <w:cnfStyle w:val="001000000000" w:firstRow="0" w:lastRow="0" w:firstColumn="1" w:lastColumn="0" w:oddVBand="0" w:evenVBand="0" w:oddHBand="0" w:evenHBand="0" w:firstRowFirstColumn="0" w:firstRowLastColumn="0" w:lastRowFirstColumn="0" w:lastRowLastColumn="0"/>
            <w:tcW w:w="2386" w:type="dxa"/>
            <w:noWrap/>
            <w:hideMark/>
          </w:tcPr>
          <w:p w14:paraId="6CCB8E33" w14:textId="77777777" w:rsidR="00282411" w:rsidRPr="00C34CF2" w:rsidRDefault="00282411" w:rsidP="005D15EA">
            <w:pPr>
              <w:numPr>
                <w:ilvl w:val="0"/>
                <w:numId w:val="15"/>
              </w:numPr>
              <w:spacing w:after="120"/>
              <w:rPr>
                <w:b w:val="0"/>
                <w:bCs w:val="0"/>
              </w:rPr>
            </w:pPr>
            <w:r w:rsidRPr="00C34CF2">
              <w:rPr>
                <w:b w:val="0"/>
                <w:bCs w:val="0"/>
              </w:rPr>
              <w:t>Fee units</w:t>
            </w:r>
          </w:p>
        </w:tc>
        <w:tc>
          <w:tcPr>
            <w:tcW w:w="2094" w:type="dxa"/>
            <w:noWrap/>
            <w:hideMark/>
          </w:tcPr>
          <w:p w14:paraId="581B1A5C"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43.2</w:t>
            </w:r>
          </w:p>
        </w:tc>
        <w:tc>
          <w:tcPr>
            <w:tcW w:w="2094" w:type="dxa"/>
            <w:noWrap/>
            <w:hideMark/>
          </w:tcPr>
          <w:p w14:paraId="22CF218D"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30.2</w:t>
            </w:r>
          </w:p>
        </w:tc>
        <w:tc>
          <w:tcPr>
            <w:tcW w:w="2094" w:type="dxa"/>
            <w:noWrap/>
            <w:hideMark/>
          </w:tcPr>
          <w:p w14:paraId="7F46E7CC"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16</w:t>
            </w:r>
          </w:p>
        </w:tc>
        <w:tc>
          <w:tcPr>
            <w:tcW w:w="2094" w:type="dxa"/>
            <w:noWrap/>
            <w:hideMark/>
          </w:tcPr>
          <w:p w14:paraId="5E378B8C"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9.5</w:t>
            </w:r>
          </w:p>
        </w:tc>
      </w:tr>
      <w:tr w:rsidR="00282411" w:rsidRPr="00C34CF2" w14:paraId="396D104B" w14:textId="77777777">
        <w:trPr>
          <w:trHeight w:val="300"/>
        </w:trPr>
        <w:tc>
          <w:tcPr>
            <w:cnfStyle w:val="001000000000" w:firstRow="0" w:lastRow="0" w:firstColumn="1" w:lastColumn="0" w:oddVBand="0" w:evenVBand="0" w:oddHBand="0" w:evenHBand="0" w:firstRowFirstColumn="0" w:firstRowLastColumn="0" w:lastRowFirstColumn="0" w:lastRowLastColumn="0"/>
            <w:tcW w:w="2386" w:type="dxa"/>
            <w:noWrap/>
            <w:hideMark/>
          </w:tcPr>
          <w:p w14:paraId="2DDF77C9" w14:textId="77777777" w:rsidR="00282411" w:rsidRPr="00C34CF2" w:rsidRDefault="00282411" w:rsidP="005D15EA">
            <w:pPr>
              <w:numPr>
                <w:ilvl w:val="0"/>
                <w:numId w:val="15"/>
              </w:numPr>
              <w:spacing w:after="120"/>
              <w:rPr>
                <w:b w:val="0"/>
                <w:bCs w:val="0"/>
                <w:i/>
                <w:iCs/>
              </w:rPr>
            </w:pPr>
            <w:r w:rsidRPr="00C34CF2">
              <w:rPr>
                <w:b w:val="0"/>
                <w:bCs w:val="0"/>
                <w:i/>
                <w:iCs/>
              </w:rPr>
              <w:t>Fee units value ($)</w:t>
            </w:r>
          </w:p>
        </w:tc>
        <w:tc>
          <w:tcPr>
            <w:tcW w:w="2094" w:type="dxa"/>
            <w:noWrap/>
            <w:hideMark/>
          </w:tcPr>
          <w:p w14:paraId="71031E94" w14:textId="758A7A96"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726.</w:t>
            </w:r>
            <w:r>
              <w:rPr>
                <w:i/>
                <w:iCs/>
              </w:rPr>
              <w:t>2</w:t>
            </w:r>
            <w:r w:rsidR="007548CA">
              <w:rPr>
                <w:i/>
                <w:iCs/>
              </w:rPr>
              <w:t>0</w:t>
            </w:r>
          </w:p>
        </w:tc>
        <w:tc>
          <w:tcPr>
            <w:tcW w:w="2094" w:type="dxa"/>
            <w:noWrap/>
            <w:hideMark/>
          </w:tcPr>
          <w:p w14:paraId="1FB8F553" w14:textId="40B2C456"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507.</w:t>
            </w:r>
            <w:r>
              <w:rPr>
                <w:i/>
                <w:iCs/>
              </w:rPr>
              <w:t>7</w:t>
            </w:r>
            <w:r w:rsidR="007548CA">
              <w:rPr>
                <w:i/>
                <w:iCs/>
              </w:rPr>
              <w:t>0</w:t>
            </w:r>
          </w:p>
        </w:tc>
        <w:tc>
          <w:tcPr>
            <w:tcW w:w="2094" w:type="dxa"/>
            <w:noWrap/>
            <w:hideMark/>
          </w:tcPr>
          <w:p w14:paraId="15A837D0"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26</w:t>
            </w:r>
            <w:r>
              <w:rPr>
                <w:i/>
                <w:iCs/>
              </w:rPr>
              <w:t>9</w:t>
            </w:r>
          </w:p>
        </w:tc>
        <w:tc>
          <w:tcPr>
            <w:tcW w:w="2094" w:type="dxa"/>
            <w:noWrap/>
            <w:hideMark/>
          </w:tcPr>
          <w:p w14:paraId="7171E50D" w14:textId="575BE24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159.7</w:t>
            </w:r>
            <w:r w:rsidR="007548CA">
              <w:rPr>
                <w:i/>
                <w:iCs/>
              </w:rPr>
              <w:t>0</w:t>
            </w:r>
          </w:p>
        </w:tc>
      </w:tr>
      <w:tr w:rsidR="00282411" w:rsidRPr="00C34CF2" w14:paraId="12D13B7A" w14:textId="77777777">
        <w:trPr>
          <w:trHeight w:val="727"/>
        </w:trPr>
        <w:tc>
          <w:tcPr>
            <w:cnfStyle w:val="001000000000" w:firstRow="0" w:lastRow="0" w:firstColumn="1" w:lastColumn="0" w:oddVBand="0" w:evenVBand="0" w:oddHBand="0" w:evenHBand="0" w:firstRowFirstColumn="0" w:firstRowLastColumn="0" w:lastRowFirstColumn="0" w:lastRowLastColumn="0"/>
            <w:tcW w:w="10762" w:type="dxa"/>
            <w:gridSpan w:val="5"/>
            <w:shd w:val="clear" w:color="auto" w:fill="F2F2F2" w:themeFill="background1" w:themeFillShade="F2"/>
            <w:hideMark/>
          </w:tcPr>
          <w:p w14:paraId="2816EEBB" w14:textId="77777777" w:rsidR="00282411" w:rsidRPr="00C34CF2" w:rsidRDefault="00282411">
            <w:pPr>
              <w:spacing w:after="120"/>
            </w:pPr>
            <w:r w:rsidRPr="00C34CF2">
              <w:rPr>
                <w:b w:val="0"/>
                <w:bCs w:val="0"/>
              </w:rPr>
              <w:t>Municipal road or non-arterial State road on which the maximum speed limit for vehicles at any time is more than 50 kilometres per hour</w:t>
            </w:r>
          </w:p>
        </w:tc>
      </w:tr>
      <w:tr w:rsidR="00282411" w:rsidRPr="00C34CF2" w14:paraId="34F872C6" w14:textId="77777777">
        <w:trPr>
          <w:trHeight w:val="300"/>
        </w:trPr>
        <w:tc>
          <w:tcPr>
            <w:cnfStyle w:val="001000000000" w:firstRow="0" w:lastRow="0" w:firstColumn="1" w:lastColumn="0" w:oddVBand="0" w:evenVBand="0" w:oddHBand="0" w:evenHBand="0" w:firstRowFirstColumn="0" w:firstRowLastColumn="0" w:lastRowFirstColumn="0" w:lastRowLastColumn="0"/>
            <w:tcW w:w="2386" w:type="dxa"/>
            <w:hideMark/>
          </w:tcPr>
          <w:p w14:paraId="7FE36BFE" w14:textId="77777777" w:rsidR="00282411" w:rsidRPr="00C34CF2" w:rsidRDefault="00282411" w:rsidP="005D15EA">
            <w:pPr>
              <w:numPr>
                <w:ilvl w:val="0"/>
                <w:numId w:val="15"/>
              </w:numPr>
              <w:spacing w:after="120"/>
              <w:rPr>
                <w:b w:val="0"/>
                <w:bCs w:val="0"/>
              </w:rPr>
            </w:pPr>
            <w:r w:rsidRPr="00C34CF2">
              <w:rPr>
                <w:b w:val="0"/>
                <w:bCs w:val="0"/>
              </w:rPr>
              <w:t>Fee units</w:t>
            </w:r>
          </w:p>
        </w:tc>
        <w:tc>
          <w:tcPr>
            <w:tcW w:w="2094" w:type="dxa"/>
            <w:noWrap/>
            <w:hideMark/>
          </w:tcPr>
          <w:p w14:paraId="52B2E3B6"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43.1</w:t>
            </w:r>
          </w:p>
        </w:tc>
        <w:tc>
          <w:tcPr>
            <w:tcW w:w="2094" w:type="dxa"/>
            <w:noWrap/>
            <w:hideMark/>
          </w:tcPr>
          <w:p w14:paraId="33D6A172"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23.5</w:t>
            </w:r>
          </w:p>
        </w:tc>
        <w:tc>
          <w:tcPr>
            <w:tcW w:w="2094" w:type="dxa"/>
            <w:noWrap/>
            <w:hideMark/>
          </w:tcPr>
          <w:p w14:paraId="4BFC7492"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9.3</w:t>
            </w:r>
          </w:p>
        </w:tc>
        <w:tc>
          <w:tcPr>
            <w:tcW w:w="2094" w:type="dxa"/>
            <w:noWrap/>
            <w:hideMark/>
          </w:tcPr>
          <w:p w14:paraId="2F10DCEE"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6</w:t>
            </w:r>
          </w:p>
        </w:tc>
      </w:tr>
      <w:tr w:rsidR="00282411" w:rsidRPr="00C34CF2" w14:paraId="450254DD" w14:textId="77777777">
        <w:trPr>
          <w:trHeight w:val="300"/>
        </w:trPr>
        <w:tc>
          <w:tcPr>
            <w:cnfStyle w:val="001000000000" w:firstRow="0" w:lastRow="0" w:firstColumn="1" w:lastColumn="0" w:oddVBand="0" w:evenVBand="0" w:oddHBand="0" w:evenHBand="0" w:firstRowFirstColumn="0" w:firstRowLastColumn="0" w:lastRowFirstColumn="0" w:lastRowLastColumn="0"/>
            <w:tcW w:w="2386" w:type="dxa"/>
            <w:noWrap/>
            <w:hideMark/>
          </w:tcPr>
          <w:p w14:paraId="3A57E761" w14:textId="77777777" w:rsidR="00282411" w:rsidRPr="00C34CF2" w:rsidRDefault="00282411" w:rsidP="005D15EA">
            <w:pPr>
              <w:numPr>
                <w:ilvl w:val="0"/>
                <w:numId w:val="15"/>
              </w:numPr>
              <w:spacing w:after="120"/>
              <w:rPr>
                <w:b w:val="0"/>
                <w:bCs w:val="0"/>
                <w:i/>
                <w:iCs/>
              </w:rPr>
            </w:pPr>
            <w:r w:rsidRPr="00C34CF2">
              <w:rPr>
                <w:b w:val="0"/>
                <w:bCs w:val="0"/>
                <w:i/>
                <w:iCs/>
              </w:rPr>
              <w:t>Fee units value ($)</w:t>
            </w:r>
          </w:p>
        </w:tc>
        <w:tc>
          <w:tcPr>
            <w:tcW w:w="2094" w:type="dxa"/>
            <w:noWrap/>
            <w:hideMark/>
          </w:tcPr>
          <w:p w14:paraId="595438B9" w14:textId="11F7FBB9"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724.5</w:t>
            </w:r>
            <w:r w:rsidR="007548CA">
              <w:rPr>
                <w:i/>
                <w:iCs/>
              </w:rPr>
              <w:t>0</w:t>
            </w:r>
          </w:p>
        </w:tc>
        <w:tc>
          <w:tcPr>
            <w:tcW w:w="2094" w:type="dxa"/>
            <w:noWrap/>
            <w:hideMark/>
          </w:tcPr>
          <w:p w14:paraId="0F10EBCC"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395</w:t>
            </w:r>
          </w:p>
        </w:tc>
        <w:tc>
          <w:tcPr>
            <w:tcW w:w="2094" w:type="dxa"/>
            <w:noWrap/>
            <w:hideMark/>
          </w:tcPr>
          <w:p w14:paraId="1732BBBE" w14:textId="2AF49283"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156.</w:t>
            </w:r>
            <w:r w:rsidRPr="00C34CF2" w:rsidDel="00FC6F73">
              <w:rPr>
                <w:i/>
                <w:iCs/>
              </w:rPr>
              <w:t>3</w:t>
            </w:r>
            <w:r w:rsidR="007548CA">
              <w:rPr>
                <w:i/>
                <w:iCs/>
              </w:rPr>
              <w:t>0</w:t>
            </w:r>
          </w:p>
        </w:tc>
        <w:tc>
          <w:tcPr>
            <w:tcW w:w="2094" w:type="dxa"/>
            <w:noWrap/>
            <w:hideMark/>
          </w:tcPr>
          <w:p w14:paraId="10591835" w14:textId="0EC81509"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100.</w:t>
            </w:r>
            <w:r>
              <w:rPr>
                <w:i/>
                <w:iCs/>
              </w:rPr>
              <w:t>9</w:t>
            </w:r>
            <w:r w:rsidR="007548CA">
              <w:rPr>
                <w:i/>
                <w:iCs/>
              </w:rPr>
              <w:t>0</w:t>
            </w:r>
          </w:p>
        </w:tc>
      </w:tr>
      <w:tr w:rsidR="00282411" w:rsidRPr="00C34CF2" w14:paraId="5EC8FC2D" w14:textId="77777777">
        <w:trPr>
          <w:trHeight w:val="665"/>
        </w:trPr>
        <w:tc>
          <w:tcPr>
            <w:cnfStyle w:val="001000000000" w:firstRow="0" w:lastRow="0" w:firstColumn="1" w:lastColumn="0" w:oddVBand="0" w:evenVBand="0" w:oddHBand="0" w:evenHBand="0" w:firstRowFirstColumn="0" w:firstRowLastColumn="0" w:lastRowFirstColumn="0" w:lastRowLastColumn="0"/>
            <w:tcW w:w="10762" w:type="dxa"/>
            <w:gridSpan w:val="5"/>
            <w:shd w:val="clear" w:color="auto" w:fill="F2F2F2" w:themeFill="background1" w:themeFillShade="F2"/>
            <w:hideMark/>
          </w:tcPr>
          <w:p w14:paraId="057E7130" w14:textId="77777777" w:rsidR="00282411" w:rsidRPr="00C34CF2" w:rsidRDefault="00282411">
            <w:pPr>
              <w:spacing w:after="120"/>
            </w:pPr>
            <w:r w:rsidRPr="00C34CF2">
              <w:rPr>
                <w:b w:val="0"/>
                <w:bCs w:val="0"/>
              </w:rPr>
              <w:t>Municipal road or non-arterial State road on which the maximum speed limit for vehicles is not more than 50 kilometres per hour</w:t>
            </w:r>
          </w:p>
        </w:tc>
      </w:tr>
      <w:tr w:rsidR="00282411" w:rsidRPr="00C34CF2" w14:paraId="36AD9D42" w14:textId="77777777">
        <w:trPr>
          <w:trHeight w:val="300"/>
        </w:trPr>
        <w:tc>
          <w:tcPr>
            <w:cnfStyle w:val="001000000000" w:firstRow="0" w:lastRow="0" w:firstColumn="1" w:lastColumn="0" w:oddVBand="0" w:evenVBand="0" w:oddHBand="0" w:evenHBand="0" w:firstRowFirstColumn="0" w:firstRowLastColumn="0" w:lastRowFirstColumn="0" w:lastRowLastColumn="0"/>
            <w:tcW w:w="2386" w:type="dxa"/>
            <w:hideMark/>
          </w:tcPr>
          <w:p w14:paraId="5F7F3DF6" w14:textId="77777777" w:rsidR="00282411" w:rsidRPr="00C34CF2" w:rsidRDefault="00282411" w:rsidP="005D15EA">
            <w:pPr>
              <w:numPr>
                <w:ilvl w:val="0"/>
                <w:numId w:val="15"/>
              </w:numPr>
              <w:spacing w:after="120"/>
              <w:rPr>
                <w:b w:val="0"/>
                <w:bCs w:val="0"/>
              </w:rPr>
            </w:pPr>
            <w:r w:rsidRPr="00C34CF2">
              <w:rPr>
                <w:b w:val="0"/>
                <w:bCs w:val="0"/>
              </w:rPr>
              <w:t>Fee units</w:t>
            </w:r>
          </w:p>
        </w:tc>
        <w:tc>
          <w:tcPr>
            <w:tcW w:w="2094" w:type="dxa"/>
            <w:noWrap/>
            <w:hideMark/>
          </w:tcPr>
          <w:p w14:paraId="2F78EA9F"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23.5</w:t>
            </w:r>
          </w:p>
        </w:tc>
        <w:tc>
          <w:tcPr>
            <w:tcW w:w="2094" w:type="dxa"/>
            <w:noWrap/>
            <w:hideMark/>
          </w:tcPr>
          <w:p w14:paraId="4CCDB0F3"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6</w:t>
            </w:r>
          </w:p>
        </w:tc>
        <w:tc>
          <w:tcPr>
            <w:tcW w:w="2094" w:type="dxa"/>
            <w:noWrap/>
            <w:hideMark/>
          </w:tcPr>
          <w:p w14:paraId="0A0A364B"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9.3</w:t>
            </w:r>
          </w:p>
        </w:tc>
        <w:tc>
          <w:tcPr>
            <w:tcW w:w="2094" w:type="dxa"/>
            <w:noWrap/>
            <w:hideMark/>
          </w:tcPr>
          <w:p w14:paraId="44D190D2"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6</w:t>
            </w:r>
          </w:p>
        </w:tc>
      </w:tr>
      <w:tr w:rsidR="00282411" w:rsidRPr="00C34CF2" w14:paraId="5D62E36D" w14:textId="77777777">
        <w:trPr>
          <w:trHeight w:val="300"/>
        </w:trPr>
        <w:tc>
          <w:tcPr>
            <w:cnfStyle w:val="001000000000" w:firstRow="0" w:lastRow="0" w:firstColumn="1" w:lastColumn="0" w:oddVBand="0" w:evenVBand="0" w:oddHBand="0" w:evenHBand="0" w:firstRowFirstColumn="0" w:firstRowLastColumn="0" w:lastRowFirstColumn="0" w:lastRowLastColumn="0"/>
            <w:tcW w:w="2386" w:type="dxa"/>
            <w:noWrap/>
            <w:hideMark/>
          </w:tcPr>
          <w:p w14:paraId="3D76C611" w14:textId="77777777" w:rsidR="00282411" w:rsidRPr="00C34CF2" w:rsidRDefault="00282411" w:rsidP="005D15EA">
            <w:pPr>
              <w:numPr>
                <w:ilvl w:val="0"/>
                <w:numId w:val="15"/>
              </w:numPr>
              <w:spacing w:after="120"/>
              <w:rPr>
                <w:b w:val="0"/>
                <w:bCs w:val="0"/>
                <w:i/>
                <w:iCs/>
              </w:rPr>
            </w:pPr>
            <w:r w:rsidRPr="00C34CF2">
              <w:rPr>
                <w:b w:val="0"/>
                <w:bCs w:val="0"/>
                <w:i/>
                <w:iCs/>
              </w:rPr>
              <w:t>Fee units value ($)</w:t>
            </w:r>
          </w:p>
        </w:tc>
        <w:tc>
          <w:tcPr>
            <w:tcW w:w="2094" w:type="dxa"/>
            <w:noWrap/>
            <w:hideMark/>
          </w:tcPr>
          <w:p w14:paraId="109952E5"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395</w:t>
            </w:r>
          </w:p>
        </w:tc>
        <w:tc>
          <w:tcPr>
            <w:tcW w:w="2094" w:type="dxa"/>
            <w:noWrap/>
            <w:hideMark/>
          </w:tcPr>
          <w:p w14:paraId="650DD110" w14:textId="11BC8252"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100.</w:t>
            </w:r>
            <w:r>
              <w:rPr>
                <w:i/>
                <w:iCs/>
              </w:rPr>
              <w:t>9</w:t>
            </w:r>
            <w:r w:rsidR="007548CA">
              <w:rPr>
                <w:i/>
                <w:iCs/>
              </w:rPr>
              <w:t>0</w:t>
            </w:r>
          </w:p>
        </w:tc>
        <w:tc>
          <w:tcPr>
            <w:tcW w:w="2094" w:type="dxa"/>
            <w:noWrap/>
            <w:hideMark/>
          </w:tcPr>
          <w:p w14:paraId="5E1A43A7" w14:textId="58F2688A"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156.</w:t>
            </w:r>
            <w:r w:rsidRPr="00C34CF2" w:rsidDel="00FC6F73">
              <w:rPr>
                <w:i/>
                <w:iCs/>
              </w:rPr>
              <w:t>3</w:t>
            </w:r>
            <w:r w:rsidR="007548CA">
              <w:rPr>
                <w:i/>
                <w:iCs/>
              </w:rPr>
              <w:t>0</w:t>
            </w:r>
          </w:p>
        </w:tc>
        <w:tc>
          <w:tcPr>
            <w:tcW w:w="2094" w:type="dxa"/>
            <w:noWrap/>
            <w:hideMark/>
          </w:tcPr>
          <w:p w14:paraId="30A24CA3" w14:textId="35FCBFA2"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100.</w:t>
            </w:r>
            <w:r>
              <w:rPr>
                <w:i/>
                <w:iCs/>
              </w:rPr>
              <w:t>9</w:t>
            </w:r>
            <w:r w:rsidR="007548CA">
              <w:rPr>
                <w:i/>
                <w:iCs/>
              </w:rPr>
              <w:t>0</w:t>
            </w:r>
          </w:p>
        </w:tc>
      </w:tr>
    </w:tbl>
    <w:p w14:paraId="35BBC11D" w14:textId="77777777" w:rsidR="00282411" w:rsidRPr="00C34CF2" w:rsidRDefault="00282411" w:rsidP="007247CA">
      <w:pPr>
        <w:pStyle w:val="Heading3"/>
      </w:pPr>
      <w:bookmarkStart w:id="282" w:name="_Toc226448342"/>
      <w:r w:rsidRPr="00C34CF2">
        <w:t>Property enquiries</w:t>
      </w:r>
      <w:bookmarkEnd w:id="282"/>
    </w:p>
    <w:p w14:paraId="7EEC3A51" w14:textId="5C32826D" w:rsidR="0049089C" w:rsidRDefault="00282411" w:rsidP="00282411">
      <w:r w:rsidRPr="00C34CF2">
        <w:t>The current fee for the supply of information in relation to specific property enquiries is specified under regulation 27 of the General Regulations and summarised with the fee unit value in</w:t>
      </w:r>
      <w:r w:rsidR="001D3100">
        <w:t xml:space="preserve"> </w:t>
      </w:r>
      <w:r w:rsidR="0049089C">
        <w:fldChar w:fldCharType="begin"/>
      </w:r>
      <w:r w:rsidR="0049089C">
        <w:instrText xml:space="preserve"> REF _Ref226445875 \h </w:instrText>
      </w:r>
      <w:r w:rsidR="0049089C">
        <w:fldChar w:fldCharType="separate"/>
      </w:r>
      <w:r w:rsidR="00F170D0">
        <w:t xml:space="preserve">Table </w:t>
      </w:r>
      <w:r w:rsidR="00F170D0">
        <w:rPr>
          <w:noProof/>
        </w:rPr>
        <w:t>14</w:t>
      </w:r>
      <w:r w:rsidR="0049089C">
        <w:fldChar w:fldCharType="end"/>
      </w:r>
      <w:r w:rsidRPr="00C34CF2">
        <w:t xml:space="preserve">. </w:t>
      </w:r>
    </w:p>
    <w:p w14:paraId="4D98419C" w14:textId="77777777" w:rsidR="0049089C" w:rsidRDefault="0049089C">
      <w:r>
        <w:br w:type="page"/>
      </w:r>
    </w:p>
    <w:p w14:paraId="11C9C894" w14:textId="77777777" w:rsidR="00282411" w:rsidRPr="00C34CF2" w:rsidRDefault="00282411" w:rsidP="00282411"/>
    <w:p w14:paraId="47862BE3" w14:textId="4593D3A5" w:rsidR="00282411" w:rsidRDefault="00437C76" w:rsidP="00437C76">
      <w:pPr>
        <w:pStyle w:val="Caption"/>
      </w:pPr>
      <w:bookmarkStart w:id="283" w:name="_Ref226445875"/>
      <w:bookmarkStart w:id="284" w:name="_Toc226448362"/>
      <w:r>
        <w:t xml:space="preserve">Table </w:t>
      </w:r>
      <w:r w:rsidR="005A7DAB">
        <w:fldChar w:fldCharType="begin"/>
      </w:r>
      <w:r w:rsidR="005A7DAB">
        <w:instrText xml:space="preserve"> SEQ Table \* ARABIC </w:instrText>
      </w:r>
      <w:r w:rsidR="005A7DAB">
        <w:fldChar w:fldCharType="separate"/>
      </w:r>
      <w:r w:rsidR="00F170D0">
        <w:rPr>
          <w:noProof/>
        </w:rPr>
        <w:t>14</w:t>
      </w:r>
      <w:r w:rsidR="005A7DAB">
        <w:rPr>
          <w:noProof/>
        </w:rPr>
        <w:fldChar w:fldCharType="end"/>
      </w:r>
      <w:bookmarkEnd w:id="283"/>
      <w:r w:rsidR="00697F36">
        <w:rPr>
          <w:noProof/>
        </w:rPr>
        <w:t xml:space="preserve"> </w:t>
      </w:r>
      <w:r w:rsidR="00282411" w:rsidRPr="00C34CF2">
        <w:t>– Current fees prescribed under the Road Management (General) Regulations for property enquiries with fee unit values</w:t>
      </w:r>
      <w:bookmarkEnd w:id="284"/>
    </w:p>
    <w:tbl>
      <w:tblPr>
        <w:tblStyle w:val="GridTable1Light"/>
        <w:tblW w:w="0" w:type="auto"/>
        <w:tblLook w:val="04A0" w:firstRow="1" w:lastRow="0" w:firstColumn="1" w:lastColumn="0" w:noHBand="0" w:noVBand="1"/>
      </w:tblPr>
      <w:tblGrid>
        <w:gridCol w:w="3642"/>
        <w:gridCol w:w="3004"/>
        <w:gridCol w:w="4041"/>
      </w:tblGrid>
      <w:tr w:rsidR="00282411" w:rsidRPr="00C34CF2" w14:paraId="46B8DBD6" w14:textId="77777777">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3642" w:type="dxa"/>
            <w:noWrap/>
            <w:hideMark/>
          </w:tcPr>
          <w:p w14:paraId="014E840D" w14:textId="77777777" w:rsidR="00282411" w:rsidRPr="00C34CF2" w:rsidRDefault="00282411">
            <w:pPr>
              <w:spacing w:after="120"/>
              <w:rPr>
                <w:b w:val="0"/>
                <w:bCs w:val="0"/>
              </w:rPr>
            </w:pPr>
            <w:r w:rsidRPr="00C34CF2">
              <w:rPr>
                <w:b w:val="0"/>
                <w:bCs w:val="0"/>
              </w:rPr>
              <w:t>Fee revenue source</w:t>
            </w:r>
          </w:p>
        </w:tc>
        <w:tc>
          <w:tcPr>
            <w:tcW w:w="3004" w:type="dxa"/>
            <w:noWrap/>
            <w:hideMark/>
          </w:tcPr>
          <w:p w14:paraId="3C2C9F5E" w14:textId="77777777" w:rsidR="00282411" w:rsidRPr="00C34CF2" w:rsidRDefault="00282411">
            <w:pPr>
              <w:spacing w:after="120"/>
              <w:cnfStyle w:val="100000000000" w:firstRow="1" w:lastRow="0" w:firstColumn="0" w:lastColumn="0" w:oddVBand="0" w:evenVBand="0" w:oddHBand="0" w:evenHBand="0" w:firstRowFirstColumn="0" w:firstRowLastColumn="0" w:lastRowFirstColumn="0" w:lastRowLastColumn="0"/>
              <w:rPr>
                <w:b w:val="0"/>
                <w:bCs w:val="0"/>
              </w:rPr>
            </w:pPr>
            <w:r w:rsidRPr="00C34CF2">
              <w:rPr>
                <w:b w:val="0"/>
                <w:bCs w:val="0"/>
              </w:rPr>
              <w:t>Fee unit</w:t>
            </w:r>
          </w:p>
        </w:tc>
        <w:tc>
          <w:tcPr>
            <w:tcW w:w="4041" w:type="dxa"/>
            <w:noWrap/>
            <w:hideMark/>
          </w:tcPr>
          <w:p w14:paraId="16EABF48" w14:textId="77777777" w:rsidR="00282411" w:rsidRPr="00C34CF2" w:rsidRDefault="00282411">
            <w:pPr>
              <w:spacing w:after="120"/>
              <w:cnfStyle w:val="100000000000" w:firstRow="1" w:lastRow="0" w:firstColumn="0" w:lastColumn="0" w:oddVBand="0" w:evenVBand="0" w:oddHBand="0" w:evenHBand="0" w:firstRowFirstColumn="0" w:firstRowLastColumn="0" w:lastRowFirstColumn="0" w:lastRowLastColumn="0"/>
              <w:rPr>
                <w:b w:val="0"/>
                <w:bCs w:val="0"/>
              </w:rPr>
            </w:pPr>
            <w:r w:rsidRPr="00C34CF2">
              <w:rPr>
                <w:b w:val="0"/>
                <w:bCs w:val="0"/>
              </w:rPr>
              <w:t>Fee units value ($)</w:t>
            </w:r>
          </w:p>
        </w:tc>
      </w:tr>
      <w:tr w:rsidR="00282411" w:rsidRPr="00C34CF2" w14:paraId="2CAF0957" w14:textId="77777777">
        <w:trPr>
          <w:trHeight w:val="316"/>
        </w:trPr>
        <w:tc>
          <w:tcPr>
            <w:cnfStyle w:val="001000000000" w:firstRow="0" w:lastRow="0" w:firstColumn="1" w:lastColumn="0" w:oddVBand="0" w:evenVBand="0" w:oddHBand="0" w:evenHBand="0" w:firstRowFirstColumn="0" w:firstRowLastColumn="0" w:lastRowFirstColumn="0" w:lastRowLastColumn="0"/>
            <w:tcW w:w="3642" w:type="dxa"/>
            <w:noWrap/>
            <w:hideMark/>
          </w:tcPr>
          <w:p w14:paraId="3CD680CD" w14:textId="77777777" w:rsidR="00282411" w:rsidRPr="00C34CF2" w:rsidRDefault="00282411">
            <w:pPr>
              <w:spacing w:after="120"/>
              <w:rPr>
                <w:b w:val="0"/>
                <w:bCs w:val="0"/>
              </w:rPr>
            </w:pPr>
            <w:r w:rsidRPr="00C34CF2">
              <w:rPr>
                <w:b w:val="0"/>
                <w:bCs w:val="0"/>
              </w:rPr>
              <w:t>Property enquiries fees</w:t>
            </w:r>
          </w:p>
        </w:tc>
        <w:tc>
          <w:tcPr>
            <w:tcW w:w="3004" w:type="dxa"/>
            <w:noWrap/>
            <w:hideMark/>
          </w:tcPr>
          <w:p w14:paraId="0C180D12"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1.27</w:t>
            </w:r>
          </w:p>
        </w:tc>
        <w:tc>
          <w:tcPr>
            <w:tcW w:w="4041" w:type="dxa"/>
            <w:noWrap/>
            <w:hideMark/>
          </w:tcPr>
          <w:p w14:paraId="11BA21CA" w14:textId="3B35A94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21.</w:t>
            </w:r>
            <w:r>
              <w:t>4</w:t>
            </w:r>
            <w:r w:rsidR="00345BB9">
              <w:t>0</w:t>
            </w:r>
          </w:p>
        </w:tc>
      </w:tr>
    </w:tbl>
    <w:p w14:paraId="520628F8" w14:textId="77777777" w:rsidR="00282411" w:rsidRPr="00C34CF2" w:rsidRDefault="00282411" w:rsidP="007247CA">
      <w:pPr>
        <w:pStyle w:val="Heading3"/>
      </w:pPr>
      <w:bookmarkStart w:id="285" w:name="_Toc226448343"/>
      <w:r w:rsidRPr="00F83793">
        <w:t>Hoardings and advertisements applications</w:t>
      </w:r>
      <w:bookmarkEnd w:id="285"/>
    </w:p>
    <w:p w14:paraId="515E8E2E" w14:textId="2E5DBE5C" w:rsidR="00282411" w:rsidRPr="00C34CF2" w:rsidRDefault="00282411" w:rsidP="00282411">
      <w:r w:rsidRPr="00C34CF2">
        <w:t xml:space="preserve">The current maximum fee that may be charged for applications for consent to install hoardings and advertisements is specified under regulation 23 of the Road Management (General) Regulations and summarised with the fee unit value in </w:t>
      </w:r>
      <w:r w:rsidR="0049089C">
        <w:fldChar w:fldCharType="begin"/>
      </w:r>
      <w:r w:rsidR="0049089C">
        <w:instrText xml:space="preserve"> REF _Ref226445889 \h </w:instrText>
      </w:r>
      <w:r w:rsidR="0049089C">
        <w:fldChar w:fldCharType="separate"/>
      </w:r>
      <w:r w:rsidR="00F170D0">
        <w:t xml:space="preserve">Table </w:t>
      </w:r>
      <w:r w:rsidR="00F170D0">
        <w:rPr>
          <w:noProof/>
        </w:rPr>
        <w:t>15</w:t>
      </w:r>
      <w:r w:rsidR="0049089C">
        <w:fldChar w:fldCharType="end"/>
      </w:r>
      <w:r>
        <w:t>.</w:t>
      </w:r>
    </w:p>
    <w:p w14:paraId="33815D9E" w14:textId="3FE73B19" w:rsidR="00282411" w:rsidRDefault="00437C76" w:rsidP="00437C76">
      <w:pPr>
        <w:pStyle w:val="Caption"/>
      </w:pPr>
      <w:bookmarkStart w:id="286" w:name="_Ref226445889"/>
      <w:bookmarkStart w:id="287" w:name="_Toc226448363"/>
      <w:r>
        <w:t xml:space="preserve">Table </w:t>
      </w:r>
      <w:r w:rsidR="005A7DAB">
        <w:fldChar w:fldCharType="begin"/>
      </w:r>
      <w:r w:rsidR="005A7DAB">
        <w:instrText xml:space="preserve"> SEQ Table \* ARABIC </w:instrText>
      </w:r>
      <w:r w:rsidR="005A7DAB">
        <w:fldChar w:fldCharType="separate"/>
      </w:r>
      <w:r w:rsidR="00F170D0">
        <w:rPr>
          <w:noProof/>
        </w:rPr>
        <w:t>15</w:t>
      </w:r>
      <w:r w:rsidR="005A7DAB">
        <w:rPr>
          <w:noProof/>
        </w:rPr>
        <w:fldChar w:fldCharType="end"/>
      </w:r>
      <w:bookmarkEnd w:id="286"/>
      <w:r w:rsidR="00282411">
        <w:t xml:space="preserve"> </w:t>
      </w:r>
      <w:r w:rsidR="00282411" w:rsidRPr="00CD44AC">
        <w:t>– Current fees prescribed under the Road Management (General) Regulations for hoardings and advertisements with fee unit values</w:t>
      </w:r>
      <w:bookmarkEnd w:id="287"/>
    </w:p>
    <w:tbl>
      <w:tblPr>
        <w:tblStyle w:val="GridTable1Light"/>
        <w:tblW w:w="0" w:type="auto"/>
        <w:tblLook w:val="04A0" w:firstRow="1" w:lastRow="0" w:firstColumn="1" w:lastColumn="0" w:noHBand="0" w:noVBand="1"/>
      </w:tblPr>
      <w:tblGrid>
        <w:gridCol w:w="3663"/>
        <w:gridCol w:w="3021"/>
        <w:gridCol w:w="3943"/>
      </w:tblGrid>
      <w:tr w:rsidR="00282411" w:rsidRPr="00C34CF2" w14:paraId="6814DC75" w14:textId="77777777">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3663" w:type="dxa"/>
            <w:noWrap/>
            <w:hideMark/>
          </w:tcPr>
          <w:p w14:paraId="04F14740" w14:textId="77777777" w:rsidR="00282411" w:rsidRPr="00C34CF2" w:rsidRDefault="00282411">
            <w:pPr>
              <w:spacing w:after="120"/>
              <w:rPr>
                <w:b w:val="0"/>
                <w:bCs w:val="0"/>
              </w:rPr>
            </w:pPr>
            <w:r w:rsidRPr="00C34CF2">
              <w:rPr>
                <w:b w:val="0"/>
                <w:bCs w:val="0"/>
              </w:rPr>
              <w:t>Fee revenue source</w:t>
            </w:r>
          </w:p>
        </w:tc>
        <w:tc>
          <w:tcPr>
            <w:tcW w:w="3021" w:type="dxa"/>
            <w:noWrap/>
            <w:hideMark/>
          </w:tcPr>
          <w:p w14:paraId="3747155A" w14:textId="77777777" w:rsidR="00282411" w:rsidRPr="00C34CF2" w:rsidRDefault="00282411">
            <w:pPr>
              <w:spacing w:after="120"/>
              <w:cnfStyle w:val="100000000000" w:firstRow="1" w:lastRow="0" w:firstColumn="0" w:lastColumn="0" w:oddVBand="0" w:evenVBand="0" w:oddHBand="0" w:evenHBand="0" w:firstRowFirstColumn="0" w:firstRowLastColumn="0" w:lastRowFirstColumn="0" w:lastRowLastColumn="0"/>
              <w:rPr>
                <w:b w:val="0"/>
                <w:bCs w:val="0"/>
              </w:rPr>
            </w:pPr>
            <w:r w:rsidRPr="00C34CF2">
              <w:rPr>
                <w:b w:val="0"/>
                <w:bCs w:val="0"/>
              </w:rPr>
              <w:t>Fee unit</w:t>
            </w:r>
          </w:p>
        </w:tc>
        <w:tc>
          <w:tcPr>
            <w:tcW w:w="3943" w:type="dxa"/>
            <w:noWrap/>
            <w:hideMark/>
          </w:tcPr>
          <w:p w14:paraId="3D0AF2E4" w14:textId="77777777" w:rsidR="00282411" w:rsidRPr="00C34CF2" w:rsidRDefault="00282411">
            <w:pPr>
              <w:spacing w:after="120"/>
              <w:cnfStyle w:val="100000000000" w:firstRow="1" w:lastRow="0" w:firstColumn="0" w:lastColumn="0" w:oddVBand="0" w:evenVBand="0" w:oddHBand="0" w:evenHBand="0" w:firstRowFirstColumn="0" w:firstRowLastColumn="0" w:lastRowFirstColumn="0" w:lastRowLastColumn="0"/>
              <w:rPr>
                <w:b w:val="0"/>
                <w:bCs w:val="0"/>
              </w:rPr>
            </w:pPr>
            <w:r w:rsidRPr="00C34CF2">
              <w:rPr>
                <w:b w:val="0"/>
                <w:bCs w:val="0"/>
              </w:rPr>
              <w:t>Fee units value ($)</w:t>
            </w:r>
          </w:p>
        </w:tc>
      </w:tr>
      <w:tr w:rsidR="00282411" w:rsidRPr="00C34CF2" w14:paraId="6DA586A3" w14:textId="77777777">
        <w:trPr>
          <w:trHeight w:val="249"/>
        </w:trPr>
        <w:tc>
          <w:tcPr>
            <w:cnfStyle w:val="001000000000" w:firstRow="0" w:lastRow="0" w:firstColumn="1" w:lastColumn="0" w:oddVBand="0" w:evenVBand="0" w:oddHBand="0" w:evenHBand="0" w:firstRowFirstColumn="0" w:firstRowLastColumn="0" w:lastRowFirstColumn="0" w:lastRowLastColumn="0"/>
            <w:tcW w:w="3663" w:type="dxa"/>
            <w:noWrap/>
            <w:hideMark/>
          </w:tcPr>
          <w:p w14:paraId="035A6739" w14:textId="77777777" w:rsidR="00282411" w:rsidRPr="00C34CF2" w:rsidRDefault="00282411">
            <w:pPr>
              <w:spacing w:after="120"/>
              <w:rPr>
                <w:b w:val="0"/>
                <w:bCs w:val="0"/>
              </w:rPr>
            </w:pPr>
            <w:r w:rsidRPr="00C34CF2">
              <w:rPr>
                <w:b w:val="0"/>
                <w:bCs w:val="0"/>
              </w:rPr>
              <w:t>Hoarding and advertising application fees</w:t>
            </w:r>
          </w:p>
        </w:tc>
        <w:tc>
          <w:tcPr>
            <w:tcW w:w="3021" w:type="dxa"/>
            <w:noWrap/>
            <w:hideMark/>
          </w:tcPr>
          <w:p w14:paraId="3E36ACB4" w14:textId="77777777"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17.9</w:t>
            </w:r>
          </w:p>
        </w:tc>
        <w:tc>
          <w:tcPr>
            <w:tcW w:w="3943" w:type="dxa"/>
            <w:noWrap/>
            <w:hideMark/>
          </w:tcPr>
          <w:p w14:paraId="528C5BAB" w14:textId="1D942D8F" w:rsidR="00282411" w:rsidRPr="00C34CF2" w:rsidRDefault="00282411">
            <w:pPr>
              <w:spacing w:after="120"/>
              <w:cnfStyle w:val="000000000000" w:firstRow="0" w:lastRow="0" w:firstColumn="0" w:lastColumn="0" w:oddVBand="0" w:evenVBand="0" w:oddHBand="0" w:evenHBand="0" w:firstRowFirstColumn="0" w:firstRowLastColumn="0" w:lastRowFirstColumn="0" w:lastRowLastColumn="0"/>
            </w:pPr>
            <w:r w:rsidRPr="00C34CF2">
              <w:t>301.4</w:t>
            </w:r>
            <w:r w:rsidR="00345BB9">
              <w:t>0</w:t>
            </w:r>
          </w:p>
        </w:tc>
      </w:tr>
    </w:tbl>
    <w:p w14:paraId="022AFB0D" w14:textId="77777777" w:rsidR="00282411" w:rsidRPr="00C34CF2" w:rsidRDefault="00282411" w:rsidP="007247CA">
      <w:pPr>
        <w:pStyle w:val="Heading3"/>
      </w:pPr>
      <w:bookmarkStart w:id="288" w:name="_Toc226448344"/>
      <w:r w:rsidRPr="00C34CF2">
        <w:t>Release of objects removed from roads</w:t>
      </w:r>
      <w:bookmarkEnd w:id="288"/>
    </w:p>
    <w:p w14:paraId="45EDE17D" w14:textId="77777777" w:rsidR="00282411" w:rsidRPr="00C34CF2" w:rsidRDefault="00282411" w:rsidP="00282411">
      <w:r w:rsidRPr="00C34CF2">
        <w:t xml:space="preserve">Under the General Regulations, a road authority is able to recover costs from an owner for removing, keeping and releasing an object, substance or material, including any relevant overhead and other indirect costs. The road authority must specify this fee in a notice to the owner of the object (if known). </w:t>
      </w:r>
    </w:p>
    <w:p w14:paraId="51F041FE" w14:textId="77777777" w:rsidR="00282411" w:rsidRPr="00C34CF2" w:rsidRDefault="00282411" w:rsidP="00282411">
      <w:r w:rsidRPr="00C34CF2">
        <w:t>There is currently no set fee for owners to recover their objects. However, the regulations do specify that the fee must not exceed an amount that reasonably represents the costs to a road authority for managing the object.</w:t>
      </w:r>
    </w:p>
    <w:p w14:paraId="683EA58A" w14:textId="77777777" w:rsidR="004E2861" w:rsidRPr="00C34CF2" w:rsidRDefault="004E2861" w:rsidP="007247CA">
      <w:pPr>
        <w:pStyle w:val="Heading2"/>
      </w:pPr>
      <w:bookmarkStart w:id="289" w:name="_Toc226448345"/>
      <w:r w:rsidRPr="00C34CF2">
        <w:t>Estimating the efficient costs of road management regulation</w:t>
      </w:r>
      <w:bookmarkEnd w:id="289"/>
    </w:p>
    <w:p w14:paraId="69B98A23" w14:textId="42924239" w:rsidR="003A1163" w:rsidRDefault="004E2861" w:rsidP="004E2861">
      <w:r w:rsidRPr="00C34CF2">
        <w:t xml:space="preserve">There are a range of costs associated with the delivery of road management services. </w:t>
      </w:r>
      <w:r w:rsidR="00790FCD">
        <w:t xml:space="preserve">The services </w:t>
      </w:r>
      <w:r w:rsidR="007852DF">
        <w:t>analys</w:t>
      </w:r>
      <w:r w:rsidR="00DD4FCA">
        <w:t xml:space="preserve">ed </w:t>
      </w:r>
      <w:r w:rsidR="00E66897">
        <w:t xml:space="preserve">in this assessment </w:t>
      </w:r>
      <w:r w:rsidR="00790FCD">
        <w:t xml:space="preserve">are </w:t>
      </w:r>
      <w:r w:rsidR="0030628F">
        <w:t xml:space="preserve">directly related to the Regulations and are </w:t>
      </w:r>
      <w:r w:rsidR="00790FCD">
        <w:t>a subset of the full suite of road management services</w:t>
      </w:r>
      <w:r w:rsidR="007852DF">
        <w:t xml:space="preserve"> </w:t>
      </w:r>
      <w:r w:rsidR="00FA10C4">
        <w:t>road authorities</w:t>
      </w:r>
      <w:r w:rsidR="00C40F28">
        <w:t xml:space="preserve"> administer</w:t>
      </w:r>
      <w:r w:rsidR="007852DF">
        <w:t>.</w:t>
      </w:r>
      <w:r w:rsidR="009969D9">
        <w:t xml:space="preserve"> For example, road maintenance costs are not </w:t>
      </w:r>
      <w:r w:rsidR="00E63F6C">
        <w:t>included</w:t>
      </w:r>
      <w:r w:rsidR="0030628F">
        <w:t xml:space="preserve"> in this assessment</w:t>
      </w:r>
      <w:r w:rsidR="00EA33B1">
        <w:t xml:space="preserve">, </w:t>
      </w:r>
      <w:r w:rsidR="00E63F6C">
        <w:t>whereas</w:t>
      </w:r>
      <w:r w:rsidR="00D73685">
        <w:t xml:space="preserve"> costs associated with </w:t>
      </w:r>
      <w:r w:rsidR="00DB1E58">
        <w:t xml:space="preserve">assessing </w:t>
      </w:r>
      <w:r w:rsidR="00D73685">
        <w:t xml:space="preserve">consent for </w:t>
      </w:r>
      <w:r w:rsidR="00E63F6C">
        <w:t xml:space="preserve">proposed </w:t>
      </w:r>
      <w:r w:rsidR="00D73685">
        <w:t>works on roads</w:t>
      </w:r>
      <w:r w:rsidR="0041239B">
        <w:t xml:space="preserve"> </w:t>
      </w:r>
      <w:r w:rsidR="0077735F">
        <w:t xml:space="preserve">applications </w:t>
      </w:r>
      <w:r w:rsidR="0041239B">
        <w:t xml:space="preserve">under the W&amp;I Regulations </w:t>
      </w:r>
      <w:r w:rsidR="00D73685">
        <w:t xml:space="preserve">are </w:t>
      </w:r>
      <w:r w:rsidR="00E63F6C">
        <w:t>included</w:t>
      </w:r>
      <w:r w:rsidR="00D73685">
        <w:t>.</w:t>
      </w:r>
    </w:p>
    <w:p w14:paraId="46619E96" w14:textId="02DA0D68" w:rsidR="004E2861" w:rsidRPr="00C34CF2" w:rsidRDefault="004E2861" w:rsidP="004E2861">
      <w:r w:rsidRPr="00C34CF2">
        <w:t xml:space="preserve">The Department has conducted an analysis of the operations of road authorities </w:t>
      </w:r>
      <w:r w:rsidR="00F604BB">
        <w:t xml:space="preserve">under the Regulations </w:t>
      </w:r>
      <w:r w:rsidRPr="00C34CF2">
        <w:t xml:space="preserve">to estimate the costs attributable to providing these services. Where possible, the Department has included an analysis of costs for different road authorities, including the Department and councils. These costs are summarised below. </w:t>
      </w:r>
    </w:p>
    <w:p w14:paraId="2A0DB935" w14:textId="7CA07603" w:rsidR="004E2861" w:rsidRPr="00C34CF2" w:rsidRDefault="004E2861" w:rsidP="004E2861">
      <w:r w:rsidRPr="00C34CF2">
        <w:t>In the context of road management regulation, it is important to ensure that the costs of road authorities in providing services are as efficient as possible. If the efficient level of regulatory costs is known, then it is possible to set efficient fees.</w:t>
      </w:r>
    </w:p>
    <w:p w14:paraId="6B87027D" w14:textId="77777777" w:rsidR="004E2861" w:rsidRPr="00C34CF2" w:rsidRDefault="004E2861" w:rsidP="007247CA">
      <w:pPr>
        <w:pStyle w:val="Heading3"/>
      </w:pPr>
      <w:bookmarkStart w:id="290" w:name="_Ref211426795"/>
      <w:bookmarkStart w:id="291" w:name="_Toc226448346"/>
      <w:r w:rsidRPr="00C34CF2">
        <w:t>Proposed works applications</w:t>
      </w:r>
      <w:bookmarkEnd w:id="290"/>
      <w:bookmarkEnd w:id="291"/>
    </w:p>
    <w:p w14:paraId="35776641" w14:textId="77777777" w:rsidR="004E2861" w:rsidRPr="00C34CF2" w:rsidRDefault="004E2861" w:rsidP="004E2861">
      <w:r w:rsidRPr="00C34CF2">
        <w:t xml:space="preserve">The focus of a consent application assessment by a coordinating road authority is on the impact of the proposed works on road safety, efficient traffic operation and the structural integrity of the road </w:t>
      </w:r>
      <w:r w:rsidRPr="00C34CF2">
        <w:lastRenderedPageBreak/>
        <w:t xml:space="preserve">infrastructure, together with any likely adverse impact the proposed works may have on future road developments and/or environmental/heritage values. </w:t>
      </w:r>
    </w:p>
    <w:p w14:paraId="409A945E" w14:textId="346154AA" w:rsidR="004E2861" w:rsidRPr="00C34CF2" w:rsidRDefault="004E2861" w:rsidP="004E2861">
      <w:r w:rsidRPr="00C34CF2">
        <w:t xml:space="preserve">This assessment involves inspecting a road authority’s road widening plans and local council planning schemes for future road construction and local council native vegetation/environmental/heritage overlays. The location of the proposed works within a road reserve will also determine the likely traffic management response required to mitigate traffic congestion. Other aspects that are assessed include ensuring the applicant’s reinstatement methodology (techniques and materials) is compliant with road authority technical standards. This applies regardless of the scale of the proposed works. </w:t>
      </w:r>
    </w:p>
    <w:p w14:paraId="053AC24D" w14:textId="6E17AE7C" w:rsidR="004E2861" w:rsidRPr="00C34CF2" w:rsidRDefault="004E2861" w:rsidP="004E2861">
      <w:r w:rsidRPr="00C34CF2">
        <w:t xml:space="preserve">The assessment process is consistent with clause 16 </w:t>
      </w:r>
      <w:r w:rsidR="00131497">
        <w:t>to</w:t>
      </w:r>
      <w:r w:rsidR="00131497" w:rsidRPr="00C34CF2">
        <w:t xml:space="preserve"> </w:t>
      </w:r>
      <w:r w:rsidRPr="00C34CF2">
        <w:t>Schedule 7 of the Act that requires a coordinating road authority to have regard to the works and infrastructure management principles in its consideration of a consent application. All of the aforementioned matters in clause 16 are required to be checked for all consent applications (particularly for works on a roadway, shoulder or pathway of a road) to ensure compliance with the works and infrastructure management principles. In doing so, road safety, efficient traffic management and the integrity of the road infrastructure are not compromised.</w:t>
      </w:r>
    </w:p>
    <w:p w14:paraId="3A3CC9E2" w14:textId="77777777" w:rsidR="004E2861" w:rsidRPr="00C34CF2" w:rsidRDefault="004E2861" w:rsidP="004E2861">
      <w:r w:rsidRPr="00C34CF2">
        <w:t>Utilities, providers of public transport and road authorities are more likely to conduct much larger scale works (for example, major service extensions or upgrading) than other parties and it is expected that more time and effort would be involved in assessing their consent applications.</w:t>
      </w:r>
    </w:p>
    <w:p w14:paraId="4919A8A3" w14:textId="77777777" w:rsidR="004E2861" w:rsidRPr="00C34CF2" w:rsidRDefault="004E2861" w:rsidP="004E2861">
      <w:r w:rsidRPr="00C34CF2">
        <w:t>The cost to the Department, other State road authorities and the 79 local council coordinating road authorities in providing consent for works needs to be funded either by those that directly benefit from the consent (for example, an infrastructure manager or works manager) or from taxpayer and/or ratepayer funds. In the absence of regulations, a coordinating road authority’s administrative cost associated with assessing and issuing a consent for works would not be recovered from those that directly benefit from the consent.</w:t>
      </w:r>
    </w:p>
    <w:p w14:paraId="78673E44" w14:textId="77777777" w:rsidR="004E2861" w:rsidRPr="00C34CF2" w:rsidRDefault="004E2861" w:rsidP="004E2861">
      <w:r w:rsidRPr="00C34CF2">
        <w:t xml:space="preserve">Generally, a regulatory impact statement would provide the total expenditure and revenue of a regulatory authority and provide guidance on the level of cost recovery in respect to administering licences and permits. In this case, it is difficult to replicate that approach for the following reasons. </w:t>
      </w:r>
    </w:p>
    <w:p w14:paraId="2BCCBABA" w14:textId="77777777" w:rsidR="004E2861" w:rsidRPr="00C34CF2" w:rsidRDefault="004E2861" w:rsidP="004E2861">
      <w:r w:rsidRPr="00C34CF2">
        <w:t xml:space="preserve">Firstly, the regulations prescribe various fees that are applicable to many organisations: the Department, other State road authorities and 79 local council coordinating road authorities that all have their own approach and associated costs. </w:t>
      </w:r>
    </w:p>
    <w:p w14:paraId="68244D81" w14:textId="77777777" w:rsidR="004E2861" w:rsidRPr="00C34CF2" w:rsidRDefault="004E2861" w:rsidP="004E2861">
      <w:r w:rsidRPr="00C34CF2">
        <w:t xml:space="preserve">Secondly, for all coordinating road authorities including the Department, the consent for works within a road reserve is one of several functions performed within a division of each organisation. At the Department, there are several persons based across its regional offices who are dedicated to the administrative aspects of consent applications. Detailed assessments and advice are often referred to other specialist sections </w:t>
      </w:r>
      <w:r>
        <w:t>across</w:t>
      </w:r>
      <w:r w:rsidRPr="00C34CF2">
        <w:t xml:space="preserve"> the Department, particularly for works (other than minor works).</w:t>
      </w:r>
    </w:p>
    <w:p w14:paraId="53BE4932" w14:textId="77777777" w:rsidR="004E2861" w:rsidRPr="00C34CF2" w:rsidRDefault="004E2861" w:rsidP="007247CA">
      <w:pPr>
        <w:pStyle w:val="Heading4"/>
      </w:pPr>
      <w:r w:rsidRPr="00C34CF2">
        <w:t>The Department</w:t>
      </w:r>
    </w:p>
    <w:p w14:paraId="460ADC41" w14:textId="77777777" w:rsidR="004E2861" w:rsidRPr="00C34CF2" w:rsidRDefault="004E2861" w:rsidP="004E2861">
      <w:r w:rsidRPr="00C34CF2">
        <w:t xml:space="preserve">Due to the inability to provide total expenditure and revenue across all road authorities, an analysis of the operations of the Department for a sample of applications was conducted. </w:t>
      </w:r>
      <w:r>
        <w:t xml:space="preserve">The sample was provided by the Department’s metropolitan team, which only captures consent applications for works conducted in the inner and greater metropolitan regions. Applications across the rest of Victoria were therefore not captured in this sample. </w:t>
      </w:r>
      <w:r w:rsidRPr="00C34CF2">
        <w:t>This estimation is not intended to provide a definitive and an accurate assessment of the overall revenue and costs associated with assessing consent applications. The purpose is to provide an indication of the likely cost recovery level.</w:t>
      </w:r>
    </w:p>
    <w:p w14:paraId="29B08254" w14:textId="77777777" w:rsidR="004E2861" w:rsidRPr="00C34CF2" w:rsidRDefault="004E2861" w:rsidP="004E2861">
      <w:r w:rsidRPr="00C34CF2">
        <w:t>The Department’s consent for works metropolitan team processed 3,807 applications in 2024 and have estimated the average cost of processing the majority of applications as follows:</w:t>
      </w:r>
    </w:p>
    <w:p w14:paraId="7384ACC0" w14:textId="77777777" w:rsidR="004E2861" w:rsidRPr="00C34CF2" w:rsidRDefault="004E2861" w:rsidP="005D15EA">
      <w:pPr>
        <w:numPr>
          <w:ilvl w:val="1"/>
          <w:numId w:val="16"/>
        </w:numPr>
      </w:pPr>
      <w:r w:rsidRPr="00C34CF2">
        <w:t>Staff time: Estimated at 1.5–2.5 hours per application (based on role VPS3)</w:t>
      </w:r>
    </w:p>
    <w:p w14:paraId="43E43298" w14:textId="77777777" w:rsidR="004E2861" w:rsidRPr="00C34CF2" w:rsidRDefault="004E2861" w:rsidP="005D15EA">
      <w:pPr>
        <w:numPr>
          <w:ilvl w:val="1"/>
          <w:numId w:val="16"/>
        </w:numPr>
      </w:pPr>
      <w:r w:rsidRPr="00C34CF2">
        <w:lastRenderedPageBreak/>
        <w:t>Average hourly rate (incl. on-costs): $70–$95</w:t>
      </w:r>
    </w:p>
    <w:p w14:paraId="2475B9FA" w14:textId="77777777" w:rsidR="004E2861" w:rsidRPr="00C34CF2" w:rsidRDefault="004E2861" w:rsidP="005D15EA">
      <w:pPr>
        <w:numPr>
          <w:ilvl w:val="1"/>
          <w:numId w:val="16"/>
        </w:numPr>
      </w:pPr>
      <w:r w:rsidRPr="00C34CF2">
        <w:t>Estimated average processing cost: $1</w:t>
      </w:r>
      <w:r>
        <w:t>0</w:t>
      </w:r>
      <w:r w:rsidRPr="00C34CF2">
        <w:t>0–$240 per application</w:t>
      </w:r>
    </w:p>
    <w:p w14:paraId="536C6D9B" w14:textId="77777777" w:rsidR="004E2861" w:rsidRPr="00C34CF2" w:rsidRDefault="004E2861" w:rsidP="004E2861">
      <w:r w:rsidRPr="00C34CF2">
        <w:t>Further detailed analysis of these estimates and estimates of the assessment of more complex applications are displayed in the following tables and sections.</w:t>
      </w:r>
    </w:p>
    <w:p w14:paraId="01B5BF96" w14:textId="4AA748BE" w:rsidR="004E2861" w:rsidRDefault="00437C76" w:rsidP="00437C76">
      <w:pPr>
        <w:pStyle w:val="Caption"/>
      </w:pPr>
      <w:bookmarkStart w:id="292" w:name="_Toc226448364"/>
      <w:r>
        <w:t xml:space="preserve">Table </w:t>
      </w:r>
      <w:r w:rsidR="005A7DAB">
        <w:fldChar w:fldCharType="begin"/>
      </w:r>
      <w:r w:rsidR="005A7DAB">
        <w:instrText xml:space="preserve"> SEQ Table \* ARABIC </w:instrText>
      </w:r>
      <w:r w:rsidR="005A7DAB">
        <w:fldChar w:fldCharType="separate"/>
      </w:r>
      <w:r w:rsidR="00F170D0">
        <w:rPr>
          <w:noProof/>
        </w:rPr>
        <w:t>16</w:t>
      </w:r>
      <w:r w:rsidR="005A7DAB">
        <w:rPr>
          <w:noProof/>
        </w:rPr>
        <w:fldChar w:fldCharType="end"/>
      </w:r>
      <w:r>
        <w:t xml:space="preserve"> </w:t>
      </w:r>
      <w:r w:rsidR="004E2861">
        <w:t xml:space="preserve">– </w:t>
      </w:r>
      <w:r w:rsidR="004E2861" w:rsidRPr="00C34CF2">
        <w:t>Hourly rates</w:t>
      </w:r>
      <w:bookmarkEnd w:id="292"/>
    </w:p>
    <w:tbl>
      <w:tblPr>
        <w:tblStyle w:val="TableGrid"/>
        <w:tblW w:w="0" w:type="auto"/>
        <w:tblLook w:val="00A0" w:firstRow="1" w:lastRow="0" w:firstColumn="1" w:lastColumn="0" w:noHBand="0" w:noVBand="0"/>
      </w:tblPr>
      <w:tblGrid>
        <w:gridCol w:w="2153"/>
        <w:gridCol w:w="1882"/>
        <w:gridCol w:w="2269"/>
        <w:gridCol w:w="2123"/>
        <w:gridCol w:w="2063"/>
      </w:tblGrid>
      <w:tr w:rsidR="004E2861" w:rsidRPr="00C34CF2" w14:paraId="6A72A53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dxa"/>
          </w:tcPr>
          <w:p w14:paraId="34837CAA" w14:textId="77777777" w:rsidR="004E2861" w:rsidRPr="00C34CF2" w:rsidRDefault="004E2861">
            <w:pPr>
              <w:keepNext w:val="0"/>
            </w:pPr>
            <w:r w:rsidRPr="00C34CF2">
              <w:t>Classification</w:t>
            </w:r>
          </w:p>
        </w:tc>
        <w:tc>
          <w:tcPr>
            <w:tcW w:w="1882" w:type="dxa"/>
          </w:tcPr>
          <w:p w14:paraId="33524ED1" w14:textId="77777777" w:rsidR="004E2861" w:rsidRPr="00C34CF2" w:rsidRDefault="004E2861">
            <w:pPr>
              <w:keepNext w:val="0"/>
              <w:cnfStyle w:val="100000000000" w:firstRow="1" w:lastRow="0" w:firstColumn="0" w:lastColumn="0" w:oddVBand="0" w:evenVBand="0" w:oddHBand="0" w:evenHBand="0" w:firstRowFirstColumn="0" w:firstRowLastColumn="0" w:lastRowFirstColumn="0" w:lastRowLastColumn="0"/>
            </w:pPr>
            <w:r w:rsidRPr="00C34CF2">
              <w:t>Salaries*</w:t>
            </w:r>
          </w:p>
        </w:tc>
        <w:tc>
          <w:tcPr>
            <w:tcW w:w="2269" w:type="dxa"/>
          </w:tcPr>
          <w:p w14:paraId="77A67639" w14:textId="77777777" w:rsidR="004E2861" w:rsidRPr="00C34CF2" w:rsidRDefault="004E2861">
            <w:pPr>
              <w:keepNext w:val="0"/>
              <w:cnfStyle w:val="100000000000" w:firstRow="1" w:lastRow="0" w:firstColumn="0" w:lastColumn="0" w:oddVBand="0" w:evenVBand="0" w:oddHBand="0" w:evenHBand="0" w:firstRowFirstColumn="0" w:firstRowLastColumn="0" w:lastRowFirstColumn="0" w:lastRowLastColumn="0"/>
            </w:pPr>
            <w:r w:rsidRPr="00C34CF2">
              <w:t>Oncosts at 35%</w:t>
            </w:r>
          </w:p>
        </w:tc>
        <w:tc>
          <w:tcPr>
            <w:tcW w:w="2123" w:type="dxa"/>
          </w:tcPr>
          <w:p w14:paraId="481261CA" w14:textId="77777777" w:rsidR="004E2861" w:rsidRPr="00C34CF2" w:rsidRDefault="004E2861">
            <w:pPr>
              <w:keepNext w:val="0"/>
              <w:cnfStyle w:val="100000000000" w:firstRow="1" w:lastRow="0" w:firstColumn="0" w:lastColumn="0" w:oddVBand="0" w:evenVBand="0" w:oddHBand="0" w:evenHBand="0" w:firstRowFirstColumn="0" w:firstRowLastColumn="0" w:lastRowFirstColumn="0" w:lastRowLastColumn="0"/>
            </w:pPr>
            <w:r w:rsidRPr="00C34CF2">
              <w:t>Total wage costs (salary + oncosts)</w:t>
            </w:r>
          </w:p>
        </w:tc>
        <w:tc>
          <w:tcPr>
            <w:tcW w:w="2063" w:type="dxa"/>
          </w:tcPr>
          <w:p w14:paraId="043E709B" w14:textId="77777777" w:rsidR="004E2861" w:rsidRPr="00C34CF2" w:rsidRDefault="004E2861">
            <w:pPr>
              <w:keepNext w:val="0"/>
              <w:cnfStyle w:val="100000000000" w:firstRow="1" w:lastRow="0" w:firstColumn="0" w:lastColumn="0" w:oddVBand="0" w:evenVBand="0" w:oddHBand="0" w:evenHBand="0" w:firstRowFirstColumn="0" w:firstRowLastColumn="0" w:lastRowFirstColumn="0" w:lastRowLastColumn="0"/>
            </w:pPr>
            <w:r w:rsidRPr="00C34CF2">
              <w:t>Hourly rate</w:t>
            </w:r>
          </w:p>
        </w:tc>
      </w:tr>
      <w:tr w:rsidR="004E2861" w:rsidRPr="00C34CF2" w14:paraId="6FAB102A" w14:textId="77777777">
        <w:tc>
          <w:tcPr>
            <w:cnfStyle w:val="001000000000" w:firstRow="0" w:lastRow="0" w:firstColumn="1" w:lastColumn="0" w:oddVBand="0" w:evenVBand="0" w:oddHBand="0" w:evenHBand="0" w:firstRowFirstColumn="0" w:firstRowLastColumn="0" w:lastRowFirstColumn="0" w:lastRowLastColumn="0"/>
            <w:tcW w:w="2153" w:type="dxa"/>
          </w:tcPr>
          <w:p w14:paraId="4B388CE3" w14:textId="77777777" w:rsidR="004E2861" w:rsidRPr="00C34CF2" w:rsidRDefault="004E2861">
            <w:r w:rsidRPr="00C34CF2">
              <w:t>VPS4</w:t>
            </w:r>
          </w:p>
        </w:tc>
        <w:tc>
          <w:tcPr>
            <w:tcW w:w="1882" w:type="dxa"/>
          </w:tcPr>
          <w:p w14:paraId="5381C7DD" w14:textId="77777777" w:rsidR="004E2861" w:rsidRPr="00C34CF2" w:rsidRDefault="004E2861">
            <w:pPr>
              <w:cnfStyle w:val="000000000000" w:firstRow="0" w:lastRow="0" w:firstColumn="0" w:lastColumn="0" w:oddVBand="0" w:evenVBand="0" w:oddHBand="0" w:evenHBand="0" w:firstRowFirstColumn="0" w:firstRowLastColumn="0" w:lastRowFirstColumn="0" w:lastRowLastColumn="0"/>
            </w:pPr>
            <w:r w:rsidRPr="00C34CF2">
              <w:t>$104,545</w:t>
            </w:r>
          </w:p>
        </w:tc>
        <w:tc>
          <w:tcPr>
            <w:tcW w:w="2269" w:type="dxa"/>
          </w:tcPr>
          <w:p w14:paraId="34DD5C9A" w14:textId="77777777" w:rsidR="004E2861" w:rsidRPr="00C34CF2" w:rsidRDefault="004E2861">
            <w:pPr>
              <w:cnfStyle w:val="000000000000" w:firstRow="0" w:lastRow="0" w:firstColumn="0" w:lastColumn="0" w:oddVBand="0" w:evenVBand="0" w:oddHBand="0" w:evenHBand="0" w:firstRowFirstColumn="0" w:firstRowLastColumn="0" w:lastRowFirstColumn="0" w:lastRowLastColumn="0"/>
            </w:pPr>
            <w:r w:rsidRPr="00C34CF2">
              <w:t>$36,591</w:t>
            </w:r>
          </w:p>
        </w:tc>
        <w:tc>
          <w:tcPr>
            <w:tcW w:w="2123" w:type="dxa"/>
          </w:tcPr>
          <w:p w14:paraId="2B364854" w14:textId="77777777" w:rsidR="004E2861" w:rsidRPr="00C34CF2" w:rsidRDefault="004E2861">
            <w:pPr>
              <w:cnfStyle w:val="000000000000" w:firstRow="0" w:lastRow="0" w:firstColumn="0" w:lastColumn="0" w:oddVBand="0" w:evenVBand="0" w:oddHBand="0" w:evenHBand="0" w:firstRowFirstColumn="0" w:firstRowLastColumn="0" w:lastRowFirstColumn="0" w:lastRowLastColumn="0"/>
            </w:pPr>
            <w:r w:rsidRPr="00C34CF2">
              <w:t>$141,136</w:t>
            </w:r>
          </w:p>
        </w:tc>
        <w:tc>
          <w:tcPr>
            <w:tcW w:w="2063" w:type="dxa"/>
          </w:tcPr>
          <w:p w14:paraId="5C8183D3" w14:textId="77777777" w:rsidR="004E2861" w:rsidRPr="00C34CF2" w:rsidRDefault="004E2861">
            <w:pPr>
              <w:cnfStyle w:val="000000000000" w:firstRow="0" w:lastRow="0" w:firstColumn="0" w:lastColumn="0" w:oddVBand="0" w:evenVBand="0" w:oddHBand="0" w:evenHBand="0" w:firstRowFirstColumn="0" w:firstRowLastColumn="0" w:lastRowFirstColumn="0" w:lastRowLastColumn="0"/>
            </w:pPr>
            <w:r w:rsidRPr="00C34CF2">
              <w:t>$84.41</w:t>
            </w:r>
          </w:p>
        </w:tc>
      </w:tr>
      <w:tr w:rsidR="004E2861" w:rsidRPr="00C34CF2" w14:paraId="5EF2642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dxa"/>
          </w:tcPr>
          <w:p w14:paraId="10980549" w14:textId="77777777" w:rsidR="004E2861" w:rsidRPr="00C34CF2" w:rsidRDefault="004E2861">
            <w:r w:rsidRPr="00C34CF2">
              <w:t>VPS3</w:t>
            </w:r>
          </w:p>
        </w:tc>
        <w:tc>
          <w:tcPr>
            <w:tcW w:w="1882" w:type="dxa"/>
          </w:tcPr>
          <w:p w14:paraId="330F75E5" w14:textId="77777777" w:rsidR="004E2861" w:rsidRPr="00C34CF2" w:rsidRDefault="004E2861">
            <w:pPr>
              <w:cnfStyle w:val="000000010000" w:firstRow="0" w:lastRow="0" w:firstColumn="0" w:lastColumn="0" w:oddVBand="0" w:evenVBand="0" w:oddHBand="0" w:evenHBand="1" w:firstRowFirstColumn="0" w:firstRowLastColumn="0" w:lastRowFirstColumn="0" w:lastRowLastColumn="0"/>
            </w:pPr>
            <w:r w:rsidRPr="00C34CF2">
              <w:t>$87,599</w:t>
            </w:r>
          </w:p>
        </w:tc>
        <w:tc>
          <w:tcPr>
            <w:tcW w:w="2269" w:type="dxa"/>
          </w:tcPr>
          <w:p w14:paraId="732AAAC1" w14:textId="77777777" w:rsidR="004E2861" w:rsidRPr="00C34CF2" w:rsidRDefault="004E2861">
            <w:pPr>
              <w:cnfStyle w:val="000000010000" w:firstRow="0" w:lastRow="0" w:firstColumn="0" w:lastColumn="0" w:oddVBand="0" w:evenVBand="0" w:oddHBand="0" w:evenHBand="1" w:firstRowFirstColumn="0" w:firstRowLastColumn="0" w:lastRowFirstColumn="0" w:lastRowLastColumn="0"/>
            </w:pPr>
            <w:r w:rsidRPr="00C34CF2">
              <w:t>$30,660</w:t>
            </w:r>
          </w:p>
        </w:tc>
        <w:tc>
          <w:tcPr>
            <w:tcW w:w="2123" w:type="dxa"/>
          </w:tcPr>
          <w:p w14:paraId="46E5A2C7" w14:textId="77777777" w:rsidR="004E2861" w:rsidRPr="00C34CF2" w:rsidRDefault="004E2861">
            <w:pPr>
              <w:cnfStyle w:val="000000010000" w:firstRow="0" w:lastRow="0" w:firstColumn="0" w:lastColumn="0" w:oddVBand="0" w:evenVBand="0" w:oddHBand="0" w:evenHBand="1" w:firstRowFirstColumn="0" w:firstRowLastColumn="0" w:lastRowFirstColumn="0" w:lastRowLastColumn="0"/>
            </w:pPr>
            <w:r w:rsidRPr="00C34CF2">
              <w:t>$118,259</w:t>
            </w:r>
          </w:p>
        </w:tc>
        <w:tc>
          <w:tcPr>
            <w:tcW w:w="2063" w:type="dxa"/>
          </w:tcPr>
          <w:p w14:paraId="72A27F16" w14:textId="77777777" w:rsidR="004E2861" w:rsidRPr="00C34CF2" w:rsidRDefault="004E2861">
            <w:pPr>
              <w:cnfStyle w:val="000000010000" w:firstRow="0" w:lastRow="0" w:firstColumn="0" w:lastColumn="0" w:oddVBand="0" w:evenVBand="0" w:oddHBand="0" w:evenHBand="1" w:firstRowFirstColumn="0" w:firstRowLastColumn="0" w:lastRowFirstColumn="0" w:lastRowLastColumn="0"/>
            </w:pPr>
            <w:r w:rsidRPr="00C34CF2">
              <w:t>$70.72</w:t>
            </w:r>
          </w:p>
        </w:tc>
      </w:tr>
    </w:tbl>
    <w:p w14:paraId="13FA15DA" w14:textId="77777777" w:rsidR="004E2861" w:rsidRPr="00C34CF2" w:rsidRDefault="004E2861" w:rsidP="004E2861">
      <w:pPr>
        <w:rPr>
          <w:i/>
          <w:iCs/>
        </w:rPr>
      </w:pPr>
      <w:r w:rsidRPr="00C34CF2">
        <w:rPr>
          <w:i/>
          <w:iCs/>
        </w:rPr>
        <w:t>*Salaries reflect the mid-point of the relevant VPS grade value range in accordance with the Victorian Public Sector Enterprise Agreement 2024 effective as of 1 May 2025.</w:t>
      </w:r>
    </w:p>
    <w:tbl>
      <w:tblPr>
        <w:tblStyle w:val="TableGrid"/>
        <w:tblW w:w="0" w:type="auto"/>
        <w:tblLook w:val="04A0" w:firstRow="1" w:lastRow="0" w:firstColumn="1" w:lastColumn="0" w:noHBand="0" w:noVBand="1"/>
      </w:tblPr>
      <w:tblGrid>
        <w:gridCol w:w="10772"/>
      </w:tblGrid>
      <w:tr w:rsidR="004E2861" w:rsidRPr="00C34CF2" w14:paraId="71FFD16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2" w:type="dxa"/>
          </w:tcPr>
          <w:p w14:paraId="7C24F733" w14:textId="77777777" w:rsidR="004E2861" w:rsidRPr="00C34CF2" w:rsidRDefault="004E2861">
            <w:pPr>
              <w:keepNext w:val="0"/>
              <w:rPr>
                <w:bCs/>
              </w:rPr>
            </w:pPr>
            <w:r w:rsidRPr="00C34CF2">
              <w:t>Formula for determining the total annual hours used to calculate hourly rates</w:t>
            </w:r>
          </w:p>
          <w:p w14:paraId="312C69C5" w14:textId="77777777" w:rsidR="004E2861" w:rsidRPr="00C34CF2" w:rsidRDefault="004E2861">
            <w:pPr>
              <w:keepNext w:val="0"/>
              <w:rPr>
                <w:b w:val="0"/>
                <w:bCs/>
              </w:rPr>
            </w:pPr>
            <w:r w:rsidRPr="00C34CF2">
              <w:rPr>
                <w:b w:val="0"/>
                <w:bCs/>
              </w:rPr>
              <w:t>Number of weeks worked per annum</w:t>
            </w:r>
          </w:p>
          <w:p w14:paraId="0FE2895B" w14:textId="77777777" w:rsidR="004E2861" w:rsidRPr="00C34CF2" w:rsidRDefault="004E2861">
            <w:pPr>
              <w:keepNext w:val="0"/>
              <w:rPr>
                <w:b w:val="0"/>
                <w:bCs/>
              </w:rPr>
            </w:pPr>
            <w:r w:rsidRPr="00C34CF2">
              <w:rPr>
                <w:b w:val="0"/>
                <w:bCs/>
              </w:rPr>
              <w:t xml:space="preserve">= 52 - 4 (annual leave) - 2 (sick leave) - 2 (public holidays) </w:t>
            </w:r>
          </w:p>
          <w:p w14:paraId="00BC12EC" w14:textId="77777777" w:rsidR="004E2861" w:rsidRPr="00C34CF2" w:rsidRDefault="004E2861">
            <w:pPr>
              <w:keepNext w:val="0"/>
              <w:rPr>
                <w:b w:val="0"/>
                <w:bCs/>
              </w:rPr>
            </w:pPr>
            <w:r w:rsidRPr="00C34CF2">
              <w:rPr>
                <w:b w:val="0"/>
                <w:bCs/>
              </w:rPr>
              <w:t>= 44 weeks</w:t>
            </w:r>
          </w:p>
          <w:p w14:paraId="4A2E9750" w14:textId="77777777" w:rsidR="004E2861" w:rsidRPr="00C34CF2" w:rsidRDefault="004E2861">
            <w:pPr>
              <w:keepNext w:val="0"/>
              <w:rPr>
                <w:b w:val="0"/>
                <w:bCs/>
              </w:rPr>
            </w:pPr>
            <w:r w:rsidRPr="00C34CF2">
              <w:rPr>
                <w:b w:val="0"/>
                <w:bCs/>
              </w:rPr>
              <w:t>Average weekly hours = 38</w:t>
            </w:r>
          </w:p>
          <w:p w14:paraId="786FBF03" w14:textId="77777777" w:rsidR="004E2861" w:rsidRPr="00C34CF2" w:rsidRDefault="004E2861">
            <w:pPr>
              <w:keepNext w:val="0"/>
            </w:pPr>
            <w:r w:rsidRPr="00C34CF2">
              <w:rPr>
                <w:b w:val="0"/>
                <w:bCs/>
              </w:rPr>
              <w:t>Total annual hours: 44 weeks x 38 hours = 1,672 hours</w:t>
            </w:r>
          </w:p>
        </w:tc>
      </w:tr>
    </w:tbl>
    <w:p w14:paraId="71645752" w14:textId="7D17212A" w:rsidR="00125D7F" w:rsidRDefault="004E2861" w:rsidP="004E2861">
      <w:r w:rsidRPr="00C34CF2">
        <w:t>The length of time to assess applications is estimated to range between 2 to 15 hours for most applications. A handful of applications each year will exceed this estimated range and take substantially longer to assess due to the complexity of the project. These applications include significantly complex projects such as Special Consent Projects or those requiring multiple rounds of review. Estimates for these significantly complex applications are not included in the estimates due to the nature of the assessments, which may progress over several weeks and months with multiple referrals managed by various levels of VPS officers, including senior officers.</w:t>
      </w:r>
    </w:p>
    <w:p w14:paraId="120309B0" w14:textId="04704475" w:rsidR="004E2861" w:rsidRPr="00C34CF2" w:rsidRDefault="004E6D0F" w:rsidP="004E2861">
      <w:r>
        <w:fldChar w:fldCharType="begin"/>
      </w:r>
      <w:r>
        <w:instrText xml:space="preserve"> REF _Ref219729252 \h </w:instrText>
      </w:r>
      <w:r>
        <w:fldChar w:fldCharType="separate"/>
      </w:r>
      <w:r w:rsidR="00F170D0">
        <w:t xml:space="preserve">Table </w:t>
      </w:r>
      <w:r w:rsidR="00F170D0">
        <w:rPr>
          <w:noProof/>
        </w:rPr>
        <w:t>17</w:t>
      </w:r>
      <w:r>
        <w:fldChar w:fldCharType="end"/>
      </w:r>
      <w:r>
        <w:t xml:space="preserve"> </w:t>
      </w:r>
      <w:r w:rsidR="004E2861" w:rsidRPr="00C34CF2">
        <w:t>demonstrates the potential distribution of applications processed based on complexity level and length of time to process, noting a handful will exceed these durations. A lower percentage of low complexity applications of 50 per cent would be balanced with 35 per cent mid complexity applications and 15 per cent high complexity applications. While a higher percentage of low complexity applications of 70 per cent would be balanced with 25 per cent mid complexity applications and 5 per cent high complexity applications.</w:t>
      </w:r>
    </w:p>
    <w:p w14:paraId="1997599D" w14:textId="12BC07FA" w:rsidR="004E2861" w:rsidRDefault="00437C76" w:rsidP="00437C76">
      <w:pPr>
        <w:pStyle w:val="Caption"/>
      </w:pPr>
      <w:bookmarkStart w:id="293" w:name="_Ref219729252"/>
      <w:bookmarkStart w:id="294" w:name="_Ref219729244"/>
      <w:bookmarkStart w:id="295" w:name="_Toc226448365"/>
      <w:r>
        <w:t xml:space="preserve">Table </w:t>
      </w:r>
      <w:r w:rsidR="005A7DAB">
        <w:fldChar w:fldCharType="begin"/>
      </w:r>
      <w:r w:rsidR="005A7DAB">
        <w:instrText xml:space="preserve"> SEQ Table \* ARABIC </w:instrText>
      </w:r>
      <w:r w:rsidR="005A7DAB">
        <w:fldChar w:fldCharType="separate"/>
      </w:r>
      <w:r w:rsidR="00F170D0">
        <w:rPr>
          <w:noProof/>
        </w:rPr>
        <w:t>17</w:t>
      </w:r>
      <w:r w:rsidR="005A7DAB">
        <w:rPr>
          <w:noProof/>
        </w:rPr>
        <w:fldChar w:fldCharType="end"/>
      </w:r>
      <w:bookmarkEnd w:id="293"/>
      <w:r w:rsidR="004E2861">
        <w:t xml:space="preserve"> </w:t>
      </w:r>
      <w:r w:rsidR="004E2861" w:rsidRPr="00C34CF2">
        <w:t>– Estimated length of time to assess 3,807 applications in 2024</w:t>
      </w:r>
      <w:bookmarkEnd w:id="294"/>
      <w:bookmarkEnd w:id="295"/>
    </w:p>
    <w:tbl>
      <w:tblPr>
        <w:tblStyle w:val="TableGrid"/>
        <w:tblW w:w="10348" w:type="dxa"/>
        <w:tblLook w:val="00A0" w:firstRow="1" w:lastRow="0" w:firstColumn="1" w:lastColumn="0" w:noHBand="0" w:noVBand="0"/>
      </w:tblPr>
      <w:tblGrid>
        <w:gridCol w:w="1843"/>
        <w:gridCol w:w="2410"/>
        <w:gridCol w:w="2977"/>
        <w:gridCol w:w="3118"/>
      </w:tblGrid>
      <w:tr w:rsidR="004E2861" w:rsidRPr="00C34CF2" w14:paraId="3BD6D5A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E55AA1C" w14:textId="77777777" w:rsidR="004E2861" w:rsidRPr="00C34CF2" w:rsidRDefault="004E2861">
            <w:pPr>
              <w:keepNext w:val="0"/>
            </w:pPr>
            <w:r w:rsidRPr="00C34CF2">
              <w:t xml:space="preserve">Level of complexity of application </w:t>
            </w:r>
          </w:p>
        </w:tc>
        <w:tc>
          <w:tcPr>
            <w:tcW w:w="2410" w:type="dxa"/>
          </w:tcPr>
          <w:p w14:paraId="176BD85B" w14:textId="77777777" w:rsidR="004E2861" w:rsidRPr="00C34CF2" w:rsidRDefault="004E2861">
            <w:pPr>
              <w:keepNext w:val="0"/>
              <w:cnfStyle w:val="100000000000" w:firstRow="1" w:lastRow="0" w:firstColumn="0" w:lastColumn="0" w:oddVBand="0" w:evenVBand="0" w:oddHBand="0" w:evenHBand="0" w:firstRowFirstColumn="0" w:firstRowLastColumn="0" w:lastRowFirstColumn="0" w:lastRowLastColumn="0"/>
            </w:pPr>
            <w:r w:rsidRPr="00C34CF2">
              <w:t>Average hours of assessment per application</w:t>
            </w:r>
          </w:p>
        </w:tc>
        <w:tc>
          <w:tcPr>
            <w:tcW w:w="2977" w:type="dxa"/>
          </w:tcPr>
          <w:p w14:paraId="1F57C8EB" w14:textId="77777777" w:rsidR="004E2861" w:rsidRPr="00C34CF2" w:rsidRDefault="004E2861">
            <w:pPr>
              <w:keepNext w:val="0"/>
              <w:cnfStyle w:val="100000000000" w:firstRow="1" w:lastRow="0" w:firstColumn="0" w:lastColumn="0" w:oddVBand="0" w:evenVBand="0" w:oddHBand="0" w:evenHBand="0" w:firstRowFirstColumn="0" w:firstRowLastColumn="0" w:lastRowFirstColumn="0" w:lastRowLastColumn="0"/>
            </w:pPr>
            <w:r w:rsidRPr="00C34CF2">
              <w:t>Percentage of applications that take this long to assess (%)</w:t>
            </w:r>
          </w:p>
        </w:tc>
        <w:tc>
          <w:tcPr>
            <w:tcW w:w="3118" w:type="dxa"/>
          </w:tcPr>
          <w:p w14:paraId="05C39925" w14:textId="77777777" w:rsidR="004E2861" w:rsidRPr="00C34CF2" w:rsidRDefault="004E2861">
            <w:pPr>
              <w:keepNext w:val="0"/>
              <w:cnfStyle w:val="100000000000" w:firstRow="1" w:lastRow="0" w:firstColumn="0" w:lastColumn="0" w:oddVBand="0" w:evenVBand="0" w:oddHBand="0" w:evenHBand="0" w:firstRowFirstColumn="0" w:firstRowLastColumn="0" w:lastRowFirstColumn="0" w:lastRowLastColumn="0"/>
            </w:pPr>
            <w:r w:rsidRPr="00C34CF2">
              <w:t>Number of applications that take this long to assess</w:t>
            </w:r>
          </w:p>
        </w:tc>
      </w:tr>
      <w:tr w:rsidR="004E2861" w:rsidRPr="00C34CF2" w14:paraId="3CC8BC69" w14:textId="77777777">
        <w:tc>
          <w:tcPr>
            <w:cnfStyle w:val="001000000000" w:firstRow="0" w:lastRow="0" w:firstColumn="1" w:lastColumn="0" w:oddVBand="0" w:evenVBand="0" w:oddHBand="0" w:evenHBand="0" w:firstRowFirstColumn="0" w:firstRowLastColumn="0" w:lastRowFirstColumn="0" w:lastRowLastColumn="0"/>
            <w:tcW w:w="1843" w:type="dxa"/>
          </w:tcPr>
          <w:p w14:paraId="3BCECD12" w14:textId="77777777" w:rsidR="004E2861" w:rsidRPr="00C34CF2" w:rsidRDefault="004E2861">
            <w:r w:rsidRPr="00C34CF2">
              <w:t>Low</w:t>
            </w:r>
          </w:p>
        </w:tc>
        <w:tc>
          <w:tcPr>
            <w:tcW w:w="2410" w:type="dxa"/>
          </w:tcPr>
          <w:p w14:paraId="079DF2E0" w14:textId="77777777" w:rsidR="004E2861" w:rsidRPr="00C34CF2" w:rsidRDefault="004E2861">
            <w:pPr>
              <w:cnfStyle w:val="000000000000" w:firstRow="0" w:lastRow="0" w:firstColumn="0" w:lastColumn="0" w:oddVBand="0" w:evenVBand="0" w:oddHBand="0" w:evenHBand="0" w:firstRowFirstColumn="0" w:firstRowLastColumn="0" w:lastRowFirstColumn="0" w:lastRowLastColumn="0"/>
            </w:pPr>
            <w:r w:rsidRPr="00C34CF2">
              <w:t>2</w:t>
            </w:r>
          </w:p>
        </w:tc>
        <w:tc>
          <w:tcPr>
            <w:tcW w:w="2977" w:type="dxa"/>
          </w:tcPr>
          <w:p w14:paraId="517B2BDA" w14:textId="77777777" w:rsidR="004E2861" w:rsidRPr="00C34CF2" w:rsidRDefault="004E2861">
            <w:pPr>
              <w:cnfStyle w:val="000000000000" w:firstRow="0" w:lastRow="0" w:firstColumn="0" w:lastColumn="0" w:oddVBand="0" w:evenVBand="0" w:oddHBand="0" w:evenHBand="0" w:firstRowFirstColumn="0" w:firstRowLastColumn="0" w:lastRowFirstColumn="0" w:lastRowLastColumn="0"/>
            </w:pPr>
            <w:r w:rsidRPr="00C34CF2">
              <w:t>50 to 70</w:t>
            </w:r>
          </w:p>
        </w:tc>
        <w:tc>
          <w:tcPr>
            <w:tcW w:w="3118" w:type="dxa"/>
          </w:tcPr>
          <w:p w14:paraId="7D4E3809" w14:textId="77777777" w:rsidR="004E2861" w:rsidRPr="00C34CF2" w:rsidRDefault="004E2861">
            <w:pPr>
              <w:cnfStyle w:val="000000000000" w:firstRow="0" w:lastRow="0" w:firstColumn="0" w:lastColumn="0" w:oddVBand="0" w:evenVBand="0" w:oddHBand="0" w:evenHBand="0" w:firstRowFirstColumn="0" w:firstRowLastColumn="0" w:lastRowFirstColumn="0" w:lastRowLastColumn="0"/>
            </w:pPr>
            <w:r w:rsidRPr="00C34CF2">
              <w:t>1,094 to 2,665</w:t>
            </w:r>
          </w:p>
        </w:tc>
      </w:tr>
      <w:tr w:rsidR="004E2861" w:rsidRPr="00C34CF2" w14:paraId="2FAE1D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BF0EDD2" w14:textId="77777777" w:rsidR="004E2861" w:rsidRPr="00C34CF2" w:rsidRDefault="004E2861">
            <w:r w:rsidRPr="00C34CF2">
              <w:t>Mid</w:t>
            </w:r>
          </w:p>
        </w:tc>
        <w:tc>
          <w:tcPr>
            <w:tcW w:w="2410" w:type="dxa"/>
          </w:tcPr>
          <w:p w14:paraId="64E07DC9" w14:textId="77777777" w:rsidR="004E2861" w:rsidRPr="00C34CF2" w:rsidRDefault="004E2861">
            <w:pPr>
              <w:cnfStyle w:val="000000010000" w:firstRow="0" w:lastRow="0" w:firstColumn="0" w:lastColumn="0" w:oddVBand="0" w:evenVBand="0" w:oddHBand="0" w:evenHBand="1" w:firstRowFirstColumn="0" w:firstRowLastColumn="0" w:lastRowFirstColumn="0" w:lastRowLastColumn="0"/>
            </w:pPr>
            <w:r w:rsidRPr="00C34CF2">
              <w:t>7</w:t>
            </w:r>
          </w:p>
        </w:tc>
        <w:tc>
          <w:tcPr>
            <w:tcW w:w="2977" w:type="dxa"/>
          </w:tcPr>
          <w:p w14:paraId="13466276" w14:textId="77777777" w:rsidR="004E2861" w:rsidRPr="00C34CF2" w:rsidRDefault="004E2861">
            <w:pPr>
              <w:cnfStyle w:val="000000010000" w:firstRow="0" w:lastRow="0" w:firstColumn="0" w:lastColumn="0" w:oddVBand="0" w:evenVBand="0" w:oddHBand="0" w:evenHBand="1" w:firstRowFirstColumn="0" w:firstRowLastColumn="0" w:lastRowFirstColumn="0" w:lastRowLastColumn="0"/>
            </w:pPr>
            <w:r w:rsidRPr="00C34CF2">
              <w:t>25 to 35</w:t>
            </w:r>
          </w:p>
        </w:tc>
        <w:tc>
          <w:tcPr>
            <w:tcW w:w="3118" w:type="dxa"/>
          </w:tcPr>
          <w:p w14:paraId="0E3C0590" w14:textId="77777777" w:rsidR="004E2861" w:rsidRPr="00C34CF2" w:rsidRDefault="004E2861">
            <w:pPr>
              <w:cnfStyle w:val="000000010000" w:firstRow="0" w:lastRow="0" w:firstColumn="0" w:lastColumn="0" w:oddVBand="0" w:evenVBand="0" w:oddHBand="0" w:evenHBand="1" w:firstRowFirstColumn="0" w:firstRowLastColumn="0" w:lastRowFirstColumn="0" w:lastRowLastColumn="0"/>
            </w:pPr>
            <w:r w:rsidRPr="00C34CF2">
              <w:t>952 to 1,332</w:t>
            </w:r>
          </w:p>
        </w:tc>
      </w:tr>
      <w:tr w:rsidR="004E2861" w:rsidRPr="00C34CF2" w14:paraId="29667FD7" w14:textId="77777777">
        <w:tc>
          <w:tcPr>
            <w:cnfStyle w:val="001000000000" w:firstRow="0" w:lastRow="0" w:firstColumn="1" w:lastColumn="0" w:oddVBand="0" w:evenVBand="0" w:oddHBand="0" w:evenHBand="0" w:firstRowFirstColumn="0" w:firstRowLastColumn="0" w:lastRowFirstColumn="0" w:lastRowLastColumn="0"/>
            <w:tcW w:w="1843" w:type="dxa"/>
          </w:tcPr>
          <w:p w14:paraId="45B78685" w14:textId="77777777" w:rsidR="004E2861" w:rsidRPr="00C34CF2" w:rsidRDefault="004E2861">
            <w:r w:rsidRPr="00C34CF2">
              <w:t>High</w:t>
            </w:r>
          </w:p>
        </w:tc>
        <w:tc>
          <w:tcPr>
            <w:tcW w:w="2410" w:type="dxa"/>
          </w:tcPr>
          <w:p w14:paraId="2CB07243" w14:textId="77777777" w:rsidR="004E2861" w:rsidRPr="00C34CF2" w:rsidRDefault="004E2861">
            <w:pPr>
              <w:cnfStyle w:val="000000000000" w:firstRow="0" w:lastRow="0" w:firstColumn="0" w:lastColumn="0" w:oddVBand="0" w:evenVBand="0" w:oddHBand="0" w:evenHBand="0" w:firstRowFirstColumn="0" w:firstRowLastColumn="0" w:lastRowFirstColumn="0" w:lastRowLastColumn="0"/>
            </w:pPr>
            <w:r w:rsidRPr="00C34CF2">
              <w:t>15</w:t>
            </w:r>
          </w:p>
        </w:tc>
        <w:tc>
          <w:tcPr>
            <w:tcW w:w="2977" w:type="dxa"/>
          </w:tcPr>
          <w:p w14:paraId="081C34EF" w14:textId="77777777" w:rsidR="004E2861" w:rsidRPr="00C34CF2" w:rsidRDefault="004E2861">
            <w:pPr>
              <w:cnfStyle w:val="000000000000" w:firstRow="0" w:lastRow="0" w:firstColumn="0" w:lastColumn="0" w:oddVBand="0" w:evenVBand="0" w:oddHBand="0" w:evenHBand="0" w:firstRowFirstColumn="0" w:firstRowLastColumn="0" w:lastRowFirstColumn="0" w:lastRowLastColumn="0"/>
            </w:pPr>
            <w:r w:rsidRPr="00C34CF2">
              <w:t>5 to 15</w:t>
            </w:r>
          </w:p>
        </w:tc>
        <w:tc>
          <w:tcPr>
            <w:tcW w:w="3118" w:type="dxa"/>
          </w:tcPr>
          <w:p w14:paraId="3D2757F7" w14:textId="77777777" w:rsidR="004E2861" w:rsidRPr="00C34CF2" w:rsidRDefault="004E2861">
            <w:pPr>
              <w:cnfStyle w:val="000000000000" w:firstRow="0" w:lastRow="0" w:firstColumn="0" w:lastColumn="0" w:oddVBand="0" w:evenVBand="0" w:oddHBand="0" w:evenHBand="0" w:firstRowFirstColumn="0" w:firstRowLastColumn="0" w:lastRowFirstColumn="0" w:lastRowLastColumn="0"/>
            </w:pPr>
            <w:r w:rsidRPr="00C34CF2">
              <w:t>190 to 571</w:t>
            </w:r>
          </w:p>
        </w:tc>
      </w:tr>
    </w:tbl>
    <w:p w14:paraId="5C431E2A" w14:textId="77777777" w:rsidR="004E2861" w:rsidRPr="00C34CF2" w:rsidRDefault="004E2861" w:rsidP="004E2861">
      <w:r w:rsidRPr="00C34CF2">
        <w:lastRenderedPageBreak/>
        <w:t>Applications may also be referred to other areas of the Department, such as assets and engineering teams and infrastructure maintenance teams to provide specialist expertise and technical knowledge, particularly in the case of mid to high level complexity projects. Estimates of referral team assessment costs are not readily available so are in addition to the estimated costs outlined here.</w:t>
      </w:r>
    </w:p>
    <w:p w14:paraId="15E920E7" w14:textId="77777777" w:rsidR="004E2861" w:rsidRPr="00C34CF2" w:rsidRDefault="004E2861" w:rsidP="004E2861">
      <w:r w:rsidRPr="00C34CF2">
        <w:t>Estimated costs to assess applications of low, mid and high levels of complexity are provided in the tables below.</w:t>
      </w:r>
    </w:p>
    <w:p w14:paraId="2BA00A1F" w14:textId="3FFFEEC1" w:rsidR="004E2861" w:rsidRDefault="00437C76" w:rsidP="00437C76">
      <w:pPr>
        <w:pStyle w:val="Caption"/>
      </w:pPr>
      <w:bookmarkStart w:id="296" w:name="_Toc216087867"/>
      <w:bookmarkStart w:id="297" w:name="_Toc226448366"/>
      <w:r>
        <w:t xml:space="preserve">Table </w:t>
      </w:r>
      <w:r w:rsidR="005A7DAB">
        <w:fldChar w:fldCharType="begin"/>
      </w:r>
      <w:r w:rsidR="005A7DAB">
        <w:instrText xml:space="preserve"> SEQ Table \* ARABIC </w:instrText>
      </w:r>
      <w:r w:rsidR="005A7DAB">
        <w:fldChar w:fldCharType="separate"/>
      </w:r>
      <w:r w:rsidR="00F170D0">
        <w:rPr>
          <w:noProof/>
        </w:rPr>
        <w:t>18</w:t>
      </w:r>
      <w:r w:rsidR="005A7DAB">
        <w:rPr>
          <w:noProof/>
        </w:rPr>
        <w:fldChar w:fldCharType="end"/>
      </w:r>
      <w:r w:rsidR="00B71B8D">
        <w:t xml:space="preserve"> </w:t>
      </w:r>
      <w:r w:rsidR="004E2861">
        <w:t xml:space="preserve">– </w:t>
      </w:r>
      <w:r w:rsidR="004E2861" w:rsidRPr="00C34CF2">
        <w:t>Cost to assess an application - low complexity applications: 2 hours</w:t>
      </w:r>
      <w:bookmarkEnd w:id="296"/>
      <w:bookmarkEnd w:id="297"/>
    </w:p>
    <w:tbl>
      <w:tblPr>
        <w:tblStyle w:val="GridTable1Light"/>
        <w:tblW w:w="0" w:type="auto"/>
        <w:tblLook w:val="04A0" w:firstRow="1" w:lastRow="0" w:firstColumn="1" w:lastColumn="0" w:noHBand="0" w:noVBand="1"/>
      </w:tblPr>
      <w:tblGrid>
        <w:gridCol w:w="7467"/>
        <w:gridCol w:w="837"/>
        <w:gridCol w:w="1047"/>
      </w:tblGrid>
      <w:tr w:rsidR="004E2861" w:rsidRPr="00C34CF2" w14:paraId="7A7DA4E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35B116B0" w14:textId="77777777" w:rsidR="004E2861" w:rsidRPr="00C34CF2" w:rsidRDefault="004E2861">
            <w:pPr>
              <w:spacing w:after="120"/>
              <w:rPr>
                <w:i/>
                <w:iCs/>
              </w:rPr>
            </w:pPr>
          </w:p>
        </w:tc>
        <w:tc>
          <w:tcPr>
            <w:tcW w:w="837" w:type="dxa"/>
            <w:noWrap/>
            <w:hideMark/>
          </w:tcPr>
          <w:p w14:paraId="65C02617" w14:textId="77777777" w:rsidR="004E2861" w:rsidRPr="00C34CF2" w:rsidRDefault="004E2861">
            <w:pPr>
              <w:spacing w:after="120"/>
              <w:cnfStyle w:val="100000000000" w:firstRow="1" w:lastRow="0" w:firstColumn="0" w:lastColumn="0" w:oddVBand="0" w:evenVBand="0" w:oddHBand="0" w:evenHBand="0" w:firstRowFirstColumn="0" w:firstRowLastColumn="0" w:lastRowFirstColumn="0" w:lastRowLastColumn="0"/>
            </w:pPr>
            <w:r w:rsidRPr="00C34CF2">
              <w:t>VPS3</w:t>
            </w:r>
          </w:p>
        </w:tc>
        <w:tc>
          <w:tcPr>
            <w:tcW w:w="1047" w:type="dxa"/>
            <w:noWrap/>
            <w:hideMark/>
          </w:tcPr>
          <w:p w14:paraId="17823D7D" w14:textId="77777777" w:rsidR="004E2861" w:rsidRPr="00C34CF2" w:rsidRDefault="004E2861">
            <w:pPr>
              <w:spacing w:after="120"/>
              <w:cnfStyle w:val="100000000000" w:firstRow="1" w:lastRow="0" w:firstColumn="0" w:lastColumn="0" w:oddVBand="0" w:evenVBand="0" w:oddHBand="0" w:evenHBand="0" w:firstRowFirstColumn="0" w:firstRowLastColumn="0" w:lastRowFirstColumn="0" w:lastRowLastColumn="0"/>
            </w:pPr>
            <w:r w:rsidRPr="00C34CF2">
              <w:t>VPS4</w:t>
            </w:r>
          </w:p>
        </w:tc>
      </w:tr>
      <w:tr w:rsidR="004E2861" w:rsidRPr="00C34CF2" w14:paraId="602C0660" w14:textId="77777777">
        <w:trPr>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412CDAA2" w14:textId="77777777" w:rsidR="004E2861" w:rsidRPr="00C34CF2" w:rsidRDefault="004E2861">
            <w:pPr>
              <w:spacing w:after="120"/>
              <w:rPr>
                <w:b w:val="0"/>
                <w:bCs w:val="0"/>
              </w:rPr>
            </w:pPr>
            <w:r w:rsidRPr="00C34CF2">
              <w:rPr>
                <w:b w:val="0"/>
                <w:bCs w:val="0"/>
              </w:rPr>
              <w:t>Average time in hours to process applications</w:t>
            </w:r>
          </w:p>
        </w:tc>
        <w:tc>
          <w:tcPr>
            <w:tcW w:w="837" w:type="dxa"/>
            <w:noWrap/>
            <w:hideMark/>
          </w:tcPr>
          <w:p w14:paraId="70CC5E14"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1.75</w:t>
            </w:r>
          </w:p>
        </w:tc>
        <w:tc>
          <w:tcPr>
            <w:tcW w:w="1047" w:type="dxa"/>
            <w:noWrap/>
            <w:hideMark/>
          </w:tcPr>
          <w:p w14:paraId="6B420E50"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0.25</w:t>
            </w:r>
          </w:p>
        </w:tc>
      </w:tr>
      <w:tr w:rsidR="004E2861" w:rsidRPr="00C34CF2" w14:paraId="59CC0206" w14:textId="77777777">
        <w:trPr>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13FD7FB2" w14:textId="77777777" w:rsidR="004E2861" w:rsidRPr="00C34CF2" w:rsidRDefault="004E2861">
            <w:pPr>
              <w:spacing w:after="120"/>
              <w:rPr>
                <w:b w:val="0"/>
                <w:bCs w:val="0"/>
                <w:i/>
              </w:rPr>
            </w:pPr>
            <w:r w:rsidRPr="00C34CF2">
              <w:rPr>
                <w:b w:val="0"/>
                <w:bCs w:val="0"/>
                <w:i/>
                <w:iCs/>
              </w:rPr>
              <w:t>multiplied by</w:t>
            </w:r>
          </w:p>
        </w:tc>
        <w:tc>
          <w:tcPr>
            <w:tcW w:w="837" w:type="dxa"/>
            <w:noWrap/>
            <w:hideMark/>
          </w:tcPr>
          <w:p w14:paraId="7F189BF0"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p>
        </w:tc>
        <w:tc>
          <w:tcPr>
            <w:tcW w:w="1047" w:type="dxa"/>
            <w:noWrap/>
            <w:hideMark/>
          </w:tcPr>
          <w:p w14:paraId="6E2342F1"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p>
        </w:tc>
      </w:tr>
      <w:tr w:rsidR="004E2861" w:rsidRPr="00C34CF2" w14:paraId="7F3AC875" w14:textId="77777777">
        <w:trPr>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02767E5E" w14:textId="77777777" w:rsidR="004E2861" w:rsidRPr="00C34CF2" w:rsidRDefault="004E2861">
            <w:pPr>
              <w:spacing w:after="120"/>
              <w:rPr>
                <w:b w:val="0"/>
                <w:bCs w:val="0"/>
              </w:rPr>
            </w:pPr>
            <w:r w:rsidRPr="00C34CF2">
              <w:rPr>
                <w:b w:val="0"/>
                <w:bCs w:val="0"/>
              </w:rPr>
              <w:t>Hourly rate per VPS level including oncosts ($)</w:t>
            </w:r>
          </w:p>
        </w:tc>
        <w:tc>
          <w:tcPr>
            <w:tcW w:w="837" w:type="dxa"/>
            <w:noWrap/>
            <w:hideMark/>
          </w:tcPr>
          <w:p w14:paraId="16DA9BFD"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70.72</w:t>
            </w:r>
          </w:p>
        </w:tc>
        <w:tc>
          <w:tcPr>
            <w:tcW w:w="1047" w:type="dxa"/>
            <w:noWrap/>
            <w:hideMark/>
          </w:tcPr>
          <w:p w14:paraId="5B9F0976"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84.41</w:t>
            </w:r>
          </w:p>
        </w:tc>
      </w:tr>
      <w:tr w:rsidR="004E2861" w:rsidRPr="00C34CF2" w14:paraId="613F2EA3" w14:textId="77777777">
        <w:trPr>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0D29337B" w14:textId="77777777" w:rsidR="004E2861" w:rsidRPr="00C34CF2" w:rsidRDefault="004E2861">
            <w:pPr>
              <w:spacing w:after="120"/>
              <w:rPr>
                <w:b w:val="0"/>
                <w:bCs w:val="0"/>
                <w:i/>
              </w:rPr>
            </w:pPr>
            <w:r w:rsidRPr="00C34CF2">
              <w:rPr>
                <w:b w:val="0"/>
                <w:bCs w:val="0"/>
                <w:i/>
                <w:iCs/>
              </w:rPr>
              <w:t>equals</w:t>
            </w:r>
          </w:p>
        </w:tc>
        <w:tc>
          <w:tcPr>
            <w:tcW w:w="837" w:type="dxa"/>
            <w:noWrap/>
            <w:hideMark/>
          </w:tcPr>
          <w:p w14:paraId="00A8BCA5"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p>
        </w:tc>
        <w:tc>
          <w:tcPr>
            <w:tcW w:w="1047" w:type="dxa"/>
            <w:noWrap/>
            <w:hideMark/>
          </w:tcPr>
          <w:p w14:paraId="6459B9F1"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p>
        </w:tc>
      </w:tr>
      <w:tr w:rsidR="004E2861" w:rsidRPr="00C34CF2" w14:paraId="4DB8F46E" w14:textId="77777777">
        <w:trPr>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4FED1195" w14:textId="77777777" w:rsidR="004E2861" w:rsidRPr="00C34CF2" w:rsidRDefault="004E2861">
            <w:pPr>
              <w:spacing w:after="120"/>
              <w:rPr>
                <w:b w:val="0"/>
                <w:bCs w:val="0"/>
              </w:rPr>
            </w:pPr>
            <w:r w:rsidRPr="00C34CF2">
              <w:rPr>
                <w:b w:val="0"/>
                <w:bCs w:val="0"/>
              </w:rPr>
              <w:t>Total cost of processing applications at each VPS level ($)</w:t>
            </w:r>
          </w:p>
        </w:tc>
        <w:tc>
          <w:tcPr>
            <w:tcW w:w="837" w:type="dxa"/>
            <w:noWrap/>
            <w:hideMark/>
          </w:tcPr>
          <w:p w14:paraId="54C87052"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123.76</w:t>
            </w:r>
          </w:p>
        </w:tc>
        <w:tc>
          <w:tcPr>
            <w:tcW w:w="1047" w:type="dxa"/>
            <w:noWrap/>
            <w:hideMark/>
          </w:tcPr>
          <w:p w14:paraId="2889E8E9"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21.10</w:t>
            </w:r>
          </w:p>
        </w:tc>
      </w:tr>
      <w:tr w:rsidR="004E2861" w:rsidRPr="00C34CF2" w14:paraId="263F5690" w14:textId="77777777">
        <w:trPr>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4B860C3B" w14:textId="77777777" w:rsidR="004E2861" w:rsidRPr="00C34CF2" w:rsidRDefault="004E2861">
            <w:pPr>
              <w:spacing w:after="120"/>
              <w:rPr>
                <w:b w:val="0"/>
                <w:bCs w:val="0"/>
              </w:rPr>
            </w:pPr>
            <w:r w:rsidRPr="00C34CF2">
              <w:rPr>
                <w:b w:val="0"/>
                <w:bCs w:val="0"/>
              </w:rPr>
              <w:t>Cost of processing an application ($)</w:t>
            </w:r>
          </w:p>
        </w:tc>
        <w:tc>
          <w:tcPr>
            <w:tcW w:w="837" w:type="dxa"/>
            <w:noWrap/>
            <w:hideMark/>
          </w:tcPr>
          <w:p w14:paraId="70901F54"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p>
        </w:tc>
        <w:tc>
          <w:tcPr>
            <w:tcW w:w="1047" w:type="dxa"/>
            <w:noWrap/>
            <w:hideMark/>
          </w:tcPr>
          <w:p w14:paraId="640EC8EF"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b/>
                <w:bCs/>
              </w:rPr>
            </w:pPr>
            <w:r w:rsidRPr="00C34CF2">
              <w:rPr>
                <w:b/>
                <w:bCs/>
              </w:rPr>
              <w:t>144.86</w:t>
            </w:r>
          </w:p>
        </w:tc>
      </w:tr>
    </w:tbl>
    <w:p w14:paraId="66E88EB4" w14:textId="2D45DDE7" w:rsidR="004E2861" w:rsidRDefault="00437C76" w:rsidP="00437C76">
      <w:pPr>
        <w:pStyle w:val="Caption"/>
      </w:pPr>
      <w:bookmarkStart w:id="298" w:name="_Toc216087868"/>
      <w:bookmarkStart w:id="299" w:name="_Toc226448367"/>
      <w:r>
        <w:t xml:space="preserve">Table </w:t>
      </w:r>
      <w:r w:rsidR="005A7DAB">
        <w:fldChar w:fldCharType="begin"/>
      </w:r>
      <w:r w:rsidR="005A7DAB">
        <w:instrText xml:space="preserve"> SEQ Table \* ARABIC </w:instrText>
      </w:r>
      <w:r w:rsidR="005A7DAB">
        <w:fldChar w:fldCharType="separate"/>
      </w:r>
      <w:r w:rsidR="00F170D0">
        <w:rPr>
          <w:noProof/>
        </w:rPr>
        <w:t>19</w:t>
      </w:r>
      <w:r w:rsidR="005A7DAB">
        <w:rPr>
          <w:noProof/>
        </w:rPr>
        <w:fldChar w:fldCharType="end"/>
      </w:r>
      <w:r w:rsidR="004E2861">
        <w:t xml:space="preserve"> – </w:t>
      </w:r>
      <w:r w:rsidR="004E2861" w:rsidRPr="00C34CF2">
        <w:t>Cost to assess an application - mid complexity applications: 7 hours</w:t>
      </w:r>
      <w:bookmarkEnd w:id="298"/>
      <w:bookmarkEnd w:id="299"/>
    </w:p>
    <w:tbl>
      <w:tblPr>
        <w:tblStyle w:val="GridTable1Light"/>
        <w:tblW w:w="0" w:type="auto"/>
        <w:tblLook w:val="04A0" w:firstRow="1" w:lastRow="0" w:firstColumn="1" w:lastColumn="0" w:noHBand="0" w:noVBand="1"/>
      </w:tblPr>
      <w:tblGrid>
        <w:gridCol w:w="7508"/>
        <w:gridCol w:w="852"/>
        <w:gridCol w:w="1050"/>
      </w:tblGrid>
      <w:tr w:rsidR="004E2861" w:rsidRPr="00C34CF2" w14:paraId="55020286" w14:textId="77777777">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7508" w:type="dxa"/>
            <w:noWrap/>
            <w:hideMark/>
          </w:tcPr>
          <w:p w14:paraId="02B778AB" w14:textId="77777777" w:rsidR="004E2861" w:rsidRPr="00C34CF2" w:rsidRDefault="004E2861">
            <w:pPr>
              <w:spacing w:after="120"/>
              <w:rPr>
                <w:i/>
                <w:iCs/>
              </w:rPr>
            </w:pPr>
          </w:p>
        </w:tc>
        <w:tc>
          <w:tcPr>
            <w:tcW w:w="852" w:type="dxa"/>
            <w:noWrap/>
            <w:hideMark/>
          </w:tcPr>
          <w:p w14:paraId="539CF377" w14:textId="77777777" w:rsidR="004E2861" w:rsidRPr="00C34CF2" w:rsidRDefault="004E2861">
            <w:pPr>
              <w:spacing w:after="120"/>
              <w:cnfStyle w:val="100000000000" w:firstRow="1" w:lastRow="0" w:firstColumn="0" w:lastColumn="0" w:oddVBand="0" w:evenVBand="0" w:oddHBand="0" w:evenHBand="0" w:firstRowFirstColumn="0" w:firstRowLastColumn="0" w:lastRowFirstColumn="0" w:lastRowLastColumn="0"/>
            </w:pPr>
            <w:r w:rsidRPr="00C34CF2">
              <w:t>VPS3</w:t>
            </w:r>
          </w:p>
        </w:tc>
        <w:tc>
          <w:tcPr>
            <w:tcW w:w="1050" w:type="dxa"/>
            <w:noWrap/>
            <w:hideMark/>
          </w:tcPr>
          <w:p w14:paraId="4734F0AD" w14:textId="77777777" w:rsidR="004E2861" w:rsidRPr="00C34CF2" w:rsidRDefault="004E2861">
            <w:pPr>
              <w:spacing w:after="120"/>
              <w:cnfStyle w:val="100000000000" w:firstRow="1" w:lastRow="0" w:firstColumn="0" w:lastColumn="0" w:oddVBand="0" w:evenVBand="0" w:oddHBand="0" w:evenHBand="0" w:firstRowFirstColumn="0" w:firstRowLastColumn="0" w:lastRowFirstColumn="0" w:lastRowLastColumn="0"/>
            </w:pPr>
            <w:r w:rsidRPr="00C34CF2">
              <w:t>VPS4</w:t>
            </w:r>
          </w:p>
        </w:tc>
      </w:tr>
      <w:tr w:rsidR="004E2861" w:rsidRPr="00C34CF2" w14:paraId="167470B1" w14:textId="77777777">
        <w:trPr>
          <w:trHeight w:val="305"/>
        </w:trPr>
        <w:tc>
          <w:tcPr>
            <w:cnfStyle w:val="001000000000" w:firstRow="0" w:lastRow="0" w:firstColumn="1" w:lastColumn="0" w:oddVBand="0" w:evenVBand="0" w:oddHBand="0" w:evenHBand="0" w:firstRowFirstColumn="0" w:firstRowLastColumn="0" w:lastRowFirstColumn="0" w:lastRowLastColumn="0"/>
            <w:tcW w:w="7508" w:type="dxa"/>
            <w:noWrap/>
            <w:hideMark/>
          </w:tcPr>
          <w:p w14:paraId="4927BB2D" w14:textId="77777777" w:rsidR="004E2861" w:rsidRPr="00C34CF2" w:rsidRDefault="004E2861">
            <w:pPr>
              <w:spacing w:after="120"/>
              <w:rPr>
                <w:b w:val="0"/>
                <w:bCs w:val="0"/>
              </w:rPr>
            </w:pPr>
            <w:r w:rsidRPr="00C34CF2">
              <w:rPr>
                <w:b w:val="0"/>
                <w:bCs w:val="0"/>
              </w:rPr>
              <w:t>Average time in hours to process applications</w:t>
            </w:r>
          </w:p>
        </w:tc>
        <w:tc>
          <w:tcPr>
            <w:tcW w:w="852" w:type="dxa"/>
            <w:noWrap/>
            <w:hideMark/>
          </w:tcPr>
          <w:p w14:paraId="144487CA"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6.50</w:t>
            </w:r>
          </w:p>
        </w:tc>
        <w:tc>
          <w:tcPr>
            <w:tcW w:w="1050" w:type="dxa"/>
            <w:noWrap/>
            <w:hideMark/>
          </w:tcPr>
          <w:p w14:paraId="241A0D14"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0.50</w:t>
            </w:r>
          </w:p>
        </w:tc>
      </w:tr>
      <w:tr w:rsidR="004E2861" w:rsidRPr="00C34CF2" w14:paraId="28F13D52" w14:textId="77777777">
        <w:trPr>
          <w:trHeight w:val="305"/>
        </w:trPr>
        <w:tc>
          <w:tcPr>
            <w:cnfStyle w:val="001000000000" w:firstRow="0" w:lastRow="0" w:firstColumn="1" w:lastColumn="0" w:oddVBand="0" w:evenVBand="0" w:oddHBand="0" w:evenHBand="0" w:firstRowFirstColumn="0" w:firstRowLastColumn="0" w:lastRowFirstColumn="0" w:lastRowLastColumn="0"/>
            <w:tcW w:w="7508" w:type="dxa"/>
            <w:noWrap/>
            <w:hideMark/>
          </w:tcPr>
          <w:p w14:paraId="0C13E12A" w14:textId="77777777" w:rsidR="004E2861" w:rsidRPr="00C34CF2" w:rsidRDefault="004E2861">
            <w:pPr>
              <w:spacing w:after="120"/>
              <w:rPr>
                <w:b w:val="0"/>
                <w:bCs w:val="0"/>
                <w:i/>
              </w:rPr>
            </w:pPr>
            <w:r w:rsidRPr="00C34CF2">
              <w:rPr>
                <w:b w:val="0"/>
                <w:bCs w:val="0"/>
                <w:i/>
                <w:iCs/>
              </w:rPr>
              <w:t>multiplied by</w:t>
            </w:r>
          </w:p>
        </w:tc>
        <w:tc>
          <w:tcPr>
            <w:tcW w:w="852" w:type="dxa"/>
            <w:noWrap/>
            <w:hideMark/>
          </w:tcPr>
          <w:p w14:paraId="71B1B7D6"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p>
        </w:tc>
        <w:tc>
          <w:tcPr>
            <w:tcW w:w="1050" w:type="dxa"/>
            <w:noWrap/>
            <w:hideMark/>
          </w:tcPr>
          <w:p w14:paraId="49E673B2"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p>
        </w:tc>
      </w:tr>
      <w:tr w:rsidR="004E2861" w:rsidRPr="00C34CF2" w14:paraId="146DC450" w14:textId="77777777">
        <w:trPr>
          <w:trHeight w:val="305"/>
        </w:trPr>
        <w:tc>
          <w:tcPr>
            <w:cnfStyle w:val="001000000000" w:firstRow="0" w:lastRow="0" w:firstColumn="1" w:lastColumn="0" w:oddVBand="0" w:evenVBand="0" w:oddHBand="0" w:evenHBand="0" w:firstRowFirstColumn="0" w:firstRowLastColumn="0" w:lastRowFirstColumn="0" w:lastRowLastColumn="0"/>
            <w:tcW w:w="7508" w:type="dxa"/>
            <w:noWrap/>
            <w:hideMark/>
          </w:tcPr>
          <w:p w14:paraId="49CA3B78" w14:textId="77777777" w:rsidR="004E2861" w:rsidRPr="00C34CF2" w:rsidRDefault="004E2861">
            <w:pPr>
              <w:spacing w:after="120"/>
              <w:rPr>
                <w:b w:val="0"/>
                <w:bCs w:val="0"/>
              </w:rPr>
            </w:pPr>
            <w:r w:rsidRPr="00C34CF2">
              <w:rPr>
                <w:b w:val="0"/>
                <w:bCs w:val="0"/>
              </w:rPr>
              <w:t>Hourly rate per VPS level including oncosts ($)</w:t>
            </w:r>
          </w:p>
        </w:tc>
        <w:tc>
          <w:tcPr>
            <w:tcW w:w="852" w:type="dxa"/>
            <w:noWrap/>
            <w:hideMark/>
          </w:tcPr>
          <w:p w14:paraId="6E584BC6"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70.72</w:t>
            </w:r>
          </w:p>
        </w:tc>
        <w:tc>
          <w:tcPr>
            <w:tcW w:w="1050" w:type="dxa"/>
            <w:noWrap/>
            <w:hideMark/>
          </w:tcPr>
          <w:p w14:paraId="4C5FDB52"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84.41</w:t>
            </w:r>
          </w:p>
        </w:tc>
      </w:tr>
      <w:tr w:rsidR="004E2861" w:rsidRPr="00C34CF2" w14:paraId="49A87639" w14:textId="77777777">
        <w:trPr>
          <w:trHeight w:val="305"/>
        </w:trPr>
        <w:tc>
          <w:tcPr>
            <w:cnfStyle w:val="001000000000" w:firstRow="0" w:lastRow="0" w:firstColumn="1" w:lastColumn="0" w:oddVBand="0" w:evenVBand="0" w:oddHBand="0" w:evenHBand="0" w:firstRowFirstColumn="0" w:firstRowLastColumn="0" w:lastRowFirstColumn="0" w:lastRowLastColumn="0"/>
            <w:tcW w:w="7508" w:type="dxa"/>
            <w:noWrap/>
            <w:hideMark/>
          </w:tcPr>
          <w:p w14:paraId="5210FDA3" w14:textId="77777777" w:rsidR="004E2861" w:rsidRPr="00C34CF2" w:rsidRDefault="004E2861">
            <w:pPr>
              <w:spacing w:after="120"/>
              <w:rPr>
                <w:b w:val="0"/>
                <w:bCs w:val="0"/>
                <w:i/>
              </w:rPr>
            </w:pPr>
            <w:r w:rsidRPr="00C34CF2">
              <w:rPr>
                <w:b w:val="0"/>
                <w:bCs w:val="0"/>
                <w:i/>
                <w:iCs/>
              </w:rPr>
              <w:t>equals</w:t>
            </w:r>
          </w:p>
        </w:tc>
        <w:tc>
          <w:tcPr>
            <w:tcW w:w="852" w:type="dxa"/>
            <w:noWrap/>
            <w:hideMark/>
          </w:tcPr>
          <w:p w14:paraId="70DF487A"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p>
        </w:tc>
        <w:tc>
          <w:tcPr>
            <w:tcW w:w="1050" w:type="dxa"/>
            <w:noWrap/>
            <w:hideMark/>
          </w:tcPr>
          <w:p w14:paraId="40EC7099"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p>
        </w:tc>
      </w:tr>
      <w:tr w:rsidR="004E2861" w:rsidRPr="00C34CF2" w14:paraId="645CCBF7" w14:textId="77777777">
        <w:trPr>
          <w:trHeight w:val="305"/>
        </w:trPr>
        <w:tc>
          <w:tcPr>
            <w:cnfStyle w:val="001000000000" w:firstRow="0" w:lastRow="0" w:firstColumn="1" w:lastColumn="0" w:oddVBand="0" w:evenVBand="0" w:oddHBand="0" w:evenHBand="0" w:firstRowFirstColumn="0" w:firstRowLastColumn="0" w:lastRowFirstColumn="0" w:lastRowLastColumn="0"/>
            <w:tcW w:w="7508" w:type="dxa"/>
            <w:noWrap/>
            <w:hideMark/>
          </w:tcPr>
          <w:p w14:paraId="5ECC3DF9" w14:textId="77777777" w:rsidR="004E2861" w:rsidRPr="00C34CF2" w:rsidRDefault="004E2861">
            <w:pPr>
              <w:spacing w:after="120"/>
              <w:rPr>
                <w:b w:val="0"/>
                <w:bCs w:val="0"/>
              </w:rPr>
            </w:pPr>
            <w:r w:rsidRPr="00C34CF2">
              <w:rPr>
                <w:b w:val="0"/>
                <w:bCs w:val="0"/>
              </w:rPr>
              <w:t>Total cost of processing applications at each VPS level ($)</w:t>
            </w:r>
          </w:p>
        </w:tc>
        <w:tc>
          <w:tcPr>
            <w:tcW w:w="852" w:type="dxa"/>
            <w:noWrap/>
            <w:hideMark/>
          </w:tcPr>
          <w:p w14:paraId="5C726E6B"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459.68</w:t>
            </w:r>
          </w:p>
        </w:tc>
        <w:tc>
          <w:tcPr>
            <w:tcW w:w="1050" w:type="dxa"/>
            <w:noWrap/>
            <w:hideMark/>
          </w:tcPr>
          <w:p w14:paraId="2D02ED77"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42.21</w:t>
            </w:r>
          </w:p>
        </w:tc>
      </w:tr>
      <w:tr w:rsidR="004E2861" w:rsidRPr="00C34CF2" w14:paraId="787EA294" w14:textId="77777777">
        <w:trPr>
          <w:trHeight w:val="305"/>
        </w:trPr>
        <w:tc>
          <w:tcPr>
            <w:cnfStyle w:val="001000000000" w:firstRow="0" w:lastRow="0" w:firstColumn="1" w:lastColumn="0" w:oddVBand="0" w:evenVBand="0" w:oddHBand="0" w:evenHBand="0" w:firstRowFirstColumn="0" w:firstRowLastColumn="0" w:lastRowFirstColumn="0" w:lastRowLastColumn="0"/>
            <w:tcW w:w="7508" w:type="dxa"/>
            <w:noWrap/>
            <w:hideMark/>
          </w:tcPr>
          <w:p w14:paraId="5709A57C" w14:textId="77777777" w:rsidR="004E2861" w:rsidRPr="00C34CF2" w:rsidRDefault="004E2861">
            <w:pPr>
              <w:spacing w:after="120"/>
              <w:rPr>
                <w:b w:val="0"/>
                <w:bCs w:val="0"/>
              </w:rPr>
            </w:pPr>
            <w:r w:rsidRPr="00C34CF2">
              <w:rPr>
                <w:b w:val="0"/>
                <w:bCs w:val="0"/>
              </w:rPr>
              <w:t>Cost of processing an application ($)</w:t>
            </w:r>
          </w:p>
        </w:tc>
        <w:tc>
          <w:tcPr>
            <w:tcW w:w="852" w:type="dxa"/>
            <w:noWrap/>
            <w:hideMark/>
          </w:tcPr>
          <w:p w14:paraId="281E6F53"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p>
        </w:tc>
        <w:tc>
          <w:tcPr>
            <w:tcW w:w="1050" w:type="dxa"/>
            <w:noWrap/>
            <w:hideMark/>
          </w:tcPr>
          <w:p w14:paraId="32A17E7F"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b/>
                <w:bCs/>
              </w:rPr>
            </w:pPr>
            <w:r w:rsidRPr="00C34CF2">
              <w:rPr>
                <w:b/>
                <w:bCs/>
              </w:rPr>
              <w:t>501.89</w:t>
            </w:r>
          </w:p>
        </w:tc>
      </w:tr>
    </w:tbl>
    <w:p w14:paraId="2D2FFCCE" w14:textId="5542707A" w:rsidR="004E2861" w:rsidRDefault="00437C76" w:rsidP="00437C76">
      <w:pPr>
        <w:pStyle w:val="Caption"/>
      </w:pPr>
      <w:bookmarkStart w:id="300" w:name="_Toc226448368"/>
      <w:r>
        <w:t xml:space="preserve">Table </w:t>
      </w:r>
      <w:r w:rsidR="005A7DAB">
        <w:fldChar w:fldCharType="begin"/>
      </w:r>
      <w:r w:rsidR="005A7DAB">
        <w:instrText xml:space="preserve"> SEQ Table \* ARABIC </w:instrText>
      </w:r>
      <w:r w:rsidR="005A7DAB">
        <w:fldChar w:fldCharType="separate"/>
      </w:r>
      <w:r w:rsidR="00F170D0">
        <w:rPr>
          <w:noProof/>
        </w:rPr>
        <w:t>20</w:t>
      </w:r>
      <w:r w:rsidR="005A7DAB">
        <w:rPr>
          <w:noProof/>
        </w:rPr>
        <w:fldChar w:fldCharType="end"/>
      </w:r>
      <w:r w:rsidR="004E2861" w:rsidRPr="002F00D6">
        <w:t xml:space="preserve"> </w:t>
      </w:r>
      <w:r w:rsidR="004E2861">
        <w:t xml:space="preserve">– </w:t>
      </w:r>
      <w:r w:rsidR="004E2861" w:rsidRPr="00C34CF2">
        <w:t>Cost to assess an application - high complexity applications: 15 hours</w:t>
      </w:r>
      <w:bookmarkEnd w:id="300"/>
    </w:p>
    <w:tbl>
      <w:tblPr>
        <w:tblStyle w:val="GridTable1Light"/>
        <w:tblW w:w="0" w:type="auto"/>
        <w:tblLook w:val="04A0" w:firstRow="1" w:lastRow="0" w:firstColumn="1" w:lastColumn="0" w:noHBand="0" w:noVBand="1"/>
      </w:tblPr>
      <w:tblGrid>
        <w:gridCol w:w="7467"/>
        <w:gridCol w:w="882"/>
        <w:gridCol w:w="1004"/>
      </w:tblGrid>
      <w:tr w:rsidR="004E2861" w:rsidRPr="00C34CF2" w14:paraId="3DBADE9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25023A30" w14:textId="77777777" w:rsidR="004E2861" w:rsidRPr="00C34CF2" w:rsidRDefault="004E2861">
            <w:pPr>
              <w:spacing w:after="120"/>
              <w:rPr>
                <w:i/>
                <w:iCs/>
              </w:rPr>
            </w:pPr>
          </w:p>
        </w:tc>
        <w:tc>
          <w:tcPr>
            <w:tcW w:w="882" w:type="dxa"/>
            <w:noWrap/>
            <w:hideMark/>
          </w:tcPr>
          <w:p w14:paraId="617F04A0" w14:textId="77777777" w:rsidR="004E2861" w:rsidRPr="00C34CF2" w:rsidRDefault="004E2861">
            <w:pPr>
              <w:spacing w:after="120"/>
              <w:cnfStyle w:val="100000000000" w:firstRow="1" w:lastRow="0" w:firstColumn="0" w:lastColumn="0" w:oddVBand="0" w:evenVBand="0" w:oddHBand="0" w:evenHBand="0" w:firstRowFirstColumn="0" w:firstRowLastColumn="0" w:lastRowFirstColumn="0" w:lastRowLastColumn="0"/>
            </w:pPr>
            <w:r w:rsidRPr="00C34CF2">
              <w:t>VPS3</w:t>
            </w:r>
          </w:p>
        </w:tc>
        <w:tc>
          <w:tcPr>
            <w:tcW w:w="1004" w:type="dxa"/>
            <w:noWrap/>
            <w:hideMark/>
          </w:tcPr>
          <w:p w14:paraId="60E14903" w14:textId="77777777" w:rsidR="004E2861" w:rsidRPr="00C34CF2" w:rsidRDefault="004E2861">
            <w:pPr>
              <w:spacing w:after="120"/>
              <w:cnfStyle w:val="100000000000" w:firstRow="1" w:lastRow="0" w:firstColumn="0" w:lastColumn="0" w:oddVBand="0" w:evenVBand="0" w:oddHBand="0" w:evenHBand="0" w:firstRowFirstColumn="0" w:firstRowLastColumn="0" w:lastRowFirstColumn="0" w:lastRowLastColumn="0"/>
            </w:pPr>
            <w:r w:rsidRPr="00C34CF2">
              <w:t>VPS4</w:t>
            </w:r>
          </w:p>
        </w:tc>
      </w:tr>
      <w:tr w:rsidR="004E2861" w:rsidRPr="00C34CF2" w14:paraId="153EA15E" w14:textId="77777777">
        <w:trPr>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44FA3347" w14:textId="77777777" w:rsidR="004E2861" w:rsidRPr="00C34CF2" w:rsidRDefault="004E2861">
            <w:pPr>
              <w:spacing w:after="120"/>
              <w:rPr>
                <w:b w:val="0"/>
                <w:bCs w:val="0"/>
              </w:rPr>
            </w:pPr>
            <w:r w:rsidRPr="00C34CF2">
              <w:rPr>
                <w:b w:val="0"/>
                <w:bCs w:val="0"/>
              </w:rPr>
              <w:t>Average time in hours to process applications</w:t>
            </w:r>
          </w:p>
        </w:tc>
        <w:tc>
          <w:tcPr>
            <w:tcW w:w="882" w:type="dxa"/>
            <w:noWrap/>
            <w:hideMark/>
          </w:tcPr>
          <w:p w14:paraId="4D8DFE43"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14.00</w:t>
            </w:r>
          </w:p>
        </w:tc>
        <w:tc>
          <w:tcPr>
            <w:tcW w:w="1004" w:type="dxa"/>
            <w:noWrap/>
            <w:hideMark/>
          </w:tcPr>
          <w:p w14:paraId="5B603784"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1.00</w:t>
            </w:r>
          </w:p>
        </w:tc>
      </w:tr>
      <w:tr w:rsidR="004E2861" w:rsidRPr="00C34CF2" w14:paraId="44BB4F03" w14:textId="77777777">
        <w:trPr>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1EC14188" w14:textId="77777777" w:rsidR="004E2861" w:rsidRPr="00C34CF2" w:rsidRDefault="004E2861">
            <w:pPr>
              <w:spacing w:after="120"/>
              <w:rPr>
                <w:b w:val="0"/>
                <w:bCs w:val="0"/>
                <w:i/>
              </w:rPr>
            </w:pPr>
            <w:r w:rsidRPr="00C34CF2">
              <w:rPr>
                <w:b w:val="0"/>
                <w:bCs w:val="0"/>
                <w:i/>
                <w:iCs/>
              </w:rPr>
              <w:t>multiplied by</w:t>
            </w:r>
          </w:p>
        </w:tc>
        <w:tc>
          <w:tcPr>
            <w:tcW w:w="882" w:type="dxa"/>
            <w:noWrap/>
            <w:hideMark/>
          </w:tcPr>
          <w:p w14:paraId="76FBC297"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p>
        </w:tc>
        <w:tc>
          <w:tcPr>
            <w:tcW w:w="1004" w:type="dxa"/>
            <w:noWrap/>
            <w:hideMark/>
          </w:tcPr>
          <w:p w14:paraId="3364FFEF"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p>
        </w:tc>
      </w:tr>
      <w:tr w:rsidR="004E2861" w:rsidRPr="00C34CF2" w14:paraId="0B0D4122" w14:textId="77777777">
        <w:trPr>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60D3021A" w14:textId="77777777" w:rsidR="004E2861" w:rsidRPr="00C34CF2" w:rsidRDefault="004E2861">
            <w:pPr>
              <w:spacing w:after="120"/>
              <w:rPr>
                <w:b w:val="0"/>
                <w:bCs w:val="0"/>
              </w:rPr>
            </w:pPr>
            <w:r w:rsidRPr="00C34CF2">
              <w:rPr>
                <w:b w:val="0"/>
                <w:bCs w:val="0"/>
              </w:rPr>
              <w:t>Hourly rate per VPS level including oncosts ($)</w:t>
            </w:r>
          </w:p>
        </w:tc>
        <w:tc>
          <w:tcPr>
            <w:tcW w:w="882" w:type="dxa"/>
            <w:noWrap/>
            <w:hideMark/>
          </w:tcPr>
          <w:p w14:paraId="1A047B63"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70.72</w:t>
            </w:r>
          </w:p>
        </w:tc>
        <w:tc>
          <w:tcPr>
            <w:tcW w:w="1004" w:type="dxa"/>
            <w:noWrap/>
            <w:hideMark/>
          </w:tcPr>
          <w:p w14:paraId="38FE3392"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84.41</w:t>
            </w:r>
          </w:p>
        </w:tc>
      </w:tr>
      <w:tr w:rsidR="004E2861" w:rsidRPr="00C34CF2" w14:paraId="7E0034B2" w14:textId="77777777">
        <w:trPr>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168867B5" w14:textId="77777777" w:rsidR="004E2861" w:rsidRPr="00C34CF2" w:rsidRDefault="004E2861">
            <w:pPr>
              <w:spacing w:after="120"/>
              <w:rPr>
                <w:b w:val="0"/>
                <w:bCs w:val="0"/>
                <w:i/>
              </w:rPr>
            </w:pPr>
            <w:r w:rsidRPr="00C34CF2">
              <w:rPr>
                <w:b w:val="0"/>
                <w:bCs w:val="0"/>
                <w:i/>
                <w:iCs/>
              </w:rPr>
              <w:t>equals</w:t>
            </w:r>
          </w:p>
        </w:tc>
        <w:tc>
          <w:tcPr>
            <w:tcW w:w="882" w:type="dxa"/>
            <w:noWrap/>
            <w:hideMark/>
          </w:tcPr>
          <w:p w14:paraId="09FF40A2"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p>
        </w:tc>
        <w:tc>
          <w:tcPr>
            <w:tcW w:w="1004" w:type="dxa"/>
            <w:noWrap/>
            <w:hideMark/>
          </w:tcPr>
          <w:p w14:paraId="205F2AF8"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p>
        </w:tc>
      </w:tr>
      <w:tr w:rsidR="004E2861" w:rsidRPr="00C34CF2" w14:paraId="438F10F3" w14:textId="77777777">
        <w:trPr>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68F2913D" w14:textId="77777777" w:rsidR="004E2861" w:rsidRPr="00C34CF2" w:rsidRDefault="004E2861">
            <w:pPr>
              <w:spacing w:after="120"/>
              <w:rPr>
                <w:b w:val="0"/>
                <w:bCs w:val="0"/>
              </w:rPr>
            </w:pPr>
            <w:r w:rsidRPr="00C34CF2">
              <w:rPr>
                <w:b w:val="0"/>
                <w:bCs w:val="0"/>
              </w:rPr>
              <w:t>Total cost of processing applications at each VPS level ($)</w:t>
            </w:r>
          </w:p>
        </w:tc>
        <w:tc>
          <w:tcPr>
            <w:tcW w:w="882" w:type="dxa"/>
            <w:noWrap/>
            <w:hideMark/>
          </w:tcPr>
          <w:p w14:paraId="3CBAC5AD"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990.08</w:t>
            </w:r>
          </w:p>
        </w:tc>
        <w:tc>
          <w:tcPr>
            <w:tcW w:w="1004" w:type="dxa"/>
            <w:noWrap/>
            <w:hideMark/>
          </w:tcPr>
          <w:p w14:paraId="643E42A1"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84.41</w:t>
            </w:r>
          </w:p>
        </w:tc>
      </w:tr>
      <w:tr w:rsidR="004E2861" w:rsidRPr="00C34CF2" w14:paraId="44D8F23B" w14:textId="77777777">
        <w:trPr>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628A1AC8" w14:textId="77777777" w:rsidR="004E2861" w:rsidRPr="00C34CF2" w:rsidRDefault="004E2861">
            <w:pPr>
              <w:spacing w:after="120"/>
              <w:rPr>
                <w:b w:val="0"/>
                <w:bCs w:val="0"/>
              </w:rPr>
            </w:pPr>
            <w:r w:rsidRPr="00C34CF2">
              <w:rPr>
                <w:b w:val="0"/>
                <w:bCs w:val="0"/>
              </w:rPr>
              <w:t>Cost of processing an application ($)</w:t>
            </w:r>
          </w:p>
        </w:tc>
        <w:tc>
          <w:tcPr>
            <w:tcW w:w="882" w:type="dxa"/>
            <w:noWrap/>
            <w:hideMark/>
          </w:tcPr>
          <w:p w14:paraId="6732690F"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p>
        </w:tc>
        <w:tc>
          <w:tcPr>
            <w:tcW w:w="1004" w:type="dxa"/>
            <w:noWrap/>
            <w:hideMark/>
          </w:tcPr>
          <w:p w14:paraId="13F54EB3"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b/>
                <w:bCs/>
              </w:rPr>
            </w:pPr>
            <w:r w:rsidRPr="00C34CF2">
              <w:rPr>
                <w:b/>
                <w:bCs/>
              </w:rPr>
              <w:t>1,074.49</w:t>
            </w:r>
          </w:p>
        </w:tc>
      </w:tr>
    </w:tbl>
    <w:p w14:paraId="51D1AD08" w14:textId="5BEF311A" w:rsidR="004E2861" w:rsidRPr="00C34CF2" w:rsidRDefault="004E2861" w:rsidP="004E2861">
      <w:r w:rsidRPr="00C34CF2">
        <w:lastRenderedPageBreak/>
        <w:t>In summary, the estimated cost of processing applications for the Department’s metropolitan team in 2024 ranges from $1,068,122 to $1,440</w:t>
      </w:r>
      <w:r w:rsidR="007B37CD">
        <w:t>,</w:t>
      </w:r>
      <w:r w:rsidRPr="00C34CF2">
        <w:t>590. This range is based on low complexity level applications being 50 to 70 per cent, with the reminder mid and high level applications calculated according to these percentages, as discussed above.</w:t>
      </w:r>
    </w:p>
    <w:p w14:paraId="73E7DF73" w14:textId="1B898DB5" w:rsidR="004E2861" w:rsidRDefault="00437C76" w:rsidP="00437C76">
      <w:pPr>
        <w:pStyle w:val="Caption"/>
      </w:pPr>
      <w:bookmarkStart w:id="301" w:name="_Toc226448369"/>
      <w:r>
        <w:t xml:space="preserve">Table </w:t>
      </w:r>
      <w:r w:rsidR="005A7DAB">
        <w:fldChar w:fldCharType="begin"/>
      </w:r>
      <w:r w:rsidR="005A7DAB">
        <w:instrText xml:space="preserve"> SEQ Table \* ARABIC </w:instrText>
      </w:r>
      <w:r w:rsidR="005A7DAB">
        <w:fldChar w:fldCharType="separate"/>
      </w:r>
      <w:r w:rsidR="00F170D0">
        <w:rPr>
          <w:noProof/>
        </w:rPr>
        <w:t>21</w:t>
      </w:r>
      <w:r w:rsidR="005A7DAB">
        <w:rPr>
          <w:noProof/>
        </w:rPr>
        <w:fldChar w:fldCharType="end"/>
      </w:r>
      <w:r w:rsidR="004E2861" w:rsidRPr="002F00D6">
        <w:t xml:space="preserve"> </w:t>
      </w:r>
      <w:r w:rsidR="004E2861">
        <w:t xml:space="preserve">– </w:t>
      </w:r>
      <w:r w:rsidR="004E2861" w:rsidRPr="00C34CF2">
        <w:t>Costs to assess applications, the Department (metro) 2024</w:t>
      </w:r>
      <w:bookmarkEnd w:id="301"/>
    </w:p>
    <w:tbl>
      <w:tblPr>
        <w:tblStyle w:val="TableGrid"/>
        <w:tblW w:w="0" w:type="auto"/>
        <w:tblLook w:val="00A0" w:firstRow="1" w:lastRow="0" w:firstColumn="1" w:lastColumn="0" w:noHBand="0" w:noVBand="0"/>
      </w:tblPr>
      <w:tblGrid>
        <w:gridCol w:w="2153"/>
        <w:gridCol w:w="1882"/>
        <w:gridCol w:w="2269"/>
        <w:gridCol w:w="4044"/>
      </w:tblGrid>
      <w:tr w:rsidR="004E2861" w:rsidRPr="00C34CF2" w14:paraId="63A0A29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dxa"/>
          </w:tcPr>
          <w:p w14:paraId="21742CED" w14:textId="77777777" w:rsidR="004E2861" w:rsidRPr="00C34CF2" w:rsidRDefault="004E2861">
            <w:pPr>
              <w:keepNext w:val="0"/>
            </w:pPr>
            <w:r w:rsidRPr="00C34CF2">
              <w:t>Application type by complexity</w:t>
            </w:r>
          </w:p>
        </w:tc>
        <w:tc>
          <w:tcPr>
            <w:tcW w:w="1882" w:type="dxa"/>
          </w:tcPr>
          <w:p w14:paraId="00EC342D" w14:textId="77777777" w:rsidR="004E2861" w:rsidRPr="00C34CF2" w:rsidRDefault="004E2861">
            <w:pPr>
              <w:keepNext w:val="0"/>
              <w:cnfStyle w:val="100000000000" w:firstRow="1" w:lastRow="0" w:firstColumn="0" w:lastColumn="0" w:oddVBand="0" w:evenVBand="0" w:oddHBand="0" w:evenHBand="0" w:firstRowFirstColumn="0" w:firstRowLastColumn="0" w:lastRowFirstColumn="0" w:lastRowLastColumn="0"/>
            </w:pPr>
            <w:r w:rsidRPr="00C34CF2">
              <w:t>Number of applications</w:t>
            </w:r>
          </w:p>
        </w:tc>
        <w:tc>
          <w:tcPr>
            <w:tcW w:w="2269" w:type="dxa"/>
          </w:tcPr>
          <w:p w14:paraId="009A5F0B" w14:textId="77777777" w:rsidR="004E2861" w:rsidRPr="00C34CF2" w:rsidRDefault="004E2861">
            <w:pPr>
              <w:keepNext w:val="0"/>
              <w:cnfStyle w:val="100000000000" w:firstRow="1" w:lastRow="0" w:firstColumn="0" w:lastColumn="0" w:oddVBand="0" w:evenVBand="0" w:oddHBand="0" w:evenHBand="0" w:firstRowFirstColumn="0" w:firstRowLastColumn="0" w:lastRowFirstColumn="0" w:lastRowLastColumn="0"/>
            </w:pPr>
            <w:r w:rsidRPr="00C34CF2">
              <w:t>Cost to assess per application ($)</w:t>
            </w:r>
          </w:p>
        </w:tc>
        <w:tc>
          <w:tcPr>
            <w:tcW w:w="4044" w:type="dxa"/>
          </w:tcPr>
          <w:p w14:paraId="3D3CE16B" w14:textId="5DFCB649" w:rsidR="004E2861" w:rsidRPr="00C34CF2" w:rsidRDefault="004E2861">
            <w:pPr>
              <w:keepNext w:val="0"/>
              <w:cnfStyle w:val="100000000000" w:firstRow="1" w:lastRow="0" w:firstColumn="0" w:lastColumn="0" w:oddVBand="0" w:evenVBand="0" w:oddHBand="0" w:evenHBand="0" w:firstRowFirstColumn="0" w:firstRowLastColumn="0" w:lastRowFirstColumn="0" w:lastRowLastColumn="0"/>
            </w:pPr>
            <w:r w:rsidRPr="00C34CF2">
              <w:t>Total cost to assess ($</w:t>
            </w:r>
            <w:r w:rsidR="00BC475E">
              <w:t>million</w:t>
            </w:r>
            <w:r w:rsidRPr="00C34CF2">
              <w:t>)</w:t>
            </w:r>
          </w:p>
        </w:tc>
      </w:tr>
      <w:tr w:rsidR="004E2861" w:rsidRPr="00C34CF2" w14:paraId="45E26D8A" w14:textId="77777777">
        <w:tc>
          <w:tcPr>
            <w:cnfStyle w:val="001000000000" w:firstRow="0" w:lastRow="0" w:firstColumn="1" w:lastColumn="0" w:oddVBand="0" w:evenVBand="0" w:oddHBand="0" w:evenHBand="0" w:firstRowFirstColumn="0" w:firstRowLastColumn="0" w:lastRowFirstColumn="0" w:lastRowLastColumn="0"/>
            <w:tcW w:w="2153" w:type="dxa"/>
          </w:tcPr>
          <w:p w14:paraId="248A6ED9" w14:textId="77777777" w:rsidR="004E2861" w:rsidRPr="00C34CF2" w:rsidRDefault="004E2861">
            <w:r w:rsidRPr="00C34CF2">
              <w:t>Low</w:t>
            </w:r>
          </w:p>
        </w:tc>
        <w:tc>
          <w:tcPr>
            <w:tcW w:w="1882" w:type="dxa"/>
          </w:tcPr>
          <w:p w14:paraId="6DCB3533" w14:textId="77777777" w:rsidR="004E2861" w:rsidRPr="00C34CF2" w:rsidRDefault="004E2861">
            <w:pPr>
              <w:cnfStyle w:val="000000000000" w:firstRow="0" w:lastRow="0" w:firstColumn="0" w:lastColumn="0" w:oddVBand="0" w:evenVBand="0" w:oddHBand="0" w:evenHBand="0" w:firstRowFirstColumn="0" w:firstRowLastColumn="0" w:lastRowFirstColumn="0" w:lastRowLastColumn="0"/>
            </w:pPr>
            <w:r w:rsidRPr="00C34CF2">
              <w:t>1,094 to 2,665</w:t>
            </w:r>
          </w:p>
        </w:tc>
        <w:tc>
          <w:tcPr>
            <w:tcW w:w="2269" w:type="dxa"/>
          </w:tcPr>
          <w:p w14:paraId="27C4D27A" w14:textId="4FE30AB1" w:rsidR="004E2861" w:rsidRPr="00C34CF2" w:rsidRDefault="004E2861">
            <w:pPr>
              <w:cnfStyle w:val="000000000000" w:firstRow="0" w:lastRow="0" w:firstColumn="0" w:lastColumn="0" w:oddVBand="0" w:evenVBand="0" w:oddHBand="0" w:evenHBand="0" w:firstRowFirstColumn="0" w:firstRowLastColumn="0" w:lastRowFirstColumn="0" w:lastRowLastColumn="0"/>
            </w:pPr>
            <w:r w:rsidRPr="00C34CF2">
              <w:t>144.9</w:t>
            </w:r>
            <w:r w:rsidR="00345BB9">
              <w:t>0</w:t>
            </w:r>
          </w:p>
        </w:tc>
        <w:tc>
          <w:tcPr>
            <w:tcW w:w="4044" w:type="dxa"/>
          </w:tcPr>
          <w:p w14:paraId="44CB49FE" w14:textId="46E66B1B" w:rsidR="004E2861" w:rsidRPr="00C34CF2" w:rsidRDefault="0077437B">
            <w:pPr>
              <w:cnfStyle w:val="000000000000" w:firstRow="0" w:lastRow="0" w:firstColumn="0" w:lastColumn="0" w:oddVBand="0" w:evenVBand="0" w:oddHBand="0" w:evenHBand="0" w:firstRowFirstColumn="0" w:firstRowLastColumn="0" w:lastRowFirstColumn="0" w:lastRowLastColumn="0"/>
            </w:pPr>
            <w:r>
              <w:t>0.</w:t>
            </w:r>
            <w:r w:rsidR="00683D74">
              <w:t>15</w:t>
            </w:r>
            <w:r w:rsidR="00264833">
              <w:t>9 to 0.3</w:t>
            </w:r>
            <w:r w:rsidR="00EA7BC7">
              <w:t>86</w:t>
            </w:r>
          </w:p>
        </w:tc>
      </w:tr>
      <w:tr w:rsidR="004E2861" w:rsidRPr="00C34CF2" w14:paraId="4BE8A1D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dxa"/>
          </w:tcPr>
          <w:p w14:paraId="1A911FED" w14:textId="77777777" w:rsidR="004E2861" w:rsidRPr="00C34CF2" w:rsidRDefault="004E2861">
            <w:r w:rsidRPr="00C34CF2">
              <w:t>Mid</w:t>
            </w:r>
          </w:p>
        </w:tc>
        <w:tc>
          <w:tcPr>
            <w:tcW w:w="1882" w:type="dxa"/>
          </w:tcPr>
          <w:p w14:paraId="4C8283F0" w14:textId="77777777" w:rsidR="004E2861" w:rsidRPr="00C34CF2" w:rsidRDefault="004E2861">
            <w:pPr>
              <w:cnfStyle w:val="000000010000" w:firstRow="0" w:lastRow="0" w:firstColumn="0" w:lastColumn="0" w:oddVBand="0" w:evenVBand="0" w:oddHBand="0" w:evenHBand="1" w:firstRowFirstColumn="0" w:firstRowLastColumn="0" w:lastRowFirstColumn="0" w:lastRowLastColumn="0"/>
            </w:pPr>
            <w:r w:rsidRPr="00C34CF2">
              <w:t>952 to 1,332</w:t>
            </w:r>
          </w:p>
        </w:tc>
        <w:tc>
          <w:tcPr>
            <w:tcW w:w="2269" w:type="dxa"/>
          </w:tcPr>
          <w:p w14:paraId="460C7AE9" w14:textId="59980217" w:rsidR="004E2861" w:rsidRPr="00C34CF2" w:rsidRDefault="004E2861">
            <w:pPr>
              <w:cnfStyle w:val="000000010000" w:firstRow="0" w:lastRow="0" w:firstColumn="0" w:lastColumn="0" w:oddVBand="0" w:evenVBand="0" w:oddHBand="0" w:evenHBand="1" w:firstRowFirstColumn="0" w:firstRowLastColumn="0" w:lastRowFirstColumn="0" w:lastRowLastColumn="0"/>
            </w:pPr>
            <w:r w:rsidRPr="00C34CF2">
              <w:t>501.9</w:t>
            </w:r>
            <w:r w:rsidR="00345BB9">
              <w:t>0</w:t>
            </w:r>
          </w:p>
        </w:tc>
        <w:tc>
          <w:tcPr>
            <w:tcW w:w="4044" w:type="dxa"/>
          </w:tcPr>
          <w:p w14:paraId="67D4059F" w14:textId="33BCB6BE" w:rsidR="004E2861" w:rsidRPr="00C34CF2" w:rsidRDefault="00EA7BC7">
            <w:pPr>
              <w:cnfStyle w:val="000000010000" w:firstRow="0" w:lastRow="0" w:firstColumn="0" w:lastColumn="0" w:oddVBand="0" w:evenVBand="0" w:oddHBand="0" w:evenHBand="1" w:firstRowFirstColumn="0" w:firstRowLastColumn="0" w:lastRowFirstColumn="0" w:lastRowLastColumn="0"/>
            </w:pPr>
            <w:r>
              <w:t xml:space="preserve"> 0.</w:t>
            </w:r>
            <w:r w:rsidR="00233199">
              <w:t>448 to 0.66</w:t>
            </w:r>
            <w:r w:rsidR="002D5301">
              <w:t>9</w:t>
            </w:r>
          </w:p>
        </w:tc>
      </w:tr>
      <w:tr w:rsidR="004E2861" w:rsidRPr="00C34CF2" w14:paraId="72FD231A" w14:textId="77777777">
        <w:tc>
          <w:tcPr>
            <w:cnfStyle w:val="001000000000" w:firstRow="0" w:lastRow="0" w:firstColumn="1" w:lastColumn="0" w:oddVBand="0" w:evenVBand="0" w:oddHBand="0" w:evenHBand="0" w:firstRowFirstColumn="0" w:firstRowLastColumn="0" w:lastRowFirstColumn="0" w:lastRowLastColumn="0"/>
            <w:tcW w:w="2153" w:type="dxa"/>
          </w:tcPr>
          <w:p w14:paraId="3694AED6" w14:textId="77777777" w:rsidR="004E2861" w:rsidRPr="00C34CF2" w:rsidRDefault="004E2861">
            <w:r w:rsidRPr="00C34CF2">
              <w:t>High</w:t>
            </w:r>
          </w:p>
        </w:tc>
        <w:tc>
          <w:tcPr>
            <w:tcW w:w="1882" w:type="dxa"/>
          </w:tcPr>
          <w:p w14:paraId="01040E67" w14:textId="77777777" w:rsidR="004E2861" w:rsidRPr="00C34CF2" w:rsidRDefault="004E2861">
            <w:pPr>
              <w:cnfStyle w:val="000000000000" w:firstRow="0" w:lastRow="0" w:firstColumn="0" w:lastColumn="0" w:oddVBand="0" w:evenVBand="0" w:oddHBand="0" w:evenHBand="0" w:firstRowFirstColumn="0" w:firstRowLastColumn="0" w:lastRowFirstColumn="0" w:lastRowLastColumn="0"/>
            </w:pPr>
            <w:r w:rsidRPr="00C34CF2">
              <w:t>190 to 571</w:t>
            </w:r>
          </w:p>
        </w:tc>
        <w:tc>
          <w:tcPr>
            <w:tcW w:w="2269" w:type="dxa"/>
          </w:tcPr>
          <w:p w14:paraId="13A943E9" w14:textId="31880226" w:rsidR="004E2861" w:rsidRPr="00C34CF2" w:rsidRDefault="004E2861">
            <w:pPr>
              <w:cnfStyle w:val="000000000000" w:firstRow="0" w:lastRow="0" w:firstColumn="0" w:lastColumn="0" w:oddVBand="0" w:evenVBand="0" w:oddHBand="0" w:evenHBand="0" w:firstRowFirstColumn="0" w:firstRowLastColumn="0" w:lastRowFirstColumn="0" w:lastRowLastColumn="0"/>
            </w:pPr>
            <w:r w:rsidRPr="00C34CF2">
              <w:t>1,074.5</w:t>
            </w:r>
            <w:r w:rsidR="00345BB9">
              <w:t>0</w:t>
            </w:r>
          </w:p>
        </w:tc>
        <w:tc>
          <w:tcPr>
            <w:tcW w:w="4044" w:type="dxa"/>
          </w:tcPr>
          <w:p w14:paraId="5F9F07DA" w14:textId="545EDD0E" w:rsidR="004E2861" w:rsidRPr="00C34CF2" w:rsidRDefault="002D5301">
            <w:pPr>
              <w:cnfStyle w:val="000000000000" w:firstRow="0" w:lastRow="0" w:firstColumn="0" w:lastColumn="0" w:oddVBand="0" w:evenVBand="0" w:oddHBand="0" w:evenHBand="0" w:firstRowFirstColumn="0" w:firstRowLastColumn="0" w:lastRowFirstColumn="0" w:lastRowLastColumn="0"/>
            </w:pPr>
            <w:r>
              <w:t xml:space="preserve"> </w:t>
            </w:r>
            <w:r w:rsidR="00BC475E">
              <w:t>0.</w:t>
            </w:r>
            <w:r w:rsidR="003F4249">
              <w:t>204 to 0.614</w:t>
            </w:r>
          </w:p>
        </w:tc>
      </w:tr>
      <w:tr w:rsidR="004E2861" w:rsidRPr="00C34CF2" w14:paraId="43C08BA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dxa"/>
          </w:tcPr>
          <w:p w14:paraId="743889FD" w14:textId="77777777" w:rsidR="004E2861" w:rsidRPr="00C34CF2" w:rsidRDefault="004E2861">
            <w:r w:rsidRPr="00C34CF2">
              <w:t>Total</w:t>
            </w:r>
          </w:p>
        </w:tc>
        <w:tc>
          <w:tcPr>
            <w:tcW w:w="1882" w:type="dxa"/>
          </w:tcPr>
          <w:p w14:paraId="38129E54" w14:textId="77777777" w:rsidR="004E2861" w:rsidRPr="00C34CF2" w:rsidRDefault="004E2861">
            <w:pPr>
              <w:cnfStyle w:val="000000010000" w:firstRow="0" w:lastRow="0" w:firstColumn="0" w:lastColumn="0" w:oddVBand="0" w:evenVBand="0" w:oddHBand="0" w:evenHBand="1" w:firstRowFirstColumn="0" w:firstRowLastColumn="0" w:lastRowFirstColumn="0" w:lastRowLastColumn="0"/>
              <w:rPr>
                <w:b/>
                <w:bCs/>
              </w:rPr>
            </w:pPr>
            <w:r w:rsidRPr="00C34CF2">
              <w:rPr>
                <w:b/>
                <w:bCs/>
              </w:rPr>
              <w:t>3807</w:t>
            </w:r>
          </w:p>
        </w:tc>
        <w:tc>
          <w:tcPr>
            <w:tcW w:w="2269" w:type="dxa"/>
          </w:tcPr>
          <w:p w14:paraId="3D50DA40" w14:textId="77777777" w:rsidR="004E2861" w:rsidRPr="00C34CF2" w:rsidRDefault="004E2861">
            <w:pPr>
              <w:cnfStyle w:val="000000010000" w:firstRow="0" w:lastRow="0" w:firstColumn="0" w:lastColumn="0" w:oddVBand="0" w:evenVBand="0" w:oddHBand="0" w:evenHBand="1" w:firstRowFirstColumn="0" w:firstRowLastColumn="0" w:lastRowFirstColumn="0" w:lastRowLastColumn="0"/>
              <w:rPr>
                <w:b/>
                <w:bCs/>
              </w:rPr>
            </w:pPr>
            <w:r w:rsidRPr="00C34CF2">
              <w:rPr>
                <w:b/>
                <w:bCs/>
              </w:rPr>
              <w:t>-</w:t>
            </w:r>
          </w:p>
        </w:tc>
        <w:tc>
          <w:tcPr>
            <w:tcW w:w="4044" w:type="dxa"/>
          </w:tcPr>
          <w:p w14:paraId="61D1AC01" w14:textId="14F9CD1C" w:rsidR="004E2861" w:rsidRPr="00C34CF2" w:rsidRDefault="004E2861">
            <w:pPr>
              <w:cnfStyle w:val="000000010000" w:firstRow="0" w:lastRow="0" w:firstColumn="0" w:lastColumn="0" w:oddVBand="0" w:evenVBand="0" w:oddHBand="0" w:evenHBand="1" w:firstRowFirstColumn="0" w:firstRowLastColumn="0" w:lastRowFirstColumn="0" w:lastRowLastColumn="0"/>
              <w:rPr>
                <w:b/>
                <w:bCs/>
              </w:rPr>
            </w:pPr>
            <w:r w:rsidRPr="00C34CF2">
              <w:rPr>
                <w:b/>
                <w:bCs/>
              </w:rPr>
              <w:t xml:space="preserve"> </w:t>
            </w:r>
            <w:r w:rsidR="003F4249">
              <w:rPr>
                <w:b/>
                <w:bCs/>
              </w:rPr>
              <w:t>1.068</w:t>
            </w:r>
            <w:r w:rsidR="00932832">
              <w:rPr>
                <w:b/>
                <w:bCs/>
              </w:rPr>
              <w:t xml:space="preserve"> to 1.441</w:t>
            </w:r>
          </w:p>
        </w:tc>
      </w:tr>
    </w:tbl>
    <w:p w14:paraId="067FFE5C" w14:textId="77777777" w:rsidR="007375B8" w:rsidRDefault="007375B8" w:rsidP="004E2861"/>
    <w:p w14:paraId="4CB9CDEC" w14:textId="61441F02" w:rsidR="004E2861" w:rsidRPr="00C34CF2" w:rsidRDefault="004E2861" w:rsidP="004E2861">
      <w:r w:rsidRPr="00C34CF2">
        <w:t>Total revenue for applications for consent to conduct works received by the Department’s metropolitan consent for works team in 2024 is not readily available. In the absence of exact figures, estimates are provided below</w:t>
      </w:r>
      <w:r w:rsidR="0053573D">
        <w:t xml:space="preserve"> and in </w:t>
      </w:r>
      <w:r w:rsidR="0053573D">
        <w:fldChar w:fldCharType="begin"/>
      </w:r>
      <w:r w:rsidR="0053573D">
        <w:instrText xml:space="preserve"> REF _Ref226447276 \h </w:instrText>
      </w:r>
      <w:r w:rsidR="0053573D">
        <w:fldChar w:fldCharType="separate"/>
      </w:r>
      <w:r w:rsidR="00F170D0">
        <w:t xml:space="preserve">Table </w:t>
      </w:r>
      <w:r w:rsidR="00F170D0">
        <w:rPr>
          <w:noProof/>
        </w:rPr>
        <w:t>22</w:t>
      </w:r>
      <w:r w:rsidR="0053573D">
        <w:fldChar w:fldCharType="end"/>
      </w:r>
      <w:r w:rsidRPr="00C34CF2">
        <w:t xml:space="preserve">. </w:t>
      </w:r>
    </w:p>
    <w:p w14:paraId="0F1DAB2F" w14:textId="5485A02F" w:rsidR="004E2861" w:rsidRPr="00C34CF2" w:rsidRDefault="0027253F" w:rsidP="004E2861">
      <w:r>
        <w:t xml:space="preserve">The Department </w:t>
      </w:r>
      <w:r w:rsidRPr="008B3039">
        <w:t xml:space="preserve">has categorised the 16 different fees based on three tiers of complexity. </w:t>
      </w:r>
      <w:r w:rsidR="004E2861" w:rsidRPr="00C34CF2">
        <w:t xml:space="preserve">The majority of low complexity applications include those for minor works not conducted on the roadway, while high complexity applications include those for works on a roadway such as arterials and freeways. The complexity levels are </w:t>
      </w:r>
      <w:r w:rsidR="008972A0">
        <w:t>categorised</w:t>
      </w:r>
      <w:r w:rsidR="008972A0" w:rsidRPr="00C34CF2">
        <w:t xml:space="preserve"> </w:t>
      </w:r>
      <w:r w:rsidR="004E2861" w:rsidRPr="00C34CF2">
        <w:t>as follows:</w:t>
      </w:r>
    </w:p>
    <w:p w14:paraId="003CD264" w14:textId="77777777" w:rsidR="004E2861" w:rsidRPr="00C34CF2" w:rsidRDefault="004E2861" w:rsidP="005D15EA">
      <w:pPr>
        <w:numPr>
          <w:ilvl w:val="0"/>
          <w:numId w:val="17"/>
        </w:numPr>
      </w:pPr>
      <w:r w:rsidRPr="00C34CF2">
        <w:t>Low level complexity applications are indicated in green.</w:t>
      </w:r>
    </w:p>
    <w:p w14:paraId="385FEF2A" w14:textId="255F0763" w:rsidR="004E2861" w:rsidRPr="00C34CF2" w:rsidRDefault="004E2861" w:rsidP="005D15EA">
      <w:pPr>
        <w:numPr>
          <w:ilvl w:val="1"/>
          <w:numId w:val="17"/>
        </w:numPr>
      </w:pPr>
      <w:r w:rsidRPr="00C34CF2">
        <w:t>The fees range from $100.</w:t>
      </w:r>
      <w:r w:rsidR="00D90156">
        <w:t>90</w:t>
      </w:r>
      <w:r w:rsidRPr="00C34CF2">
        <w:t xml:space="preserve"> to $159.70 per application. </w:t>
      </w:r>
    </w:p>
    <w:p w14:paraId="0DE6158F" w14:textId="49AB3269" w:rsidR="00CC4E2F" w:rsidRDefault="004E2861" w:rsidP="005D15EA">
      <w:pPr>
        <w:numPr>
          <w:ilvl w:val="1"/>
          <w:numId w:val="17"/>
        </w:numPr>
      </w:pPr>
      <w:r w:rsidRPr="00C34CF2">
        <w:t>The average application fee is $133.5</w:t>
      </w:r>
      <w:r w:rsidR="00E25B25">
        <w:t>0</w:t>
      </w:r>
      <w:r w:rsidR="00103EF0">
        <w:t>.</w:t>
      </w:r>
      <w:r w:rsidR="001437D9">
        <w:t xml:space="preserve"> </w:t>
      </w:r>
    </w:p>
    <w:p w14:paraId="5366F7DF" w14:textId="41B0D85A" w:rsidR="004E2861" w:rsidRPr="00C34CF2" w:rsidRDefault="00CC4E2F" w:rsidP="008C3CA0">
      <w:pPr>
        <w:numPr>
          <w:ilvl w:val="2"/>
          <w:numId w:val="17"/>
        </w:numPr>
      </w:pPr>
      <w:r>
        <w:t xml:space="preserve">This is the </w:t>
      </w:r>
      <w:r w:rsidR="001437D9">
        <w:t xml:space="preserve">sum of </w:t>
      </w:r>
      <w:r w:rsidR="00285976">
        <w:t xml:space="preserve">all </w:t>
      </w:r>
      <w:r w:rsidR="001437D9">
        <w:t>low</w:t>
      </w:r>
      <w:r w:rsidR="00666DE6">
        <w:t>-level</w:t>
      </w:r>
      <w:r w:rsidR="001437D9">
        <w:t xml:space="preserve"> complexity fee</w:t>
      </w:r>
      <w:r w:rsidR="00285976">
        <w:t xml:space="preserve"> values</w:t>
      </w:r>
      <w:r w:rsidR="001437D9">
        <w:t xml:space="preserve"> </w:t>
      </w:r>
      <w:r w:rsidR="00285976">
        <w:t>(</w:t>
      </w:r>
      <w:r w:rsidR="003D352C">
        <w:t>$934.70</w:t>
      </w:r>
      <w:r w:rsidR="0004046A">
        <w:t xml:space="preserve">) </w:t>
      </w:r>
      <w:r w:rsidR="001437D9">
        <w:t>divided by</w:t>
      </w:r>
      <w:r>
        <w:t xml:space="preserve"> </w:t>
      </w:r>
      <w:r w:rsidR="00833E66">
        <w:t xml:space="preserve">the </w:t>
      </w:r>
      <w:r>
        <w:t>number of</w:t>
      </w:r>
      <w:r w:rsidR="00285976">
        <w:t xml:space="preserve"> low complexity</w:t>
      </w:r>
      <w:r>
        <w:t xml:space="preserve"> fee</w:t>
      </w:r>
      <w:r w:rsidR="00285976">
        <w:t xml:space="preserve"> values (7)</w:t>
      </w:r>
      <w:r w:rsidR="004E2861" w:rsidRPr="00C34CF2">
        <w:t>.</w:t>
      </w:r>
    </w:p>
    <w:p w14:paraId="30401788" w14:textId="77777777" w:rsidR="004E2861" w:rsidRPr="00C34CF2" w:rsidRDefault="004E2861" w:rsidP="005D15EA">
      <w:pPr>
        <w:numPr>
          <w:ilvl w:val="0"/>
          <w:numId w:val="17"/>
        </w:numPr>
      </w:pPr>
      <w:r w:rsidRPr="00C34CF2">
        <w:t>Mid-level complexity applications are indicated in orange.</w:t>
      </w:r>
    </w:p>
    <w:p w14:paraId="25D37701" w14:textId="3ADD3AEA" w:rsidR="004E2861" w:rsidRPr="00C34CF2" w:rsidRDefault="004E2861" w:rsidP="005D15EA">
      <w:pPr>
        <w:numPr>
          <w:ilvl w:val="1"/>
          <w:numId w:val="17"/>
        </w:numPr>
      </w:pPr>
      <w:r w:rsidRPr="00C34CF2">
        <w:t>The fees range from $26</w:t>
      </w:r>
      <w:r w:rsidR="005E1437">
        <w:t>9</w:t>
      </w:r>
      <w:r w:rsidRPr="00C34CF2">
        <w:t xml:space="preserve"> to $507.</w:t>
      </w:r>
      <w:r w:rsidR="00CF67A3">
        <w:t>70</w:t>
      </w:r>
      <w:r w:rsidRPr="00C34CF2">
        <w:t xml:space="preserve"> per application.</w:t>
      </w:r>
    </w:p>
    <w:p w14:paraId="3C89167D" w14:textId="5429F98D" w:rsidR="004E2861" w:rsidRPr="00C34CF2" w:rsidRDefault="004E2861" w:rsidP="005D15EA">
      <w:pPr>
        <w:numPr>
          <w:ilvl w:val="1"/>
          <w:numId w:val="17"/>
        </w:numPr>
      </w:pPr>
      <w:r w:rsidRPr="00C34CF2">
        <w:t>The average application fee is $390.5</w:t>
      </w:r>
      <w:r w:rsidR="00E25B25">
        <w:t>0</w:t>
      </w:r>
      <w:r w:rsidRPr="00C34CF2">
        <w:t>.</w:t>
      </w:r>
    </w:p>
    <w:p w14:paraId="2C951621" w14:textId="32B2F1D8" w:rsidR="00103EF0" w:rsidRPr="00C34CF2" w:rsidRDefault="00103EF0" w:rsidP="008C3CA0">
      <w:pPr>
        <w:numPr>
          <w:ilvl w:val="2"/>
          <w:numId w:val="17"/>
        </w:numPr>
      </w:pPr>
      <w:r>
        <w:t xml:space="preserve">This is the sum of all </w:t>
      </w:r>
      <w:r w:rsidR="00666DE6">
        <w:t>mid-level</w:t>
      </w:r>
      <w:r>
        <w:t xml:space="preserve"> complexity fee values ($</w:t>
      </w:r>
      <w:r w:rsidR="00533CDD" w:rsidRPr="00533CDD">
        <w:t>2,343.4</w:t>
      </w:r>
      <w:r w:rsidR="00533CDD">
        <w:t>0</w:t>
      </w:r>
      <w:r>
        <w:t xml:space="preserve">) divided by the number of </w:t>
      </w:r>
      <w:r w:rsidR="00666DE6">
        <w:t>mid-level</w:t>
      </w:r>
      <w:r>
        <w:t xml:space="preserve"> complexity fee values (</w:t>
      </w:r>
      <w:r w:rsidR="00666DE6">
        <w:t>6</w:t>
      </w:r>
      <w:r>
        <w:t>)</w:t>
      </w:r>
      <w:r w:rsidRPr="00C34CF2">
        <w:t>.</w:t>
      </w:r>
    </w:p>
    <w:p w14:paraId="72308AEE" w14:textId="77777777" w:rsidR="004E2861" w:rsidRPr="00C34CF2" w:rsidRDefault="004E2861" w:rsidP="005D15EA">
      <w:pPr>
        <w:numPr>
          <w:ilvl w:val="0"/>
          <w:numId w:val="17"/>
        </w:numPr>
      </w:pPr>
      <w:r w:rsidRPr="00C34CF2">
        <w:t>High level complexity applications are indicated in yellow.</w:t>
      </w:r>
    </w:p>
    <w:p w14:paraId="4B4EBE47" w14:textId="59451510" w:rsidR="004E2861" w:rsidRPr="00C34CF2" w:rsidRDefault="004E2861" w:rsidP="005D15EA">
      <w:pPr>
        <w:numPr>
          <w:ilvl w:val="1"/>
          <w:numId w:val="17"/>
        </w:numPr>
      </w:pPr>
      <w:r w:rsidRPr="00C34CF2">
        <w:t>The fees range from $724 to $726.</w:t>
      </w:r>
      <w:r w:rsidR="001A015A">
        <w:t>20</w:t>
      </w:r>
      <w:r w:rsidRPr="00C34CF2">
        <w:t xml:space="preserve"> per application.</w:t>
      </w:r>
    </w:p>
    <w:p w14:paraId="26E68056" w14:textId="4A45EAEB" w:rsidR="005A6F08" w:rsidRDefault="004E2861" w:rsidP="005D15EA">
      <w:pPr>
        <w:numPr>
          <w:ilvl w:val="1"/>
          <w:numId w:val="17"/>
        </w:numPr>
      </w:pPr>
      <w:r w:rsidRPr="00C34CF2">
        <w:t>The average application fee is $725.</w:t>
      </w:r>
      <w:r w:rsidR="00890E17">
        <w:t>4</w:t>
      </w:r>
      <w:r w:rsidR="00E25B25">
        <w:t>0</w:t>
      </w:r>
      <w:r w:rsidRPr="00C34CF2">
        <w:t>.</w:t>
      </w:r>
    </w:p>
    <w:p w14:paraId="7A7E0815" w14:textId="023C14E4" w:rsidR="00E414A8" w:rsidRDefault="00E414A8" w:rsidP="008C3CA0">
      <w:pPr>
        <w:numPr>
          <w:ilvl w:val="2"/>
          <w:numId w:val="17"/>
        </w:numPr>
      </w:pPr>
      <w:r>
        <w:t>This is the sum of all high-level complexity fee values ($</w:t>
      </w:r>
      <w:r w:rsidRPr="00533CDD">
        <w:t>2,</w:t>
      </w:r>
      <w:r w:rsidR="00D81EDC">
        <w:t>176</w:t>
      </w:r>
      <w:r w:rsidRPr="00533CDD">
        <w:t>.4</w:t>
      </w:r>
      <w:r>
        <w:t>0) divided by the number of high-level complexity fee values (3)</w:t>
      </w:r>
      <w:r w:rsidRPr="00C34CF2">
        <w:t>.</w:t>
      </w:r>
    </w:p>
    <w:p w14:paraId="5D46532A" w14:textId="77777777" w:rsidR="005A6F08" w:rsidRDefault="005A6F08">
      <w:r>
        <w:br w:type="page"/>
      </w:r>
    </w:p>
    <w:p w14:paraId="73D63536" w14:textId="4A02F068" w:rsidR="004E2861" w:rsidRDefault="005A7DAB" w:rsidP="005A7DAB">
      <w:pPr>
        <w:pStyle w:val="Caption"/>
      </w:pPr>
      <w:bookmarkStart w:id="302" w:name="_Ref226447276"/>
      <w:bookmarkStart w:id="303" w:name="_Toc226448370"/>
      <w:r>
        <w:lastRenderedPageBreak/>
        <w:t xml:space="preserve">Table </w:t>
      </w:r>
      <w:r>
        <w:fldChar w:fldCharType="begin"/>
      </w:r>
      <w:r>
        <w:instrText xml:space="preserve"> SEQ Table \* ARABIC </w:instrText>
      </w:r>
      <w:r>
        <w:fldChar w:fldCharType="separate"/>
      </w:r>
      <w:r w:rsidR="00F170D0">
        <w:rPr>
          <w:noProof/>
        </w:rPr>
        <w:t>22</w:t>
      </w:r>
      <w:r>
        <w:rPr>
          <w:noProof/>
        </w:rPr>
        <w:fldChar w:fldCharType="end"/>
      </w:r>
      <w:bookmarkEnd w:id="302"/>
      <w:r w:rsidR="004E2861">
        <w:t xml:space="preserve"> – </w:t>
      </w:r>
      <w:r w:rsidR="004E2861" w:rsidRPr="00C34CF2">
        <w:t>Applications by complexity level under the Road Management (Works and Infrastructure) Regulations</w:t>
      </w:r>
      <w:bookmarkEnd w:id="303"/>
    </w:p>
    <w:tbl>
      <w:tblPr>
        <w:tblStyle w:val="GridTable1Light"/>
        <w:tblW w:w="0" w:type="auto"/>
        <w:tblLook w:val="04A0" w:firstRow="1" w:lastRow="0" w:firstColumn="1" w:lastColumn="0" w:noHBand="0" w:noVBand="1"/>
      </w:tblPr>
      <w:tblGrid>
        <w:gridCol w:w="2386"/>
        <w:gridCol w:w="2094"/>
        <w:gridCol w:w="2094"/>
        <w:gridCol w:w="2094"/>
        <w:gridCol w:w="2094"/>
      </w:tblGrid>
      <w:tr w:rsidR="004E2861" w:rsidRPr="00C34CF2" w14:paraId="7319CFA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6" w:type="dxa"/>
            <w:noWrap/>
            <w:hideMark/>
          </w:tcPr>
          <w:p w14:paraId="7BC44DE0" w14:textId="77777777" w:rsidR="004E2861" w:rsidRPr="00C34CF2" w:rsidRDefault="004E2861">
            <w:pPr>
              <w:spacing w:after="120"/>
            </w:pPr>
            <w:r w:rsidRPr="00C34CF2">
              <w:t>Column 1</w:t>
            </w:r>
          </w:p>
        </w:tc>
        <w:tc>
          <w:tcPr>
            <w:tcW w:w="8376" w:type="dxa"/>
            <w:gridSpan w:val="4"/>
            <w:noWrap/>
            <w:hideMark/>
          </w:tcPr>
          <w:p w14:paraId="34EC94EB" w14:textId="77777777" w:rsidR="004E2861" w:rsidRPr="00C34CF2" w:rsidRDefault="004E2861">
            <w:pPr>
              <w:spacing w:after="120"/>
              <w:cnfStyle w:val="100000000000" w:firstRow="1" w:lastRow="0" w:firstColumn="0" w:lastColumn="0" w:oddVBand="0" w:evenVBand="0" w:oddHBand="0" w:evenHBand="0" w:firstRowFirstColumn="0" w:firstRowLastColumn="0" w:lastRowFirstColumn="0" w:lastRowLastColumn="0"/>
            </w:pPr>
            <w:r w:rsidRPr="00C34CF2">
              <w:t>Column 2</w:t>
            </w:r>
          </w:p>
        </w:tc>
      </w:tr>
      <w:tr w:rsidR="004E2861" w:rsidRPr="00C34CF2" w14:paraId="17FEA8EC" w14:textId="77777777">
        <w:trPr>
          <w:trHeight w:val="1155"/>
        </w:trPr>
        <w:tc>
          <w:tcPr>
            <w:cnfStyle w:val="001000000000" w:firstRow="0" w:lastRow="0" w:firstColumn="1" w:lastColumn="0" w:oddVBand="0" w:evenVBand="0" w:oddHBand="0" w:evenHBand="0" w:firstRowFirstColumn="0" w:firstRowLastColumn="0" w:lastRowFirstColumn="0" w:lastRowLastColumn="0"/>
            <w:tcW w:w="2386" w:type="dxa"/>
            <w:vMerge w:val="restart"/>
            <w:shd w:val="clear" w:color="auto" w:fill="F2F2F2" w:themeFill="background1" w:themeFillShade="F2"/>
            <w:noWrap/>
            <w:hideMark/>
          </w:tcPr>
          <w:p w14:paraId="404093DC" w14:textId="77777777" w:rsidR="004E2861" w:rsidRPr="00C34CF2" w:rsidRDefault="004E2861">
            <w:pPr>
              <w:spacing w:after="120"/>
            </w:pPr>
            <w:r w:rsidRPr="00C34CF2">
              <w:rPr>
                <w:rFonts w:ascii="Cambria" w:hAnsi="Cambria" w:cs="Cambria"/>
                <w:b w:val="0"/>
                <w:bCs w:val="0"/>
              </w:rPr>
              <w:t> </w:t>
            </w:r>
          </w:p>
          <w:p w14:paraId="0875365E" w14:textId="77777777" w:rsidR="004E2861" w:rsidRPr="00C34CF2" w:rsidRDefault="004E2861">
            <w:pPr>
              <w:spacing w:after="120"/>
              <w:rPr>
                <w:b w:val="0"/>
                <w:bCs w:val="0"/>
              </w:rPr>
            </w:pPr>
            <w:r w:rsidRPr="00C34CF2">
              <w:rPr>
                <w:rFonts w:ascii="Cambria" w:hAnsi="Cambria" w:cs="Cambria"/>
                <w:b w:val="0"/>
                <w:bCs w:val="0"/>
              </w:rPr>
              <w:t> </w:t>
            </w:r>
          </w:p>
        </w:tc>
        <w:tc>
          <w:tcPr>
            <w:tcW w:w="4188" w:type="dxa"/>
            <w:gridSpan w:val="2"/>
            <w:shd w:val="clear" w:color="auto" w:fill="BFBFBF" w:themeFill="background1" w:themeFillShade="BF"/>
            <w:hideMark/>
          </w:tcPr>
          <w:p w14:paraId="13B366A7"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Works (other than minor works conducted by a person referred to in regulation 10(2) that are traffic impact works)</w:t>
            </w:r>
          </w:p>
        </w:tc>
        <w:tc>
          <w:tcPr>
            <w:tcW w:w="4188" w:type="dxa"/>
            <w:gridSpan w:val="2"/>
            <w:shd w:val="clear" w:color="auto" w:fill="BFBFBF" w:themeFill="background1" w:themeFillShade="BF"/>
            <w:hideMark/>
          </w:tcPr>
          <w:p w14:paraId="6475D87A"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Minor works conducted by a person referred to in regulation 10(2) that are traffic impact works</w:t>
            </w:r>
          </w:p>
        </w:tc>
      </w:tr>
      <w:tr w:rsidR="004E2861" w:rsidRPr="00C34CF2" w14:paraId="5B3644C0" w14:textId="77777777">
        <w:trPr>
          <w:trHeight w:val="1200"/>
        </w:trPr>
        <w:tc>
          <w:tcPr>
            <w:cnfStyle w:val="001000000000" w:firstRow="0" w:lastRow="0" w:firstColumn="1" w:lastColumn="0" w:oddVBand="0" w:evenVBand="0" w:oddHBand="0" w:evenHBand="0" w:firstRowFirstColumn="0" w:firstRowLastColumn="0" w:lastRowFirstColumn="0" w:lastRowLastColumn="0"/>
            <w:tcW w:w="2386" w:type="dxa"/>
            <w:vMerge/>
            <w:shd w:val="clear" w:color="auto" w:fill="F2F2F2" w:themeFill="background1" w:themeFillShade="F2"/>
            <w:noWrap/>
            <w:hideMark/>
          </w:tcPr>
          <w:p w14:paraId="1FA32F17" w14:textId="77777777" w:rsidR="004E2861" w:rsidRPr="00C34CF2" w:rsidRDefault="004E2861">
            <w:pPr>
              <w:spacing w:after="120"/>
              <w:rPr>
                <w:b w:val="0"/>
                <w:bCs w:val="0"/>
              </w:rPr>
            </w:pPr>
          </w:p>
        </w:tc>
        <w:tc>
          <w:tcPr>
            <w:tcW w:w="2094" w:type="dxa"/>
            <w:shd w:val="clear" w:color="auto" w:fill="D9D9D9" w:themeFill="background1" w:themeFillShade="D9"/>
            <w:hideMark/>
          </w:tcPr>
          <w:p w14:paraId="52525886"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Conducted on, or on any part of, the roadway, pathway or shoulder</w:t>
            </w:r>
          </w:p>
        </w:tc>
        <w:tc>
          <w:tcPr>
            <w:tcW w:w="2094" w:type="dxa"/>
            <w:shd w:val="clear" w:color="auto" w:fill="D9D9D9" w:themeFill="background1" w:themeFillShade="D9"/>
            <w:hideMark/>
          </w:tcPr>
          <w:p w14:paraId="3C1AFE59"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Not conducted on, or on any part of, the roadway, pathway or shoulder</w:t>
            </w:r>
          </w:p>
        </w:tc>
        <w:tc>
          <w:tcPr>
            <w:tcW w:w="2094" w:type="dxa"/>
            <w:shd w:val="clear" w:color="auto" w:fill="D9D9D9" w:themeFill="background1" w:themeFillShade="D9"/>
            <w:hideMark/>
          </w:tcPr>
          <w:p w14:paraId="729C64DC"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Conducted on, or on any part of, the roadway, pathway or shoulder</w:t>
            </w:r>
          </w:p>
        </w:tc>
        <w:tc>
          <w:tcPr>
            <w:tcW w:w="2094" w:type="dxa"/>
            <w:shd w:val="clear" w:color="auto" w:fill="D9D9D9" w:themeFill="background1" w:themeFillShade="D9"/>
            <w:hideMark/>
          </w:tcPr>
          <w:p w14:paraId="74D64587"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Not conducted on, or on any part of, the roadway, pathway or shoulder</w:t>
            </w:r>
          </w:p>
        </w:tc>
      </w:tr>
      <w:tr w:rsidR="004E2861" w:rsidRPr="00C34CF2" w14:paraId="14437025" w14:textId="77777777">
        <w:trPr>
          <w:trHeight w:val="512"/>
        </w:trPr>
        <w:tc>
          <w:tcPr>
            <w:cnfStyle w:val="001000000000" w:firstRow="0" w:lastRow="0" w:firstColumn="1" w:lastColumn="0" w:oddVBand="0" w:evenVBand="0" w:oddHBand="0" w:evenHBand="0" w:firstRowFirstColumn="0" w:firstRowLastColumn="0" w:lastRowFirstColumn="0" w:lastRowLastColumn="0"/>
            <w:tcW w:w="10762" w:type="dxa"/>
            <w:gridSpan w:val="5"/>
            <w:shd w:val="clear" w:color="auto" w:fill="F2F2F2" w:themeFill="background1" w:themeFillShade="F2"/>
            <w:noWrap/>
            <w:hideMark/>
          </w:tcPr>
          <w:p w14:paraId="4BF86B91" w14:textId="77777777" w:rsidR="004E2861" w:rsidRPr="00C34CF2" w:rsidRDefault="004E2861">
            <w:pPr>
              <w:spacing w:after="120"/>
            </w:pPr>
            <w:r w:rsidRPr="00C34CF2">
              <w:rPr>
                <w:b w:val="0"/>
                <w:bCs w:val="0"/>
              </w:rPr>
              <w:t>Freeway</w:t>
            </w:r>
          </w:p>
        </w:tc>
      </w:tr>
      <w:tr w:rsidR="004E2861" w:rsidRPr="00C34CF2" w14:paraId="73793313" w14:textId="77777777">
        <w:trPr>
          <w:trHeight w:val="300"/>
        </w:trPr>
        <w:tc>
          <w:tcPr>
            <w:cnfStyle w:val="001000000000" w:firstRow="0" w:lastRow="0" w:firstColumn="1" w:lastColumn="0" w:oddVBand="0" w:evenVBand="0" w:oddHBand="0" w:evenHBand="0" w:firstRowFirstColumn="0" w:firstRowLastColumn="0" w:lastRowFirstColumn="0" w:lastRowLastColumn="0"/>
            <w:tcW w:w="2386" w:type="dxa"/>
            <w:noWrap/>
            <w:hideMark/>
          </w:tcPr>
          <w:p w14:paraId="7A320671" w14:textId="77777777" w:rsidR="004E2861" w:rsidRPr="00C34CF2" w:rsidRDefault="004E2861" w:rsidP="005D15EA">
            <w:pPr>
              <w:numPr>
                <w:ilvl w:val="0"/>
                <w:numId w:val="15"/>
              </w:numPr>
              <w:spacing w:after="120"/>
              <w:rPr>
                <w:b w:val="0"/>
                <w:bCs w:val="0"/>
              </w:rPr>
            </w:pPr>
            <w:r w:rsidRPr="00C34CF2">
              <w:rPr>
                <w:b w:val="0"/>
                <w:bCs w:val="0"/>
              </w:rPr>
              <w:t>Fee units</w:t>
            </w:r>
          </w:p>
        </w:tc>
        <w:tc>
          <w:tcPr>
            <w:tcW w:w="2094" w:type="dxa"/>
            <w:shd w:val="clear" w:color="auto" w:fill="FFFF00"/>
            <w:noWrap/>
            <w:hideMark/>
          </w:tcPr>
          <w:p w14:paraId="6C2E166F"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43.2</w:t>
            </w:r>
          </w:p>
        </w:tc>
        <w:tc>
          <w:tcPr>
            <w:tcW w:w="2094" w:type="dxa"/>
            <w:shd w:val="clear" w:color="auto" w:fill="FFC000"/>
            <w:noWrap/>
            <w:hideMark/>
          </w:tcPr>
          <w:p w14:paraId="3F1F840E"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30.2</w:t>
            </w:r>
          </w:p>
        </w:tc>
        <w:tc>
          <w:tcPr>
            <w:tcW w:w="2094" w:type="dxa"/>
            <w:shd w:val="clear" w:color="auto" w:fill="FFC000"/>
            <w:noWrap/>
            <w:hideMark/>
          </w:tcPr>
          <w:p w14:paraId="3719DDEF"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16</w:t>
            </w:r>
          </w:p>
        </w:tc>
        <w:tc>
          <w:tcPr>
            <w:tcW w:w="2094" w:type="dxa"/>
            <w:shd w:val="clear" w:color="auto" w:fill="92D050"/>
            <w:noWrap/>
            <w:hideMark/>
          </w:tcPr>
          <w:p w14:paraId="7663F349"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9.5</w:t>
            </w:r>
          </w:p>
        </w:tc>
      </w:tr>
      <w:tr w:rsidR="004E2861" w:rsidRPr="00C34CF2" w14:paraId="4F0D5A03" w14:textId="77777777">
        <w:trPr>
          <w:trHeight w:val="300"/>
        </w:trPr>
        <w:tc>
          <w:tcPr>
            <w:cnfStyle w:val="001000000000" w:firstRow="0" w:lastRow="0" w:firstColumn="1" w:lastColumn="0" w:oddVBand="0" w:evenVBand="0" w:oddHBand="0" w:evenHBand="0" w:firstRowFirstColumn="0" w:firstRowLastColumn="0" w:lastRowFirstColumn="0" w:lastRowLastColumn="0"/>
            <w:tcW w:w="2386" w:type="dxa"/>
            <w:noWrap/>
            <w:hideMark/>
          </w:tcPr>
          <w:p w14:paraId="0BA94DFA" w14:textId="77777777" w:rsidR="004E2861" w:rsidRPr="00C34CF2" w:rsidRDefault="004E2861" w:rsidP="005D15EA">
            <w:pPr>
              <w:numPr>
                <w:ilvl w:val="0"/>
                <w:numId w:val="15"/>
              </w:numPr>
              <w:spacing w:after="120"/>
              <w:rPr>
                <w:b w:val="0"/>
                <w:bCs w:val="0"/>
                <w:i/>
                <w:iCs/>
              </w:rPr>
            </w:pPr>
            <w:r w:rsidRPr="00C34CF2">
              <w:rPr>
                <w:b w:val="0"/>
                <w:bCs w:val="0"/>
                <w:i/>
                <w:iCs/>
              </w:rPr>
              <w:t>Fee units value ($)</w:t>
            </w:r>
          </w:p>
        </w:tc>
        <w:tc>
          <w:tcPr>
            <w:tcW w:w="2094" w:type="dxa"/>
            <w:shd w:val="clear" w:color="auto" w:fill="FFFF00"/>
            <w:noWrap/>
            <w:hideMark/>
          </w:tcPr>
          <w:p w14:paraId="79211CD9" w14:textId="35154275"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726.</w:t>
            </w:r>
            <w:r>
              <w:rPr>
                <w:i/>
                <w:iCs/>
              </w:rPr>
              <w:t>2</w:t>
            </w:r>
            <w:r w:rsidR="00345BB9">
              <w:rPr>
                <w:i/>
                <w:iCs/>
              </w:rPr>
              <w:t>0</w:t>
            </w:r>
          </w:p>
        </w:tc>
        <w:tc>
          <w:tcPr>
            <w:tcW w:w="2094" w:type="dxa"/>
            <w:shd w:val="clear" w:color="auto" w:fill="FFC000"/>
            <w:noWrap/>
            <w:hideMark/>
          </w:tcPr>
          <w:p w14:paraId="065CB768" w14:textId="4FB5AA8C"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507.</w:t>
            </w:r>
            <w:r>
              <w:rPr>
                <w:i/>
                <w:iCs/>
              </w:rPr>
              <w:t>7</w:t>
            </w:r>
            <w:r w:rsidR="00345BB9">
              <w:rPr>
                <w:i/>
                <w:iCs/>
              </w:rPr>
              <w:t>0</w:t>
            </w:r>
          </w:p>
        </w:tc>
        <w:tc>
          <w:tcPr>
            <w:tcW w:w="2094" w:type="dxa"/>
            <w:shd w:val="clear" w:color="auto" w:fill="FFC000"/>
            <w:noWrap/>
            <w:hideMark/>
          </w:tcPr>
          <w:p w14:paraId="2DF4CCF3"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26</w:t>
            </w:r>
            <w:r>
              <w:rPr>
                <w:i/>
                <w:iCs/>
              </w:rPr>
              <w:t>9</w:t>
            </w:r>
          </w:p>
        </w:tc>
        <w:tc>
          <w:tcPr>
            <w:tcW w:w="2094" w:type="dxa"/>
            <w:shd w:val="clear" w:color="auto" w:fill="92D050"/>
            <w:noWrap/>
            <w:hideMark/>
          </w:tcPr>
          <w:p w14:paraId="23675AA6" w14:textId="1EDB95DA"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159.7</w:t>
            </w:r>
            <w:r w:rsidR="00345BB9">
              <w:rPr>
                <w:i/>
                <w:iCs/>
              </w:rPr>
              <w:t>0</w:t>
            </w:r>
          </w:p>
        </w:tc>
      </w:tr>
      <w:tr w:rsidR="004E2861" w:rsidRPr="00C34CF2" w14:paraId="7A40AD62" w14:textId="77777777">
        <w:trPr>
          <w:trHeight w:val="548"/>
        </w:trPr>
        <w:tc>
          <w:tcPr>
            <w:cnfStyle w:val="001000000000" w:firstRow="0" w:lastRow="0" w:firstColumn="1" w:lastColumn="0" w:oddVBand="0" w:evenVBand="0" w:oddHBand="0" w:evenHBand="0" w:firstRowFirstColumn="0" w:firstRowLastColumn="0" w:lastRowFirstColumn="0" w:lastRowLastColumn="0"/>
            <w:tcW w:w="10762" w:type="dxa"/>
            <w:gridSpan w:val="5"/>
            <w:shd w:val="clear" w:color="auto" w:fill="F2F2F2" w:themeFill="background1" w:themeFillShade="F2"/>
            <w:noWrap/>
            <w:hideMark/>
          </w:tcPr>
          <w:p w14:paraId="4E42F869" w14:textId="77777777" w:rsidR="004E2861" w:rsidRPr="00C34CF2" w:rsidRDefault="004E2861">
            <w:pPr>
              <w:spacing w:after="120"/>
            </w:pPr>
            <w:r w:rsidRPr="00C34CF2">
              <w:rPr>
                <w:b w:val="0"/>
                <w:bCs w:val="0"/>
              </w:rPr>
              <w:t>Arterial road</w:t>
            </w:r>
            <w:r w:rsidRPr="00C34CF2">
              <w:rPr>
                <w:rFonts w:ascii="Cambria" w:hAnsi="Cambria" w:cs="Cambria"/>
              </w:rPr>
              <w:t> </w:t>
            </w:r>
          </w:p>
        </w:tc>
      </w:tr>
      <w:tr w:rsidR="004E2861" w:rsidRPr="00C34CF2" w14:paraId="1208735C" w14:textId="77777777">
        <w:trPr>
          <w:trHeight w:val="300"/>
        </w:trPr>
        <w:tc>
          <w:tcPr>
            <w:cnfStyle w:val="001000000000" w:firstRow="0" w:lastRow="0" w:firstColumn="1" w:lastColumn="0" w:oddVBand="0" w:evenVBand="0" w:oddHBand="0" w:evenHBand="0" w:firstRowFirstColumn="0" w:firstRowLastColumn="0" w:lastRowFirstColumn="0" w:lastRowLastColumn="0"/>
            <w:tcW w:w="2386" w:type="dxa"/>
            <w:noWrap/>
            <w:hideMark/>
          </w:tcPr>
          <w:p w14:paraId="1E486F41" w14:textId="77777777" w:rsidR="004E2861" w:rsidRPr="00C34CF2" w:rsidRDefault="004E2861" w:rsidP="005D15EA">
            <w:pPr>
              <w:numPr>
                <w:ilvl w:val="0"/>
                <w:numId w:val="15"/>
              </w:numPr>
              <w:spacing w:after="120"/>
              <w:rPr>
                <w:b w:val="0"/>
                <w:bCs w:val="0"/>
              </w:rPr>
            </w:pPr>
            <w:r w:rsidRPr="00C34CF2">
              <w:rPr>
                <w:b w:val="0"/>
                <w:bCs w:val="0"/>
              </w:rPr>
              <w:t>Fee units</w:t>
            </w:r>
          </w:p>
        </w:tc>
        <w:tc>
          <w:tcPr>
            <w:tcW w:w="2094" w:type="dxa"/>
            <w:shd w:val="clear" w:color="auto" w:fill="FFFF00"/>
            <w:noWrap/>
            <w:hideMark/>
          </w:tcPr>
          <w:p w14:paraId="5BE0E4C2"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43.2</w:t>
            </w:r>
          </w:p>
        </w:tc>
        <w:tc>
          <w:tcPr>
            <w:tcW w:w="2094" w:type="dxa"/>
            <w:shd w:val="clear" w:color="auto" w:fill="FFC000"/>
            <w:noWrap/>
            <w:hideMark/>
          </w:tcPr>
          <w:p w14:paraId="5DB4BFA4"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30.2</w:t>
            </w:r>
          </w:p>
        </w:tc>
        <w:tc>
          <w:tcPr>
            <w:tcW w:w="2094" w:type="dxa"/>
            <w:shd w:val="clear" w:color="auto" w:fill="FFC000"/>
            <w:noWrap/>
            <w:hideMark/>
          </w:tcPr>
          <w:p w14:paraId="7A28D642"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16</w:t>
            </w:r>
          </w:p>
        </w:tc>
        <w:tc>
          <w:tcPr>
            <w:tcW w:w="2094" w:type="dxa"/>
            <w:shd w:val="clear" w:color="auto" w:fill="92D050"/>
            <w:noWrap/>
            <w:hideMark/>
          </w:tcPr>
          <w:p w14:paraId="0BB0A076"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9.5</w:t>
            </w:r>
          </w:p>
        </w:tc>
      </w:tr>
      <w:tr w:rsidR="004E2861" w:rsidRPr="00C34CF2" w14:paraId="081123F4" w14:textId="77777777">
        <w:trPr>
          <w:trHeight w:val="300"/>
        </w:trPr>
        <w:tc>
          <w:tcPr>
            <w:cnfStyle w:val="001000000000" w:firstRow="0" w:lastRow="0" w:firstColumn="1" w:lastColumn="0" w:oddVBand="0" w:evenVBand="0" w:oddHBand="0" w:evenHBand="0" w:firstRowFirstColumn="0" w:firstRowLastColumn="0" w:lastRowFirstColumn="0" w:lastRowLastColumn="0"/>
            <w:tcW w:w="2386" w:type="dxa"/>
            <w:noWrap/>
            <w:hideMark/>
          </w:tcPr>
          <w:p w14:paraId="693E5581" w14:textId="77777777" w:rsidR="004E2861" w:rsidRPr="00C34CF2" w:rsidRDefault="004E2861" w:rsidP="005D15EA">
            <w:pPr>
              <w:numPr>
                <w:ilvl w:val="0"/>
                <w:numId w:val="15"/>
              </w:numPr>
              <w:spacing w:after="120"/>
              <w:rPr>
                <w:b w:val="0"/>
                <w:bCs w:val="0"/>
                <w:i/>
                <w:iCs/>
              </w:rPr>
            </w:pPr>
            <w:r w:rsidRPr="00C34CF2">
              <w:rPr>
                <w:b w:val="0"/>
                <w:bCs w:val="0"/>
                <w:i/>
                <w:iCs/>
              </w:rPr>
              <w:t>Fee units value ($)</w:t>
            </w:r>
          </w:p>
        </w:tc>
        <w:tc>
          <w:tcPr>
            <w:tcW w:w="2094" w:type="dxa"/>
            <w:shd w:val="clear" w:color="auto" w:fill="FFFF00"/>
            <w:noWrap/>
            <w:hideMark/>
          </w:tcPr>
          <w:p w14:paraId="176321D6" w14:textId="39909CB6"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726.</w:t>
            </w:r>
            <w:r>
              <w:rPr>
                <w:i/>
                <w:iCs/>
              </w:rPr>
              <w:t>2</w:t>
            </w:r>
            <w:r w:rsidR="00345BB9">
              <w:rPr>
                <w:i/>
                <w:iCs/>
              </w:rPr>
              <w:t>0</w:t>
            </w:r>
          </w:p>
        </w:tc>
        <w:tc>
          <w:tcPr>
            <w:tcW w:w="2094" w:type="dxa"/>
            <w:shd w:val="clear" w:color="auto" w:fill="FFC000"/>
            <w:noWrap/>
            <w:hideMark/>
          </w:tcPr>
          <w:p w14:paraId="5115DEC4" w14:textId="60807FE0"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507.</w:t>
            </w:r>
            <w:r>
              <w:rPr>
                <w:i/>
                <w:iCs/>
              </w:rPr>
              <w:t>7</w:t>
            </w:r>
            <w:r w:rsidR="00345BB9">
              <w:rPr>
                <w:i/>
                <w:iCs/>
              </w:rPr>
              <w:t>0</w:t>
            </w:r>
          </w:p>
        </w:tc>
        <w:tc>
          <w:tcPr>
            <w:tcW w:w="2094" w:type="dxa"/>
            <w:shd w:val="clear" w:color="auto" w:fill="FFC000"/>
            <w:noWrap/>
            <w:hideMark/>
          </w:tcPr>
          <w:p w14:paraId="4F0FDEBE"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26</w:t>
            </w:r>
            <w:r>
              <w:rPr>
                <w:i/>
                <w:iCs/>
              </w:rPr>
              <w:t>9</w:t>
            </w:r>
          </w:p>
        </w:tc>
        <w:tc>
          <w:tcPr>
            <w:tcW w:w="2094" w:type="dxa"/>
            <w:shd w:val="clear" w:color="auto" w:fill="92D050"/>
            <w:noWrap/>
            <w:hideMark/>
          </w:tcPr>
          <w:p w14:paraId="2EE0FB30" w14:textId="186F993B"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159.7</w:t>
            </w:r>
            <w:r w:rsidR="00345BB9">
              <w:rPr>
                <w:i/>
                <w:iCs/>
              </w:rPr>
              <w:t>0</w:t>
            </w:r>
          </w:p>
        </w:tc>
      </w:tr>
      <w:tr w:rsidR="004E2861" w:rsidRPr="00C34CF2" w14:paraId="63637633" w14:textId="77777777">
        <w:trPr>
          <w:trHeight w:val="727"/>
        </w:trPr>
        <w:tc>
          <w:tcPr>
            <w:cnfStyle w:val="001000000000" w:firstRow="0" w:lastRow="0" w:firstColumn="1" w:lastColumn="0" w:oddVBand="0" w:evenVBand="0" w:oddHBand="0" w:evenHBand="0" w:firstRowFirstColumn="0" w:firstRowLastColumn="0" w:lastRowFirstColumn="0" w:lastRowLastColumn="0"/>
            <w:tcW w:w="10762" w:type="dxa"/>
            <w:gridSpan w:val="5"/>
            <w:shd w:val="clear" w:color="auto" w:fill="F2F2F2" w:themeFill="background1" w:themeFillShade="F2"/>
            <w:hideMark/>
          </w:tcPr>
          <w:p w14:paraId="149CEE02" w14:textId="77777777" w:rsidR="004E2861" w:rsidRPr="00C34CF2" w:rsidRDefault="004E2861">
            <w:pPr>
              <w:spacing w:after="120"/>
            </w:pPr>
            <w:r w:rsidRPr="00C34CF2">
              <w:rPr>
                <w:b w:val="0"/>
                <w:bCs w:val="0"/>
              </w:rPr>
              <w:t>Municipal road or non-arterial State road on which the maximum speed limit for vehicles at any time is more than 50 kilometres per hour</w:t>
            </w:r>
          </w:p>
        </w:tc>
      </w:tr>
      <w:tr w:rsidR="004E2861" w:rsidRPr="00C34CF2" w14:paraId="10569BD4" w14:textId="77777777">
        <w:trPr>
          <w:trHeight w:val="300"/>
        </w:trPr>
        <w:tc>
          <w:tcPr>
            <w:cnfStyle w:val="001000000000" w:firstRow="0" w:lastRow="0" w:firstColumn="1" w:lastColumn="0" w:oddVBand="0" w:evenVBand="0" w:oddHBand="0" w:evenHBand="0" w:firstRowFirstColumn="0" w:firstRowLastColumn="0" w:lastRowFirstColumn="0" w:lastRowLastColumn="0"/>
            <w:tcW w:w="2386" w:type="dxa"/>
            <w:hideMark/>
          </w:tcPr>
          <w:p w14:paraId="79BA7A8F" w14:textId="77777777" w:rsidR="004E2861" w:rsidRPr="00C34CF2" w:rsidRDefault="004E2861" w:rsidP="005D15EA">
            <w:pPr>
              <w:numPr>
                <w:ilvl w:val="0"/>
                <w:numId w:val="15"/>
              </w:numPr>
              <w:spacing w:after="120"/>
              <w:rPr>
                <w:b w:val="0"/>
                <w:bCs w:val="0"/>
              </w:rPr>
            </w:pPr>
            <w:r w:rsidRPr="00C34CF2">
              <w:rPr>
                <w:b w:val="0"/>
                <w:bCs w:val="0"/>
              </w:rPr>
              <w:t>Fee units</w:t>
            </w:r>
          </w:p>
        </w:tc>
        <w:tc>
          <w:tcPr>
            <w:tcW w:w="2094" w:type="dxa"/>
            <w:shd w:val="clear" w:color="auto" w:fill="FFFF00"/>
            <w:noWrap/>
            <w:hideMark/>
          </w:tcPr>
          <w:p w14:paraId="01FCBFB5"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43.1</w:t>
            </w:r>
          </w:p>
        </w:tc>
        <w:tc>
          <w:tcPr>
            <w:tcW w:w="2094" w:type="dxa"/>
            <w:shd w:val="clear" w:color="auto" w:fill="FFC000"/>
            <w:noWrap/>
            <w:hideMark/>
          </w:tcPr>
          <w:p w14:paraId="58532AB1"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23.5</w:t>
            </w:r>
          </w:p>
        </w:tc>
        <w:tc>
          <w:tcPr>
            <w:tcW w:w="2094" w:type="dxa"/>
            <w:shd w:val="clear" w:color="auto" w:fill="92D050"/>
            <w:noWrap/>
            <w:hideMark/>
          </w:tcPr>
          <w:p w14:paraId="09999B07"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9.3</w:t>
            </w:r>
          </w:p>
        </w:tc>
        <w:tc>
          <w:tcPr>
            <w:tcW w:w="2094" w:type="dxa"/>
            <w:shd w:val="clear" w:color="auto" w:fill="92D050"/>
            <w:noWrap/>
            <w:hideMark/>
          </w:tcPr>
          <w:p w14:paraId="64DD1409"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6</w:t>
            </w:r>
          </w:p>
        </w:tc>
      </w:tr>
      <w:tr w:rsidR="004E2861" w:rsidRPr="00C34CF2" w14:paraId="28DC14F2" w14:textId="77777777">
        <w:trPr>
          <w:trHeight w:val="300"/>
        </w:trPr>
        <w:tc>
          <w:tcPr>
            <w:cnfStyle w:val="001000000000" w:firstRow="0" w:lastRow="0" w:firstColumn="1" w:lastColumn="0" w:oddVBand="0" w:evenVBand="0" w:oddHBand="0" w:evenHBand="0" w:firstRowFirstColumn="0" w:firstRowLastColumn="0" w:lastRowFirstColumn="0" w:lastRowLastColumn="0"/>
            <w:tcW w:w="2386" w:type="dxa"/>
            <w:noWrap/>
            <w:hideMark/>
          </w:tcPr>
          <w:p w14:paraId="65A4BF79" w14:textId="77777777" w:rsidR="004E2861" w:rsidRPr="00C34CF2" w:rsidRDefault="004E2861" w:rsidP="005D15EA">
            <w:pPr>
              <w:numPr>
                <w:ilvl w:val="0"/>
                <w:numId w:val="15"/>
              </w:numPr>
              <w:spacing w:after="120"/>
              <w:rPr>
                <w:b w:val="0"/>
                <w:bCs w:val="0"/>
                <w:i/>
                <w:iCs/>
              </w:rPr>
            </w:pPr>
            <w:r w:rsidRPr="00C34CF2">
              <w:rPr>
                <w:b w:val="0"/>
                <w:bCs w:val="0"/>
                <w:i/>
                <w:iCs/>
              </w:rPr>
              <w:t>Fee units value ($)</w:t>
            </w:r>
          </w:p>
        </w:tc>
        <w:tc>
          <w:tcPr>
            <w:tcW w:w="2094" w:type="dxa"/>
            <w:shd w:val="clear" w:color="auto" w:fill="FFFF00"/>
            <w:noWrap/>
            <w:hideMark/>
          </w:tcPr>
          <w:p w14:paraId="7C526C48"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724</w:t>
            </w:r>
          </w:p>
        </w:tc>
        <w:tc>
          <w:tcPr>
            <w:tcW w:w="2094" w:type="dxa"/>
            <w:shd w:val="clear" w:color="auto" w:fill="FFC000"/>
            <w:noWrap/>
            <w:hideMark/>
          </w:tcPr>
          <w:p w14:paraId="0110F282"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395</w:t>
            </w:r>
          </w:p>
        </w:tc>
        <w:tc>
          <w:tcPr>
            <w:tcW w:w="2094" w:type="dxa"/>
            <w:shd w:val="clear" w:color="auto" w:fill="92D050"/>
            <w:noWrap/>
            <w:hideMark/>
          </w:tcPr>
          <w:p w14:paraId="02340B85" w14:textId="04658242"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156.</w:t>
            </w:r>
            <w:r w:rsidRPr="00C34CF2" w:rsidDel="00212F88">
              <w:rPr>
                <w:i/>
                <w:iCs/>
              </w:rPr>
              <w:t>3</w:t>
            </w:r>
            <w:r w:rsidR="00345BB9">
              <w:rPr>
                <w:i/>
                <w:iCs/>
              </w:rPr>
              <w:t>0</w:t>
            </w:r>
          </w:p>
        </w:tc>
        <w:tc>
          <w:tcPr>
            <w:tcW w:w="2094" w:type="dxa"/>
            <w:shd w:val="clear" w:color="auto" w:fill="92D050"/>
            <w:noWrap/>
            <w:hideMark/>
          </w:tcPr>
          <w:p w14:paraId="21AA99D4" w14:textId="21A6134C"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100.</w:t>
            </w:r>
            <w:r>
              <w:rPr>
                <w:i/>
                <w:iCs/>
              </w:rPr>
              <w:t>9</w:t>
            </w:r>
            <w:r w:rsidR="00345BB9">
              <w:rPr>
                <w:i/>
                <w:iCs/>
              </w:rPr>
              <w:t>0</w:t>
            </w:r>
          </w:p>
        </w:tc>
      </w:tr>
      <w:tr w:rsidR="004E2861" w:rsidRPr="00C34CF2" w14:paraId="407EDAA1" w14:textId="77777777">
        <w:trPr>
          <w:trHeight w:val="665"/>
        </w:trPr>
        <w:tc>
          <w:tcPr>
            <w:cnfStyle w:val="001000000000" w:firstRow="0" w:lastRow="0" w:firstColumn="1" w:lastColumn="0" w:oddVBand="0" w:evenVBand="0" w:oddHBand="0" w:evenHBand="0" w:firstRowFirstColumn="0" w:firstRowLastColumn="0" w:lastRowFirstColumn="0" w:lastRowLastColumn="0"/>
            <w:tcW w:w="10762" w:type="dxa"/>
            <w:gridSpan w:val="5"/>
            <w:shd w:val="clear" w:color="auto" w:fill="F2F2F2" w:themeFill="background1" w:themeFillShade="F2"/>
            <w:hideMark/>
          </w:tcPr>
          <w:p w14:paraId="1E1C5894" w14:textId="77777777" w:rsidR="004E2861" w:rsidRPr="00C34CF2" w:rsidRDefault="004E2861">
            <w:pPr>
              <w:spacing w:after="120"/>
            </w:pPr>
            <w:r w:rsidRPr="00C34CF2">
              <w:rPr>
                <w:b w:val="0"/>
                <w:bCs w:val="0"/>
              </w:rPr>
              <w:t>Municipal road or non-arterial State road on which the maximum speed limit for vehicles is not more than 50 kilometres per hour</w:t>
            </w:r>
          </w:p>
        </w:tc>
      </w:tr>
      <w:tr w:rsidR="004E2861" w:rsidRPr="00C34CF2" w14:paraId="363EEDD8" w14:textId="77777777">
        <w:trPr>
          <w:trHeight w:val="300"/>
        </w:trPr>
        <w:tc>
          <w:tcPr>
            <w:cnfStyle w:val="001000000000" w:firstRow="0" w:lastRow="0" w:firstColumn="1" w:lastColumn="0" w:oddVBand="0" w:evenVBand="0" w:oddHBand="0" w:evenHBand="0" w:firstRowFirstColumn="0" w:firstRowLastColumn="0" w:lastRowFirstColumn="0" w:lastRowLastColumn="0"/>
            <w:tcW w:w="2386" w:type="dxa"/>
            <w:hideMark/>
          </w:tcPr>
          <w:p w14:paraId="5D961ECD" w14:textId="77777777" w:rsidR="004E2861" w:rsidRPr="00C34CF2" w:rsidRDefault="004E2861" w:rsidP="005D15EA">
            <w:pPr>
              <w:numPr>
                <w:ilvl w:val="0"/>
                <w:numId w:val="15"/>
              </w:numPr>
              <w:spacing w:after="120"/>
              <w:rPr>
                <w:b w:val="0"/>
                <w:bCs w:val="0"/>
              </w:rPr>
            </w:pPr>
            <w:r w:rsidRPr="00C34CF2">
              <w:rPr>
                <w:b w:val="0"/>
                <w:bCs w:val="0"/>
              </w:rPr>
              <w:t>Fee units</w:t>
            </w:r>
          </w:p>
        </w:tc>
        <w:tc>
          <w:tcPr>
            <w:tcW w:w="2094" w:type="dxa"/>
            <w:shd w:val="clear" w:color="auto" w:fill="FFC000"/>
            <w:noWrap/>
            <w:hideMark/>
          </w:tcPr>
          <w:p w14:paraId="63288B91"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23.5</w:t>
            </w:r>
          </w:p>
        </w:tc>
        <w:tc>
          <w:tcPr>
            <w:tcW w:w="2094" w:type="dxa"/>
            <w:shd w:val="clear" w:color="auto" w:fill="92D050"/>
            <w:noWrap/>
            <w:hideMark/>
          </w:tcPr>
          <w:p w14:paraId="257F2580"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6</w:t>
            </w:r>
          </w:p>
        </w:tc>
        <w:tc>
          <w:tcPr>
            <w:tcW w:w="2094" w:type="dxa"/>
            <w:shd w:val="clear" w:color="auto" w:fill="92D050"/>
            <w:noWrap/>
            <w:hideMark/>
          </w:tcPr>
          <w:p w14:paraId="19CE6197"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9.3</w:t>
            </w:r>
          </w:p>
        </w:tc>
        <w:tc>
          <w:tcPr>
            <w:tcW w:w="2094" w:type="dxa"/>
            <w:shd w:val="clear" w:color="auto" w:fill="92D050"/>
            <w:noWrap/>
            <w:hideMark/>
          </w:tcPr>
          <w:p w14:paraId="1D829947"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6</w:t>
            </w:r>
          </w:p>
        </w:tc>
      </w:tr>
      <w:tr w:rsidR="004E2861" w:rsidRPr="00C34CF2" w14:paraId="6C7CEE3A" w14:textId="77777777">
        <w:trPr>
          <w:trHeight w:val="300"/>
        </w:trPr>
        <w:tc>
          <w:tcPr>
            <w:cnfStyle w:val="001000000000" w:firstRow="0" w:lastRow="0" w:firstColumn="1" w:lastColumn="0" w:oddVBand="0" w:evenVBand="0" w:oddHBand="0" w:evenHBand="0" w:firstRowFirstColumn="0" w:firstRowLastColumn="0" w:lastRowFirstColumn="0" w:lastRowLastColumn="0"/>
            <w:tcW w:w="2386" w:type="dxa"/>
            <w:noWrap/>
            <w:hideMark/>
          </w:tcPr>
          <w:p w14:paraId="27374206" w14:textId="77777777" w:rsidR="004E2861" w:rsidRPr="00C34CF2" w:rsidRDefault="004E2861" w:rsidP="005D15EA">
            <w:pPr>
              <w:numPr>
                <w:ilvl w:val="0"/>
                <w:numId w:val="15"/>
              </w:numPr>
              <w:spacing w:after="120"/>
              <w:rPr>
                <w:b w:val="0"/>
                <w:bCs w:val="0"/>
                <w:i/>
                <w:iCs/>
              </w:rPr>
            </w:pPr>
            <w:r w:rsidRPr="00C34CF2">
              <w:rPr>
                <w:b w:val="0"/>
                <w:bCs w:val="0"/>
                <w:i/>
                <w:iCs/>
              </w:rPr>
              <w:t>Fee units value ($)</w:t>
            </w:r>
          </w:p>
        </w:tc>
        <w:tc>
          <w:tcPr>
            <w:tcW w:w="2094" w:type="dxa"/>
            <w:shd w:val="clear" w:color="auto" w:fill="FFC000"/>
            <w:noWrap/>
            <w:hideMark/>
          </w:tcPr>
          <w:p w14:paraId="0DECAFC2"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395</w:t>
            </w:r>
          </w:p>
        </w:tc>
        <w:tc>
          <w:tcPr>
            <w:tcW w:w="2094" w:type="dxa"/>
            <w:shd w:val="clear" w:color="auto" w:fill="92D050"/>
            <w:noWrap/>
            <w:hideMark/>
          </w:tcPr>
          <w:p w14:paraId="4C1F5535" w14:textId="2BE287C0"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100.</w:t>
            </w:r>
            <w:r>
              <w:rPr>
                <w:i/>
                <w:iCs/>
              </w:rPr>
              <w:t>9</w:t>
            </w:r>
            <w:r w:rsidR="00345BB9">
              <w:rPr>
                <w:i/>
                <w:iCs/>
              </w:rPr>
              <w:t>0</w:t>
            </w:r>
          </w:p>
        </w:tc>
        <w:tc>
          <w:tcPr>
            <w:tcW w:w="2094" w:type="dxa"/>
            <w:shd w:val="clear" w:color="auto" w:fill="92D050"/>
            <w:noWrap/>
            <w:hideMark/>
          </w:tcPr>
          <w:p w14:paraId="6914A0C7" w14:textId="4886115D"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156.</w:t>
            </w:r>
            <w:r w:rsidRPr="00C34CF2" w:rsidDel="00212F88">
              <w:rPr>
                <w:i/>
                <w:iCs/>
              </w:rPr>
              <w:t>3</w:t>
            </w:r>
            <w:r w:rsidR="00345BB9">
              <w:rPr>
                <w:i/>
                <w:iCs/>
              </w:rPr>
              <w:t>0</w:t>
            </w:r>
          </w:p>
        </w:tc>
        <w:tc>
          <w:tcPr>
            <w:tcW w:w="2094" w:type="dxa"/>
            <w:shd w:val="clear" w:color="auto" w:fill="92D050"/>
            <w:noWrap/>
            <w:hideMark/>
          </w:tcPr>
          <w:p w14:paraId="5768D9EB" w14:textId="577766F4"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r w:rsidRPr="00C34CF2">
              <w:rPr>
                <w:i/>
                <w:iCs/>
              </w:rPr>
              <w:t>100.</w:t>
            </w:r>
            <w:r>
              <w:rPr>
                <w:i/>
                <w:iCs/>
              </w:rPr>
              <w:t>9</w:t>
            </w:r>
            <w:r w:rsidR="00345BB9">
              <w:rPr>
                <w:i/>
                <w:iCs/>
              </w:rPr>
              <w:t>0</w:t>
            </w:r>
          </w:p>
        </w:tc>
      </w:tr>
    </w:tbl>
    <w:p w14:paraId="7CBA5941" w14:textId="77777777" w:rsidR="007375B8" w:rsidRDefault="007375B8" w:rsidP="004E2861"/>
    <w:p w14:paraId="1329E77F" w14:textId="20D4E605" w:rsidR="003C1583" w:rsidRPr="00C34CF2" w:rsidRDefault="004E2861" w:rsidP="004E2861">
      <w:r w:rsidRPr="00C34CF2">
        <w:t>Based on the number of applications estimated to fall within the low, mid and high complexity level categories, and the average fee per application, the total revenue for the Department’s metropolitan consent for works team in 2024 is estimated to be $865,397 to $1,080,512.</w:t>
      </w:r>
      <w:r w:rsidR="00807E50">
        <w:t xml:space="preserve"> See </w:t>
      </w:r>
      <w:r w:rsidR="00D17440">
        <w:t>Tables 21-23</w:t>
      </w:r>
      <w:r w:rsidR="00807E50">
        <w:t xml:space="preserve"> for further details. </w:t>
      </w:r>
      <w:r w:rsidRPr="00C34CF2">
        <w:t>This range is based on low complexity level applications being 50 to 70 percent, with the reminder mid- and high-level applications calculated according to these percentages, as discussed above.</w:t>
      </w:r>
    </w:p>
    <w:p w14:paraId="21936DA6" w14:textId="5E6F761F" w:rsidR="004E2861" w:rsidRDefault="005A7DAB" w:rsidP="005A7DAB">
      <w:pPr>
        <w:pStyle w:val="Caption"/>
        <w:keepNext/>
      </w:pPr>
      <w:bookmarkStart w:id="304" w:name="_Ref212457745"/>
      <w:bookmarkStart w:id="305" w:name="_Toc226448371"/>
      <w:r>
        <w:lastRenderedPageBreak/>
        <w:t xml:space="preserve">Table </w:t>
      </w:r>
      <w:r>
        <w:fldChar w:fldCharType="begin"/>
      </w:r>
      <w:r>
        <w:instrText xml:space="preserve"> SEQ Table \* ARABIC </w:instrText>
      </w:r>
      <w:r>
        <w:fldChar w:fldCharType="separate"/>
      </w:r>
      <w:r w:rsidR="00F170D0">
        <w:rPr>
          <w:noProof/>
        </w:rPr>
        <w:t>23</w:t>
      </w:r>
      <w:r>
        <w:rPr>
          <w:noProof/>
        </w:rPr>
        <w:fldChar w:fldCharType="end"/>
      </w:r>
      <w:r w:rsidR="003C1583">
        <w:t xml:space="preserve"> </w:t>
      </w:r>
      <w:r w:rsidR="004E2861" w:rsidRPr="00C34CF2">
        <w:t>– Revenue from application fees received by the Department (metro) 2024</w:t>
      </w:r>
      <w:bookmarkEnd w:id="304"/>
      <w:bookmarkEnd w:id="305"/>
    </w:p>
    <w:tbl>
      <w:tblPr>
        <w:tblStyle w:val="TableGrid"/>
        <w:tblW w:w="0" w:type="auto"/>
        <w:tblLook w:val="00A0" w:firstRow="1" w:lastRow="0" w:firstColumn="1" w:lastColumn="0" w:noHBand="0" w:noVBand="0"/>
      </w:tblPr>
      <w:tblGrid>
        <w:gridCol w:w="2153"/>
        <w:gridCol w:w="1882"/>
        <w:gridCol w:w="2061"/>
        <w:gridCol w:w="3118"/>
      </w:tblGrid>
      <w:tr w:rsidR="004E2861" w:rsidRPr="00C34CF2" w14:paraId="342D439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dxa"/>
          </w:tcPr>
          <w:p w14:paraId="2FE25039" w14:textId="77777777" w:rsidR="004E2861" w:rsidRPr="00C34CF2" w:rsidRDefault="004E2861" w:rsidP="005A7DAB">
            <w:r w:rsidRPr="00C34CF2">
              <w:t>Application type by complexity</w:t>
            </w:r>
          </w:p>
        </w:tc>
        <w:tc>
          <w:tcPr>
            <w:tcW w:w="1882" w:type="dxa"/>
          </w:tcPr>
          <w:p w14:paraId="182C6929" w14:textId="77777777" w:rsidR="004E2861" w:rsidRPr="00C34CF2" w:rsidRDefault="004E2861" w:rsidP="005A7DAB">
            <w:pPr>
              <w:cnfStyle w:val="100000000000" w:firstRow="1" w:lastRow="0" w:firstColumn="0" w:lastColumn="0" w:oddVBand="0" w:evenVBand="0" w:oddHBand="0" w:evenHBand="0" w:firstRowFirstColumn="0" w:firstRowLastColumn="0" w:lastRowFirstColumn="0" w:lastRowLastColumn="0"/>
            </w:pPr>
            <w:r w:rsidRPr="00C34CF2">
              <w:t>Number of applications</w:t>
            </w:r>
          </w:p>
        </w:tc>
        <w:tc>
          <w:tcPr>
            <w:tcW w:w="2061" w:type="dxa"/>
          </w:tcPr>
          <w:p w14:paraId="7ACB042F" w14:textId="77777777" w:rsidR="004E2861" w:rsidRPr="00C34CF2" w:rsidRDefault="004E2861" w:rsidP="005A7DAB">
            <w:pPr>
              <w:cnfStyle w:val="100000000000" w:firstRow="1" w:lastRow="0" w:firstColumn="0" w:lastColumn="0" w:oddVBand="0" w:evenVBand="0" w:oddHBand="0" w:evenHBand="0" w:firstRowFirstColumn="0" w:firstRowLastColumn="0" w:lastRowFirstColumn="0" w:lastRowLastColumn="0"/>
            </w:pPr>
            <w:r w:rsidRPr="00C34CF2">
              <w:t>Average fee per application ($)</w:t>
            </w:r>
          </w:p>
        </w:tc>
        <w:tc>
          <w:tcPr>
            <w:tcW w:w="3118" w:type="dxa"/>
          </w:tcPr>
          <w:p w14:paraId="596C8B6A" w14:textId="77777777" w:rsidR="004E2861" w:rsidRPr="00C34CF2" w:rsidRDefault="004E2861" w:rsidP="005A7DAB">
            <w:pPr>
              <w:cnfStyle w:val="100000000000" w:firstRow="1" w:lastRow="0" w:firstColumn="0" w:lastColumn="0" w:oddVBand="0" w:evenVBand="0" w:oddHBand="0" w:evenHBand="0" w:firstRowFirstColumn="0" w:firstRowLastColumn="0" w:lastRowFirstColumn="0" w:lastRowLastColumn="0"/>
            </w:pPr>
            <w:r w:rsidRPr="00C34CF2">
              <w:t>Total revenue ($)</w:t>
            </w:r>
          </w:p>
        </w:tc>
      </w:tr>
      <w:tr w:rsidR="004E2861" w:rsidRPr="00C34CF2" w14:paraId="6E40021B" w14:textId="77777777">
        <w:tc>
          <w:tcPr>
            <w:cnfStyle w:val="001000000000" w:firstRow="0" w:lastRow="0" w:firstColumn="1" w:lastColumn="0" w:oddVBand="0" w:evenVBand="0" w:oddHBand="0" w:evenHBand="0" w:firstRowFirstColumn="0" w:firstRowLastColumn="0" w:lastRowFirstColumn="0" w:lastRowLastColumn="0"/>
            <w:tcW w:w="2153" w:type="dxa"/>
          </w:tcPr>
          <w:p w14:paraId="4786C8C7" w14:textId="77777777" w:rsidR="004E2861" w:rsidRPr="00C34CF2" w:rsidRDefault="004E2861">
            <w:r w:rsidRPr="00C34CF2">
              <w:t>Low</w:t>
            </w:r>
          </w:p>
        </w:tc>
        <w:tc>
          <w:tcPr>
            <w:tcW w:w="1882" w:type="dxa"/>
          </w:tcPr>
          <w:p w14:paraId="18D15ABA" w14:textId="77777777" w:rsidR="004E2861" w:rsidRPr="00C34CF2" w:rsidRDefault="004E2861">
            <w:pPr>
              <w:cnfStyle w:val="000000000000" w:firstRow="0" w:lastRow="0" w:firstColumn="0" w:lastColumn="0" w:oddVBand="0" w:evenVBand="0" w:oddHBand="0" w:evenHBand="0" w:firstRowFirstColumn="0" w:firstRowLastColumn="0" w:lastRowFirstColumn="0" w:lastRowLastColumn="0"/>
            </w:pPr>
            <w:r w:rsidRPr="00C34CF2">
              <w:t>1,094 to 2,665</w:t>
            </w:r>
          </w:p>
        </w:tc>
        <w:tc>
          <w:tcPr>
            <w:tcW w:w="2061" w:type="dxa"/>
          </w:tcPr>
          <w:p w14:paraId="329262A5" w14:textId="3B6EBFAC" w:rsidR="004E2861" w:rsidRPr="00C34CF2" w:rsidRDefault="004E2861">
            <w:pPr>
              <w:cnfStyle w:val="000000000000" w:firstRow="0" w:lastRow="0" w:firstColumn="0" w:lastColumn="0" w:oddVBand="0" w:evenVBand="0" w:oddHBand="0" w:evenHBand="0" w:firstRowFirstColumn="0" w:firstRowLastColumn="0" w:lastRowFirstColumn="0" w:lastRowLastColumn="0"/>
            </w:pPr>
            <w:r w:rsidRPr="00C34CF2">
              <w:t>133.5</w:t>
            </w:r>
            <w:r w:rsidR="003D527B">
              <w:t>0</w:t>
            </w:r>
            <w:r w:rsidR="00CC6BBF">
              <w:t xml:space="preserve"> </w:t>
            </w:r>
          </w:p>
        </w:tc>
        <w:tc>
          <w:tcPr>
            <w:tcW w:w="3118" w:type="dxa"/>
          </w:tcPr>
          <w:p w14:paraId="34DF1BF3" w14:textId="3C45DD0C" w:rsidR="004E2861" w:rsidRPr="00C34CF2" w:rsidRDefault="004E2861">
            <w:pPr>
              <w:cnfStyle w:val="000000000000" w:firstRow="0" w:lastRow="0" w:firstColumn="0" w:lastColumn="0" w:oddVBand="0" w:evenVBand="0" w:oddHBand="0" w:evenHBand="0" w:firstRowFirstColumn="0" w:firstRowLastColumn="0" w:lastRowFirstColumn="0" w:lastRowLastColumn="0"/>
            </w:pPr>
            <w:r w:rsidRPr="00C34CF2">
              <w:t>146,049 to 355,777.5</w:t>
            </w:r>
            <w:r w:rsidR="003D527B">
              <w:t>0</w:t>
            </w:r>
          </w:p>
        </w:tc>
      </w:tr>
      <w:tr w:rsidR="004E2861" w:rsidRPr="00C34CF2" w14:paraId="69BAAC3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dxa"/>
          </w:tcPr>
          <w:p w14:paraId="289DB4EE" w14:textId="77777777" w:rsidR="004E2861" w:rsidRPr="00C34CF2" w:rsidRDefault="004E2861">
            <w:r w:rsidRPr="00C34CF2">
              <w:t>Mid</w:t>
            </w:r>
          </w:p>
        </w:tc>
        <w:tc>
          <w:tcPr>
            <w:tcW w:w="1882" w:type="dxa"/>
          </w:tcPr>
          <w:p w14:paraId="4532D053" w14:textId="77777777" w:rsidR="004E2861" w:rsidRPr="00C34CF2" w:rsidRDefault="004E2861">
            <w:pPr>
              <w:cnfStyle w:val="000000010000" w:firstRow="0" w:lastRow="0" w:firstColumn="0" w:lastColumn="0" w:oddVBand="0" w:evenVBand="0" w:oddHBand="0" w:evenHBand="1" w:firstRowFirstColumn="0" w:firstRowLastColumn="0" w:lastRowFirstColumn="0" w:lastRowLastColumn="0"/>
            </w:pPr>
            <w:r w:rsidRPr="00C34CF2">
              <w:t>952 to 1,332</w:t>
            </w:r>
          </w:p>
        </w:tc>
        <w:tc>
          <w:tcPr>
            <w:tcW w:w="2061" w:type="dxa"/>
          </w:tcPr>
          <w:p w14:paraId="496ECD07" w14:textId="3835C484" w:rsidR="004E2861" w:rsidRPr="00C34CF2" w:rsidRDefault="004E2861">
            <w:pPr>
              <w:cnfStyle w:val="000000010000" w:firstRow="0" w:lastRow="0" w:firstColumn="0" w:lastColumn="0" w:oddVBand="0" w:evenVBand="0" w:oddHBand="0" w:evenHBand="1" w:firstRowFirstColumn="0" w:firstRowLastColumn="0" w:lastRowFirstColumn="0" w:lastRowLastColumn="0"/>
            </w:pPr>
            <w:r w:rsidRPr="00C34CF2">
              <w:t>390.5</w:t>
            </w:r>
            <w:r w:rsidR="003D527B">
              <w:t>0</w:t>
            </w:r>
          </w:p>
        </w:tc>
        <w:tc>
          <w:tcPr>
            <w:tcW w:w="3118" w:type="dxa"/>
          </w:tcPr>
          <w:p w14:paraId="3ABC6D52" w14:textId="77777777" w:rsidR="004E2861" w:rsidRPr="00C34CF2" w:rsidRDefault="004E2861">
            <w:pPr>
              <w:cnfStyle w:val="000000010000" w:firstRow="0" w:lastRow="0" w:firstColumn="0" w:lastColumn="0" w:oddVBand="0" w:evenVBand="0" w:oddHBand="0" w:evenHBand="1" w:firstRowFirstColumn="0" w:firstRowLastColumn="0" w:lastRowFirstColumn="0" w:lastRowLastColumn="0"/>
            </w:pPr>
            <w:r w:rsidRPr="00C34CF2">
              <w:t>371,756 to 520,146</w:t>
            </w:r>
          </w:p>
        </w:tc>
      </w:tr>
      <w:tr w:rsidR="004E2861" w:rsidRPr="00C34CF2" w14:paraId="08B5958C" w14:textId="77777777">
        <w:tc>
          <w:tcPr>
            <w:cnfStyle w:val="001000000000" w:firstRow="0" w:lastRow="0" w:firstColumn="1" w:lastColumn="0" w:oddVBand="0" w:evenVBand="0" w:oddHBand="0" w:evenHBand="0" w:firstRowFirstColumn="0" w:firstRowLastColumn="0" w:lastRowFirstColumn="0" w:lastRowLastColumn="0"/>
            <w:tcW w:w="2153" w:type="dxa"/>
          </w:tcPr>
          <w:p w14:paraId="396DBA7C" w14:textId="77777777" w:rsidR="004E2861" w:rsidRPr="00C34CF2" w:rsidRDefault="004E2861">
            <w:r w:rsidRPr="00C34CF2">
              <w:t>High</w:t>
            </w:r>
          </w:p>
        </w:tc>
        <w:tc>
          <w:tcPr>
            <w:tcW w:w="1882" w:type="dxa"/>
          </w:tcPr>
          <w:p w14:paraId="4197EE3B" w14:textId="77777777" w:rsidR="004E2861" w:rsidRPr="00C34CF2" w:rsidRDefault="004E2861">
            <w:pPr>
              <w:cnfStyle w:val="000000000000" w:firstRow="0" w:lastRow="0" w:firstColumn="0" w:lastColumn="0" w:oddVBand="0" w:evenVBand="0" w:oddHBand="0" w:evenHBand="0" w:firstRowFirstColumn="0" w:firstRowLastColumn="0" w:lastRowFirstColumn="0" w:lastRowLastColumn="0"/>
            </w:pPr>
            <w:r w:rsidRPr="00C34CF2">
              <w:t>190 to 571</w:t>
            </w:r>
          </w:p>
        </w:tc>
        <w:tc>
          <w:tcPr>
            <w:tcW w:w="2061" w:type="dxa"/>
          </w:tcPr>
          <w:p w14:paraId="7C9B1656" w14:textId="7D3CE954" w:rsidR="004E2861" w:rsidRPr="00C34CF2" w:rsidRDefault="004E2861">
            <w:pPr>
              <w:cnfStyle w:val="000000000000" w:firstRow="0" w:lastRow="0" w:firstColumn="0" w:lastColumn="0" w:oddVBand="0" w:evenVBand="0" w:oddHBand="0" w:evenHBand="0" w:firstRowFirstColumn="0" w:firstRowLastColumn="0" w:lastRowFirstColumn="0" w:lastRowLastColumn="0"/>
            </w:pPr>
            <w:r w:rsidRPr="00C34CF2">
              <w:t>725.</w:t>
            </w:r>
            <w:r w:rsidR="00F04140">
              <w:t>40</w:t>
            </w:r>
          </w:p>
        </w:tc>
        <w:tc>
          <w:tcPr>
            <w:tcW w:w="3118" w:type="dxa"/>
          </w:tcPr>
          <w:p w14:paraId="64B4D754" w14:textId="4D273D2E" w:rsidR="004E2861" w:rsidRPr="00C34CF2" w:rsidRDefault="004E2861">
            <w:pPr>
              <w:cnfStyle w:val="000000000000" w:firstRow="0" w:lastRow="0" w:firstColumn="0" w:lastColumn="0" w:oddVBand="0" w:evenVBand="0" w:oddHBand="0" w:evenHBand="0" w:firstRowFirstColumn="0" w:firstRowLastColumn="0" w:lastRowFirstColumn="0" w:lastRowLastColumn="0"/>
            </w:pPr>
            <w:r w:rsidRPr="00C34CF2">
              <w:t>137,8</w:t>
            </w:r>
            <w:r w:rsidR="00404176">
              <w:t>26</w:t>
            </w:r>
            <w:r w:rsidRPr="00C34CF2">
              <w:t xml:space="preserve"> to 414,</w:t>
            </w:r>
            <w:r w:rsidR="002473EA">
              <w:t>203.40</w:t>
            </w:r>
          </w:p>
        </w:tc>
      </w:tr>
      <w:tr w:rsidR="004E2861" w:rsidRPr="00C34CF2" w14:paraId="08F2578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dxa"/>
          </w:tcPr>
          <w:p w14:paraId="3936E225" w14:textId="77777777" w:rsidR="004E2861" w:rsidRPr="00C34CF2" w:rsidRDefault="004E2861">
            <w:r w:rsidRPr="00C34CF2">
              <w:t>Total</w:t>
            </w:r>
          </w:p>
        </w:tc>
        <w:tc>
          <w:tcPr>
            <w:tcW w:w="1882" w:type="dxa"/>
          </w:tcPr>
          <w:p w14:paraId="098E6775" w14:textId="77777777" w:rsidR="004E2861" w:rsidRPr="00C34CF2" w:rsidRDefault="004E2861">
            <w:pPr>
              <w:cnfStyle w:val="000000010000" w:firstRow="0" w:lastRow="0" w:firstColumn="0" w:lastColumn="0" w:oddVBand="0" w:evenVBand="0" w:oddHBand="0" w:evenHBand="1" w:firstRowFirstColumn="0" w:firstRowLastColumn="0" w:lastRowFirstColumn="0" w:lastRowLastColumn="0"/>
              <w:rPr>
                <w:b/>
                <w:bCs/>
              </w:rPr>
            </w:pPr>
            <w:r w:rsidRPr="00C34CF2">
              <w:rPr>
                <w:b/>
                <w:bCs/>
              </w:rPr>
              <w:t>3807</w:t>
            </w:r>
          </w:p>
        </w:tc>
        <w:tc>
          <w:tcPr>
            <w:tcW w:w="2061" w:type="dxa"/>
          </w:tcPr>
          <w:p w14:paraId="3723A7F4" w14:textId="77777777" w:rsidR="004E2861" w:rsidRPr="00C34CF2" w:rsidRDefault="004E2861">
            <w:pPr>
              <w:cnfStyle w:val="000000010000" w:firstRow="0" w:lastRow="0" w:firstColumn="0" w:lastColumn="0" w:oddVBand="0" w:evenVBand="0" w:oddHBand="0" w:evenHBand="1" w:firstRowFirstColumn="0" w:firstRowLastColumn="0" w:lastRowFirstColumn="0" w:lastRowLastColumn="0"/>
              <w:rPr>
                <w:b/>
                <w:bCs/>
              </w:rPr>
            </w:pPr>
            <w:r w:rsidRPr="00C34CF2">
              <w:rPr>
                <w:b/>
                <w:bCs/>
              </w:rPr>
              <w:t>-</w:t>
            </w:r>
          </w:p>
        </w:tc>
        <w:tc>
          <w:tcPr>
            <w:tcW w:w="3118" w:type="dxa"/>
          </w:tcPr>
          <w:p w14:paraId="6DEF1B2C" w14:textId="6D236BDC" w:rsidR="004E2861" w:rsidRPr="00C34CF2" w:rsidRDefault="004E2861">
            <w:pPr>
              <w:cnfStyle w:val="000000010000" w:firstRow="0" w:lastRow="0" w:firstColumn="0" w:lastColumn="0" w:oddVBand="0" w:evenVBand="0" w:oddHBand="0" w:evenHBand="1" w:firstRowFirstColumn="0" w:firstRowLastColumn="0" w:lastRowFirstColumn="0" w:lastRowLastColumn="0"/>
              <w:rPr>
                <w:b/>
                <w:bCs/>
              </w:rPr>
            </w:pPr>
            <w:r w:rsidRPr="00C34CF2">
              <w:rPr>
                <w:b/>
                <w:bCs/>
              </w:rPr>
              <w:t>865,3</w:t>
            </w:r>
            <w:r w:rsidR="00930625">
              <w:rPr>
                <w:b/>
                <w:bCs/>
              </w:rPr>
              <w:t>59.5</w:t>
            </w:r>
            <w:r w:rsidR="00CA0C76">
              <w:rPr>
                <w:b/>
                <w:bCs/>
              </w:rPr>
              <w:t>0</w:t>
            </w:r>
            <w:r w:rsidRPr="00C34CF2">
              <w:rPr>
                <w:b/>
                <w:bCs/>
              </w:rPr>
              <w:t xml:space="preserve"> to 1,080,</w:t>
            </w:r>
            <w:r w:rsidR="003F6DFF">
              <w:rPr>
                <w:b/>
                <w:bCs/>
              </w:rPr>
              <w:t>398.40</w:t>
            </w:r>
          </w:p>
        </w:tc>
      </w:tr>
    </w:tbl>
    <w:p w14:paraId="0C393069" w14:textId="77777777" w:rsidR="004E2861" w:rsidRDefault="004E2861" w:rsidP="004E2861">
      <w:pPr>
        <w:rPr>
          <w:b/>
          <w:bCs/>
          <w:color w:val="36383D" w:themeColor="accent6"/>
        </w:rPr>
      </w:pPr>
    </w:p>
    <w:p w14:paraId="0902E7DE" w14:textId="77777777" w:rsidR="004E2861" w:rsidRPr="00C34CF2" w:rsidRDefault="004E2861" w:rsidP="007247CA">
      <w:pPr>
        <w:pStyle w:val="Heading4"/>
      </w:pPr>
      <w:r w:rsidRPr="00C34CF2">
        <w:t>Local Councils</w:t>
      </w:r>
    </w:p>
    <w:p w14:paraId="4F85DA35" w14:textId="77777777" w:rsidR="004E2861" w:rsidRPr="00C34CF2" w:rsidRDefault="004E2861" w:rsidP="004E2861">
      <w:r w:rsidRPr="00C34CF2">
        <w:t>Initial feedback received from a small sample of councils has provided some insight into the number of applications processed per year, the cost to assess applications, and the activities involved.</w:t>
      </w:r>
    </w:p>
    <w:p w14:paraId="5D1103AF" w14:textId="77777777" w:rsidR="004E2861" w:rsidRPr="00C34CF2" w:rsidRDefault="004E2861" w:rsidP="004E2861">
      <w:r w:rsidRPr="00C34CF2">
        <w:t>An indication of a typical number of consents for works applications processed per annum from a sample of councils is as follows:</w:t>
      </w:r>
    </w:p>
    <w:p w14:paraId="70C74802" w14:textId="77777777" w:rsidR="004E2861" w:rsidRPr="00C34CF2" w:rsidRDefault="004E2861" w:rsidP="005D15EA">
      <w:pPr>
        <w:numPr>
          <w:ilvl w:val="1"/>
          <w:numId w:val="24"/>
        </w:numPr>
        <w:ind w:left="426"/>
      </w:pPr>
      <w:r w:rsidRPr="00C34CF2">
        <w:t>Metropolitan council 1 – 900</w:t>
      </w:r>
    </w:p>
    <w:p w14:paraId="28226319" w14:textId="77777777" w:rsidR="004E2861" w:rsidRPr="00C34CF2" w:rsidRDefault="004E2861" w:rsidP="005D15EA">
      <w:pPr>
        <w:numPr>
          <w:ilvl w:val="1"/>
          <w:numId w:val="24"/>
        </w:numPr>
        <w:ind w:left="426"/>
      </w:pPr>
      <w:r w:rsidRPr="00C34CF2">
        <w:t>Metropolitan council 2 – 3,184</w:t>
      </w:r>
    </w:p>
    <w:p w14:paraId="4A407EFD" w14:textId="77777777" w:rsidR="004E2861" w:rsidRPr="00C34CF2" w:rsidRDefault="004E2861" w:rsidP="005D15EA">
      <w:pPr>
        <w:numPr>
          <w:ilvl w:val="1"/>
          <w:numId w:val="24"/>
        </w:numPr>
        <w:ind w:left="426"/>
      </w:pPr>
      <w:r w:rsidRPr="00C34CF2">
        <w:t xml:space="preserve">Metropolitan council 3 – 281 </w:t>
      </w:r>
    </w:p>
    <w:p w14:paraId="27547FA3" w14:textId="77777777" w:rsidR="004E2861" w:rsidRPr="00C34CF2" w:rsidRDefault="004E2861" w:rsidP="005D15EA">
      <w:pPr>
        <w:numPr>
          <w:ilvl w:val="1"/>
          <w:numId w:val="24"/>
        </w:numPr>
        <w:ind w:left="426"/>
      </w:pPr>
      <w:r w:rsidRPr="00C34CF2">
        <w:t>Regional city council – 477</w:t>
      </w:r>
    </w:p>
    <w:p w14:paraId="6FB14DE1" w14:textId="77777777" w:rsidR="004E2861" w:rsidRPr="00C34CF2" w:rsidRDefault="004E2861" w:rsidP="005D15EA">
      <w:pPr>
        <w:numPr>
          <w:ilvl w:val="1"/>
          <w:numId w:val="24"/>
        </w:numPr>
        <w:ind w:left="426"/>
      </w:pPr>
      <w:r w:rsidRPr="00C34CF2">
        <w:t>Regional council 1 – 454</w:t>
      </w:r>
    </w:p>
    <w:p w14:paraId="00059D63" w14:textId="77777777" w:rsidR="004E2861" w:rsidRPr="00C34CF2" w:rsidRDefault="004E2861" w:rsidP="005D15EA">
      <w:pPr>
        <w:numPr>
          <w:ilvl w:val="1"/>
          <w:numId w:val="24"/>
        </w:numPr>
        <w:ind w:left="426"/>
      </w:pPr>
      <w:r w:rsidRPr="00C34CF2">
        <w:t xml:space="preserve">Regional council 2 – 154 </w:t>
      </w:r>
    </w:p>
    <w:p w14:paraId="7273A120" w14:textId="77777777" w:rsidR="004E2861" w:rsidRPr="00C34CF2" w:rsidRDefault="004E2861" w:rsidP="004E2861">
      <w:r w:rsidRPr="00C34CF2">
        <w:t>An indication of the typical cost per application to process consent for works applications is as follows:</w:t>
      </w:r>
    </w:p>
    <w:p w14:paraId="58F93160" w14:textId="77777777" w:rsidR="004E2861" w:rsidRPr="00C34CF2" w:rsidRDefault="004E2861" w:rsidP="005D15EA">
      <w:pPr>
        <w:numPr>
          <w:ilvl w:val="1"/>
          <w:numId w:val="24"/>
        </w:numPr>
        <w:ind w:left="426"/>
      </w:pPr>
      <w:r w:rsidRPr="00C34CF2">
        <w:t>Metropolitan council 1 – data not available</w:t>
      </w:r>
    </w:p>
    <w:p w14:paraId="6AE8151A" w14:textId="77777777" w:rsidR="004E2861" w:rsidRPr="00C34CF2" w:rsidRDefault="004E2861" w:rsidP="005D15EA">
      <w:pPr>
        <w:numPr>
          <w:ilvl w:val="1"/>
          <w:numId w:val="24"/>
        </w:numPr>
        <w:ind w:left="426"/>
      </w:pPr>
      <w:r w:rsidRPr="00C34CF2">
        <w:t>Metropolitan council 2 – $300</w:t>
      </w:r>
    </w:p>
    <w:p w14:paraId="647E6F7E" w14:textId="77777777" w:rsidR="004E2861" w:rsidRPr="00C34CF2" w:rsidRDefault="004E2861" w:rsidP="005D15EA">
      <w:pPr>
        <w:numPr>
          <w:ilvl w:val="1"/>
          <w:numId w:val="24"/>
        </w:numPr>
        <w:ind w:left="426"/>
      </w:pPr>
      <w:r w:rsidRPr="00C34CF2">
        <w:t xml:space="preserve">Metropolitan council 3 – $150 </w:t>
      </w:r>
    </w:p>
    <w:p w14:paraId="61882816" w14:textId="77777777" w:rsidR="004E2861" w:rsidRPr="00C34CF2" w:rsidRDefault="004E2861" w:rsidP="005D15EA">
      <w:pPr>
        <w:numPr>
          <w:ilvl w:val="1"/>
          <w:numId w:val="24"/>
        </w:numPr>
        <w:ind w:left="426"/>
      </w:pPr>
      <w:r w:rsidRPr="00C34CF2">
        <w:t>Regional city council – $100 to $150</w:t>
      </w:r>
    </w:p>
    <w:p w14:paraId="3F76C2BD" w14:textId="77777777" w:rsidR="004E2861" w:rsidRPr="00C34CF2" w:rsidRDefault="004E2861" w:rsidP="005D15EA">
      <w:pPr>
        <w:numPr>
          <w:ilvl w:val="1"/>
          <w:numId w:val="24"/>
        </w:numPr>
        <w:ind w:left="426"/>
      </w:pPr>
      <w:r w:rsidRPr="00C34CF2">
        <w:t>Regional council 1 – $150</w:t>
      </w:r>
    </w:p>
    <w:p w14:paraId="4A1991F8" w14:textId="77777777" w:rsidR="004E2861" w:rsidRPr="00C34CF2" w:rsidRDefault="004E2861" w:rsidP="005D15EA">
      <w:pPr>
        <w:numPr>
          <w:ilvl w:val="1"/>
          <w:numId w:val="24"/>
        </w:numPr>
        <w:ind w:left="426"/>
      </w:pPr>
      <w:r w:rsidRPr="00C34CF2">
        <w:t>Regional council 2 – data not available</w:t>
      </w:r>
    </w:p>
    <w:p w14:paraId="5201B19B" w14:textId="77777777" w:rsidR="004E2861" w:rsidRPr="00C34CF2" w:rsidRDefault="004E2861" w:rsidP="004E2861">
      <w:r w:rsidRPr="00C34CF2">
        <w:t xml:space="preserve">The length of time to assess applications is generally not recorded. However, consultation with one local council demonstrated that most low complexity applications require approximately two hours of assessment. This time generally includes a site inspection, assessment of the application and permit structure required, administration and record keeping activities. </w:t>
      </w:r>
    </w:p>
    <w:p w14:paraId="26077156" w14:textId="77777777" w:rsidR="004E2861" w:rsidRPr="00C34CF2" w:rsidRDefault="004E2861" w:rsidP="004E2861">
      <w:r w:rsidRPr="00C34CF2">
        <w:t>Although uncommon, a small number of larger scale projects involving significantly high complexity applications may require approximately 40 hours of assessment. These projects generally involve multiple officers from assets and engineering departments, referrals to other teams for technical knowledge and expertise, and weekly meetings with up to three officers and the applicant. An example of this type of high complexity project is the installation of an upgraded sewer main to service a large town or regional city.</w:t>
      </w:r>
    </w:p>
    <w:p w14:paraId="0693A48C" w14:textId="68B05E8D" w:rsidR="004E2861" w:rsidRPr="00C34CF2" w:rsidRDefault="004E2861" w:rsidP="004E2861">
      <w:r w:rsidRPr="00C34CF2">
        <w:t xml:space="preserve">Councils have commented there is currently </w:t>
      </w:r>
      <w:r w:rsidR="00096426">
        <w:t>limited</w:t>
      </w:r>
      <w:r w:rsidR="00096426" w:rsidRPr="00C34CF2">
        <w:t xml:space="preserve"> </w:t>
      </w:r>
      <w:r w:rsidRPr="00C34CF2">
        <w:t xml:space="preserve">ability to recover costs for multiple site inspections, which are often required for major projects with large scale works and lengthy timeframes. </w:t>
      </w:r>
      <w:r w:rsidR="008522A3">
        <w:t xml:space="preserve">Although </w:t>
      </w:r>
      <w:r w:rsidR="002A3317">
        <w:t xml:space="preserve">there </w:t>
      </w:r>
      <w:r w:rsidR="00703C76">
        <w:t>are</w:t>
      </w:r>
      <w:r w:rsidR="002A3317">
        <w:t xml:space="preserve"> no </w:t>
      </w:r>
      <w:r w:rsidR="00F91BD6">
        <w:lastRenderedPageBreak/>
        <w:t>limitations</w:t>
      </w:r>
      <w:r w:rsidR="002A3317">
        <w:t xml:space="preserve"> on charging multiple </w:t>
      </w:r>
      <w:r w:rsidR="00341718">
        <w:t xml:space="preserve">application </w:t>
      </w:r>
      <w:r w:rsidR="002A3317">
        <w:t>fees</w:t>
      </w:r>
      <w:r w:rsidR="00744E29">
        <w:t xml:space="preserve"> for the same works</w:t>
      </w:r>
      <w:r w:rsidR="00341718">
        <w:t xml:space="preserve"> project to help recover additional costs incurred</w:t>
      </w:r>
      <w:r w:rsidR="00744E29">
        <w:t>, it is</w:t>
      </w:r>
      <w:r w:rsidR="00341718">
        <w:t xml:space="preserve"> not</w:t>
      </w:r>
      <w:r w:rsidR="00FC4F79">
        <w:t xml:space="preserve"> beneficial in maintaining stakeholder relationships and not</w:t>
      </w:r>
      <w:r w:rsidR="00CC65EC">
        <w:t xml:space="preserve"> the preferred </w:t>
      </w:r>
      <w:r w:rsidR="00341718">
        <w:t>practice</w:t>
      </w:r>
      <w:r w:rsidR="00CC65EC">
        <w:t>.</w:t>
      </w:r>
      <w:r w:rsidR="00744E29">
        <w:t xml:space="preserve"> </w:t>
      </w:r>
      <w:r w:rsidRPr="00C34CF2">
        <w:t>Councils have also noted there is an inability to recover costs for the assessment or development of appropriate plans, such as traffic management plans and construction management plans. These plans are at times not completed to a sufficient standard and councils often assist to complete these plans using their own resourcing and expertise.</w:t>
      </w:r>
    </w:p>
    <w:p w14:paraId="691C3A17" w14:textId="77777777" w:rsidR="004E2861" w:rsidRPr="00C34CF2" w:rsidRDefault="004E2861" w:rsidP="004E2861">
      <w:r w:rsidRPr="00C34CF2">
        <w:t xml:space="preserve">The estimates of length of time and activities to assess applications are consistent with the sample estimates for the Department’s metropolitan consent for works team. Councils are not responsible for assessing applications for works on certain roads, such as freeways, therefore there are some expected differences. </w:t>
      </w:r>
    </w:p>
    <w:p w14:paraId="7AED7D23" w14:textId="77777777" w:rsidR="004E2861" w:rsidRPr="00C34CF2" w:rsidRDefault="004E2861" w:rsidP="004E2861">
      <w:r w:rsidRPr="00C34CF2">
        <w:t>Feedback received suggests that councils require 5 to 30 per cent of consent for works applications to be amended. Amendments may be required due to the need to appropriately manage the installation of different types of infrastructure in the road reserve at the same time, changes to plans or dates in original proposals, or requests to clarify information. These changes add additional costs to the review and processing of applications. One council advised it requires multiple assessments of applications due to providing consent for the works to be completed within a limited timeframe and encouraging applicants to undertake their works in stages. This is done to assist with quality control, however, adds to the administrative workload of council and the applicant.</w:t>
      </w:r>
    </w:p>
    <w:p w14:paraId="03E6A06E" w14:textId="77777777" w:rsidR="004E2861" w:rsidRPr="00C34CF2" w:rsidRDefault="004E2861" w:rsidP="007247CA">
      <w:pPr>
        <w:pStyle w:val="Heading3"/>
      </w:pPr>
      <w:bookmarkStart w:id="306" w:name="_Toc226448347"/>
      <w:r w:rsidRPr="00C34CF2">
        <w:t>Property enquiries</w:t>
      </w:r>
      <w:bookmarkEnd w:id="306"/>
    </w:p>
    <w:p w14:paraId="41A5410D" w14:textId="77777777" w:rsidR="004E2861" w:rsidRPr="00C34CF2" w:rsidRDefault="004E2861" w:rsidP="004E2861">
      <w:r w:rsidRPr="00C34CF2">
        <w:t xml:space="preserve">Section 32 of the </w:t>
      </w:r>
      <w:r w:rsidRPr="00C34CF2">
        <w:rPr>
          <w:i/>
        </w:rPr>
        <w:t>Sale of Land Act 1962</w:t>
      </w:r>
      <w:r w:rsidRPr="00C34CF2">
        <w:t xml:space="preserve"> requires an owner who is proposing to sell land to give a Vendor’s Statement to a prospective purchaser and include that Statement with any subsequent contract for the sale of the land. In addition to other details and information, the Vendor’s Statement is required to include information as to whether any public authority or Government Department (specifically the Department for the purposes of the scope of the existing and proposed regulations) has any approved proposals directly and currently affecting the land, such as for works requiring the purchase or compulsory acquisition of land (section 32D of the Sale of Land Act 1962).</w:t>
      </w:r>
    </w:p>
    <w:p w14:paraId="7BBD6630" w14:textId="77777777" w:rsidR="004E2861" w:rsidRPr="00C34CF2" w:rsidRDefault="004E2861" w:rsidP="004E2861">
      <w:r w:rsidRPr="00C34CF2">
        <w:t xml:space="preserve">Any person can make a property enquiry to the Department requesting advice on whether a property is affected by an approved proposal for future road works that would require, for example, the purchase or compulsory acquisition of any part of that property. Often these enquiries are received through the Landata platform. </w:t>
      </w:r>
    </w:p>
    <w:p w14:paraId="2C0630CE" w14:textId="77777777" w:rsidR="004E2861" w:rsidRPr="00C34CF2" w:rsidRDefault="004E2861" w:rsidP="004E2861">
      <w:r w:rsidRPr="00C34CF2">
        <w:t>The cost of the Department providing this information needs to be funded either by those that directly benefit from the information or from Government taxpayer funds.</w:t>
      </w:r>
    </w:p>
    <w:p w14:paraId="048B21EF" w14:textId="77777777" w:rsidR="004E2861" w:rsidRPr="00C34CF2" w:rsidRDefault="004E2861" w:rsidP="004E2861">
      <w:r w:rsidRPr="00C34CF2">
        <w:t xml:space="preserve">Full records of property enquiries received for the past 10 years were not able to be obtained. Similarly to proposed works applications, the property enquiry data is held across several officers in regional offices who are dedicated to the administrative aspects of supplying property information. </w:t>
      </w:r>
    </w:p>
    <w:p w14:paraId="68A19228" w14:textId="77777777" w:rsidR="004E2861" w:rsidRPr="00C34CF2" w:rsidRDefault="004E2861" w:rsidP="004E2861">
      <w:r w:rsidRPr="00C34CF2">
        <w:t>Due to the inability to provide total expenditure and revenue across the Department, an analysis of the operations in relation to a sample of metropolitan enquiries was conducted. This estimation is not intended to provide a definitive and an accurate assessment of the overall revenue and costs associated with assessing consent applications. The purpose is to provide an indication of the likely cost recovery level.</w:t>
      </w:r>
    </w:p>
    <w:p w14:paraId="1970FB8D" w14:textId="4211EB9D" w:rsidR="004E2861" w:rsidRPr="00C34CF2" w:rsidRDefault="004E2861" w:rsidP="004E2861">
      <w:r w:rsidRPr="00C34CF2">
        <w:t>The Department’s metropolitan team processed a total of 4,446 enquiries in 2024/25. This included 639 enquires relating to affected properties and 3,807 enquires relating to unaffected properties. This is a typical volume of annual enquiries for the metropolitan team. The Department’s regional teams receive significantly fewer enquiries, however, this data is not readily available. Affected properties are those affected by a Public Acquisition Overlay and/or a transport project, such as the Level Crossing Removal.</w:t>
      </w:r>
    </w:p>
    <w:p w14:paraId="1E6EFCBC" w14:textId="6E3656C5" w:rsidR="004E2861" w:rsidRPr="00C34CF2" w:rsidRDefault="00090A3F" w:rsidP="004E2861">
      <w:r>
        <w:t>In addition, t</w:t>
      </w:r>
      <w:r w:rsidR="004E2861" w:rsidRPr="00C34CF2">
        <w:t xml:space="preserve">here are a limited number of enquiries which are more challenging and which involve lawyers/conveyancers, project staff and members of the public. These enquiries may also involve the time of </w:t>
      </w:r>
      <w:r w:rsidR="004E2861" w:rsidRPr="00C34CF2">
        <w:lastRenderedPageBreak/>
        <w:t xml:space="preserve">more senior levels of VPS officers. Such situations arise between two to six times per month and may involve discussions and correspondence with relevant parties which may extend over days and sometimes, one or two weeks. The processing times for </w:t>
      </w:r>
      <w:r>
        <w:t xml:space="preserve">these </w:t>
      </w:r>
      <w:r w:rsidR="004E2861" w:rsidRPr="00C34CF2">
        <w:t>types of enquiries are estimated to be one to two hours per matter, considering the assessment of the property, including searches across multiple mapping systems, discussions and email correspondence with other parties.</w:t>
      </w:r>
    </w:p>
    <w:p w14:paraId="4489210B" w14:textId="44F05B0E" w:rsidR="00D114E4" w:rsidRDefault="00D114E4" w:rsidP="004E2861">
      <w:r>
        <w:t>As mentioned, property enquiries are usually received through the Landata platform.</w:t>
      </w:r>
      <w:r w:rsidRPr="007C37A2">
        <w:t xml:space="preserve"> </w:t>
      </w:r>
      <w:r>
        <w:t xml:space="preserve">The </w:t>
      </w:r>
      <w:r w:rsidRPr="007C37A2">
        <w:t>State Government of Victoria own</w:t>
      </w:r>
      <w:r>
        <w:t>s Landata</w:t>
      </w:r>
      <w:r w:rsidRPr="007C37A2">
        <w:t xml:space="preserve"> </w:t>
      </w:r>
      <w:r>
        <w:t xml:space="preserve">and </w:t>
      </w:r>
      <w:r w:rsidRPr="007C37A2">
        <w:t>Secure Electronic Registries Victoria (SERV)</w:t>
      </w:r>
      <w:r w:rsidRPr="00D90B0D">
        <w:t xml:space="preserve"> </w:t>
      </w:r>
      <w:r w:rsidRPr="007C37A2">
        <w:t>operate</w:t>
      </w:r>
      <w:r>
        <w:t>s the Landata system. The total number of property sales in Victoria provides an indication of the number of property enquiries received through the Landata system. For reference, the number of house sales recorded for the March quarter of 2025 was 21,019</w:t>
      </w:r>
      <w:r>
        <w:rPr>
          <w:rStyle w:val="FootnoteReference"/>
        </w:rPr>
        <w:footnoteReference w:id="21"/>
      </w:r>
      <w:r>
        <w:t>. This indicates a large proportion of enquiries are processed directly by Landata and do not require further checks by the Department. These enquiries are therefore not captured in the Department’s property enquiry totals. The costs of maintaining the Landata IT system and</w:t>
      </w:r>
      <w:r w:rsidR="005C2FD5">
        <w:t xml:space="preserve"> the functions associated with</w:t>
      </w:r>
      <w:r>
        <w:t xml:space="preserve"> processing enquiries that do not get sent to the Department are unknown and are in addition to the costs presented in the sample data below.</w:t>
      </w:r>
    </w:p>
    <w:p w14:paraId="22E267BB" w14:textId="09B8AD66" w:rsidR="004E2861" w:rsidRDefault="005A7DAB" w:rsidP="005A7DAB">
      <w:pPr>
        <w:pStyle w:val="Caption"/>
      </w:pPr>
      <w:bookmarkStart w:id="307" w:name="_Toc226448372"/>
      <w:r>
        <w:t xml:space="preserve">Table </w:t>
      </w:r>
      <w:r>
        <w:fldChar w:fldCharType="begin"/>
      </w:r>
      <w:r>
        <w:instrText xml:space="preserve"> SEQ Table \* ARABIC </w:instrText>
      </w:r>
      <w:r>
        <w:fldChar w:fldCharType="separate"/>
      </w:r>
      <w:r w:rsidR="00F170D0">
        <w:rPr>
          <w:noProof/>
        </w:rPr>
        <w:t>24</w:t>
      </w:r>
      <w:r>
        <w:rPr>
          <w:noProof/>
        </w:rPr>
        <w:fldChar w:fldCharType="end"/>
      </w:r>
      <w:r w:rsidR="00C47257">
        <w:t xml:space="preserve"> </w:t>
      </w:r>
      <w:r w:rsidR="004E2861">
        <w:t xml:space="preserve">– </w:t>
      </w:r>
      <w:r w:rsidR="004E2861" w:rsidRPr="00C34CF2">
        <w:t>Estimated cost to process property enquiries for unaffected properties: 5 minutes</w:t>
      </w:r>
      <w:bookmarkEnd w:id="307"/>
    </w:p>
    <w:tbl>
      <w:tblPr>
        <w:tblStyle w:val="GridTable1Light"/>
        <w:tblW w:w="0" w:type="auto"/>
        <w:tblLook w:val="04A0" w:firstRow="1" w:lastRow="0" w:firstColumn="1" w:lastColumn="0" w:noHBand="0" w:noVBand="1"/>
      </w:tblPr>
      <w:tblGrid>
        <w:gridCol w:w="7467"/>
        <w:gridCol w:w="1600"/>
      </w:tblGrid>
      <w:tr w:rsidR="004E2861" w:rsidRPr="00C34CF2" w14:paraId="52E51B8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62B22395" w14:textId="77777777" w:rsidR="004E2861" w:rsidRPr="00C34CF2" w:rsidRDefault="004E2861">
            <w:pPr>
              <w:spacing w:after="120"/>
              <w:rPr>
                <w:i/>
                <w:iCs/>
              </w:rPr>
            </w:pPr>
          </w:p>
        </w:tc>
        <w:tc>
          <w:tcPr>
            <w:tcW w:w="1600" w:type="dxa"/>
            <w:noWrap/>
            <w:hideMark/>
          </w:tcPr>
          <w:p w14:paraId="670C033D" w14:textId="77777777" w:rsidR="004E2861" w:rsidRPr="00C34CF2" w:rsidRDefault="004E2861">
            <w:pPr>
              <w:spacing w:after="120"/>
              <w:cnfStyle w:val="100000000000" w:firstRow="1" w:lastRow="0" w:firstColumn="0" w:lastColumn="0" w:oddVBand="0" w:evenVBand="0" w:oddHBand="0" w:evenHBand="0" w:firstRowFirstColumn="0" w:firstRowLastColumn="0" w:lastRowFirstColumn="0" w:lastRowLastColumn="0"/>
            </w:pPr>
            <w:r w:rsidRPr="00C34CF2">
              <w:t>VPS 3</w:t>
            </w:r>
          </w:p>
        </w:tc>
      </w:tr>
      <w:tr w:rsidR="004E2861" w:rsidRPr="00C34CF2" w14:paraId="5AFDE63D" w14:textId="77777777">
        <w:trPr>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3A5D876C" w14:textId="77777777" w:rsidR="004E2861" w:rsidRPr="00C34CF2" w:rsidRDefault="004E2861">
            <w:pPr>
              <w:spacing w:after="120"/>
              <w:rPr>
                <w:b w:val="0"/>
                <w:bCs w:val="0"/>
              </w:rPr>
            </w:pPr>
            <w:r w:rsidRPr="00C34CF2">
              <w:rPr>
                <w:b w:val="0"/>
                <w:bCs w:val="0"/>
              </w:rPr>
              <w:t>Average time in hours to process enquiry</w:t>
            </w:r>
          </w:p>
        </w:tc>
        <w:tc>
          <w:tcPr>
            <w:tcW w:w="1600" w:type="dxa"/>
            <w:noWrap/>
            <w:hideMark/>
          </w:tcPr>
          <w:p w14:paraId="3121065D"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0.08</w:t>
            </w:r>
          </w:p>
        </w:tc>
      </w:tr>
      <w:tr w:rsidR="004E2861" w:rsidRPr="00C34CF2" w14:paraId="224F62AF" w14:textId="77777777">
        <w:trPr>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5976A4CD" w14:textId="77777777" w:rsidR="004E2861" w:rsidRPr="00C34CF2" w:rsidRDefault="004E2861">
            <w:pPr>
              <w:spacing w:after="120"/>
              <w:rPr>
                <w:b w:val="0"/>
                <w:bCs w:val="0"/>
                <w:i/>
              </w:rPr>
            </w:pPr>
            <w:r w:rsidRPr="00C34CF2">
              <w:rPr>
                <w:b w:val="0"/>
                <w:bCs w:val="0"/>
                <w:i/>
                <w:iCs/>
              </w:rPr>
              <w:t>multiplied by</w:t>
            </w:r>
          </w:p>
        </w:tc>
        <w:tc>
          <w:tcPr>
            <w:tcW w:w="1600" w:type="dxa"/>
            <w:noWrap/>
            <w:hideMark/>
          </w:tcPr>
          <w:p w14:paraId="379D22DE"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p>
        </w:tc>
      </w:tr>
      <w:tr w:rsidR="004E2861" w:rsidRPr="00C34CF2" w14:paraId="0324130A" w14:textId="77777777">
        <w:trPr>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5A89AAB7" w14:textId="77777777" w:rsidR="004E2861" w:rsidRPr="00C34CF2" w:rsidRDefault="004E2861">
            <w:pPr>
              <w:spacing w:after="120"/>
              <w:rPr>
                <w:b w:val="0"/>
                <w:bCs w:val="0"/>
              </w:rPr>
            </w:pPr>
            <w:r w:rsidRPr="00C34CF2">
              <w:rPr>
                <w:b w:val="0"/>
                <w:bCs w:val="0"/>
              </w:rPr>
              <w:t>Hourly rate per VPS level including oncosts ($)</w:t>
            </w:r>
          </w:p>
        </w:tc>
        <w:tc>
          <w:tcPr>
            <w:tcW w:w="1600" w:type="dxa"/>
            <w:noWrap/>
            <w:hideMark/>
          </w:tcPr>
          <w:p w14:paraId="6E6711D5"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70.72</w:t>
            </w:r>
          </w:p>
        </w:tc>
      </w:tr>
      <w:tr w:rsidR="004E2861" w:rsidRPr="00C34CF2" w14:paraId="521C7066" w14:textId="77777777">
        <w:trPr>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19FB2773" w14:textId="77777777" w:rsidR="004E2861" w:rsidRPr="00C34CF2" w:rsidRDefault="004E2861">
            <w:pPr>
              <w:spacing w:after="120"/>
              <w:rPr>
                <w:b w:val="0"/>
                <w:bCs w:val="0"/>
                <w:i/>
              </w:rPr>
            </w:pPr>
            <w:r w:rsidRPr="00C34CF2">
              <w:rPr>
                <w:b w:val="0"/>
                <w:bCs w:val="0"/>
                <w:i/>
                <w:iCs/>
              </w:rPr>
              <w:t>equals</w:t>
            </w:r>
          </w:p>
        </w:tc>
        <w:tc>
          <w:tcPr>
            <w:tcW w:w="1600" w:type="dxa"/>
            <w:noWrap/>
            <w:hideMark/>
          </w:tcPr>
          <w:p w14:paraId="53251ED3"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p>
        </w:tc>
      </w:tr>
      <w:tr w:rsidR="004E2861" w:rsidRPr="00C34CF2" w14:paraId="78A66485" w14:textId="77777777">
        <w:trPr>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2810DA8A" w14:textId="77777777" w:rsidR="004E2861" w:rsidRPr="00C34CF2" w:rsidRDefault="004E2861">
            <w:pPr>
              <w:spacing w:after="120"/>
              <w:rPr>
                <w:b w:val="0"/>
                <w:bCs w:val="0"/>
              </w:rPr>
            </w:pPr>
            <w:r w:rsidRPr="00C34CF2">
              <w:rPr>
                <w:b w:val="0"/>
                <w:bCs w:val="0"/>
              </w:rPr>
              <w:t>Cost of processing an enquiry ($)</w:t>
            </w:r>
          </w:p>
        </w:tc>
        <w:tc>
          <w:tcPr>
            <w:tcW w:w="1600" w:type="dxa"/>
            <w:noWrap/>
            <w:hideMark/>
          </w:tcPr>
          <w:p w14:paraId="299C9FAC"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5.66</w:t>
            </w:r>
          </w:p>
        </w:tc>
      </w:tr>
    </w:tbl>
    <w:p w14:paraId="226B36C2" w14:textId="175D5821" w:rsidR="004E2861" w:rsidRDefault="005A7DAB" w:rsidP="004E2861">
      <w:pPr>
        <w:pStyle w:val="Caption"/>
        <w:keepNext/>
      </w:pPr>
      <w:bookmarkStart w:id="308" w:name="_Toc226448373"/>
      <w:r>
        <w:t xml:space="preserve">Table </w:t>
      </w:r>
      <w:r>
        <w:fldChar w:fldCharType="begin"/>
      </w:r>
      <w:r>
        <w:instrText xml:space="preserve"> SEQ Table \* ARABIC </w:instrText>
      </w:r>
      <w:r>
        <w:fldChar w:fldCharType="separate"/>
      </w:r>
      <w:r w:rsidR="00F170D0">
        <w:rPr>
          <w:noProof/>
        </w:rPr>
        <w:t>25</w:t>
      </w:r>
      <w:r>
        <w:rPr>
          <w:noProof/>
        </w:rPr>
        <w:fldChar w:fldCharType="end"/>
      </w:r>
      <w:r w:rsidR="004E2861">
        <w:t xml:space="preserve"> – </w:t>
      </w:r>
      <w:r w:rsidR="004E2861" w:rsidRPr="00C34CF2">
        <w:t>Estimated cost to process property enquiries for affected properties: 15 to 45 minutes</w:t>
      </w:r>
      <w:bookmarkEnd w:id="308"/>
    </w:p>
    <w:tbl>
      <w:tblPr>
        <w:tblStyle w:val="GridTable1Light"/>
        <w:tblW w:w="0" w:type="auto"/>
        <w:tblLook w:val="04A0" w:firstRow="1" w:lastRow="0" w:firstColumn="1" w:lastColumn="0" w:noHBand="0" w:noVBand="1"/>
      </w:tblPr>
      <w:tblGrid>
        <w:gridCol w:w="7467"/>
        <w:gridCol w:w="1600"/>
      </w:tblGrid>
      <w:tr w:rsidR="004E2861" w:rsidRPr="00C34CF2" w14:paraId="349C142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06206E72" w14:textId="77777777" w:rsidR="004E2861" w:rsidRPr="00C34CF2" w:rsidRDefault="004E2861">
            <w:pPr>
              <w:spacing w:after="120"/>
              <w:rPr>
                <w:i/>
                <w:iCs/>
              </w:rPr>
            </w:pPr>
          </w:p>
        </w:tc>
        <w:tc>
          <w:tcPr>
            <w:tcW w:w="1600" w:type="dxa"/>
            <w:noWrap/>
            <w:hideMark/>
          </w:tcPr>
          <w:p w14:paraId="2539C735" w14:textId="77777777" w:rsidR="004E2861" w:rsidRPr="00C34CF2" w:rsidRDefault="004E2861">
            <w:pPr>
              <w:spacing w:after="120"/>
              <w:cnfStyle w:val="100000000000" w:firstRow="1" w:lastRow="0" w:firstColumn="0" w:lastColumn="0" w:oddVBand="0" w:evenVBand="0" w:oddHBand="0" w:evenHBand="0" w:firstRowFirstColumn="0" w:firstRowLastColumn="0" w:lastRowFirstColumn="0" w:lastRowLastColumn="0"/>
            </w:pPr>
            <w:r w:rsidRPr="00C34CF2">
              <w:t>VPS 3</w:t>
            </w:r>
          </w:p>
        </w:tc>
      </w:tr>
      <w:tr w:rsidR="004E2861" w:rsidRPr="00C34CF2" w14:paraId="4E8444CC" w14:textId="77777777">
        <w:trPr>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62BDABC0" w14:textId="77777777" w:rsidR="004E2861" w:rsidRPr="00C34CF2" w:rsidRDefault="004E2861">
            <w:pPr>
              <w:spacing w:after="120"/>
              <w:rPr>
                <w:b w:val="0"/>
                <w:bCs w:val="0"/>
              </w:rPr>
            </w:pPr>
            <w:r w:rsidRPr="00C34CF2">
              <w:rPr>
                <w:b w:val="0"/>
                <w:bCs w:val="0"/>
              </w:rPr>
              <w:t>Average time in hours to process enquiries</w:t>
            </w:r>
          </w:p>
        </w:tc>
        <w:tc>
          <w:tcPr>
            <w:tcW w:w="1600" w:type="dxa"/>
            <w:noWrap/>
            <w:hideMark/>
          </w:tcPr>
          <w:p w14:paraId="2172DC90"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0.25 to 0.75</w:t>
            </w:r>
          </w:p>
        </w:tc>
      </w:tr>
      <w:tr w:rsidR="004E2861" w:rsidRPr="00C34CF2" w14:paraId="3B612C93" w14:textId="77777777">
        <w:trPr>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435020B3" w14:textId="77777777" w:rsidR="004E2861" w:rsidRPr="00C34CF2" w:rsidRDefault="004E2861">
            <w:pPr>
              <w:spacing w:after="120"/>
              <w:rPr>
                <w:b w:val="0"/>
                <w:bCs w:val="0"/>
                <w:i/>
              </w:rPr>
            </w:pPr>
            <w:r w:rsidRPr="00C34CF2">
              <w:rPr>
                <w:b w:val="0"/>
                <w:bCs w:val="0"/>
                <w:i/>
                <w:iCs/>
              </w:rPr>
              <w:t>multiplied by</w:t>
            </w:r>
          </w:p>
        </w:tc>
        <w:tc>
          <w:tcPr>
            <w:tcW w:w="1600" w:type="dxa"/>
            <w:noWrap/>
            <w:hideMark/>
          </w:tcPr>
          <w:p w14:paraId="74033DA7"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p>
        </w:tc>
      </w:tr>
      <w:tr w:rsidR="004E2861" w:rsidRPr="00C34CF2" w14:paraId="326F03ED" w14:textId="77777777">
        <w:trPr>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19F7D574" w14:textId="77777777" w:rsidR="004E2861" w:rsidRPr="00C34CF2" w:rsidRDefault="004E2861">
            <w:pPr>
              <w:spacing w:after="120"/>
              <w:rPr>
                <w:b w:val="0"/>
                <w:bCs w:val="0"/>
              </w:rPr>
            </w:pPr>
            <w:r w:rsidRPr="00C34CF2">
              <w:rPr>
                <w:b w:val="0"/>
                <w:bCs w:val="0"/>
              </w:rPr>
              <w:t>Hourly rate per VPS level including oncosts ($)</w:t>
            </w:r>
          </w:p>
        </w:tc>
        <w:tc>
          <w:tcPr>
            <w:tcW w:w="1600" w:type="dxa"/>
            <w:noWrap/>
            <w:hideMark/>
          </w:tcPr>
          <w:p w14:paraId="53C472A5"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70.72</w:t>
            </w:r>
          </w:p>
        </w:tc>
      </w:tr>
      <w:tr w:rsidR="004E2861" w:rsidRPr="00C34CF2" w14:paraId="22E62123" w14:textId="77777777">
        <w:trPr>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67F668B9" w14:textId="77777777" w:rsidR="004E2861" w:rsidRPr="00C34CF2" w:rsidRDefault="004E2861">
            <w:pPr>
              <w:spacing w:after="120"/>
              <w:rPr>
                <w:b w:val="0"/>
                <w:bCs w:val="0"/>
                <w:i/>
              </w:rPr>
            </w:pPr>
            <w:r w:rsidRPr="00C34CF2">
              <w:rPr>
                <w:b w:val="0"/>
                <w:bCs w:val="0"/>
                <w:i/>
                <w:iCs/>
              </w:rPr>
              <w:t>equals</w:t>
            </w:r>
          </w:p>
        </w:tc>
        <w:tc>
          <w:tcPr>
            <w:tcW w:w="1600" w:type="dxa"/>
            <w:noWrap/>
            <w:hideMark/>
          </w:tcPr>
          <w:p w14:paraId="731C61F0"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i/>
                <w:iCs/>
              </w:rPr>
            </w:pPr>
          </w:p>
        </w:tc>
      </w:tr>
      <w:tr w:rsidR="004E2861" w:rsidRPr="00C34CF2" w14:paraId="48F6B160" w14:textId="77777777">
        <w:trPr>
          <w:trHeight w:val="300"/>
        </w:trPr>
        <w:tc>
          <w:tcPr>
            <w:cnfStyle w:val="001000000000" w:firstRow="0" w:lastRow="0" w:firstColumn="1" w:lastColumn="0" w:oddVBand="0" w:evenVBand="0" w:oddHBand="0" w:evenHBand="0" w:firstRowFirstColumn="0" w:firstRowLastColumn="0" w:lastRowFirstColumn="0" w:lastRowLastColumn="0"/>
            <w:tcW w:w="7467" w:type="dxa"/>
            <w:noWrap/>
            <w:hideMark/>
          </w:tcPr>
          <w:p w14:paraId="7191F362" w14:textId="77777777" w:rsidR="004E2861" w:rsidRPr="00C34CF2" w:rsidRDefault="004E2861">
            <w:pPr>
              <w:spacing w:after="120"/>
              <w:rPr>
                <w:b w:val="0"/>
                <w:bCs w:val="0"/>
              </w:rPr>
            </w:pPr>
            <w:r w:rsidRPr="00C34CF2">
              <w:rPr>
                <w:b w:val="0"/>
                <w:bCs w:val="0"/>
              </w:rPr>
              <w:t>Cost of processing an enquiry ($)</w:t>
            </w:r>
          </w:p>
        </w:tc>
        <w:tc>
          <w:tcPr>
            <w:tcW w:w="1600" w:type="dxa"/>
            <w:noWrap/>
            <w:hideMark/>
          </w:tcPr>
          <w:p w14:paraId="0732F53C"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17.68 to 53.04</w:t>
            </w:r>
          </w:p>
        </w:tc>
      </w:tr>
    </w:tbl>
    <w:p w14:paraId="3AFF7AA7" w14:textId="4E8D33BA" w:rsidR="004E2861" w:rsidRDefault="005A7DAB" w:rsidP="005A7DAB">
      <w:pPr>
        <w:pStyle w:val="Caption"/>
      </w:pPr>
      <w:bookmarkStart w:id="309" w:name="_Toc226448374"/>
      <w:r>
        <w:t xml:space="preserve">Table </w:t>
      </w:r>
      <w:r>
        <w:fldChar w:fldCharType="begin"/>
      </w:r>
      <w:r>
        <w:instrText xml:space="preserve"> SEQ Table \* ARABIC </w:instrText>
      </w:r>
      <w:r>
        <w:fldChar w:fldCharType="separate"/>
      </w:r>
      <w:r w:rsidR="00F170D0">
        <w:rPr>
          <w:noProof/>
        </w:rPr>
        <w:t>26</w:t>
      </w:r>
      <w:r>
        <w:rPr>
          <w:noProof/>
        </w:rPr>
        <w:fldChar w:fldCharType="end"/>
      </w:r>
      <w:r>
        <w:t xml:space="preserve"> </w:t>
      </w:r>
      <w:r w:rsidR="004E2861">
        <w:t xml:space="preserve">– </w:t>
      </w:r>
      <w:r w:rsidR="004E2861" w:rsidRPr="00C34CF2">
        <w:t>Estimated property enquiry fee revenue for the Department (metro) in 2024/25</w:t>
      </w:r>
      <w:bookmarkEnd w:id="309"/>
    </w:p>
    <w:tbl>
      <w:tblPr>
        <w:tblStyle w:val="GridTable1Light"/>
        <w:tblW w:w="10769" w:type="dxa"/>
        <w:tblLook w:val="04A0" w:firstRow="1" w:lastRow="0" w:firstColumn="1" w:lastColumn="0" w:noHBand="0" w:noVBand="1"/>
      </w:tblPr>
      <w:tblGrid>
        <w:gridCol w:w="1194"/>
        <w:gridCol w:w="2626"/>
        <w:gridCol w:w="3424"/>
        <w:gridCol w:w="3525"/>
      </w:tblGrid>
      <w:tr w:rsidR="004E2861" w:rsidRPr="00C34CF2" w14:paraId="5E284F3A" w14:textId="77777777">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194" w:type="dxa"/>
            <w:noWrap/>
            <w:hideMark/>
          </w:tcPr>
          <w:p w14:paraId="76113D25" w14:textId="77777777" w:rsidR="004E2861" w:rsidRPr="00C34CF2" w:rsidRDefault="004E2861">
            <w:pPr>
              <w:spacing w:after="120"/>
            </w:pPr>
            <w:r w:rsidRPr="00C34CF2">
              <w:t>Fee unit</w:t>
            </w:r>
          </w:p>
        </w:tc>
        <w:tc>
          <w:tcPr>
            <w:tcW w:w="2626" w:type="dxa"/>
            <w:noWrap/>
            <w:hideMark/>
          </w:tcPr>
          <w:p w14:paraId="0E63A48A" w14:textId="77777777" w:rsidR="004E2861" w:rsidRPr="00C34CF2" w:rsidRDefault="004E2861">
            <w:pPr>
              <w:spacing w:after="120"/>
              <w:cnfStyle w:val="100000000000" w:firstRow="1" w:lastRow="0" w:firstColumn="0" w:lastColumn="0" w:oddVBand="0" w:evenVBand="0" w:oddHBand="0" w:evenHBand="0" w:firstRowFirstColumn="0" w:firstRowLastColumn="0" w:lastRowFirstColumn="0" w:lastRowLastColumn="0"/>
              <w:rPr>
                <w:b w:val="0"/>
                <w:bCs w:val="0"/>
              </w:rPr>
            </w:pPr>
            <w:r w:rsidRPr="00C34CF2">
              <w:t xml:space="preserve">Fee unit value </w:t>
            </w:r>
            <w:r w:rsidRPr="00C34CF2">
              <w:br/>
              <w:t>(2024/25)</w:t>
            </w:r>
          </w:p>
        </w:tc>
        <w:tc>
          <w:tcPr>
            <w:tcW w:w="3424" w:type="dxa"/>
            <w:noWrap/>
            <w:hideMark/>
          </w:tcPr>
          <w:p w14:paraId="1FABEB6C" w14:textId="77777777" w:rsidR="004E2861" w:rsidRPr="00C34CF2" w:rsidRDefault="004E2861">
            <w:pPr>
              <w:spacing w:after="120"/>
              <w:cnfStyle w:val="100000000000" w:firstRow="1" w:lastRow="0" w:firstColumn="0" w:lastColumn="0" w:oddVBand="0" w:evenVBand="0" w:oddHBand="0" w:evenHBand="0" w:firstRowFirstColumn="0" w:firstRowLastColumn="0" w:lastRowFirstColumn="0" w:lastRowLastColumn="0"/>
            </w:pPr>
            <w:r w:rsidRPr="00C34CF2">
              <w:t>Number of transactions</w:t>
            </w:r>
            <w:r w:rsidRPr="00C34CF2">
              <w:br/>
            </w:r>
          </w:p>
        </w:tc>
        <w:tc>
          <w:tcPr>
            <w:tcW w:w="3525" w:type="dxa"/>
            <w:noWrap/>
            <w:hideMark/>
          </w:tcPr>
          <w:p w14:paraId="217344EF" w14:textId="77777777" w:rsidR="004E2861" w:rsidRPr="00C34CF2" w:rsidRDefault="004E2861">
            <w:pPr>
              <w:spacing w:after="120"/>
              <w:cnfStyle w:val="100000000000" w:firstRow="1" w:lastRow="0" w:firstColumn="0" w:lastColumn="0" w:oddVBand="0" w:evenVBand="0" w:oddHBand="0" w:evenHBand="0" w:firstRowFirstColumn="0" w:firstRowLastColumn="0" w:lastRowFirstColumn="0" w:lastRowLastColumn="0"/>
            </w:pPr>
            <w:r w:rsidRPr="00C34CF2">
              <w:t xml:space="preserve">Estimated revenue </w:t>
            </w:r>
          </w:p>
        </w:tc>
      </w:tr>
      <w:tr w:rsidR="004E2861" w:rsidRPr="00C34CF2" w14:paraId="6D8299A8" w14:textId="77777777">
        <w:trPr>
          <w:trHeight w:val="303"/>
        </w:trPr>
        <w:tc>
          <w:tcPr>
            <w:cnfStyle w:val="001000000000" w:firstRow="0" w:lastRow="0" w:firstColumn="1" w:lastColumn="0" w:oddVBand="0" w:evenVBand="0" w:oddHBand="0" w:evenHBand="0" w:firstRowFirstColumn="0" w:firstRowLastColumn="0" w:lastRowFirstColumn="0" w:lastRowLastColumn="0"/>
            <w:tcW w:w="1194" w:type="dxa"/>
            <w:noWrap/>
            <w:hideMark/>
          </w:tcPr>
          <w:p w14:paraId="4B744C12" w14:textId="77777777" w:rsidR="004E2861" w:rsidRPr="00C34CF2" w:rsidRDefault="004E2861">
            <w:pPr>
              <w:spacing w:after="120"/>
              <w:rPr>
                <w:b w:val="0"/>
                <w:bCs w:val="0"/>
              </w:rPr>
            </w:pPr>
            <w:r w:rsidRPr="00C34CF2">
              <w:rPr>
                <w:b w:val="0"/>
                <w:bCs w:val="0"/>
              </w:rPr>
              <w:t>1.27</w:t>
            </w:r>
          </w:p>
        </w:tc>
        <w:tc>
          <w:tcPr>
            <w:tcW w:w="2626" w:type="dxa"/>
            <w:noWrap/>
            <w:hideMark/>
          </w:tcPr>
          <w:p w14:paraId="47972CE0"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 xml:space="preserve"> $16.33 </w:t>
            </w:r>
          </w:p>
        </w:tc>
        <w:tc>
          <w:tcPr>
            <w:tcW w:w="3424" w:type="dxa"/>
            <w:noWrap/>
            <w:hideMark/>
          </w:tcPr>
          <w:p w14:paraId="0DA15B27"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4,446</w:t>
            </w:r>
          </w:p>
        </w:tc>
        <w:tc>
          <w:tcPr>
            <w:tcW w:w="3525" w:type="dxa"/>
            <w:noWrap/>
            <w:hideMark/>
          </w:tcPr>
          <w:p w14:paraId="0232AF7A"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 xml:space="preserve"> $92,206.04</w:t>
            </w:r>
          </w:p>
        </w:tc>
      </w:tr>
    </w:tbl>
    <w:p w14:paraId="464DC708" w14:textId="494CC2E1" w:rsidR="004E2861" w:rsidRDefault="005A7DAB" w:rsidP="005A7DAB">
      <w:pPr>
        <w:pStyle w:val="Caption"/>
      </w:pPr>
      <w:bookmarkStart w:id="310" w:name="_Toc216087869"/>
      <w:bookmarkStart w:id="311" w:name="_Toc226448375"/>
      <w:r>
        <w:lastRenderedPageBreak/>
        <w:t xml:space="preserve">Table </w:t>
      </w:r>
      <w:r>
        <w:fldChar w:fldCharType="begin"/>
      </w:r>
      <w:r>
        <w:instrText xml:space="preserve"> SEQ Table \* ARABIC </w:instrText>
      </w:r>
      <w:r>
        <w:fldChar w:fldCharType="separate"/>
      </w:r>
      <w:r w:rsidR="00F170D0">
        <w:rPr>
          <w:noProof/>
        </w:rPr>
        <w:t>27</w:t>
      </w:r>
      <w:r>
        <w:rPr>
          <w:noProof/>
        </w:rPr>
        <w:fldChar w:fldCharType="end"/>
      </w:r>
      <w:r>
        <w:t xml:space="preserve"> </w:t>
      </w:r>
      <w:r w:rsidR="004E2861">
        <w:t xml:space="preserve">– </w:t>
      </w:r>
      <w:r w:rsidR="004E2861" w:rsidRPr="00C34CF2">
        <w:t>Estimated property enquiry costs for the Department (metro) in 2024/25</w:t>
      </w:r>
      <w:bookmarkEnd w:id="310"/>
      <w:bookmarkEnd w:id="311"/>
    </w:p>
    <w:tbl>
      <w:tblPr>
        <w:tblStyle w:val="GridTable1Light"/>
        <w:tblW w:w="10627" w:type="dxa"/>
        <w:tblLook w:val="04A0" w:firstRow="1" w:lastRow="0" w:firstColumn="1" w:lastColumn="0" w:noHBand="0" w:noVBand="1"/>
      </w:tblPr>
      <w:tblGrid>
        <w:gridCol w:w="2547"/>
        <w:gridCol w:w="2693"/>
        <w:gridCol w:w="2693"/>
        <w:gridCol w:w="2694"/>
      </w:tblGrid>
      <w:tr w:rsidR="004E2861" w:rsidRPr="00C34CF2" w14:paraId="5B37D6FE"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0D95832" w14:textId="77777777" w:rsidR="004E2861" w:rsidRPr="00C34CF2" w:rsidRDefault="004E2861">
            <w:pPr>
              <w:spacing w:after="120"/>
            </w:pPr>
            <w:r w:rsidRPr="00C34CF2">
              <w:t>Type of enquiry</w:t>
            </w:r>
          </w:p>
        </w:tc>
        <w:tc>
          <w:tcPr>
            <w:tcW w:w="2693" w:type="dxa"/>
          </w:tcPr>
          <w:p w14:paraId="1D194B49" w14:textId="77777777" w:rsidR="004E2861" w:rsidRPr="00C34CF2" w:rsidRDefault="004E2861">
            <w:pPr>
              <w:spacing w:after="120"/>
              <w:cnfStyle w:val="100000000000" w:firstRow="1" w:lastRow="0" w:firstColumn="0" w:lastColumn="0" w:oddVBand="0" w:evenVBand="0" w:oddHBand="0" w:evenHBand="0" w:firstRowFirstColumn="0" w:firstRowLastColumn="0" w:lastRowFirstColumn="0" w:lastRowLastColumn="0"/>
            </w:pPr>
            <w:r w:rsidRPr="00C34CF2">
              <w:t>Average cost - processing enquiry ($)</w:t>
            </w:r>
          </w:p>
        </w:tc>
        <w:tc>
          <w:tcPr>
            <w:tcW w:w="2693" w:type="dxa"/>
            <w:noWrap/>
            <w:hideMark/>
          </w:tcPr>
          <w:p w14:paraId="6E69F02E" w14:textId="77777777" w:rsidR="004E2861" w:rsidRPr="00C34CF2" w:rsidRDefault="004E2861">
            <w:pPr>
              <w:spacing w:after="120"/>
              <w:cnfStyle w:val="100000000000" w:firstRow="1" w:lastRow="0" w:firstColumn="0" w:lastColumn="0" w:oddVBand="0" w:evenVBand="0" w:oddHBand="0" w:evenHBand="0" w:firstRowFirstColumn="0" w:firstRowLastColumn="0" w:lastRowFirstColumn="0" w:lastRowLastColumn="0"/>
            </w:pPr>
            <w:r w:rsidRPr="00C34CF2">
              <w:t>Number of enquiries</w:t>
            </w:r>
          </w:p>
        </w:tc>
        <w:tc>
          <w:tcPr>
            <w:tcW w:w="2694" w:type="dxa"/>
            <w:noWrap/>
            <w:hideMark/>
          </w:tcPr>
          <w:p w14:paraId="71300B8B" w14:textId="77777777" w:rsidR="004E2861" w:rsidRPr="00C34CF2" w:rsidRDefault="004E2861">
            <w:pPr>
              <w:spacing w:after="120"/>
              <w:cnfStyle w:val="100000000000" w:firstRow="1" w:lastRow="0" w:firstColumn="0" w:lastColumn="0" w:oddVBand="0" w:evenVBand="0" w:oddHBand="0" w:evenHBand="0" w:firstRowFirstColumn="0" w:firstRowLastColumn="0" w:lastRowFirstColumn="0" w:lastRowLastColumn="0"/>
            </w:pPr>
            <w:r w:rsidRPr="00C34CF2">
              <w:t>Estimated costs ($)</w:t>
            </w:r>
          </w:p>
        </w:tc>
      </w:tr>
      <w:tr w:rsidR="004E2861" w:rsidRPr="00C34CF2" w14:paraId="1E60BCF9" w14:textId="77777777">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83FC616" w14:textId="77777777" w:rsidR="004E2861" w:rsidRPr="00C34CF2" w:rsidRDefault="004E2861">
            <w:pPr>
              <w:spacing w:after="120"/>
              <w:rPr>
                <w:b w:val="0"/>
                <w:bCs w:val="0"/>
              </w:rPr>
            </w:pPr>
            <w:r w:rsidRPr="00C34CF2">
              <w:rPr>
                <w:b w:val="0"/>
                <w:bCs w:val="0"/>
              </w:rPr>
              <w:t>Unaffected property</w:t>
            </w:r>
          </w:p>
        </w:tc>
        <w:tc>
          <w:tcPr>
            <w:tcW w:w="2693" w:type="dxa"/>
          </w:tcPr>
          <w:p w14:paraId="119EFE7B"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5.66</w:t>
            </w:r>
          </w:p>
        </w:tc>
        <w:tc>
          <w:tcPr>
            <w:tcW w:w="2693" w:type="dxa"/>
            <w:noWrap/>
            <w:hideMark/>
          </w:tcPr>
          <w:p w14:paraId="1B9568E9"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3,807</w:t>
            </w:r>
          </w:p>
        </w:tc>
        <w:tc>
          <w:tcPr>
            <w:tcW w:w="2694" w:type="dxa"/>
            <w:noWrap/>
            <w:hideMark/>
          </w:tcPr>
          <w:p w14:paraId="4DE67D46" w14:textId="4778A6D0"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21,547.6</w:t>
            </w:r>
          </w:p>
        </w:tc>
      </w:tr>
      <w:tr w:rsidR="004E2861" w:rsidRPr="00C34CF2" w14:paraId="4E9B082B" w14:textId="77777777">
        <w:trPr>
          <w:trHeight w:val="300"/>
        </w:trPr>
        <w:tc>
          <w:tcPr>
            <w:cnfStyle w:val="001000000000" w:firstRow="0" w:lastRow="0" w:firstColumn="1" w:lastColumn="0" w:oddVBand="0" w:evenVBand="0" w:oddHBand="0" w:evenHBand="0" w:firstRowFirstColumn="0" w:firstRowLastColumn="0" w:lastRowFirstColumn="0" w:lastRowLastColumn="0"/>
            <w:tcW w:w="2547" w:type="dxa"/>
            <w:noWrap/>
          </w:tcPr>
          <w:p w14:paraId="003E6E6F" w14:textId="77777777" w:rsidR="004E2861" w:rsidRPr="00C34CF2" w:rsidRDefault="004E2861">
            <w:pPr>
              <w:spacing w:after="120"/>
              <w:rPr>
                <w:b w:val="0"/>
                <w:bCs w:val="0"/>
              </w:rPr>
            </w:pPr>
            <w:r w:rsidRPr="00C34CF2">
              <w:rPr>
                <w:b w:val="0"/>
                <w:bCs w:val="0"/>
              </w:rPr>
              <w:t>Affected property</w:t>
            </w:r>
          </w:p>
        </w:tc>
        <w:tc>
          <w:tcPr>
            <w:tcW w:w="2693" w:type="dxa"/>
          </w:tcPr>
          <w:p w14:paraId="761F40DC"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17.68 to 53.04</w:t>
            </w:r>
          </w:p>
        </w:tc>
        <w:tc>
          <w:tcPr>
            <w:tcW w:w="2693" w:type="dxa"/>
            <w:noWrap/>
          </w:tcPr>
          <w:p w14:paraId="28081C08"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639</w:t>
            </w:r>
          </w:p>
        </w:tc>
        <w:tc>
          <w:tcPr>
            <w:tcW w:w="2694" w:type="dxa"/>
            <w:noWrap/>
          </w:tcPr>
          <w:p w14:paraId="5A28142E" w14:textId="30349E41"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11,297.5</w:t>
            </w:r>
            <w:r>
              <w:t>0</w:t>
            </w:r>
            <w:r w:rsidRPr="00C34CF2">
              <w:t xml:space="preserve"> to 33,892.6</w:t>
            </w:r>
            <w:r w:rsidR="003D527B">
              <w:t>0</w:t>
            </w:r>
          </w:p>
        </w:tc>
      </w:tr>
      <w:tr w:rsidR="004E2861" w:rsidRPr="00C34CF2" w14:paraId="378B5765" w14:textId="77777777">
        <w:trPr>
          <w:trHeight w:val="300"/>
        </w:trPr>
        <w:tc>
          <w:tcPr>
            <w:cnfStyle w:val="001000000000" w:firstRow="0" w:lastRow="0" w:firstColumn="1" w:lastColumn="0" w:oddVBand="0" w:evenVBand="0" w:oddHBand="0" w:evenHBand="0" w:firstRowFirstColumn="0" w:firstRowLastColumn="0" w:lastRowFirstColumn="0" w:lastRowLastColumn="0"/>
            <w:tcW w:w="2547" w:type="dxa"/>
            <w:noWrap/>
          </w:tcPr>
          <w:p w14:paraId="2C954332" w14:textId="77777777" w:rsidR="004E2861" w:rsidRPr="00C34CF2" w:rsidRDefault="004E2861">
            <w:pPr>
              <w:spacing w:after="120"/>
              <w:rPr>
                <w:b w:val="0"/>
                <w:bCs w:val="0"/>
              </w:rPr>
            </w:pPr>
            <w:r w:rsidRPr="00C34CF2">
              <w:rPr>
                <w:b w:val="0"/>
                <w:bCs w:val="0"/>
              </w:rPr>
              <w:t>Total</w:t>
            </w:r>
          </w:p>
        </w:tc>
        <w:tc>
          <w:tcPr>
            <w:tcW w:w="2693" w:type="dxa"/>
          </w:tcPr>
          <w:p w14:paraId="753FAC61"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pPr>
            <w:r w:rsidRPr="00C34CF2">
              <w:t>-</w:t>
            </w:r>
          </w:p>
        </w:tc>
        <w:tc>
          <w:tcPr>
            <w:tcW w:w="2693" w:type="dxa"/>
            <w:noWrap/>
          </w:tcPr>
          <w:p w14:paraId="26C4EF90" w14:textId="77777777" w:rsidR="004E2861" w:rsidRPr="00C34CF2" w:rsidRDefault="004E2861">
            <w:pPr>
              <w:spacing w:after="120"/>
              <w:cnfStyle w:val="000000000000" w:firstRow="0" w:lastRow="0" w:firstColumn="0" w:lastColumn="0" w:oddVBand="0" w:evenVBand="0" w:oddHBand="0" w:evenHBand="0" w:firstRowFirstColumn="0" w:firstRowLastColumn="0" w:lastRowFirstColumn="0" w:lastRowLastColumn="0"/>
              <w:rPr>
                <w:b/>
                <w:bCs/>
              </w:rPr>
            </w:pPr>
            <w:r w:rsidRPr="00C34CF2">
              <w:rPr>
                <w:b/>
                <w:bCs/>
              </w:rPr>
              <w:t>4,446</w:t>
            </w:r>
          </w:p>
        </w:tc>
        <w:tc>
          <w:tcPr>
            <w:tcW w:w="2694" w:type="dxa"/>
            <w:noWrap/>
          </w:tcPr>
          <w:p w14:paraId="6C27378F" w14:textId="44118455" w:rsidR="004E2861" w:rsidRPr="009D08E9" w:rsidRDefault="004E2861">
            <w:pPr>
              <w:spacing w:after="120"/>
              <w:cnfStyle w:val="000000000000" w:firstRow="0" w:lastRow="0" w:firstColumn="0" w:lastColumn="0" w:oddVBand="0" w:evenVBand="0" w:oddHBand="0" w:evenHBand="0" w:firstRowFirstColumn="0" w:firstRowLastColumn="0" w:lastRowFirstColumn="0" w:lastRowLastColumn="0"/>
              <w:rPr>
                <w:b/>
              </w:rPr>
            </w:pPr>
            <w:r w:rsidRPr="009D08E9">
              <w:rPr>
                <w:b/>
              </w:rPr>
              <w:t>32,845.10 to 55,440.2</w:t>
            </w:r>
            <w:r w:rsidR="003D527B" w:rsidRPr="009D08E9">
              <w:rPr>
                <w:b/>
              </w:rPr>
              <w:t>0</w:t>
            </w:r>
          </w:p>
        </w:tc>
      </w:tr>
    </w:tbl>
    <w:p w14:paraId="0AD725C9" w14:textId="37CB4FF3" w:rsidR="004E2861" w:rsidRPr="00C34CF2" w:rsidRDefault="004E2861" w:rsidP="007247CA">
      <w:pPr>
        <w:pStyle w:val="Heading3"/>
      </w:pPr>
      <w:bookmarkStart w:id="312" w:name="_Ref209603179"/>
      <w:bookmarkStart w:id="313" w:name="_Toc226448348"/>
      <w:r w:rsidRPr="00C34CF2">
        <w:t>Hoardings and advertisements applications</w:t>
      </w:r>
      <w:bookmarkEnd w:id="312"/>
      <w:bookmarkEnd w:id="313"/>
    </w:p>
    <w:p w14:paraId="7AD150AE" w14:textId="77777777" w:rsidR="004E2861" w:rsidRPr="00C34CF2" w:rsidRDefault="004E2861" w:rsidP="004E2861">
      <w:r w:rsidRPr="00C34CF2">
        <w:t xml:space="preserve">Section 66 of the Act requires a person to obtain the written consent of the coordinating road authority for placing hoardings and advertisements on or over the road reserve, unless those things are otherwise authorised. This generally only applies to tourism, services and facility signage of interest to road users. </w:t>
      </w:r>
    </w:p>
    <w:p w14:paraId="4B111A0C" w14:textId="77777777" w:rsidR="004E2861" w:rsidRPr="00C34CF2" w:rsidRDefault="004E2861" w:rsidP="004E2861">
      <w:r w:rsidRPr="00C34CF2">
        <w:t xml:space="preserve">Tourist operators such as bed and breakfast stays, wineries, galleries etc. and community facility operators are eligible to apply for consent to install tourism, service of facility signage on the road reserve. The Department is responsible for providing consent on freeways, arterial roads and non-State arterial roads for which it is responsible and council road authorities are responsible for providing consent on municipal roads and the DEECA is responsible for providing consent on the non-arterial State roads for which it is responsible. </w:t>
      </w:r>
    </w:p>
    <w:p w14:paraId="6A211B7E" w14:textId="77777777" w:rsidR="004E2861" w:rsidRPr="00C34CF2" w:rsidRDefault="004E2861" w:rsidP="004E2861">
      <w:r w:rsidRPr="00C34CF2">
        <w:t xml:space="preserve">Signs that require approval under the </w:t>
      </w:r>
      <w:r w:rsidRPr="00C34CF2">
        <w:rPr>
          <w:i/>
        </w:rPr>
        <w:t>Planning and Environment Act 1987</w:t>
      </w:r>
      <w:r w:rsidRPr="00C34CF2">
        <w:t xml:space="preserve"> are referred to the relevant road authority for response if they are to be installed in the road reserve. However, there are many types of signs that do not require a planning permit. If the sign is intended to be installed within a road reserve, but does not require a planning permit, it will still require consent </w:t>
      </w:r>
      <w:r>
        <w:t>from the road authority</w:t>
      </w:r>
      <w:r w:rsidRPr="00C34CF2">
        <w:t xml:space="preserve">. Signs that do not require planning permits but still require consent are typically election candidate signs, community event signs or real estate signs. </w:t>
      </w:r>
    </w:p>
    <w:p w14:paraId="1328A883" w14:textId="77777777" w:rsidR="004E2861" w:rsidRPr="00C34CF2" w:rsidRDefault="004E2861" w:rsidP="004E2861">
      <w:r w:rsidRPr="00C34CF2">
        <w:t xml:space="preserve">The Department’s transport planning metropolitan team has advised they do not charge a fee for planning permit referrals for those signs that need a permit. Feedback from this team also suggests that many signs are installed without permits despite the legislated application process. </w:t>
      </w:r>
    </w:p>
    <w:p w14:paraId="19D5671C" w14:textId="77777777" w:rsidR="004E2861" w:rsidRPr="00C34CF2" w:rsidRDefault="004E2861" w:rsidP="004E2861">
      <w:r w:rsidRPr="00C34CF2">
        <w:t xml:space="preserve">At present, there is no specific policy or formal process in place to manage applications for signage within road reserves which are the responsibility of the Department. Should an application for consent be submitted, the cost will be calculated in line with the standard rates. </w:t>
      </w:r>
    </w:p>
    <w:p w14:paraId="2AE15585" w14:textId="77777777" w:rsidR="004E2861" w:rsidRPr="00C34CF2" w:rsidRDefault="004E2861" w:rsidP="004E2861">
      <w:r w:rsidRPr="00C34CF2">
        <w:t xml:space="preserve">Feedback collected from a sample of councils demonstrated that in most cases data and information is not readily available in relation to hoarding and advertisement applications received and processed or the fees collected. </w:t>
      </w:r>
    </w:p>
    <w:p w14:paraId="219A9993" w14:textId="77777777" w:rsidR="004E2861" w:rsidRPr="00C34CF2" w:rsidRDefault="004E2861" w:rsidP="004E2861">
      <w:r w:rsidRPr="00C34CF2">
        <w:t>One metropolitan council estimated that 70 applications were received over the past ten years from 2016-2025 (on average seven per year). These applications were for business name changes on signs, advertising signs (A-frame signs) and billboards. These applications were processed at a cost of approximately $300 per application.</w:t>
      </w:r>
    </w:p>
    <w:p w14:paraId="4302501A" w14:textId="1814594D" w:rsidR="00586527" w:rsidRDefault="004E2861" w:rsidP="004E2861">
      <w:r w:rsidRPr="00C34CF2">
        <w:t xml:space="preserve">One regional council reported that two applications were received in financial year 2024/25. These applications were for tourism signage or business directional signage, and were processed in approximately two hours each. </w:t>
      </w:r>
      <w:r>
        <w:t xml:space="preserve">The council did not collect any </w:t>
      </w:r>
      <w:r w:rsidRPr="00C34CF2">
        <w:t>fees for these applications.</w:t>
      </w:r>
    </w:p>
    <w:p w14:paraId="5FB2955E" w14:textId="77777777" w:rsidR="00586527" w:rsidRDefault="00586527">
      <w:r>
        <w:br w:type="page"/>
      </w:r>
    </w:p>
    <w:p w14:paraId="356EF6F7" w14:textId="77777777" w:rsidR="00A13D56" w:rsidRPr="00001C48" w:rsidRDefault="00A13D56" w:rsidP="00A13D56">
      <w:r w:rsidRPr="00001C48">
        <w:lastRenderedPageBreak/>
        <w:t xml:space="preserve">Authorised by the </w:t>
      </w:r>
      <w:r w:rsidRPr="00B43D12">
        <w:t>Hon. Melissa Horne MP</w:t>
      </w:r>
    </w:p>
    <w:p w14:paraId="7D0526D0" w14:textId="77777777" w:rsidR="00A13D56" w:rsidRPr="00001C48" w:rsidRDefault="00A13D56" w:rsidP="00A13D56">
      <w:r w:rsidRPr="00001C48">
        <w:t>Department of Transport</w:t>
      </w:r>
      <w:r>
        <w:t xml:space="preserve"> and Planning</w:t>
      </w:r>
      <w:r w:rsidRPr="00001C48">
        <w:t>, 1 Spring Street Melbourne Victoria 3000</w:t>
      </w:r>
    </w:p>
    <w:p w14:paraId="49AEE589" w14:textId="77777777" w:rsidR="00A13D56" w:rsidRPr="00001C48" w:rsidRDefault="00A13D56" w:rsidP="00A13D56">
      <w:r w:rsidRPr="00001C48">
        <w:t>© Copyright State of Victoria</w:t>
      </w:r>
    </w:p>
    <w:p w14:paraId="55A888DE" w14:textId="77777777" w:rsidR="00A13D56" w:rsidRPr="00001C48" w:rsidRDefault="00A13D56" w:rsidP="00A13D56">
      <w:r w:rsidRPr="00001C48">
        <w:t xml:space="preserve">Department of Transport </w:t>
      </w:r>
      <w:r>
        <w:t>and Planning 2026.</w:t>
      </w:r>
    </w:p>
    <w:p w14:paraId="6A494621" w14:textId="5BC7D915" w:rsidR="00A13D56" w:rsidRDefault="00A13D56" w:rsidP="00A13D56">
      <w:r w:rsidRPr="00001C48">
        <w:t>Except for any logos, emblems, trademarks, artwork and photography this document is made available under the terms of the Creative Commons Attribution 3.0 Australia license.</w:t>
      </w:r>
    </w:p>
    <w:p w14:paraId="229D4ED5" w14:textId="77777777" w:rsidR="00625D5C" w:rsidRDefault="00625D5C">
      <w:pPr>
        <w:sectPr w:rsidR="00625D5C" w:rsidSect="004E2640">
          <w:headerReference w:type="default" r:id="rId17"/>
          <w:footerReference w:type="even" r:id="rId18"/>
          <w:footerReference w:type="default" r:id="rId19"/>
          <w:headerReference w:type="first" r:id="rId20"/>
          <w:footerReference w:type="first" r:id="rId21"/>
          <w:pgSz w:w="11906" w:h="16838"/>
          <w:pgMar w:top="1758" w:right="567" w:bottom="1531" w:left="567" w:header="850" w:footer="510" w:gutter="0"/>
          <w:pgNumType w:start="0"/>
          <w:cols w:space="708"/>
          <w:titlePg/>
          <w:docGrid w:linePitch="360"/>
        </w:sectPr>
      </w:pPr>
    </w:p>
    <w:p w14:paraId="1CDFD96A" w14:textId="20F06AC8" w:rsidR="00A13D56" w:rsidRDefault="00663DB2">
      <w:r>
        <w:rPr>
          <w:noProof/>
        </w:rPr>
        <w:lastRenderedPageBreak/>
        <w:drawing>
          <wp:anchor distT="0" distB="0" distL="114300" distR="114300" simplePos="0" relativeHeight="251658243" behindDoc="0" locked="0" layoutInCell="1" allowOverlap="1" wp14:anchorId="4F42E6D3" wp14:editId="5F737559">
            <wp:simplePos x="0" y="0"/>
            <wp:positionH relativeFrom="column">
              <wp:posOffset>1001395</wp:posOffset>
            </wp:positionH>
            <wp:positionV relativeFrom="paragraph">
              <wp:posOffset>-1148080</wp:posOffset>
            </wp:positionV>
            <wp:extent cx="5061580" cy="10691484"/>
            <wp:effectExtent l="0" t="0" r="0" b="0"/>
            <wp:wrapNone/>
            <wp:docPr id="1487076712" name="Picture 7" descr="DTP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76712" name="Picture 7" descr="DTP logo">
                      <a:extLst>
                        <a:ext uri="{C183D7F6-B498-43B3-948B-1728B52AA6E4}">
                          <adec:decorative xmlns:adec="http://schemas.microsoft.com/office/drawing/2017/decorative" val="0"/>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061580" cy="10691484"/>
                    </a:xfrm>
                    <a:prstGeom prst="rect">
                      <a:avLst/>
                    </a:prstGeom>
                  </pic:spPr>
                </pic:pic>
              </a:graphicData>
            </a:graphic>
          </wp:anchor>
        </w:drawing>
      </w:r>
    </w:p>
    <w:p w14:paraId="5A787FB3" w14:textId="5D47A777" w:rsidR="004E2861" w:rsidRPr="00C34CF2" w:rsidRDefault="004E2861" w:rsidP="00A13D56"/>
    <w:p w14:paraId="2E4DD699" w14:textId="77777777" w:rsidR="004E2861" w:rsidRDefault="004E2861" w:rsidP="006C2669"/>
    <w:sectPr w:rsidR="004E2861" w:rsidSect="004E2640">
      <w:pgSz w:w="11906" w:h="16838"/>
      <w:pgMar w:top="1758" w:right="567" w:bottom="1531" w:left="567" w:header="850"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D18D" w14:textId="77777777" w:rsidR="00436E56" w:rsidRDefault="00436E56" w:rsidP="005C306E">
      <w:pPr>
        <w:spacing w:after="0"/>
      </w:pPr>
      <w:r>
        <w:separator/>
      </w:r>
    </w:p>
    <w:p w14:paraId="38F5ECB5" w14:textId="77777777" w:rsidR="00436E56" w:rsidRDefault="00436E56"/>
    <w:p w14:paraId="4D86B777" w14:textId="77777777" w:rsidR="00436E56" w:rsidRDefault="00436E56"/>
  </w:endnote>
  <w:endnote w:type="continuationSeparator" w:id="0">
    <w:p w14:paraId="61F2B07B" w14:textId="77777777" w:rsidR="00436E56" w:rsidRDefault="00436E56" w:rsidP="005C306E">
      <w:pPr>
        <w:spacing w:after="0"/>
      </w:pPr>
      <w:r>
        <w:continuationSeparator/>
      </w:r>
    </w:p>
    <w:p w14:paraId="36695CA4" w14:textId="77777777" w:rsidR="00436E56" w:rsidRDefault="00436E56"/>
    <w:p w14:paraId="0313C005" w14:textId="77777777" w:rsidR="00436E56" w:rsidRDefault="00436E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4F25" w14:textId="479F069F" w:rsidR="00997329" w:rsidRDefault="00997329">
    <w:pPr>
      <w:pStyle w:val="Footer"/>
    </w:pPr>
    <w:r>
      <w:rPr>
        <w:noProof/>
      </w:rPr>
      <mc:AlternateContent>
        <mc:Choice Requires="wps">
          <w:drawing>
            <wp:anchor distT="0" distB="0" distL="0" distR="0" simplePos="0" relativeHeight="251658246" behindDoc="0" locked="0" layoutInCell="1" allowOverlap="1" wp14:anchorId="3ACDD156" wp14:editId="6180A8E6">
              <wp:simplePos x="635" y="635"/>
              <wp:positionH relativeFrom="page">
                <wp:align>left</wp:align>
              </wp:positionH>
              <wp:positionV relativeFrom="page">
                <wp:align>bottom</wp:align>
              </wp:positionV>
              <wp:extent cx="759460" cy="412115"/>
              <wp:effectExtent l="0" t="0" r="2540" b="0"/>
              <wp:wrapNone/>
              <wp:docPr id="151801061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12115"/>
                      </a:xfrm>
                      <a:prstGeom prst="rect">
                        <a:avLst/>
                      </a:prstGeom>
                      <a:noFill/>
                      <a:ln>
                        <a:noFill/>
                      </a:ln>
                    </wps:spPr>
                    <wps:txbx>
                      <w:txbxContent>
                        <w:p w14:paraId="43D9E9D4" w14:textId="19EC4BE0" w:rsidR="00997329" w:rsidRPr="00997329" w:rsidRDefault="00997329" w:rsidP="00997329">
                          <w:pPr>
                            <w:spacing w:after="0"/>
                            <w:rPr>
                              <w:rFonts w:ascii="Calibri" w:eastAsia="Calibri" w:hAnsi="Calibri" w:cs="Calibri"/>
                              <w:noProof/>
                              <w:color w:val="000000"/>
                              <w:sz w:val="22"/>
                              <w:szCs w:val="22"/>
                            </w:rPr>
                          </w:pPr>
                          <w:r w:rsidRPr="00997329">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CDD156" id="_x0000_t202" coordsize="21600,21600" o:spt="202" path="m,l,21600r21600,l21600,xe">
              <v:stroke joinstyle="miter"/>
              <v:path gradientshapeok="t" o:connecttype="rect"/>
            </v:shapetype>
            <v:shape id="Text Box 2" o:spid="_x0000_s1026" type="#_x0000_t202" alt="OFFICIAL" style="position:absolute;margin-left:0;margin-top:0;width:59.8pt;height:32.4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" filled="f" stroked="f">
              <v:textbox style="mso-fit-shape-to-text:t" inset="20pt,0,0,15pt">
                <w:txbxContent>
                  <w:p w14:paraId="43D9E9D4" w14:textId="19EC4BE0" w:rsidR="00997329" w:rsidRPr="00997329" w:rsidRDefault="00997329" w:rsidP="00997329">
                    <w:pPr>
                      <w:spacing w:after="0"/>
                      <w:rPr>
                        <w:rFonts w:ascii="Calibri" w:eastAsia="Calibri" w:hAnsi="Calibri" w:cs="Calibri"/>
                        <w:noProof/>
                        <w:color w:val="000000"/>
                        <w:sz w:val="22"/>
                        <w:szCs w:val="22"/>
                      </w:rPr>
                    </w:pPr>
                    <w:r w:rsidRPr="00997329">
                      <w:rPr>
                        <w:rFonts w:ascii="Calibri" w:eastAsia="Calibri" w:hAnsi="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B6C8" w14:textId="6671E5ED" w:rsidR="00610C10" w:rsidRPr="00BE2E4B" w:rsidRDefault="00997329" w:rsidP="000D7431">
    <w:pPr>
      <w:pStyle w:val="FooterPageNumber"/>
      <w:framePr w:wrap="around"/>
    </w:pPr>
    <w:r>
      <w:rPr>
        <w:noProof/>
      </w:rPr>
      <mc:AlternateContent>
        <mc:Choice Requires="wps">
          <w:drawing>
            <wp:anchor distT="0" distB="0" distL="0" distR="0" simplePos="0" relativeHeight="251658247" behindDoc="0" locked="0" layoutInCell="1" allowOverlap="1" wp14:anchorId="3A8EA438" wp14:editId="2B8227C2">
              <wp:simplePos x="6900074" y="10131328"/>
              <wp:positionH relativeFrom="page">
                <wp:align>left</wp:align>
              </wp:positionH>
              <wp:positionV relativeFrom="page">
                <wp:align>bottom</wp:align>
              </wp:positionV>
              <wp:extent cx="759460" cy="412115"/>
              <wp:effectExtent l="0" t="0" r="2540" b="0"/>
              <wp:wrapNone/>
              <wp:docPr id="70170567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12115"/>
                      </a:xfrm>
                      <a:prstGeom prst="rect">
                        <a:avLst/>
                      </a:prstGeom>
                      <a:noFill/>
                      <a:ln>
                        <a:noFill/>
                      </a:ln>
                    </wps:spPr>
                    <wps:txbx>
                      <w:txbxContent>
                        <w:p w14:paraId="131A7FE0" w14:textId="7AA87D6D" w:rsidR="00997329" w:rsidRPr="00997329" w:rsidRDefault="00997329" w:rsidP="00997329">
                          <w:pPr>
                            <w:spacing w:after="0"/>
                            <w:rPr>
                              <w:rFonts w:ascii="Calibri" w:eastAsia="Calibri" w:hAnsi="Calibri" w:cs="Calibri"/>
                              <w:noProof/>
                              <w:color w:val="000000"/>
                              <w:sz w:val="22"/>
                              <w:szCs w:val="22"/>
                            </w:rPr>
                          </w:pPr>
                          <w:r w:rsidRPr="00997329">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8EA438" id="_x0000_t202" coordsize="21600,21600" o:spt="202" path="m,l,21600r21600,l21600,xe">
              <v:stroke joinstyle="miter"/>
              <v:path gradientshapeok="t" o:connecttype="rect"/>
            </v:shapetype>
            <v:shape id="Text Box 3" o:spid="_x0000_s1027" type="#_x0000_t202" alt="OFFICIAL" style="position:absolute;margin-left:0;margin-top:0;width:59.8pt;height:32.45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" filled="f" stroked="f">
              <v:textbox style="mso-fit-shape-to-text:t" inset="20pt,0,0,15pt">
                <w:txbxContent>
                  <w:p w14:paraId="131A7FE0" w14:textId="7AA87D6D" w:rsidR="00997329" w:rsidRPr="00997329" w:rsidRDefault="00997329" w:rsidP="00997329">
                    <w:pPr>
                      <w:spacing w:after="0"/>
                      <w:rPr>
                        <w:rFonts w:ascii="Calibri" w:eastAsia="Calibri" w:hAnsi="Calibri" w:cs="Calibri"/>
                        <w:noProof/>
                        <w:color w:val="000000"/>
                        <w:sz w:val="22"/>
                        <w:szCs w:val="22"/>
                      </w:rPr>
                    </w:pPr>
                    <w:r w:rsidRPr="00997329">
                      <w:rPr>
                        <w:rFonts w:ascii="Calibri" w:eastAsia="Calibri" w:hAnsi="Calibri" w:cs="Calibri"/>
                        <w:noProof/>
                        <w:color w:val="000000"/>
                        <w:sz w:val="22"/>
                        <w:szCs w:val="22"/>
                      </w:rPr>
                      <w:t>OFFICIAL</w:t>
                    </w:r>
                  </w:p>
                </w:txbxContent>
              </v:textbox>
              <w10:wrap anchorx="page" anchory="page"/>
            </v:shape>
          </w:pict>
        </mc:Fallback>
      </mc:AlternateContent>
    </w:r>
    <w:r w:rsidR="00C622BD" w:rsidRPr="00BE2E4B">
      <w:t xml:space="preserve">Page </w:t>
    </w:r>
    <w:r w:rsidR="00C622BD" w:rsidRPr="00BE2E4B">
      <w:fldChar w:fldCharType="begin"/>
    </w:r>
    <w:r w:rsidR="00C622BD" w:rsidRPr="00BE2E4B">
      <w:instrText xml:space="preserve"> PAGE  \* Arabic  \* MERGEFORMAT </w:instrText>
    </w:r>
    <w:r w:rsidR="00C622BD" w:rsidRPr="00BE2E4B">
      <w:fldChar w:fldCharType="separate"/>
    </w:r>
    <w:r w:rsidR="00C622BD" w:rsidRPr="00BE2E4B">
      <w:rPr>
        <w:noProof/>
      </w:rPr>
      <w:t>2</w:t>
    </w:r>
    <w:r w:rsidR="00C622BD" w:rsidRPr="00BE2E4B">
      <w:fldChar w:fldCharType="end"/>
    </w:r>
  </w:p>
  <w:p w14:paraId="6427F07E" w14:textId="294B750F"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4DBC0CC7" wp14:editId="42431C10">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clsh="http://schemas.microsoft.com/office/drawing/2020/classificationShape" xmlns:a="http://schemas.openxmlformats.org/drawingml/2006/main">
          <w:pict w14:anchorId="7D8752D2">
            <v:line id="Straight Connector 3" style="position:absolute;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3214]" strokeweight="1pt" from="-30.7pt,-3.9pt" to="-30.7pt,18pt" w14:anchorId="37D75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23986FA0" wp14:editId="29FF107D">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clsh="http://schemas.microsoft.com/office/drawing/2020/classificationShape" xmlns:a="http://schemas.openxmlformats.org/drawingml/2006/main">
          <w:pict w14:anchorId="7FE626B0">
            <v:line id="Straight Connector 2" style="position:absolute;z-index:251658241;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hite [3212]" strokeweight="4.5pt" from="0,-15.3pt" to="1190.55pt,-15.3pt" w14:anchorId="23F116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39284A33" wp14:editId="59B3689B">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dec="http://schemas.microsoft.com/office/drawing/2017/decorative" xmlns:aclsh="http://schemas.microsoft.com/office/drawing/2020/classificationShape" xmlns:a="http://schemas.openxmlformats.org/drawingml/2006/main">
          <w:pict w14:anchorId="3D51FEBA">
            <v:line id="Straight Connector 2"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3205]" strokeweight="1pt" from="0,-15.3pt" to="1190.55pt,-15.3pt" w14:anchorId="4731A5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v:stroke joinstyle="miter"/>
              <w10:wrap anchorx="margin"/>
            </v:line>
          </w:pict>
        </mc:Fallback>
      </mc:AlternateContent>
    </w:r>
    <w:r w:rsidR="00C622BD">
      <w:ptab w:relativeTo="margin" w:alignment="right" w:leader="none"/>
    </w:r>
    <w:r w:rsidR="002F6832">
      <w:t>Road Management Regulations 2026</w:t>
    </w:r>
  </w:p>
  <w:p w14:paraId="6B4209CE" w14:textId="341ABAEC" w:rsidR="004176BE" w:rsidRDefault="00C622BD" w:rsidP="00CF01B0">
    <w:pPr>
      <w:pStyle w:val="FooterLight"/>
    </w:pPr>
    <w:r>
      <w:ptab w:relativeTo="margin" w:alignment="right" w:leader="none"/>
    </w:r>
    <w:r w:rsidR="002F6832">
      <w:t>Regulatory Impact Statement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BC58" w14:textId="13C67E1F" w:rsidR="00625D5C" w:rsidRDefault="00625D5C">
    <w:pPr>
      <w:pStyle w:val="Footer"/>
    </w:pPr>
  </w:p>
  <w:p w14:paraId="63A16F33" w14:textId="757386B5" w:rsidR="00C42FB0" w:rsidRPr="00663DB2" w:rsidRDefault="00C42FB0" w:rsidP="0008556C">
    <w:pPr>
      <w:pStyle w:val="FooterL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B44DB" w14:textId="77777777" w:rsidR="00436E56" w:rsidRDefault="00436E56" w:rsidP="005C306E">
      <w:pPr>
        <w:spacing w:after="0"/>
      </w:pPr>
      <w:r>
        <w:separator/>
      </w:r>
    </w:p>
  </w:footnote>
  <w:footnote w:type="continuationSeparator" w:id="0">
    <w:p w14:paraId="0E75D1A1" w14:textId="77777777" w:rsidR="00436E56" w:rsidRDefault="00436E56" w:rsidP="005C306E">
      <w:pPr>
        <w:spacing w:after="0"/>
      </w:pPr>
      <w:r>
        <w:continuationSeparator/>
      </w:r>
    </w:p>
    <w:p w14:paraId="58F7CEAD" w14:textId="77777777" w:rsidR="00436E56" w:rsidRDefault="00436E56"/>
  </w:footnote>
  <w:footnote w:type="continuationNotice" w:id="1">
    <w:p w14:paraId="39701BCD" w14:textId="77777777" w:rsidR="00436E56" w:rsidRDefault="00436E56">
      <w:pPr>
        <w:spacing w:before="0" w:after="0"/>
      </w:pPr>
    </w:p>
    <w:p w14:paraId="1CE74D88" w14:textId="77777777" w:rsidR="00436E56" w:rsidRDefault="00436E56"/>
  </w:footnote>
  <w:footnote w:id="2">
    <w:p w14:paraId="3D4D1ABE" w14:textId="77777777" w:rsidR="00356347" w:rsidRDefault="00356347" w:rsidP="00356347">
      <w:pPr>
        <w:pStyle w:val="FootnoteText"/>
      </w:pPr>
      <w:r>
        <w:rPr>
          <w:rStyle w:val="FootnoteReference"/>
        </w:rPr>
        <w:footnoteRef/>
      </w:r>
      <w:r>
        <w:t xml:space="preserve"> These provisions come into operation on 1 May 2026 if not proclaimed to commence sooner.</w:t>
      </w:r>
    </w:p>
  </w:footnote>
  <w:footnote w:id="3">
    <w:p w14:paraId="424EFA0C" w14:textId="6DCAF248" w:rsidR="00436F49" w:rsidRDefault="00436F49">
      <w:pPr>
        <w:pStyle w:val="FootnoteText"/>
      </w:pPr>
      <w:r>
        <w:rPr>
          <w:rStyle w:val="FootnoteReference"/>
        </w:rPr>
        <w:footnoteRef/>
      </w:r>
      <w:r>
        <w:t xml:space="preserve"> A Memorandum of Authorisation is </w:t>
      </w:r>
      <w:r w:rsidR="005758E8">
        <w:t xml:space="preserve">the commonly used term </w:t>
      </w:r>
      <w:r w:rsidR="004D6739">
        <w:t xml:space="preserve">relating to an authorisation given by a coordinating road authority under the </w:t>
      </w:r>
      <w:r w:rsidR="004D6739" w:rsidRPr="000D0BEE">
        <w:rPr>
          <w:i/>
        </w:rPr>
        <w:t>Road Safety (Traffic Management) Regulations</w:t>
      </w:r>
      <w:r w:rsidR="00920377" w:rsidRPr="000D0BEE">
        <w:rPr>
          <w:i/>
        </w:rPr>
        <w:t xml:space="preserve"> 2019</w:t>
      </w:r>
      <w:r w:rsidR="00920377">
        <w:t xml:space="preserve"> </w:t>
      </w:r>
      <w:r w:rsidR="003822FB">
        <w:t>authorising the use of</w:t>
      </w:r>
      <w:r w:rsidR="00D70F56">
        <w:t xml:space="preserve"> certain</w:t>
      </w:r>
      <w:r w:rsidR="003822FB">
        <w:t xml:space="preserve"> traffic </w:t>
      </w:r>
      <w:r w:rsidR="00AE0927">
        <w:t xml:space="preserve">control devices. This authorisation is </w:t>
      </w:r>
      <w:r w:rsidR="000F3388">
        <w:t xml:space="preserve">often required as a result of traffic management </w:t>
      </w:r>
      <w:r w:rsidR="003A669C">
        <w:t xml:space="preserve">needs during </w:t>
      </w:r>
      <w:r w:rsidR="00D70F56">
        <w:t>works activities.</w:t>
      </w:r>
    </w:p>
  </w:footnote>
  <w:footnote w:id="4">
    <w:p w14:paraId="0EE44DA3" w14:textId="5E453994" w:rsidR="00C34CF2" w:rsidRDefault="00C34CF2" w:rsidP="00C34CF2">
      <w:pPr>
        <w:pStyle w:val="FootnoteText"/>
      </w:pPr>
      <w:r>
        <w:rPr>
          <w:rStyle w:val="FootnoteReference"/>
        </w:rPr>
        <w:footnoteRef/>
      </w:r>
      <w:r>
        <w:t xml:space="preserve"> </w:t>
      </w:r>
      <w:r w:rsidR="00EC55E3">
        <w:t>Department of Transport and Planning (n.d.)</w:t>
      </w:r>
      <w:r w:rsidR="00043A69">
        <w:t xml:space="preserve"> </w:t>
      </w:r>
      <w:hyperlink r:id="rId1" w:history="1">
        <w:r w:rsidR="00043A69" w:rsidRPr="00D024F6">
          <w:rPr>
            <w:rStyle w:val="Hyperlink"/>
            <w:i/>
          </w:rPr>
          <w:t>Road types and responsible authorities</w:t>
        </w:r>
      </w:hyperlink>
      <w:r w:rsidR="00043A69">
        <w:rPr>
          <w:i/>
        </w:rPr>
        <w:t>,</w:t>
      </w:r>
      <w:r w:rsidR="00043A69">
        <w:t xml:space="preserve"> Transport Victoria website, accessed 23 July 2025.</w:t>
      </w:r>
    </w:p>
  </w:footnote>
  <w:footnote w:id="5">
    <w:p w14:paraId="3C77BF6D" w14:textId="527B5F47" w:rsidR="00231BAA" w:rsidRDefault="00231BAA">
      <w:pPr>
        <w:pStyle w:val="FootnoteText"/>
      </w:pPr>
      <w:r>
        <w:rPr>
          <w:rStyle w:val="FootnoteReference"/>
        </w:rPr>
        <w:footnoteRef/>
      </w:r>
      <w:r>
        <w:t xml:space="preserve"> </w:t>
      </w:r>
      <w:r w:rsidR="00DD4641">
        <w:t>Tran</w:t>
      </w:r>
      <w:r w:rsidR="007070DD">
        <w:t xml:space="preserve">sport for Victoria (2018) </w:t>
      </w:r>
      <w:hyperlink r:id="rId2" w:history="1">
        <w:r w:rsidR="007070DD" w:rsidRPr="00EC55E3">
          <w:rPr>
            <w:rStyle w:val="Hyperlink"/>
            <w:i/>
          </w:rPr>
          <w:t>Victorian Freight Plan: Delivering the Goods</w:t>
        </w:r>
      </w:hyperlink>
      <w:r w:rsidR="007070DD">
        <w:rPr>
          <w:i/>
        </w:rPr>
        <w:t>.</w:t>
      </w:r>
      <w:r w:rsidR="007070DD">
        <w:t xml:space="preserve"> Transport for Victoria, State Government of Victoria, accessed 23 July 2025</w:t>
      </w:r>
      <w:r>
        <w:t>.</w:t>
      </w:r>
    </w:p>
  </w:footnote>
  <w:footnote w:id="6">
    <w:p w14:paraId="2A74F8DF" w14:textId="2AF0D95C" w:rsidR="00C34CF2" w:rsidRDefault="00C34CF2" w:rsidP="00C34CF2">
      <w:pPr>
        <w:pStyle w:val="FootnoteText"/>
        <w:spacing w:before="0"/>
      </w:pPr>
      <w:r>
        <w:rPr>
          <w:rStyle w:val="FootnoteReference"/>
        </w:rPr>
        <w:footnoteRef/>
      </w:r>
      <w:r>
        <w:t xml:space="preserve"> Department of Transport and Planning (2024) </w:t>
      </w:r>
      <w:hyperlink r:id="rId3" w:history="1">
        <w:r w:rsidRPr="004E308E">
          <w:rPr>
            <w:rStyle w:val="Hyperlink"/>
            <w:i/>
          </w:rPr>
          <w:t>Register of Public Roads</w:t>
        </w:r>
      </w:hyperlink>
      <w:r>
        <w:rPr>
          <w:i/>
        </w:rPr>
        <w:t xml:space="preserve">, </w:t>
      </w:r>
      <w:r>
        <w:t>Victorian Government website, accessed 23 July 2025.</w:t>
      </w:r>
    </w:p>
  </w:footnote>
  <w:footnote w:id="7">
    <w:p w14:paraId="647C57E7" w14:textId="63721B6C" w:rsidR="00C34CF2" w:rsidRPr="00663E22" w:rsidRDefault="00C34CF2" w:rsidP="00C34CF2">
      <w:pPr>
        <w:pStyle w:val="FootnoteText"/>
      </w:pPr>
      <w:r>
        <w:rPr>
          <w:rStyle w:val="FootnoteReference"/>
        </w:rPr>
        <w:footnoteRef/>
      </w:r>
      <w:r>
        <w:t xml:space="preserve"> A Section 32 statement is statement referred to in section 32 of the </w:t>
      </w:r>
      <w:r>
        <w:rPr>
          <w:i/>
        </w:rPr>
        <w:t>Sale of Land Act 1962</w:t>
      </w:r>
      <w:r>
        <w:t xml:space="preserve">. A </w:t>
      </w:r>
      <w:r w:rsidR="00C53D50">
        <w:t>S</w:t>
      </w:r>
      <w:r>
        <w:t xml:space="preserve">ection 32 statement containing certain information affecting the land must be given by a vendor to a purchaser prior to a contract being signed. </w:t>
      </w:r>
    </w:p>
  </w:footnote>
  <w:footnote w:id="8">
    <w:p w14:paraId="762B4152" w14:textId="51184FA1" w:rsidR="00D577D6" w:rsidRDefault="00D577D6" w:rsidP="00D577D6">
      <w:pPr>
        <w:pStyle w:val="FootnoteText"/>
      </w:pPr>
      <w:r>
        <w:rPr>
          <w:rStyle w:val="FootnoteReference"/>
        </w:rPr>
        <w:footnoteRef/>
      </w:r>
      <w:r>
        <w:t xml:space="preserve"> The current Codes of Practice are also published on the Transport Victoria website at </w:t>
      </w:r>
      <w:hyperlink r:id="rId4" w:history="1">
        <w:r w:rsidRPr="007A45C2">
          <w:rPr>
            <w:rStyle w:val="Hyperlink"/>
            <w:i/>
          </w:rPr>
          <w:t>Codes of practice under the Road Management Act</w:t>
        </w:r>
      </w:hyperlink>
      <w:r>
        <w:rPr>
          <w:i/>
        </w:rPr>
        <w:t>.</w:t>
      </w:r>
      <w:r>
        <w:t xml:space="preserve"> </w:t>
      </w:r>
    </w:p>
  </w:footnote>
  <w:footnote w:id="9">
    <w:p w14:paraId="6845EAEA" w14:textId="06FE5F4F" w:rsidR="008D6EC3" w:rsidRDefault="008D6EC3" w:rsidP="008D6EC3">
      <w:pPr>
        <w:pStyle w:val="FootnoteText"/>
      </w:pPr>
      <w:r>
        <w:rPr>
          <w:rStyle w:val="FootnoteReference"/>
        </w:rPr>
        <w:footnoteRef/>
      </w:r>
      <w:r>
        <w:t xml:space="preserve"> MUARC (Monash University Accident Research Centre) (2020), </w:t>
      </w:r>
      <w:hyperlink r:id="rId5" w:history="1">
        <w:r w:rsidRPr="00146A00">
          <w:rPr>
            <w:rStyle w:val="Hyperlink"/>
            <w:i/>
          </w:rPr>
          <w:t>ECIS Report 1 – Overview and Analysis of Crash Types, Injury Outcomes and Contributing Factors</w:t>
        </w:r>
      </w:hyperlink>
      <w:r>
        <w:t>, MUARC, accessed 26 August 2025.</w:t>
      </w:r>
    </w:p>
  </w:footnote>
  <w:footnote w:id="10">
    <w:p w14:paraId="4B71C43E" w14:textId="61ACB712" w:rsidR="00E63809" w:rsidRDefault="00E63809" w:rsidP="00E63809">
      <w:pPr>
        <w:pStyle w:val="FootnoteText"/>
      </w:pPr>
      <w:r>
        <w:rPr>
          <w:rStyle w:val="FootnoteReference"/>
        </w:rPr>
        <w:footnoteRef/>
      </w:r>
      <w:r>
        <w:t xml:space="preserve"> MUARC (2020)</w:t>
      </w:r>
    </w:p>
  </w:footnote>
  <w:footnote w:id="11">
    <w:p w14:paraId="09BD78A6" w14:textId="77777777" w:rsidR="00C34CF2" w:rsidRDefault="00C34CF2" w:rsidP="00C34CF2">
      <w:pPr>
        <w:pStyle w:val="FootnoteText"/>
      </w:pPr>
      <w:r>
        <w:rPr>
          <w:rStyle w:val="FootnoteReference"/>
        </w:rPr>
        <w:footnoteRef/>
      </w:r>
      <w:r>
        <w:t xml:space="preserve"> MUARC (2020</w:t>
      </w:r>
      <w:r w:rsidR="00FE5481">
        <w:t>)</w:t>
      </w:r>
    </w:p>
  </w:footnote>
  <w:footnote w:id="12">
    <w:p w14:paraId="11E8647F" w14:textId="416F535E" w:rsidR="006C1289" w:rsidRDefault="006C1289">
      <w:pPr>
        <w:pStyle w:val="FootnoteText"/>
      </w:pPr>
      <w:r>
        <w:rPr>
          <w:rStyle w:val="FootnoteReference"/>
        </w:rPr>
        <w:footnoteRef/>
      </w:r>
      <w:r>
        <w:t xml:space="preserve"> </w:t>
      </w:r>
      <w:r w:rsidRPr="00B62CD4">
        <w:t xml:space="preserve">BITRE (Bureau of Infrastructure and Transport Research Economics) (2015) </w:t>
      </w:r>
      <w:hyperlink r:id="rId6" w:history="1">
        <w:r w:rsidRPr="00B62CD4">
          <w:rPr>
            <w:rStyle w:val="Hyperlink"/>
            <w:i/>
          </w:rPr>
          <w:t>Traffic and congestion cost trends for Australian capital cities</w:t>
        </w:r>
      </w:hyperlink>
      <w:r w:rsidRPr="00B62CD4">
        <w:t>, BITRE, accessed 1</w:t>
      </w:r>
      <w:r>
        <w:t>6</w:t>
      </w:r>
      <w:r w:rsidRPr="00B62CD4">
        <w:t xml:space="preserve"> </w:t>
      </w:r>
      <w:r>
        <w:t>June</w:t>
      </w:r>
      <w:r w:rsidRPr="00B62CD4">
        <w:t xml:space="preserve"> 202</w:t>
      </w:r>
      <w:r>
        <w:t>5</w:t>
      </w:r>
      <w:r w:rsidRPr="00B62CD4">
        <w:t>.</w:t>
      </w:r>
    </w:p>
  </w:footnote>
  <w:footnote w:id="13">
    <w:p w14:paraId="0BDA9BB0" w14:textId="6EBD9541" w:rsidR="002C4DF5" w:rsidRPr="00165FDE" w:rsidRDefault="002C4DF5" w:rsidP="002C4DF5">
      <w:pPr>
        <w:pStyle w:val="FootnoteText"/>
      </w:pPr>
      <w:r w:rsidRPr="00165FDE">
        <w:rPr>
          <w:rStyle w:val="FootnoteReference"/>
        </w:rPr>
        <w:footnoteRef/>
      </w:r>
      <w:r w:rsidRPr="00165FDE">
        <w:t xml:space="preserve"> BITRE (Bureau of Infrastructure and Transport Research Economics) (20</w:t>
      </w:r>
      <w:r>
        <w:t>22</w:t>
      </w:r>
      <w:r w:rsidRPr="00165FDE">
        <w:t xml:space="preserve">) </w:t>
      </w:r>
      <w:hyperlink r:id="rId7" w:history="1">
        <w:r w:rsidRPr="00CF2A8C">
          <w:rPr>
            <w:rStyle w:val="Hyperlink"/>
            <w:i/>
          </w:rPr>
          <w:t>Social Cost of Road Crashes</w:t>
        </w:r>
      </w:hyperlink>
      <w:r w:rsidRPr="00165FDE">
        <w:t xml:space="preserve">, BITRE, accessed </w:t>
      </w:r>
      <w:r>
        <w:t>16</w:t>
      </w:r>
      <w:r w:rsidRPr="00165FDE">
        <w:t xml:space="preserve"> </w:t>
      </w:r>
      <w:r>
        <w:t>July 2025</w:t>
      </w:r>
      <w:r w:rsidRPr="00165FDE">
        <w:t>.</w:t>
      </w:r>
    </w:p>
  </w:footnote>
  <w:footnote w:id="14">
    <w:p w14:paraId="1D4A65C8" w14:textId="77777777" w:rsidR="00B83DF2" w:rsidRDefault="00B83DF2" w:rsidP="00B83DF2">
      <w:pPr>
        <w:pStyle w:val="FootnoteText"/>
      </w:pPr>
      <w:r>
        <w:rPr>
          <w:rStyle w:val="FootnoteReference"/>
        </w:rPr>
        <w:footnoteRef/>
      </w:r>
      <w:r>
        <w:t xml:space="preserve"> The insurance cover provided by the TAC does not cover property damage.</w:t>
      </w:r>
    </w:p>
  </w:footnote>
  <w:footnote w:id="15">
    <w:p w14:paraId="497C44AE" w14:textId="70F92C1E" w:rsidR="00E23EE9" w:rsidRDefault="00E23EE9" w:rsidP="00E23EE9">
      <w:pPr>
        <w:pStyle w:val="FootnoteText"/>
      </w:pPr>
      <w:r>
        <w:rPr>
          <w:rStyle w:val="FootnoteReference"/>
        </w:rPr>
        <w:footnoteRef/>
      </w:r>
      <w:r>
        <w:t xml:space="preserve"> This figure </w:t>
      </w:r>
      <w:r w:rsidR="00805042">
        <w:t xml:space="preserve">is based on Departmental data relating to </w:t>
      </w:r>
      <w:r w:rsidR="00177B86">
        <w:t>damage to HTfV</w:t>
      </w:r>
      <w:r w:rsidR="008C75BA">
        <w:t xml:space="preserve"> property</w:t>
      </w:r>
      <w:r w:rsidR="00177B86">
        <w:t xml:space="preserve"> </w:t>
      </w:r>
      <w:r>
        <w:t xml:space="preserve">where the person responsible is </w:t>
      </w:r>
      <w:r w:rsidR="00ED7115">
        <w:t xml:space="preserve">able to be </w:t>
      </w:r>
      <w:r>
        <w:t>identified.</w:t>
      </w:r>
    </w:p>
  </w:footnote>
  <w:footnote w:id="16">
    <w:p w14:paraId="1AA3FD7A" w14:textId="67354B39" w:rsidR="00203287" w:rsidRPr="00B62CD4" w:rsidRDefault="00203287" w:rsidP="00203287">
      <w:pPr>
        <w:pStyle w:val="FootnoteText"/>
      </w:pPr>
      <w:r w:rsidRPr="00B62CD4">
        <w:rPr>
          <w:rStyle w:val="FootnoteReference"/>
        </w:rPr>
        <w:footnoteRef/>
      </w:r>
      <w:r w:rsidRPr="00B62CD4">
        <w:t xml:space="preserve"> BITRE (Bureau of Infrastructure and Transport Research Economics) (2015) </w:t>
      </w:r>
      <w:hyperlink r:id="rId8" w:history="1">
        <w:r w:rsidRPr="00B62CD4">
          <w:rPr>
            <w:rStyle w:val="Hyperlink"/>
            <w:i/>
          </w:rPr>
          <w:t>Traffic and congestion cost trends for Australian capital cities</w:t>
        </w:r>
      </w:hyperlink>
      <w:r w:rsidRPr="00B62CD4">
        <w:t>, BITRE, accessed 1</w:t>
      </w:r>
      <w:r>
        <w:t>6</w:t>
      </w:r>
      <w:r w:rsidRPr="00B62CD4">
        <w:t xml:space="preserve"> </w:t>
      </w:r>
      <w:r>
        <w:t>June</w:t>
      </w:r>
      <w:r w:rsidRPr="00B62CD4">
        <w:t xml:space="preserve"> 202</w:t>
      </w:r>
      <w:r>
        <w:t>5</w:t>
      </w:r>
      <w:r w:rsidRPr="00B62CD4">
        <w:t>.</w:t>
      </w:r>
    </w:p>
  </w:footnote>
  <w:footnote w:id="17">
    <w:p w14:paraId="65113534" w14:textId="77777777" w:rsidR="008C1470" w:rsidRDefault="008C1470" w:rsidP="008C1470">
      <w:pPr>
        <w:pStyle w:val="FootnoteText"/>
      </w:pPr>
      <w:r>
        <w:rPr>
          <w:rStyle w:val="FootnoteReference"/>
        </w:rPr>
        <w:footnoteRef/>
      </w:r>
      <w:r>
        <w:t xml:space="preserve"> These provisions come into operation on 1 May 2026 if not proclaimed to commence sooner.</w:t>
      </w:r>
    </w:p>
  </w:footnote>
  <w:footnote w:id="18">
    <w:p w14:paraId="63489FAE" w14:textId="779C6502" w:rsidR="00C34CF2" w:rsidRPr="00663210" w:rsidRDefault="00C34CF2" w:rsidP="00C34CF2">
      <w:pPr>
        <w:pStyle w:val="FootnoteText"/>
      </w:pPr>
      <w:r>
        <w:rPr>
          <w:rStyle w:val="FootnoteReference"/>
        </w:rPr>
        <w:footnoteRef/>
      </w:r>
      <w:r>
        <w:t xml:space="preserve"> BRV (Better Regulation Victoria) (2024), </w:t>
      </w:r>
      <w:hyperlink r:id="rId9" w:history="1">
        <w:r w:rsidRPr="00C81652">
          <w:rPr>
            <w:rStyle w:val="Hyperlink"/>
            <w:i/>
          </w:rPr>
          <w:t>Victorian Guide to Regulation</w:t>
        </w:r>
      </w:hyperlink>
      <w:r>
        <w:rPr>
          <w:i/>
        </w:rPr>
        <w:t>,</w:t>
      </w:r>
      <w:r>
        <w:t xml:space="preserve"> Victorian Government website, accessed 13 August 2025.</w:t>
      </w:r>
    </w:p>
  </w:footnote>
  <w:footnote w:id="19">
    <w:p w14:paraId="13B80DD6" w14:textId="482BAD5B" w:rsidR="00F02F1F" w:rsidRDefault="00F02F1F">
      <w:pPr>
        <w:pStyle w:val="FootnoteText"/>
      </w:pPr>
      <w:r>
        <w:rPr>
          <w:rStyle w:val="FootnoteReference"/>
        </w:rPr>
        <w:footnoteRef/>
      </w:r>
      <w:r>
        <w:t xml:space="preserve"> </w:t>
      </w:r>
      <w:r w:rsidR="00C319E5">
        <w:t xml:space="preserve">The works and infrastructure management principles are set out in Clause 14 of Schedule 7 to the Act. </w:t>
      </w:r>
    </w:p>
  </w:footnote>
  <w:footnote w:id="20">
    <w:p w14:paraId="25193844" w14:textId="53516650" w:rsidR="001B54E3" w:rsidRPr="0092107C" w:rsidRDefault="001B54E3">
      <w:pPr>
        <w:pStyle w:val="FootnoteText"/>
        <w:rPr>
          <w:lang w:val="en-US"/>
        </w:rPr>
      </w:pPr>
      <w:r>
        <w:rPr>
          <w:rStyle w:val="FootnoteReference"/>
        </w:rPr>
        <w:footnoteRef/>
      </w:r>
      <w:r>
        <w:t xml:space="preserve"> </w:t>
      </w:r>
      <w:r>
        <w:rPr>
          <w:lang w:val="en-US"/>
        </w:rPr>
        <w:t>A Construction Environment Management Plan (CEMP) i</w:t>
      </w:r>
      <w:r w:rsidR="00C978C0">
        <w:rPr>
          <w:lang w:val="en-US"/>
        </w:rPr>
        <w:t xml:space="preserve">s a common plan requested by </w:t>
      </w:r>
      <w:r w:rsidR="00FF1939">
        <w:rPr>
          <w:lang w:val="en-US"/>
        </w:rPr>
        <w:t xml:space="preserve">coordinating road authorities which outlines </w:t>
      </w:r>
      <w:r w:rsidR="00F24BA1">
        <w:rPr>
          <w:lang w:val="en-US"/>
        </w:rPr>
        <w:t xml:space="preserve">the issues to be managed onsite. Such matters </w:t>
      </w:r>
      <w:r w:rsidR="003E44D6">
        <w:rPr>
          <w:lang w:val="en-US"/>
        </w:rPr>
        <w:t>t</w:t>
      </w:r>
      <w:r w:rsidR="00F24BA1">
        <w:rPr>
          <w:lang w:val="en-US"/>
        </w:rPr>
        <w:t>ypi</w:t>
      </w:r>
      <w:r w:rsidR="003E44D6">
        <w:rPr>
          <w:lang w:val="en-US"/>
        </w:rPr>
        <w:t>cally include public safety, security and amenity, operating hours, environmenta</w:t>
      </w:r>
      <w:r w:rsidR="00C31691">
        <w:rPr>
          <w:lang w:val="en-US"/>
        </w:rPr>
        <w:t>l controls and waste management.</w:t>
      </w:r>
    </w:p>
  </w:footnote>
  <w:footnote w:id="21">
    <w:p w14:paraId="336C627F" w14:textId="2192D431" w:rsidR="00D114E4" w:rsidRDefault="00D114E4" w:rsidP="00D114E4">
      <w:pPr>
        <w:pStyle w:val="FootnoteText"/>
      </w:pPr>
      <w:r>
        <w:rPr>
          <w:rStyle w:val="FootnoteReference"/>
        </w:rPr>
        <w:footnoteRef/>
      </w:r>
      <w:r>
        <w:t xml:space="preserve"> </w:t>
      </w:r>
      <w:r w:rsidR="005C6242">
        <w:t xml:space="preserve">State Government of Victoria </w:t>
      </w:r>
      <w:r w:rsidR="0083112D">
        <w:t>(</w:t>
      </w:r>
      <w:r w:rsidR="005C6242">
        <w:t>2025</w:t>
      </w:r>
      <w:r w:rsidR="0083112D">
        <w:t>),</w:t>
      </w:r>
      <w:r w:rsidR="005C6242">
        <w:t xml:space="preserve"> </w:t>
      </w:r>
      <w:hyperlink r:id="rId10" w:history="1">
        <w:r w:rsidR="005C6242" w:rsidRPr="00852458">
          <w:rPr>
            <w:rStyle w:val="Hyperlink"/>
            <w:i/>
            <w:iCs/>
          </w:rPr>
          <w:t>Victorian Property Sales Report March 2025 Quarter</w:t>
        </w:r>
      </w:hyperlink>
      <w:r w:rsidR="005C6242">
        <w:t xml:space="preserve">, </w:t>
      </w:r>
      <w:r w:rsidR="00D86003">
        <w:t>Land Use Victoria website, accessed 21 November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3A53" w14:textId="77777777" w:rsidR="00107B94" w:rsidRDefault="007A794B" w:rsidP="00107B94">
    <w:pPr>
      <w:pStyle w:val="Header"/>
    </w:pPr>
    <w:r>
      <w:rPr>
        <w:noProof/>
      </w:rPr>
      <mc:AlternateContent>
        <mc:Choice Requires="wps">
          <w:drawing>
            <wp:anchor distT="0" distB="0" distL="114300" distR="114300" simplePos="0" relativeHeight="251658245" behindDoc="0" locked="0" layoutInCell="1" allowOverlap="1" wp14:anchorId="5D74C4B7" wp14:editId="63AB90A5">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7DE9205A">
            <v:line id="Straight Connector 2" style="position:absolute;z-index:251658252;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alt="&quot;&quot;" o:spid="_x0000_s1026" strokecolor="window" strokeweight="4.5pt" from="0,70.3pt" to="1190.55pt,70.3pt" w14:anchorId="058DE7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v:stroke joinstyle="miter"/>
              <w10:wrap anchorx="margin" anchory="page"/>
            </v:line>
          </w:pict>
        </mc:Fallback>
      </mc:AlternateContent>
    </w:r>
    <w:r>
      <w:rPr>
        <w:noProof/>
      </w:rPr>
      <mc:AlternateContent>
        <mc:Choice Requires="wps">
          <w:drawing>
            <wp:anchor distT="0" distB="0" distL="114300" distR="114300" simplePos="0" relativeHeight="251658244" behindDoc="0" locked="0" layoutInCell="1" allowOverlap="1" wp14:anchorId="47D906EC" wp14:editId="6BEB64AC">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28D905DD">
            <v:line id="Straight Connector 2" style="position:absolute;z-index:251658251;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3214]" strokeweight="1pt" from="0,70.4pt" to="1190.55pt,70.4pt" w14:anchorId="147C44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v:stroke joinstyle="miter"/>
              <w10:wrap anchorx="margin" anchory="page"/>
            </v:line>
          </w:pict>
        </mc:Fallback>
      </mc:AlternateContent>
    </w:r>
    <w:r>
      <w:rPr>
        <w:noProof/>
      </w:rPr>
      <w:drawing>
        <wp:anchor distT="0" distB="0" distL="114300" distR="114300" simplePos="0" relativeHeight="251658243" behindDoc="1" locked="0" layoutInCell="1" allowOverlap="1" wp14:anchorId="40820BA0" wp14:editId="5804DDC1">
          <wp:simplePos x="0" y="0"/>
          <wp:positionH relativeFrom="rightMargin">
            <wp:posOffset>-1289050</wp:posOffset>
          </wp:positionH>
          <wp:positionV relativeFrom="page">
            <wp:posOffset>0</wp:posOffset>
          </wp:positionV>
          <wp:extent cx="518400" cy="900000"/>
          <wp:effectExtent l="0" t="0" r="0" b="0"/>
          <wp:wrapNone/>
          <wp:docPr id="51916140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E248" w14:textId="69E64DD1" w:rsidR="00625D5C" w:rsidRDefault="00625D5C">
    <w:pPr>
      <w:pStyle w:val="Header"/>
    </w:pPr>
  </w:p>
  <w:p w14:paraId="2E159F41" w14:textId="0E4B431A" w:rsidR="00CC20E4" w:rsidRPr="00C51CBD" w:rsidRDefault="00CC20E4" w:rsidP="00CC20E4">
    <w:pPr>
      <w:pStyle w:val="BannerSub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82DB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007E0630"/>
    <w:multiLevelType w:val="hybridMultilevel"/>
    <w:tmpl w:val="11E60DA0"/>
    <w:lvl w:ilvl="0" w:tplc="7700AE14">
      <w:start w:val="1"/>
      <w:numFmt w:val="bullet"/>
      <w:lvlText w:val="­"/>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0B0915"/>
    <w:multiLevelType w:val="multilevel"/>
    <w:tmpl w:val="9B92D356"/>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4" w15:restartNumberingAfterBreak="0">
    <w:nsid w:val="10F701E4"/>
    <w:multiLevelType w:val="multilevel"/>
    <w:tmpl w:val="FEAA512A"/>
    <w:numStyleLink w:val="ListContinueList"/>
  </w:abstractNum>
  <w:abstractNum w:abstractNumId="5" w15:restartNumberingAfterBreak="0">
    <w:nsid w:val="17216F87"/>
    <w:multiLevelType w:val="hybridMultilevel"/>
    <w:tmpl w:val="CB5414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8C0211D"/>
    <w:multiLevelType w:val="hybridMultilevel"/>
    <w:tmpl w:val="7EE4853A"/>
    <w:lvl w:ilvl="0" w:tplc="87043D14">
      <w:start w:val="18"/>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9C42921"/>
    <w:multiLevelType w:val="multilevel"/>
    <w:tmpl w:val="C2086944"/>
    <w:lvl w:ilvl="0">
      <w:start w:val="1"/>
      <w:numFmt w:val="bullet"/>
      <w:lvlText w:val="­"/>
      <w:lvlJc w:val="left"/>
      <w:pPr>
        <w:ind w:left="284" w:hanging="284"/>
      </w:pPr>
      <w:rPr>
        <w:rFonts w:ascii="Courier New" w:hAnsi="Courier New" w:hint="default"/>
      </w:rPr>
    </w:lvl>
    <w:lvl w:ilvl="1">
      <w:start w:val="1"/>
      <w:numFmt w:val="lowerRoman"/>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Roman"/>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8" w15:restartNumberingAfterBreak="0">
    <w:nsid w:val="1A142C8B"/>
    <w:multiLevelType w:val="multilevel"/>
    <w:tmpl w:val="7DB88C72"/>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835496"/>
    <w:multiLevelType w:val="multilevel"/>
    <w:tmpl w:val="B29E0E6C"/>
    <w:styleLink w:val="Lists"/>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Roman"/>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0" w15:restartNumberingAfterBreak="0">
    <w:nsid w:val="1C2D33C9"/>
    <w:multiLevelType w:val="hybridMultilevel"/>
    <w:tmpl w:val="CCB86A7C"/>
    <w:lvl w:ilvl="0" w:tplc="7700AE1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C06614"/>
    <w:multiLevelType w:val="multilevel"/>
    <w:tmpl w:val="FE52449E"/>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2" w15:restartNumberingAfterBreak="0">
    <w:nsid w:val="1F3F6863"/>
    <w:multiLevelType w:val="hybridMultilevel"/>
    <w:tmpl w:val="FCC4A81E"/>
    <w:lvl w:ilvl="0" w:tplc="7700AE1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DF64FA"/>
    <w:multiLevelType w:val="hybridMultilevel"/>
    <w:tmpl w:val="150CF044"/>
    <w:lvl w:ilvl="0" w:tplc="7700AE1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A52626"/>
    <w:multiLevelType w:val="multilevel"/>
    <w:tmpl w:val="9B92D356"/>
    <w:styleLink w:val="TableListContinueSet"/>
    <w:lvl w:ilvl="0">
      <w:start w:val="1"/>
      <w:numFmt w:val="decimal"/>
      <w:lvlText w:val="%1."/>
      <w:lvlJc w:val="left"/>
      <w:pPr>
        <w:ind w:left="284" w:hanging="284"/>
      </w:pPr>
      <w:rPr>
        <w:rFonts w:ascii="VIC Light" w:hAnsi="VIC Light" w:hint="default"/>
      </w:rPr>
    </w:lvl>
    <w:lvl w:ilvl="1">
      <w:start w:val="1"/>
      <w:numFmt w:val="decimal"/>
      <w:lvlText w:val="%1.%2."/>
      <w:lvlJc w:val="left"/>
      <w:pPr>
        <w:ind w:left="567" w:hanging="567"/>
      </w:pPr>
      <w:rPr>
        <w:rFonts w:ascii="VIC Light" w:hAnsi="VIC Light" w:hint="default"/>
      </w:rPr>
    </w:lvl>
    <w:lvl w:ilvl="2">
      <w:start w:val="1"/>
      <w:numFmt w:val="decimal"/>
      <w:lvlText w:val="%1.%2.%3."/>
      <w:lvlJc w:val="left"/>
      <w:pPr>
        <w:ind w:left="851" w:hanging="851"/>
      </w:pPr>
      <w:rPr>
        <w:rFonts w:ascii="VIC Light" w:hAnsi="VIC Light" w:hint="default"/>
      </w:rPr>
    </w:lvl>
    <w:lvl w:ilvl="3">
      <w:start w:val="1"/>
      <w:numFmt w:val="decimal"/>
      <w:lvlText w:val="%1.%2.%3.%4."/>
      <w:lvlJc w:val="left"/>
      <w:pPr>
        <w:ind w:left="1134" w:hanging="1134"/>
      </w:pPr>
      <w:rPr>
        <w:rFonts w:ascii="VIC Light" w:hAnsi="VIC Light" w:hint="default"/>
      </w:rPr>
    </w:lvl>
    <w:lvl w:ilvl="4">
      <w:start w:val="1"/>
      <w:numFmt w:val="decimal"/>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15" w15:restartNumberingAfterBreak="0">
    <w:nsid w:val="23D01208"/>
    <w:multiLevelType w:val="multilevel"/>
    <w:tmpl w:val="1A360280"/>
    <w:lvl w:ilvl="0">
      <w:start w:val="1"/>
      <w:numFmt w:val="bullet"/>
      <w:lvlText w:val="­"/>
      <w:lvlJc w:val="left"/>
      <w:pPr>
        <w:ind w:left="284" w:hanging="284"/>
      </w:pPr>
      <w:rPr>
        <w:rFonts w:ascii="Courier New" w:hAnsi="Courier New" w:hint="default"/>
        <w:color w:val="auto"/>
      </w:rPr>
    </w:lvl>
    <w:lvl w:ilvl="1">
      <w:start w:val="1"/>
      <w:numFmt w:val="bullet"/>
      <w:lvlRestart w:val="0"/>
      <w:lvlText w:val="–"/>
      <w:lvlJc w:val="left"/>
      <w:pPr>
        <w:ind w:left="567" w:hanging="283"/>
      </w:pPr>
      <w:rPr>
        <w:rFonts w:ascii="Calibri" w:hAnsi="Calibri" w:hint="default"/>
        <w:color w:val="auto"/>
      </w:rPr>
    </w:lvl>
    <w:lvl w:ilvl="2">
      <w:start w:val="1"/>
      <w:numFmt w:val="bullet"/>
      <w:lvlRestart w:val="0"/>
      <w:lvlText w:val="–"/>
      <w:lvlJc w:val="left"/>
      <w:pPr>
        <w:ind w:left="851" w:hanging="283"/>
      </w:pPr>
      <w:rPr>
        <w:rFonts w:ascii="Calibri" w:hAnsi="Calibri" w:hint="default"/>
        <w:color w:val="auto"/>
      </w:rPr>
    </w:lvl>
    <w:lvl w:ilvl="3">
      <w:start w:val="1"/>
      <w:numFmt w:val="bullet"/>
      <w:lvlRestart w:val="0"/>
      <w:lvlText w:val="–"/>
      <w:lvlJc w:val="left"/>
      <w:pPr>
        <w:ind w:left="1134" w:hanging="282"/>
      </w:pPr>
      <w:rPr>
        <w:rFonts w:ascii="Calibri" w:hAnsi="Calibri" w:hint="default"/>
        <w:color w:val="auto"/>
      </w:rPr>
    </w:lvl>
    <w:lvl w:ilvl="4">
      <w:start w:val="1"/>
      <w:numFmt w:val="bullet"/>
      <w:lvlRestart w:val="0"/>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29A72FE6"/>
    <w:multiLevelType w:val="hybridMultilevel"/>
    <w:tmpl w:val="68AAB1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EF7CF8"/>
    <w:multiLevelType w:val="hybridMultilevel"/>
    <w:tmpl w:val="3C2E3A90"/>
    <w:lvl w:ilvl="0" w:tplc="F5E048B2">
      <w:numFmt w:val="bullet"/>
      <w:lvlText w:val="-"/>
      <w:lvlJc w:val="left"/>
      <w:pPr>
        <w:ind w:left="720" w:hanging="360"/>
      </w:pPr>
      <w:rPr>
        <w:rFonts w:ascii="VIC" w:eastAsiaTheme="minorHAnsi" w:hAnsi="VIC"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943541"/>
    <w:multiLevelType w:val="hybridMultilevel"/>
    <w:tmpl w:val="68505BBE"/>
    <w:lvl w:ilvl="0" w:tplc="FFFFFFFF">
      <w:start w:val="1"/>
      <w:numFmt w:val="lowerLetter"/>
      <w:lvlText w:val="%1)"/>
      <w:lvlJc w:val="left"/>
      <w:pPr>
        <w:ind w:left="720" w:hanging="360"/>
      </w:pPr>
    </w:lvl>
    <w:lvl w:ilvl="1" w:tplc="7700AE14">
      <w:start w:val="1"/>
      <w:numFmt w:val="bullet"/>
      <w:lvlText w:val="­"/>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6F5756"/>
    <w:multiLevelType w:val="multilevel"/>
    <w:tmpl w:val="D93C81A6"/>
    <w:lvl w:ilvl="0">
      <w:start w:val="1"/>
      <w:numFmt w:val="bullet"/>
      <w:lvlText w:val="­"/>
      <w:lvlJc w:val="left"/>
      <w:pPr>
        <w:ind w:left="284" w:hanging="284"/>
      </w:pPr>
      <w:rPr>
        <w:rFonts w:ascii="Courier New" w:hAnsi="Courier New" w:hint="default"/>
        <w:color w:val="auto"/>
      </w:rPr>
    </w:lvl>
    <w:lvl w:ilvl="1">
      <w:start w:val="1"/>
      <w:numFmt w:val="bullet"/>
      <w:lvlRestart w:val="0"/>
      <w:lvlText w:val="–"/>
      <w:lvlJc w:val="left"/>
      <w:pPr>
        <w:ind w:left="567" w:hanging="283"/>
      </w:pPr>
      <w:rPr>
        <w:rFonts w:ascii="Calibri" w:hAnsi="Calibri" w:hint="default"/>
        <w:color w:val="auto"/>
      </w:rPr>
    </w:lvl>
    <w:lvl w:ilvl="2">
      <w:start w:val="1"/>
      <w:numFmt w:val="bullet"/>
      <w:lvlRestart w:val="0"/>
      <w:lvlText w:val="–"/>
      <w:lvlJc w:val="left"/>
      <w:pPr>
        <w:ind w:left="851" w:hanging="283"/>
      </w:pPr>
      <w:rPr>
        <w:rFonts w:ascii="Calibri" w:hAnsi="Calibri" w:hint="default"/>
        <w:color w:val="auto"/>
      </w:rPr>
    </w:lvl>
    <w:lvl w:ilvl="3">
      <w:start w:val="1"/>
      <w:numFmt w:val="bullet"/>
      <w:lvlRestart w:val="0"/>
      <w:lvlText w:val="–"/>
      <w:lvlJc w:val="left"/>
      <w:pPr>
        <w:ind w:left="1134" w:hanging="282"/>
      </w:pPr>
      <w:rPr>
        <w:rFonts w:ascii="Calibri" w:hAnsi="Calibri" w:hint="default"/>
        <w:color w:val="auto"/>
      </w:rPr>
    </w:lvl>
    <w:lvl w:ilvl="4">
      <w:start w:val="1"/>
      <w:numFmt w:val="bullet"/>
      <w:lvlRestart w:val="0"/>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39A06AC0"/>
    <w:multiLevelType w:val="multilevel"/>
    <w:tmpl w:val="9D28B07A"/>
    <w:styleLink w:val="111111"/>
    <w:lvl w:ilvl="0">
      <w:start w:val="1"/>
      <w:numFmt w:val="decimal"/>
      <w:pStyle w:val="Heading1-Numbered"/>
      <w:lvlText w:val="%1."/>
      <w:lvlJc w:val="left"/>
      <w:pPr>
        <w:ind w:left="567" w:hanging="567"/>
      </w:pPr>
      <w:rPr>
        <w:rFonts w:asciiTheme="majorHAnsi" w:eastAsiaTheme="majorEastAsia" w:hAnsiTheme="majorHAnsi" w:cstheme="majorBidi"/>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4A60149E"/>
    <w:multiLevelType w:val="multilevel"/>
    <w:tmpl w:val="9140ACB4"/>
    <w:lvl w:ilvl="0">
      <w:start w:val="1"/>
      <w:numFmt w:val="lowerLetter"/>
      <w:lvlText w:val="%1."/>
      <w:lvlJc w:val="left"/>
      <w:pPr>
        <w:ind w:left="568" w:hanging="284"/>
      </w:pPr>
      <w:rPr>
        <w:rFonts w:hint="default"/>
      </w:rPr>
    </w:lvl>
    <w:lvl w:ilvl="1">
      <w:start w:val="1"/>
      <w:numFmt w:val="lowerRoman"/>
      <w:lvlText w:val="%2."/>
      <w:lvlJc w:val="left"/>
      <w:pPr>
        <w:ind w:left="852" w:hanging="284"/>
      </w:pPr>
      <w:rPr>
        <w:rFonts w:hint="default"/>
      </w:rPr>
    </w:lvl>
    <w:lvl w:ilvl="2">
      <w:start w:val="1"/>
      <w:numFmt w:val="decimal"/>
      <w:lvlText w:val="%3."/>
      <w:lvlJc w:val="left"/>
      <w:pPr>
        <w:ind w:left="1136" w:hanging="284"/>
      </w:pPr>
      <w:rPr>
        <w:rFonts w:hint="default"/>
      </w:rPr>
    </w:lvl>
    <w:lvl w:ilvl="3">
      <w:start w:val="1"/>
      <w:numFmt w:val="lowerLetter"/>
      <w:lvlText w:val="%4."/>
      <w:lvlJc w:val="left"/>
      <w:pPr>
        <w:ind w:left="1420" w:hanging="284"/>
      </w:pPr>
      <w:rPr>
        <w:rFonts w:hint="default"/>
      </w:rPr>
    </w:lvl>
    <w:lvl w:ilvl="4">
      <w:start w:val="1"/>
      <w:numFmt w:val="lowerRoman"/>
      <w:lvlText w:val="%5."/>
      <w:lvlJc w:val="left"/>
      <w:pPr>
        <w:ind w:left="1704" w:hanging="284"/>
      </w:pPr>
      <w:rPr>
        <w:rFonts w:hint="default"/>
      </w:rPr>
    </w:lvl>
    <w:lvl w:ilvl="5">
      <w:start w:val="1"/>
      <w:numFmt w:val="none"/>
      <w:lvlRestart w:val="0"/>
      <w:suff w:val="nothing"/>
      <w:lvlText w:val=""/>
      <w:lvlJc w:val="left"/>
      <w:pPr>
        <w:ind w:left="284" w:firstLine="0"/>
      </w:pPr>
      <w:rPr>
        <w:rFonts w:hint="default"/>
      </w:rPr>
    </w:lvl>
    <w:lvl w:ilvl="6">
      <w:start w:val="1"/>
      <w:numFmt w:val="none"/>
      <w:lvlRestart w:val="0"/>
      <w:suff w:val="nothing"/>
      <w:lvlText w:val="%7"/>
      <w:lvlJc w:val="left"/>
      <w:pPr>
        <w:ind w:left="284" w:firstLine="0"/>
      </w:pPr>
      <w:rPr>
        <w:rFonts w:hint="default"/>
      </w:rPr>
    </w:lvl>
    <w:lvl w:ilvl="7">
      <w:start w:val="1"/>
      <w:numFmt w:val="none"/>
      <w:lvlRestart w:val="0"/>
      <w:suff w:val="nothing"/>
      <w:lvlText w:val="%8"/>
      <w:lvlJc w:val="left"/>
      <w:pPr>
        <w:ind w:left="284" w:firstLine="0"/>
      </w:pPr>
      <w:rPr>
        <w:rFonts w:hint="default"/>
      </w:rPr>
    </w:lvl>
    <w:lvl w:ilvl="8">
      <w:start w:val="1"/>
      <w:numFmt w:val="none"/>
      <w:lvlRestart w:val="0"/>
      <w:suff w:val="nothing"/>
      <w:lvlText w:val="%9"/>
      <w:lvlJc w:val="left"/>
      <w:pPr>
        <w:ind w:left="284" w:firstLine="0"/>
      </w:pPr>
      <w:rPr>
        <w:rFonts w:hint="default"/>
      </w:rPr>
    </w:lvl>
  </w:abstractNum>
  <w:abstractNum w:abstractNumId="22" w15:restartNumberingAfterBreak="0">
    <w:nsid w:val="4C981824"/>
    <w:multiLevelType w:val="hybridMultilevel"/>
    <w:tmpl w:val="B012416C"/>
    <w:lvl w:ilvl="0" w:tplc="0C090017">
      <w:start w:val="1"/>
      <w:numFmt w:val="lowerLetter"/>
      <w:lvlText w:val="%1)"/>
      <w:lvlJc w:val="left"/>
      <w:pPr>
        <w:ind w:left="720" w:hanging="360"/>
      </w:pPr>
    </w:lvl>
    <w:lvl w:ilvl="1" w:tplc="420EA97A">
      <w:start w:val="4"/>
      <w:numFmt w:val="bullet"/>
      <w:lvlText w:val="•"/>
      <w:lvlJc w:val="left"/>
      <w:pPr>
        <w:ind w:left="1440" w:hanging="360"/>
      </w:pPr>
      <w:rPr>
        <w:rFonts w:ascii="VIC" w:eastAsiaTheme="minorHAnsi" w:hAnsi="VIC"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CC71AC"/>
    <w:multiLevelType w:val="multilevel"/>
    <w:tmpl w:val="170ED958"/>
    <w:numStyleLink w:val="1ai"/>
  </w:abstractNum>
  <w:abstractNum w:abstractNumId="24" w15:restartNumberingAfterBreak="0">
    <w:nsid w:val="507B5558"/>
    <w:multiLevelType w:val="multilevel"/>
    <w:tmpl w:val="3906F800"/>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Roman"/>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5" w15:restartNumberingAfterBreak="0">
    <w:nsid w:val="55B41E9E"/>
    <w:multiLevelType w:val="hybridMultilevel"/>
    <w:tmpl w:val="8BBE951A"/>
    <w:lvl w:ilvl="0" w:tplc="A45E3B02">
      <w:start w:val="1"/>
      <w:numFmt w:val="decimal"/>
      <w:lvlText w:val="%1)"/>
      <w:lvlJc w:val="left"/>
      <w:pPr>
        <w:ind w:left="1020" w:hanging="360"/>
      </w:pPr>
    </w:lvl>
    <w:lvl w:ilvl="1" w:tplc="271A6EF6">
      <w:start w:val="1"/>
      <w:numFmt w:val="decimal"/>
      <w:lvlText w:val="%2)"/>
      <w:lvlJc w:val="left"/>
      <w:pPr>
        <w:ind w:left="1020" w:hanging="360"/>
      </w:pPr>
    </w:lvl>
    <w:lvl w:ilvl="2" w:tplc="4448D802">
      <w:start w:val="1"/>
      <w:numFmt w:val="decimal"/>
      <w:lvlText w:val="%3)"/>
      <w:lvlJc w:val="left"/>
      <w:pPr>
        <w:ind w:left="1020" w:hanging="360"/>
      </w:pPr>
    </w:lvl>
    <w:lvl w:ilvl="3" w:tplc="3F2CD15E">
      <w:start w:val="1"/>
      <w:numFmt w:val="decimal"/>
      <w:lvlText w:val="%4)"/>
      <w:lvlJc w:val="left"/>
      <w:pPr>
        <w:ind w:left="1020" w:hanging="360"/>
      </w:pPr>
    </w:lvl>
    <w:lvl w:ilvl="4" w:tplc="865CFF42">
      <w:start w:val="1"/>
      <w:numFmt w:val="decimal"/>
      <w:lvlText w:val="%5)"/>
      <w:lvlJc w:val="left"/>
      <w:pPr>
        <w:ind w:left="1020" w:hanging="360"/>
      </w:pPr>
    </w:lvl>
    <w:lvl w:ilvl="5" w:tplc="491C2E76">
      <w:start w:val="1"/>
      <w:numFmt w:val="decimal"/>
      <w:lvlText w:val="%6)"/>
      <w:lvlJc w:val="left"/>
      <w:pPr>
        <w:ind w:left="1020" w:hanging="360"/>
      </w:pPr>
    </w:lvl>
    <w:lvl w:ilvl="6" w:tplc="D6E809AC">
      <w:start w:val="1"/>
      <w:numFmt w:val="decimal"/>
      <w:lvlText w:val="%7)"/>
      <w:lvlJc w:val="left"/>
      <w:pPr>
        <w:ind w:left="1020" w:hanging="360"/>
      </w:pPr>
    </w:lvl>
    <w:lvl w:ilvl="7" w:tplc="4732B93C">
      <w:start w:val="1"/>
      <w:numFmt w:val="decimal"/>
      <w:lvlText w:val="%8)"/>
      <w:lvlJc w:val="left"/>
      <w:pPr>
        <w:ind w:left="1020" w:hanging="360"/>
      </w:pPr>
    </w:lvl>
    <w:lvl w:ilvl="8" w:tplc="A5D2D78C">
      <w:start w:val="1"/>
      <w:numFmt w:val="decimal"/>
      <w:lvlText w:val="%9)"/>
      <w:lvlJc w:val="left"/>
      <w:pPr>
        <w:ind w:left="1020" w:hanging="360"/>
      </w:pPr>
    </w:lvl>
  </w:abstractNum>
  <w:abstractNum w:abstractNumId="26" w15:restartNumberingAfterBreak="0">
    <w:nsid w:val="57F81202"/>
    <w:multiLevelType w:val="multilevel"/>
    <w:tmpl w:val="834202F2"/>
    <w:styleLink w:val="BulletList"/>
    <w:lvl w:ilvl="0">
      <w:start w:val="1"/>
      <w:numFmt w:val="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7" w15:restartNumberingAfterBreak="0">
    <w:nsid w:val="5E3F5587"/>
    <w:multiLevelType w:val="hybridMultilevel"/>
    <w:tmpl w:val="D1BA68BA"/>
    <w:lvl w:ilvl="0" w:tplc="7700AE1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8B2EEE"/>
    <w:multiLevelType w:val="hybridMultilevel"/>
    <w:tmpl w:val="E02A3FD6"/>
    <w:lvl w:ilvl="0" w:tplc="FFFFFFFF">
      <w:start w:val="1"/>
      <w:numFmt w:val="lowerLetter"/>
      <w:lvlText w:val="%1)"/>
      <w:lvlJc w:val="left"/>
      <w:pPr>
        <w:ind w:left="720" w:hanging="360"/>
      </w:pPr>
    </w:lvl>
    <w:lvl w:ilvl="1" w:tplc="7700AE14">
      <w:start w:val="1"/>
      <w:numFmt w:val="bullet"/>
      <w:lvlText w:val="­"/>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3401FD"/>
    <w:multiLevelType w:val="multilevel"/>
    <w:tmpl w:val="FE52449E"/>
    <w:styleLink w:val="TableCellLists"/>
    <w:lvl w:ilvl="0">
      <w:start w:val="1"/>
      <w:numFmt w:val="decimal"/>
      <w:lvlText w:val="%1."/>
      <w:lvlJc w:val="left"/>
      <w:pPr>
        <w:ind w:left="284" w:hanging="284"/>
      </w:pPr>
      <w:rPr>
        <w:rFonts w:ascii="VIC Light" w:hAnsi="VIC Light" w:hint="default"/>
      </w:rPr>
    </w:lvl>
    <w:lvl w:ilvl="1">
      <w:start w:val="1"/>
      <w:numFmt w:val="decimal"/>
      <w:lvlText w:val="%1.%2."/>
      <w:lvlJc w:val="left"/>
      <w:pPr>
        <w:ind w:left="568" w:hanging="568"/>
      </w:pPr>
      <w:rPr>
        <w:rFonts w:ascii="VIC Light" w:hAnsi="VIC Light" w:hint="default"/>
      </w:rPr>
    </w:lvl>
    <w:lvl w:ilvl="2">
      <w:start w:val="1"/>
      <w:numFmt w:val="decimal"/>
      <w:lvlText w:val="%1.%2.%3."/>
      <w:lvlJc w:val="left"/>
      <w:pPr>
        <w:ind w:left="852" w:hanging="852"/>
      </w:pPr>
      <w:rPr>
        <w:rFonts w:ascii="VIC Light" w:hAnsi="VIC Light" w:hint="default"/>
      </w:rPr>
    </w:lvl>
    <w:lvl w:ilvl="3">
      <w:start w:val="1"/>
      <w:numFmt w:val="decimal"/>
      <w:lvlText w:val="%1.%2.%3.%4."/>
      <w:lvlJc w:val="left"/>
      <w:pPr>
        <w:ind w:left="1136" w:hanging="1136"/>
      </w:pPr>
      <w:rPr>
        <w:rFonts w:ascii="VIC Light" w:hAnsi="VIC Light" w:hint="default"/>
      </w:rPr>
    </w:lvl>
    <w:lvl w:ilvl="4">
      <w:start w:val="1"/>
      <w:numFmt w:val="decimal"/>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30" w15:restartNumberingAfterBreak="0">
    <w:nsid w:val="636F6820"/>
    <w:multiLevelType w:val="hybridMultilevel"/>
    <w:tmpl w:val="07BE4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E81B1E"/>
    <w:multiLevelType w:val="multilevel"/>
    <w:tmpl w:val="170ED958"/>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2" w15:restartNumberingAfterBreak="0">
    <w:nsid w:val="6C443F1C"/>
    <w:multiLevelType w:val="hybridMultilevel"/>
    <w:tmpl w:val="CA1E9FAC"/>
    <w:lvl w:ilvl="0" w:tplc="1D9C7124">
      <w:start w:val="1"/>
      <w:numFmt w:val="decimal"/>
      <w:lvlText w:val="%1)"/>
      <w:lvlJc w:val="left"/>
      <w:pPr>
        <w:ind w:left="1020" w:hanging="360"/>
      </w:pPr>
    </w:lvl>
    <w:lvl w:ilvl="1" w:tplc="DC400BD6">
      <w:start w:val="1"/>
      <w:numFmt w:val="decimal"/>
      <w:lvlText w:val="%2)"/>
      <w:lvlJc w:val="left"/>
      <w:pPr>
        <w:ind w:left="1020" w:hanging="360"/>
      </w:pPr>
    </w:lvl>
    <w:lvl w:ilvl="2" w:tplc="9370D58C">
      <w:start w:val="1"/>
      <w:numFmt w:val="decimal"/>
      <w:lvlText w:val="%3)"/>
      <w:lvlJc w:val="left"/>
      <w:pPr>
        <w:ind w:left="1020" w:hanging="360"/>
      </w:pPr>
    </w:lvl>
    <w:lvl w:ilvl="3" w:tplc="DA1E6D60">
      <w:start w:val="1"/>
      <w:numFmt w:val="decimal"/>
      <w:lvlText w:val="%4)"/>
      <w:lvlJc w:val="left"/>
      <w:pPr>
        <w:ind w:left="1020" w:hanging="360"/>
      </w:pPr>
    </w:lvl>
    <w:lvl w:ilvl="4" w:tplc="5BFA1F90">
      <w:start w:val="1"/>
      <w:numFmt w:val="decimal"/>
      <w:lvlText w:val="%5)"/>
      <w:lvlJc w:val="left"/>
      <w:pPr>
        <w:ind w:left="1020" w:hanging="360"/>
      </w:pPr>
    </w:lvl>
    <w:lvl w:ilvl="5" w:tplc="40DA6CF8">
      <w:start w:val="1"/>
      <w:numFmt w:val="decimal"/>
      <w:lvlText w:val="%6)"/>
      <w:lvlJc w:val="left"/>
      <w:pPr>
        <w:ind w:left="1020" w:hanging="360"/>
      </w:pPr>
    </w:lvl>
    <w:lvl w:ilvl="6" w:tplc="E5A22854">
      <w:start w:val="1"/>
      <w:numFmt w:val="decimal"/>
      <w:lvlText w:val="%7)"/>
      <w:lvlJc w:val="left"/>
      <w:pPr>
        <w:ind w:left="1020" w:hanging="360"/>
      </w:pPr>
    </w:lvl>
    <w:lvl w:ilvl="7" w:tplc="681A0E6C">
      <w:start w:val="1"/>
      <w:numFmt w:val="decimal"/>
      <w:lvlText w:val="%8)"/>
      <w:lvlJc w:val="left"/>
      <w:pPr>
        <w:ind w:left="1020" w:hanging="360"/>
      </w:pPr>
    </w:lvl>
    <w:lvl w:ilvl="8" w:tplc="A2EA9AB6">
      <w:start w:val="1"/>
      <w:numFmt w:val="decimal"/>
      <w:lvlText w:val="%9)"/>
      <w:lvlJc w:val="left"/>
      <w:pPr>
        <w:ind w:left="1020" w:hanging="360"/>
      </w:pPr>
    </w:lvl>
  </w:abstractNum>
  <w:abstractNum w:abstractNumId="33" w15:restartNumberingAfterBreak="0">
    <w:nsid w:val="75505F5C"/>
    <w:multiLevelType w:val="multilevel"/>
    <w:tmpl w:val="B29E0E6C"/>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34"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35" w15:restartNumberingAfterBreak="0">
    <w:nsid w:val="7B095472"/>
    <w:multiLevelType w:val="multilevel"/>
    <w:tmpl w:val="0C09001D"/>
    <w:styleLink w:val="Style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23777600">
    <w:abstractNumId w:val="31"/>
  </w:num>
  <w:num w:numId="2" w16cid:durableId="301155632">
    <w:abstractNumId w:val="26"/>
  </w:num>
  <w:num w:numId="3" w16cid:durableId="573202172">
    <w:abstractNumId w:val="9"/>
  </w:num>
  <w:num w:numId="4" w16cid:durableId="1559125064">
    <w:abstractNumId w:val="34"/>
  </w:num>
  <w:num w:numId="5" w16cid:durableId="1870336632">
    <w:abstractNumId w:val="29"/>
  </w:num>
  <w:num w:numId="6" w16cid:durableId="1291597006">
    <w:abstractNumId w:val="14"/>
  </w:num>
  <w:num w:numId="7" w16cid:durableId="2048675002">
    <w:abstractNumId w:val="23"/>
  </w:num>
  <w:num w:numId="8" w16cid:durableId="1917786769">
    <w:abstractNumId w:val="33"/>
  </w:num>
  <w:num w:numId="9" w16cid:durableId="1723867171">
    <w:abstractNumId w:val="4"/>
  </w:num>
  <w:num w:numId="10" w16cid:durableId="1362515520">
    <w:abstractNumId w:val="11"/>
  </w:num>
  <w:num w:numId="11" w16cid:durableId="669018142">
    <w:abstractNumId w:val="3"/>
  </w:num>
  <w:num w:numId="12" w16cid:durableId="1773864742">
    <w:abstractNumId w:val="1"/>
  </w:num>
  <w:num w:numId="13" w16cid:durableId="17855742">
    <w:abstractNumId w:val="26"/>
    <w:lvlOverride w:ilvl="0">
      <w:lvl w:ilvl="0">
        <w:start w:val="1"/>
        <w:numFmt w:val="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4" w16cid:durableId="1354065596">
    <w:abstractNumId w:val="26"/>
    <w:lvlOverride w:ilvl="0">
      <w:startOverride w:val="1"/>
      <w:lvl w:ilvl="0">
        <w:start w:val="1"/>
        <w:numFmt w:val="bullet"/>
        <w:lvlText w:val="–"/>
        <w:lvlJc w:val="left"/>
        <w:pPr>
          <w:ind w:left="284" w:hanging="284"/>
        </w:pPr>
        <w:rPr>
          <w:rFonts w:ascii="Calibri" w:hAnsi="Calibri" w:hint="default"/>
          <w:color w:val="auto"/>
        </w:rPr>
      </w:lvl>
    </w:lvlOverride>
    <w:lvlOverride w:ilvl="1">
      <w:startOverride w:val="1"/>
      <w:lvl w:ilvl="1">
        <w:start w:val="1"/>
        <w:numFmt w:val="bullet"/>
        <w:lvlRestart w:val="0"/>
        <w:pStyle w:val="ListBullet2"/>
        <w:lvlText w:val="–"/>
        <w:lvlJc w:val="left"/>
        <w:pPr>
          <w:ind w:left="567" w:hanging="283"/>
        </w:pPr>
        <w:rPr>
          <w:rFonts w:ascii="Calibri" w:hAnsi="Calibri" w:hint="default"/>
          <w:color w:val="auto"/>
        </w:rPr>
      </w:lvl>
    </w:lvlOverride>
    <w:lvlOverride w:ilvl="2">
      <w:startOverride w:val="1"/>
      <w:lvl w:ilvl="2">
        <w:start w:val="1"/>
        <w:numFmt w:val="bullet"/>
        <w:lvlRestart w:val="0"/>
        <w:pStyle w:val="ListBullet3"/>
        <w:lvlText w:val="–"/>
        <w:lvlJc w:val="left"/>
        <w:pPr>
          <w:ind w:left="851" w:hanging="283"/>
        </w:pPr>
        <w:rPr>
          <w:rFonts w:ascii="Calibri" w:hAnsi="Calibri" w:hint="default"/>
          <w:color w:val="auto"/>
        </w:rPr>
      </w:lvl>
    </w:lvlOverride>
    <w:lvlOverride w:ilvl="3">
      <w:startOverride w:val="1"/>
      <w:lvl w:ilvl="3">
        <w:start w:val="1"/>
        <w:numFmt w:val="bullet"/>
        <w:lvlRestart w:val="0"/>
        <w:pStyle w:val="ListBullet4"/>
        <w:lvlText w:val="–"/>
        <w:lvlJc w:val="left"/>
        <w:pPr>
          <w:ind w:left="1134" w:hanging="282"/>
        </w:pPr>
        <w:rPr>
          <w:rFonts w:ascii="Calibri" w:hAnsi="Calibri" w:hint="default"/>
          <w:color w:val="auto"/>
        </w:rPr>
      </w:lvl>
    </w:lvlOverride>
    <w:lvlOverride w:ilvl="4">
      <w:startOverride w:val="1"/>
      <w:lvl w:ilvl="4">
        <w:start w:val="1"/>
        <w:numFmt w:val="bullet"/>
        <w:lvlRestart w:val="0"/>
        <w:pStyle w:val="ListBullet5"/>
        <w:lvlText w:val="–"/>
        <w:lvlJc w:val="left"/>
        <w:pPr>
          <w:ind w:left="1418" w:hanging="282"/>
        </w:pPr>
        <w:rPr>
          <w:rFonts w:ascii="Calibri" w:hAnsi="Calibri" w:hint="default"/>
          <w:color w:val="auto"/>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suff w:val="nothing"/>
        <w:lvlText w:val=""/>
        <w:lvlJc w:val="left"/>
        <w:pPr>
          <w:ind w:left="0" w:firstLine="0"/>
        </w:pPr>
        <w:rPr>
          <w:rFonts w:hint="default"/>
        </w:rPr>
      </w:lvl>
    </w:lvlOverride>
  </w:num>
  <w:num w:numId="15" w16cid:durableId="109708186">
    <w:abstractNumId w:val="30"/>
  </w:num>
  <w:num w:numId="16" w16cid:durableId="567227300">
    <w:abstractNumId w:val="22"/>
  </w:num>
  <w:num w:numId="17" w16cid:durableId="2003922341">
    <w:abstractNumId w:val="16"/>
  </w:num>
  <w:num w:numId="18" w16cid:durableId="1336106901">
    <w:abstractNumId w:val="24"/>
  </w:num>
  <w:num w:numId="19" w16cid:durableId="414059548">
    <w:abstractNumId w:val="21"/>
  </w:num>
  <w:num w:numId="20" w16cid:durableId="1529953436">
    <w:abstractNumId w:val="27"/>
  </w:num>
  <w:num w:numId="21" w16cid:durableId="2113435803">
    <w:abstractNumId w:val="10"/>
  </w:num>
  <w:num w:numId="22" w16cid:durableId="1702708451">
    <w:abstractNumId w:val="15"/>
  </w:num>
  <w:num w:numId="23" w16cid:durableId="1369138695">
    <w:abstractNumId w:val="19"/>
  </w:num>
  <w:num w:numId="24" w16cid:durableId="1057314232">
    <w:abstractNumId w:val="18"/>
  </w:num>
  <w:num w:numId="25" w16cid:durableId="783959317">
    <w:abstractNumId w:val="28"/>
  </w:num>
  <w:num w:numId="26" w16cid:durableId="444344896">
    <w:abstractNumId w:val="2"/>
  </w:num>
  <w:num w:numId="27" w16cid:durableId="475025732">
    <w:abstractNumId w:val="7"/>
  </w:num>
  <w:num w:numId="28" w16cid:durableId="42606172">
    <w:abstractNumId w:val="20"/>
  </w:num>
  <w:num w:numId="29" w16cid:durableId="168183859">
    <w:abstractNumId w:val="12"/>
  </w:num>
  <w:num w:numId="30" w16cid:durableId="118259202">
    <w:abstractNumId w:val="20"/>
    <w:lvlOverride w:ilvl="2">
      <w:lvl w:ilvl="2">
        <w:start w:val="1"/>
        <w:numFmt w:val="decimal"/>
        <w:pStyle w:val="Heading3-Numbered"/>
        <w:lvlText w:val="%1.%2.%3."/>
        <w:lvlJc w:val="left"/>
        <w:pPr>
          <w:ind w:left="851" w:hanging="851"/>
        </w:pPr>
        <w:rPr>
          <w:b/>
          <w:color w:val="515965" w:themeColor="text2" w:themeTint="BF"/>
        </w:rPr>
      </w:lvl>
    </w:lvlOverride>
  </w:num>
  <w:num w:numId="31" w16cid:durableId="4589600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6466550">
    <w:abstractNumId w:val="6"/>
  </w:num>
  <w:num w:numId="33" w16cid:durableId="1923685710">
    <w:abstractNumId w:val="26"/>
    <w:lvlOverride w:ilvl="0">
      <w:startOverride w:val="1"/>
      <w:lvl w:ilvl="0">
        <w:start w:val="1"/>
        <w:numFmt w:val="bullet"/>
        <w:lvlText w:val="–"/>
        <w:lvlJc w:val="left"/>
        <w:pPr>
          <w:ind w:left="284" w:hanging="284"/>
        </w:pPr>
        <w:rPr>
          <w:rFonts w:ascii="Calibri" w:hAnsi="Calibri" w:hint="default"/>
          <w:color w:val="auto"/>
        </w:rPr>
      </w:lvl>
    </w:lvlOverride>
    <w:lvlOverride w:ilvl="1">
      <w:startOverride w:val="1"/>
      <w:lvl w:ilvl="1">
        <w:start w:val="1"/>
        <w:numFmt w:val="bullet"/>
        <w:lvlRestart w:val="0"/>
        <w:pStyle w:val="ListBullet2"/>
        <w:lvlText w:val="–"/>
        <w:lvlJc w:val="left"/>
        <w:pPr>
          <w:ind w:left="567" w:hanging="283"/>
        </w:pPr>
        <w:rPr>
          <w:rFonts w:ascii="Calibri" w:hAnsi="Calibri" w:hint="default"/>
          <w:color w:val="auto"/>
        </w:rPr>
      </w:lvl>
    </w:lvlOverride>
    <w:lvlOverride w:ilvl="2">
      <w:startOverride w:val="1"/>
      <w:lvl w:ilvl="2">
        <w:start w:val="1"/>
        <w:numFmt w:val="bullet"/>
        <w:lvlRestart w:val="0"/>
        <w:pStyle w:val="ListBullet3"/>
        <w:lvlText w:val="–"/>
        <w:lvlJc w:val="left"/>
        <w:pPr>
          <w:ind w:left="851" w:hanging="283"/>
        </w:pPr>
        <w:rPr>
          <w:rFonts w:ascii="Calibri" w:hAnsi="Calibri" w:hint="default"/>
          <w:color w:val="auto"/>
        </w:rPr>
      </w:lvl>
    </w:lvlOverride>
    <w:lvlOverride w:ilvl="3">
      <w:startOverride w:val="1"/>
      <w:lvl w:ilvl="3">
        <w:start w:val="1"/>
        <w:numFmt w:val="bullet"/>
        <w:lvlRestart w:val="0"/>
        <w:pStyle w:val="ListBullet4"/>
        <w:lvlText w:val="–"/>
        <w:lvlJc w:val="left"/>
        <w:pPr>
          <w:ind w:left="1134" w:hanging="282"/>
        </w:pPr>
        <w:rPr>
          <w:rFonts w:ascii="Calibri" w:hAnsi="Calibri" w:hint="default"/>
          <w:color w:val="auto"/>
        </w:rPr>
      </w:lvl>
    </w:lvlOverride>
    <w:lvlOverride w:ilvl="4">
      <w:startOverride w:val="1"/>
      <w:lvl w:ilvl="4">
        <w:start w:val="1"/>
        <w:numFmt w:val="bullet"/>
        <w:lvlRestart w:val="0"/>
        <w:pStyle w:val="ListBullet5"/>
        <w:lvlText w:val="–"/>
        <w:lvlJc w:val="left"/>
        <w:pPr>
          <w:ind w:left="1418" w:hanging="282"/>
        </w:pPr>
        <w:rPr>
          <w:rFonts w:ascii="Calibri" w:hAnsi="Calibri" w:hint="default"/>
          <w:color w:val="auto"/>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suff w:val="nothing"/>
        <w:lvlText w:val=""/>
        <w:lvlJc w:val="left"/>
        <w:pPr>
          <w:ind w:left="0" w:firstLine="0"/>
        </w:pPr>
        <w:rPr>
          <w:rFonts w:hint="default"/>
        </w:rPr>
      </w:lvl>
    </w:lvlOverride>
  </w:num>
  <w:num w:numId="34" w16cid:durableId="494535986">
    <w:abstractNumId w:val="35"/>
  </w:num>
  <w:num w:numId="35" w16cid:durableId="1694072550">
    <w:abstractNumId w:val="8"/>
  </w:num>
  <w:num w:numId="36" w16cid:durableId="1054548206">
    <w:abstractNumId w:val="17"/>
  </w:num>
  <w:num w:numId="37" w16cid:durableId="2027828194">
    <w:abstractNumId w:val="26"/>
    <w:lvlOverride w:ilvl="0">
      <w:lvl w:ilvl="0">
        <w:start w:val="1"/>
        <w:numFmt w:val="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8" w16cid:durableId="1626933761">
    <w:abstractNumId w:val="25"/>
  </w:num>
  <w:num w:numId="39" w16cid:durableId="1719355206">
    <w:abstractNumId w:val="32"/>
  </w:num>
  <w:num w:numId="40" w16cid:durableId="1337617064">
    <w:abstractNumId w:val="5"/>
  </w:num>
  <w:num w:numId="41" w16cid:durableId="3897065">
    <w:abstractNumId w:val="13"/>
  </w:num>
  <w:num w:numId="42" w16cid:durableId="439420973">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SortMethod w:val="0000"/>
  <w:defaultTabStop w:val="284"/>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C6"/>
    <w:rsid w:val="000000DC"/>
    <w:rsid w:val="0000042A"/>
    <w:rsid w:val="0000046C"/>
    <w:rsid w:val="00000610"/>
    <w:rsid w:val="00000DC6"/>
    <w:rsid w:val="00000DE7"/>
    <w:rsid w:val="00000EC1"/>
    <w:rsid w:val="00000FF3"/>
    <w:rsid w:val="00001629"/>
    <w:rsid w:val="0000192C"/>
    <w:rsid w:val="00001B0C"/>
    <w:rsid w:val="00001B1C"/>
    <w:rsid w:val="00001B40"/>
    <w:rsid w:val="00002522"/>
    <w:rsid w:val="000027A4"/>
    <w:rsid w:val="0000281B"/>
    <w:rsid w:val="00002950"/>
    <w:rsid w:val="00002F78"/>
    <w:rsid w:val="00003208"/>
    <w:rsid w:val="000033F9"/>
    <w:rsid w:val="00003AEB"/>
    <w:rsid w:val="00003CFE"/>
    <w:rsid w:val="00003E8F"/>
    <w:rsid w:val="000049E8"/>
    <w:rsid w:val="00004A0A"/>
    <w:rsid w:val="00004B4F"/>
    <w:rsid w:val="00004C73"/>
    <w:rsid w:val="00004F4E"/>
    <w:rsid w:val="00005137"/>
    <w:rsid w:val="00005161"/>
    <w:rsid w:val="000053A1"/>
    <w:rsid w:val="0000562C"/>
    <w:rsid w:val="000056E3"/>
    <w:rsid w:val="00005CDD"/>
    <w:rsid w:val="00005E04"/>
    <w:rsid w:val="00005FE3"/>
    <w:rsid w:val="000061D6"/>
    <w:rsid w:val="0000625A"/>
    <w:rsid w:val="0000631D"/>
    <w:rsid w:val="0000648A"/>
    <w:rsid w:val="00006899"/>
    <w:rsid w:val="00006A86"/>
    <w:rsid w:val="00006C8C"/>
    <w:rsid w:val="000070B1"/>
    <w:rsid w:val="00007297"/>
    <w:rsid w:val="0000756C"/>
    <w:rsid w:val="00007970"/>
    <w:rsid w:val="000079B4"/>
    <w:rsid w:val="00007BC6"/>
    <w:rsid w:val="000100DF"/>
    <w:rsid w:val="00010283"/>
    <w:rsid w:val="00010352"/>
    <w:rsid w:val="00010396"/>
    <w:rsid w:val="000103A9"/>
    <w:rsid w:val="00010753"/>
    <w:rsid w:val="000109D1"/>
    <w:rsid w:val="00010CBB"/>
    <w:rsid w:val="00010DBA"/>
    <w:rsid w:val="00010E12"/>
    <w:rsid w:val="00010EA2"/>
    <w:rsid w:val="00010F7E"/>
    <w:rsid w:val="000110DA"/>
    <w:rsid w:val="00011495"/>
    <w:rsid w:val="00011726"/>
    <w:rsid w:val="000119AC"/>
    <w:rsid w:val="00011D4C"/>
    <w:rsid w:val="000120FA"/>
    <w:rsid w:val="0001225D"/>
    <w:rsid w:val="00012290"/>
    <w:rsid w:val="0001241E"/>
    <w:rsid w:val="0001264C"/>
    <w:rsid w:val="00012668"/>
    <w:rsid w:val="00012673"/>
    <w:rsid w:val="000127BF"/>
    <w:rsid w:val="00012ABD"/>
    <w:rsid w:val="00013046"/>
    <w:rsid w:val="00013275"/>
    <w:rsid w:val="0001327D"/>
    <w:rsid w:val="00013660"/>
    <w:rsid w:val="00013893"/>
    <w:rsid w:val="0001390A"/>
    <w:rsid w:val="00013963"/>
    <w:rsid w:val="00013C2C"/>
    <w:rsid w:val="00013D4F"/>
    <w:rsid w:val="000142F0"/>
    <w:rsid w:val="00014320"/>
    <w:rsid w:val="00014396"/>
    <w:rsid w:val="000146F8"/>
    <w:rsid w:val="00014724"/>
    <w:rsid w:val="000148EC"/>
    <w:rsid w:val="00014BD7"/>
    <w:rsid w:val="00014D5F"/>
    <w:rsid w:val="00014F64"/>
    <w:rsid w:val="0001510B"/>
    <w:rsid w:val="00015320"/>
    <w:rsid w:val="00015477"/>
    <w:rsid w:val="000156EF"/>
    <w:rsid w:val="000157AB"/>
    <w:rsid w:val="00015C57"/>
    <w:rsid w:val="00015F40"/>
    <w:rsid w:val="000163F6"/>
    <w:rsid w:val="0001642F"/>
    <w:rsid w:val="000165D8"/>
    <w:rsid w:val="00016B33"/>
    <w:rsid w:val="00017845"/>
    <w:rsid w:val="00017AC2"/>
    <w:rsid w:val="00017BAA"/>
    <w:rsid w:val="00017C08"/>
    <w:rsid w:val="00017C88"/>
    <w:rsid w:val="00017E86"/>
    <w:rsid w:val="00017EE9"/>
    <w:rsid w:val="00017F65"/>
    <w:rsid w:val="000202DC"/>
    <w:rsid w:val="00020313"/>
    <w:rsid w:val="0002061E"/>
    <w:rsid w:val="000206D1"/>
    <w:rsid w:val="00020836"/>
    <w:rsid w:val="00020871"/>
    <w:rsid w:val="00020C8C"/>
    <w:rsid w:val="00020EA0"/>
    <w:rsid w:val="00020FFB"/>
    <w:rsid w:val="00021448"/>
    <w:rsid w:val="000217DD"/>
    <w:rsid w:val="000218FE"/>
    <w:rsid w:val="00021CB8"/>
    <w:rsid w:val="00021F79"/>
    <w:rsid w:val="00021FB2"/>
    <w:rsid w:val="0002268D"/>
    <w:rsid w:val="000228AF"/>
    <w:rsid w:val="00022AB7"/>
    <w:rsid w:val="00022EE4"/>
    <w:rsid w:val="0002329E"/>
    <w:rsid w:val="00023896"/>
    <w:rsid w:val="000238C5"/>
    <w:rsid w:val="0002398B"/>
    <w:rsid w:val="00023C16"/>
    <w:rsid w:val="00023CF7"/>
    <w:rsid w:val="00023E6B"/>
    <w:rsid w:val="000240A8"/>
    <w:rsid w:val="00024369"/>
    <w:rsid w:val="0002486D"/>
    <w:rsid w:val="000249BF"/>
    <w:rsid w:val="00024AC3"/>
    <w:rsid w:val="00024F7B"/>
    <w:rsid w:val="000254CD"/>
    <w:rsid w:val="0002566F"/>
    <w:rsid w:val="00025E95"/>
    <w:rsid w:val="00025EC0"/>
    <w:rsid w:val="0002652E"/>
    <w:rsid w:val="00026677"/>
    <w:rsid w:val="00026B3E"/>
    <w:rsid w:val="00026BDB"/>
    <w:rsid w:val="00026D2E"/>
    <w:rsid w:val="00026FCB"/>
    <w:rsid w:val="00027C94"/>
    <w:rsid w:val="00027E80"/>
    <w:rsid w:val="000301DB"/>
    <w:rsid w:val="0003028B"/>
    <w:rsid w:val="00030409"/>
    <w:rsid w:val="00030592"/>
    <w:rsid w:val="000305FA"/>
    <w:rsid w:val="00030691"/>
    <w:rsid w:val="00030AB2"/>
    <w:rsid w:val="0003129D"/>
    <w:rsid w:val="000313E1"/>
    <w:rsid w:val="000314D1"/>
    <w:rsid w:val="00031659"/>
    <w:rsid w:val="00031744"/>
    <w:rsid w:val="000317A0"/>
    <w:rsid w:val="0003187B"/>
    <w:rsid w:val="000319F1"/>
    <w:rsid w:val="00031BC6"/>
    <w:rsid w:val="00031CA8"/>
    <w:rsid w:val="00031EE5"/>
    <w:rsid w:val="00031F8E"/>
    <w:rsid w:val="00032237"/>
    <w:rsid w:val="0003223E"/>
    <w:rsid w:val="00032724"/>
    <w:rsid w:val="0003278B"/>
    <w:rsid w:val="000327CE"/>
    <w:rsid w:val="00032966"/>
    <w:rsid w:val="00032DD5"/>
    <w:rsid w:val="00033036"/>
    <w:rsid w:val="00033187"/>
    <w:rsid w:val="0003333B"/>
    <w:rsid w:val="000333B4"/>
    <w:rsid w:val="00033547"/>
    <w:rsid w:val="00033A75"/>
    <w:rsid w:val="00033F4F"/>
    <w:rsid w:val="000340EE"/>
    <w:rsid w:val="000341C7"/>
    <w:rsid w:val="000342CC"/>
    <w:rsid w:val="00034426"/>
    <w:rsid w:val="0003485F"/>
    <w:rsid w:val="00034B60"/>
    <w:rsid w:val="00034BA0"/>
    <w:rsid w:val="00034EA1"/>
    <w:rsid w:val="00034FBD"/>
    <w:rsid w:val="00035450"/>
    <w:rsid w:val="000356EB"/>
    <w:rsid w:val="00035BD3"/>
    <w:rsid w:val="00036221"/>
    <w:rsid w:val="0003627C"/>
    <w:rsid w:val="000365A3"/>
    <w:rsid w:val="00036DD9"/>
    <w:rsid w:val="00036F74"/>
    <w:rsid w:val="00037109"/>
    <w:rsid w:val="000374D3"/>
    <w:rsid w:val="00037762"/>
    <w:rsid w:val="000379E7"/>
    <w:rsid w:val="00037BD8"/>
    <w:rsid w:val="00037E00"/>
    <w:rsid w:val="00037E98"/>
    <w:rsid w:val="00037F91"/>
    <w:rsid w:val="00040253"/>
    <w:rsid w:val="0004046A"/>
    <w:rsid w:val="0004068B"/>
    <w:rsid w:val="0004086C"/>
    <w:rsid w:val="00040B1E"/>
    <w:rsid w:val="00040BBB"/>
    <w:rsid w:val="00040E1B"/>
    <w:rsid w:val="00040E7A"/>
    <w:rsid w:val="00040FE4"/>
    <w:rsid w:val="00041336"/>
    <w:rsid w:val="00041485"/>
    <w:rsid w:val="00041581"/>
    <w:rsid w:val="00041679"/>
    <w:rsid w:val="000421C6"/>
    <w:rsid w:val="000423F4"/>
    <w:rsid w:val="000425F5"/>
    <w:rsid w:val="00042811"/>
    <w:rsid w:val="00042BF3"/>
    <w:rsid w:val="00042E56"/>
    <w:rsid w:val="00042F10"/>
    <w:rsid w:val="00042FE6"/>
    <w:rsid w:val="00043442"/>
    <w:rsid w:val="0004359B"/>
    <w:rsid w:val="000435FA"/>
    <w:rsid w:val="0004379C"/>
    <w:rsid w:val="000437E1"/>
    <w:rsid w:val="00043A69"/>
    <w:rsid w:val="00043AE3"/>
    <w:rsid w:val="00043BCE"/>
    <w:rsid w:val="00043BFF"/>
    <w:rsid w:val="00043EDE"/>
    <w:rsid w:val="00044276"/>
    <w:rsid w:val="0004445F"/>
    <w:rsid w:val="000444ED"/>
    <w:rsid w:val="00044523"/>
    <w:rsid w:val="0004455F"/>
    <w:rsid w:val="00044867"/>
    <w:rsid w:val="000448F2"/>
    <w:rsid w:val="00044DBE"/>
    <w:rsid w:val="0004507D"/>
    <w:rsid w:val="000450A3"/>
    <w:rsid w:val="0004538D"/>
    <w:rsid w:val="000453AB"/>
    <w:rsid w:val="00045407"/>
    <w:rsid w:val="00045662"/>
    <w:rsid w:val="000457A9"/>
    <w:rsid w:val="00045A03"/>
    <w:rsid w:val="00045A9A"/>
    <w:rsid w:val="00045ACC"/>
    <w:rsid w:val="00045B91"/>
    <w:rsid w:val="00045F5A"/>
    <w:rsid w:val="00045F75"/>
    <w:rsid w:val="000460AA"/>
    <w:rsid w:val="00046315"/>
    <w:rsid w:val="00046840"/>
    <w:rsid w:val="0004696D"/>
    <w:rsid w:val="000469CB"/>
    <w:rsid w:val="00046A82"/>
    <w:rsid w:val="00046F38"/>
    <w:rsid w:val="000470D4"/>
    <w:rsid w:val="0004785E"/>
    <w:rsid w:val="00047B7C"/>
    <w:rsid w:val="00047EBB"/>
    <w:rsid w:val="0005011C"/>
    <w:rsid w:val="00050248"/>
    <w:rsid w:val="00050364"/>
    <w:rsid w:val="000503B4"/>
    <w:rsid w:val="00050816"/>
    <w:rsid w:val="000508EB"/>
    <w:rsid w:val="00051227"/>
    <w:rsid w:val="00051506"/>
    <w:rsid w:val="00051563"/>
    <w:rsid w:val="000516D5"/>
    <w:rsid w:val="00051DE0"/>
    <w:rsid w:val="000520A3"/>
    <w:rsid w:val="0005219C"/>
    <w:rsid w:val="000522A1"/>
    <w:rsid w:val="00052349"/>
    <w:rsid w:val="00052B3D"/>
    <w:rsid w:val="00052D89"/>
    <w:rsid w:val="00052DD9"/>
    <w:rsid w:val="0005321F"/>
    <w:rsid w:val="000532A0"/>
    <w:rsid w:val="00053496"/>
    <w:rsid w:val="00053571"/>
    <w:rsid w:val="000538F6"/>
    <w:rsid w:val="00053C78"/>
    <w:rsid w:val="00053E62"/>
    <w:rsid w:val="00054120"/>
    <w:rsid w:val="00054293"/>
    <w:rsid w:val="0005442C"/>
    <w:rsid w:val="00054747"/>
    <w:rsid w:val="00054782"/>
    <w:rsid w:val="00054814"/>
    <w:rsid w:val="00054B32"/>
    <w:rsid w:val="00055401"/>
    <w:rsid w:val="000554CA"/>
    <w:rsid w:val="000555B7"/>
    <w:rsid w:val="00055714"/>
    <w:rsid w:val="000558A9"/>
    <w:rsid w:val="00056048"/>
    <w:rsid w:val="000560E6"/>
    <w:rsid w:val="00056130"/>
    <w:rsid w:val="00056312"/>
    <w:rsid w:val="0005662C"/>
    <w:rsid w:val="0005663A"/>
    <w:rsid w:val="00056860"/>
    <w:rsid w:val="00056E29"/>
    <w:rsid w:val="00056ED8"/>
    <w:rsid w:val="00056F7D"/>
    <w:rsid w:val="000570DC"/>
    <w:rsid w:val="000574FD"/>
    <w:rsid w:val="00057597"/>
    <w:rsid w:val="00057C22"/>
    <w:rsid w:val="00057EE3"/>
    <w:rsid w:val="00060092"/>
    <w:rsid w:val="00060155"/>
    <w:rsid w:val="0006023C"/>
    <w:rsid w:val="000602E1"/>
    <w:rsid w:val="00060318"/>
    <w:rsid w:val="000605AA"/>
    <w:rsid w:val="00060942"/>
    <w:rsid w:val="00060D88"/>
    <w:rsid w:val="00060DAA"/>
    <w:rsid w:val="00060DD5"/>
    <w:rsid w:val="00060E34"/>
    <w:rsid w:val="00060F27"/>
    <w:rsid w:val="0006136B"/>
    <w:rsid w:val="00061412"/>
    <w:rsid w:val="00061788"/>
    <w:rsid w:val="000617A8"/>
    <w:rsid w:val="000619A1"/>
    <w:rsid w:val="00061E09"/>
    <w:rsid w:val="00062090"/>
    <w:rsid w:val="000620BD"/>
    <w:rsid w:val="000623E9"/>
    <w:rsid w:val="000627D4"/>
    <w:rsid w:val="000628A9"/>
    <w:rsid w:val="00062952"/>
    <w:rsid w:val="00062A23"/>
    <w:rsid w:val="00062D50"/>
    <w:rsid w:val="00062E87"/>
    <w:rsid w:val="000634A0"/>
    <w:rsid w:val="00063C76"/>
    <w:rsid w:val="00063F26"/>
    <w:rsid w:val="00063F44"/>
    <w:rsid w:val="0006411C"/>
    <w:rsid w:val="0006428A"/>
    <w:rsid w:val="000643F1"/>
    <w:rsid w:val="0006453D"/>
    <w:rsid w:val="0006459E"/>
    <w:rsid w:val="00064914"/>
    <w:rsid w:val="00064BDE"/>
    <w:rsid w:val="00064C0E"/>
    <w:rsid w:val="00064F5D"/>
    <w:rsid w:val="00064FA2"/>
    <w:rsid w:val="00065085"/>
    <w:rsid w:val="000652B7"/>
    <w:rsid w:val="000652D3"/>
    <w:rsid w:val="00065385"/>
    <w:rsid w:val="000658BB"/>
    <w:rsid w:val="00065C00"/>
    <w:rsid w:val="00065E7E"/>
    <w:rsid w:val="000661EC"/>
    <w:rsid w:val="000662B8"/>
    <w:rsid w:val="0006658A"/>
    <w:rsid w:val="00066610"/>
    <w:rsid w:val="0006688E"/>
    <w:rsid w:val="000668E6"/>
    <w:rsid w:val="00066945"/>
    <w:rsid w:val="00066A36"/>
    <w:rsid w:val="00066B62"/>
    <w:rsid w:val="00066D10"/>
    <w:rsid w:val="00066FE7"/>
    <w:rsid w:val="000671C5"/>
    <w:rsid w:val="00067552"/>
    <w:rsid w:val="000678F6"/>
    <w:rsid w:val="00067E0A"/>
    <w:rsid w:val="00067E8B"/>
    <w:rsid w:val="000700B9"/>
    <w:rsid w:val="000701AC"/>
    <w:rsid w:val="000703BB"/>
    <w:rsid w:val="00070587"/>
    <w:rsid w:val="00070618"/>
    <w:rsid w:val="0007096A"/>
    <w:rsid w:val="00071144"/>
    <w:rsid w:val="00071350"/>
    <w:rsid w:val="00071666"/>
    <w:rsid w:val="000717C6"/>
    <w:rsid w:val="000717F8"/>
    <w:rsid w:val="000718C8"/>
    <w:rsid w:val="00071B11"/>
    <w:rsid w:val="00071E2A"/>
    <w:rsid w:val="00072864"/>
    <w:rsid w:val="0007292B"/>
    <w:rsid w:val="00072BCC"/>
    <w:rsid w:val="00072C38"/>
    <w:rsid w:val="000731FD"/>
    <w:rsid w:val="00073299"/>
    <w:rsid w:val="00073548"/>
    <w:rsid w:val="000737E8"/>
    <w:rsid w:val="00073827"/>
    <w:rsid w:val="0007384B"/>
    <w:rsid w:val="00073ACA"/>
    <w:rsid w:val="00073C0C"/>
    <w:rsid w:val="00073FE7"/>
    <w:rsid w:val="000743ED"/>
    <w:rsid w:val="0007452D"/>
    <w:rsid w:val="0007456B"/>
    <w:rsid w:val="00074A57"/>
    <w:rsid w:val="00074A5A"/>
    <w:rsid w:val="00074D15"/>
    <w:rsid w:val="00074F55"/>
    <w:rsid w:val="0007532E"/>
    <w:rsid w:val="000753C5"/>
    <w:rsid w:val="000753E3"/>
    <w:rsid w:val="000754CB"/>
    <w:rsid w:val="00075707"/>
    <w:rsid w:val="00075741"/>
    <w:rsid w:val="00075A67"/>
    <w:rsid w:val="00075EF9"/>
    <w:rsid w:val="000769BB"/>
    <w:rsid w:val="00076A25"/>
    <w:rsid w:val="00076AA7"/>
    <w:rsid w:val="00076D64"/>
    <w:rsid w:val="00076FA9"/>
    <w:rsid w:val="00076FC4"/>
    <w:rsid w:val="0007701B"/>
    <w:rsid w:val="00077371"/>
    <w:rsid w:val="0007747B"/>
    <w:rsid w:val="00077514"/>
    <w:rsid w:val="00077671"/>
    <w:rsid w:val="00077672"/>
    <w:rsid w:val="00077AFD"/>
    <w:rsid w:val="00077B15"/>
    <w:rsid w:val="00077BEC"/>
    <w:rsid w:val="00077C91"/>
    <w:rsid w:val="000805D3"/>
    <w:rsid w:val="0008062E"/>
    <w:rsid w:val="0008070F"/>
    <w:rsid w:val="00080718"/>
    <w:rsid w:val="0008078C"/>
    <w:rsid w:val="000807FC"/>
    <w:rsid w:val="00080954"/>
    <w:rsid w:val="00080A34"/>
    <w:rsid w:val="00080A74"/>
    <w:rsid w:val="00080A92"/>
    <w:rsid w:val="00080B7A"/>
    <w:rsid w:val="00080BEC"/>
    <w:rsid w:val="00080E38"/>
    <w:rsid w:val="00081245"/>
    <w:rsid w:val="00081604"/>
    <w:rsid w:val="00081F6E"/>
    <w:rsid w:val="00082562"/>
    <w:rsid w:val="000826E0"/>
    <w:rsid w:val="00082CD0"/>
    <w:rsid w:val="00082DA8"/>
    <w:rsid w:val="00083302"/>
    <w:rsid w:val="00083318"/>
    <w:rsid w:val="000834AB"/>
    <w:rsid w:val="00083706"/>
    <w:rsid w:val="00083F0C"/>
    <w:rsid w:val="00084009"/>
    <w:rsid w:val="0008431E"/>
    <w:rsid w:val="000843B8"/>
    <w:rsid w:val="000843C1"/>
    <w:rsid w:val="000843E7"/>
    <w:rsid w:val="00084985"/>
    <w:rsid w:val="00084A45"/>
    <w:rsid w:val="00084D75"/>
    <w:rsid w:val="00084D91"/>
    <w:rsid w:val="00085036"/>
    <w:rsid w:val="000852D0"/>
    <w:rsid w:val="0008530F"/>
    <w:rsid w:val="0008556C"/>
    <w:rsid w:val="000856AE"/>
    <w:rsid w:val="000859D3"/>
    <w:rsid w:val="00085A88"/>
    <w:rsid w:val="000861F9"/>
    <w:rsid w:val="0008651D"/>
    <w:rsid w:val="0008654C"/>
    <w:rsid w:val="000865A4"/>
    <w:rsid w:val="000866A6"/>
    <w:rsid w:val="00086B7F"/>
    <w:rsid w:val="00086F2A"/>
    <w:rsid w:val="000873D3"/>
    <w:rsid w:val="0008756E"/>
    <w:rsid w:val="0008764B"/>
    <w:rsid w:val="00087ED8"/>
    <w:rsid w:val="0009002D"/>
    <w:rsid w:val="00090147"/>
    <w:rsid w:val="000903C7"/>
    <w:rsid w:val="000904D1"/>
    <w:rsid w:val="000904D9"/>
    <w:rsid w:val="00090869"/>
    <w:rsid w:val="00090A3F"/>
    <w:rsid w:val="00090B2D"/>
    <w:rsid w:val="00090BB4"/>
    <w:rsid w:val="00090BC3"/>
    <w:rsid w:val="00091099"/>
    <w:rsid w:val="00091144"/>
    <w:rsid w:val="00091166"/>
    <w:rsid w:val="00091276"/>
    <w:rsid w:val="0009155F"/>
    <w:rsid w:val="00091B60"/>
    <w:rsid w:val="00091E40"/>
    <w:rsid w:val="00091EDC"/>
    <w:rsid w:val="00092167"/>
    <w:rsid w:val="00092232"/>
    <w:rsid w:val="000922C7"/>
    <w:rsid w:val="00092655"/>
    <w:rsid w:val="00092BBE"/>
    <w:rsid w:val="00092E70"/>
    <w:rsid w:val="00092ECC"/>
    <w:rsid w:val="00092F75"/>
    <w:rsid w:val="00093154"/>
    <w:rsid w:val="00093283"/>
    <w:rsid w:val="000933C4"/>
    <w:rsid w:val="000938CC"/>
    <w:rsid w:val="00093D07"/>
    <w:rsid w:val="00093DD3"/>
    <w:rsid w:val="00094126"/>
    <w:rsid w:val="000941F9"/>
    <w:rsid w:val="00094401"/>
    <w:rsid w:val="0009469C"/>
    <w:rsid w:val="00094A27"/>
    <w:rsid w:val="00094B6E"/>
    <w:rsid w:val="00095253"/>
    <w:rsid w:val="000952DB"/>
    <w:rsid w:val="00095407"/>
    <w:rsid w:val="000956A6"/>
    <w:rsid w:val="0009586B"/>
    <w:rsid w:val="00095912"/>
    <w:rsid w:val="0009599F"/>
    <w:rsid w:val="000959E8"/>
    <w:rsid w:val="00095CAB"/>
    <w:rsid w:val="00095DB6"/>
    <w:rsid w:val="00096147"/>
    <w:rsid w:val="00096426"/>
    <w:rsid w:val="0009645F"/>
    <w:rsid w:val="000964D8"/>
    <w:rsid w:val="000968FF"/>
    <w:rsid w:val="000969E2"/>
    <w:rsid w:val="00096A4C"/>
    <w:rsid w:val="00096FD7"/>
    <w:rsid w:val="000973A8"/>
    <w:rsid w:val="000976F2"/>
    <w:rsid w:val="000A01E1"/>
    <w:rsid w:val="000A0215"/>
    <w:rsid w:val="000A0536"/>
    <w:rsid w:val="000A064C"/>
    <w:rsid w:val="000A0795"/>
    <w:rsid w:val="000A0952"/>
    <w:rsid w:val="000A0AC5"/>
    <w:rsid w:val="000A0BB1"/>
    <w:rsid w:val="000A0CA5"/>
    <w:rsid w:val="000A0E46"/>
    <w:rsid w:val="000A16C9"/>
    <w:rsid w:val="000A17DC"/>
    <w:rsid w:val="000A18F0"/>
    <w:rsid w:val="000A1984"/>
    <w:rsid w:val="000A1B8D"/>
    <w:rsid w:val="000A21F7"/>
    <w:rsid w:val="000A23A7"/>
    <w:rsid w:val="000A2527"/>
    <w:rsid w:val="000A28D1"/>
    <w:rsid w:val="000A2977"/>
    <w:rsid w:val="000A2C04"/>
    <w:rsid w:val="000A2D7C"/>
    <w:rsid w:val="000A3281"/>
    <w:rsid w:val="000A3409"/>
    <w:rsid w:val="000A37DA"/>
    <w:rsid w:val="000A3A85"/>
    <w:rsid w:val="000A3ABD"/>
    <w:rsid w:val="000A3B1D"/>
    <w:rsid w:val="000A3C34"/>
    <w:rsid w:val="000A3E77"/>
    <w:rsid w:val="000A4067"/>
    <w:rsid w:val="000A4133"/>
    <w:rsid w:val="000A42F5"/>
    <w:rsid w:val="000A4707"/>
    <w:rsid w:val="000A4932"/>
    <w:rsid w:val="000A4B2F"/>
    <w:rsid w:val="000A4DD3"/>
    <w:rsid w:val="000A517F"/>
    <w:rsid w:val="000A51B7"/>
    <w:rsid w:val="000A54C4"/>
    <w:rsid w:val="000A591F"/>
    <w:rsid w:val="000A5DD5"/>
    <w:rsid w:val="000A5F4C"/>
    <w:rsid w:val="000A5FED"/>
    <w:rsid w:val="000A6617"/>
    <w:rsid w:val="000A665B"/>
    <w:rsid w:val="000A6880"/>
    <w:rsid w:val="000A689B"/>
    <w:rsid w:val="000A6999"/>
    <w:rsid w:val="000A7058"/>
    <w:rsid w:val="000A7462"/>
    <w:rsid w:val="000A7587"/>
    <w:rsid w:val="000A7666"/>
    <w:rsid w:val="000A79B4"/>
    <w:rsid w:val="000A7A73"/>
    <w:rsid w:val="000A7A7A"/>
    <w:rsid w:val="000A7FE6"/>
    <w:rsid w:val="000B0485"/>
    <w:rsid w:val="000B0C09"/>
    <w:rsid w:val="000B0CF4"/>
    <w:rsid w:val="000B1127"/>
    <w:rsid w:val="000B1210"/>
    <w:rsid w:val="000B1414"/>
    <w:rsid w:val="000B1AF1"/>
    <w:rsid w:val="000B1AF9"/>
    <w:rsid w:val="000B1D7F"/>
    <w:rsid w:val="000B1DF8"/>
    <w:rsid w:val="000B2152"/>
    <w:rsid w:val="000B25A0"/>
    <w:rsid w:val="000B25DD"/>
    <w:rsid w:val="000B2756"/>
    <w:rsid w:val="000B2859"/>
    <w:rsid w:val="000B289D"/>
    <w:rsid w:val="000B28FF"/>
    <w:rsid w:val="000B2A17"/>
    <w:rsid w:val="000B2A33"/>
    <w:rsid w:val="000B32A1"/>
    <w:rsid w:val="000B3330"/>
    <w:rsid w:val="000B335A"/>
    <w:rsid w:val="000B3550"/>
    <w:rsid w:val="000B384F"/>
    <w:rsid w:val="000B3BA0"/>
    <w:rsid w:val="000B3F0D"/>
    <w:rsid w:val="000B4509"/>
    <w:rsid w:val="000B481B"/>
    <w:rsid w:val="000B4B52"/>
    <w:rsid w:val="000B4B64"/>
    <w:rsid w:val="000B50A3"/>
    <w:rsid w:val="000B5152"/>
    <w:rsid w:val="000B5327"/>
    <w:rsid w:val="000B53C0"/>
    <w:rsid w:val="000B53D1"/>
    <w:rsid w:val="000B5677"/>
    <w:rsid w:val="000B5A9A"/>
    <w:rsid w:val="000B5D33"/>
    <w:rsid w:val="000B5D8C"/>
    <w:rsid w:val="000B5F3E"/>
    <w:rsid w:val="000B5F89"/>
    <w:rsid w:val="000B60F1"/>
    <w:rsid w:val="000B6329"/>
    <w:rsid w:val="000B661C"/>
    <w:rsid w:val="000B67B4"/>
    <w:rsid w:val="000B696A"/>
    <w:rsid w:val="000B69A3"/>
    <w:rsid w:val="000B69CB"/>
    <w:rsid w:val="000B6A0A"/>
    <w:rsid w:val="000B6B9A"/>
    <w:rsid w:val="000B6C38"/>
    <w:rsid w:val="000B6E70"/>
    <w:rsid w:val="000B6F80"/>
    <w:rsid w:val="000B6FF0"/>
    <w:rsid w:val="000B71D3"/>
    <w:rsid w:val="000B7473"/>
    <w:rsid w:val="000B78BB"/>
    <w:rsid w:val="000B7BBC"/>
    <w:rsid w:val="000B7E04"/>
    <w:rsid w:val="000C01B1"/>
    <w:rsid w:val="000C0359"/>
    <w:rsid w:val="000C0398"/>
    <w:rsid w:val="000C04AE"/>
    <w:rsid w:val="000C0566"/>
    <w:rsid w:val="000C08F0"/>
    <w:rsid w:val="000C096B"/>
    <w:rsid w:val="000C0A2A"/>
    <w:rsid w:val="000C10D5"/>
    <w:rsid w:val="000C1812"/>
    <w:rsid w:val="000C1CF4"/>
    <w:rsid w:val="000C1D75"/>
    <w:rsid w:val="000C2324"/>
    <w:rsid w:val="000C2346"/>
    <w:rsid w:val="000C2988"/>
    <w:rsid w:val="000C2A99"/>
    <w:rsid w:val="000C2AAB"/>
    <w:rsid w:val="000C2B68"/>
    <w:rsid w:val="000C2BEF"/>
    <w:rsid w:val="000C2D94"/>
    <w:rsid w:val="000C2E2C"/>
    <w:rsid w:val="000C2E5F"/>
    <w:rsid w:val="000C30BB"/>
    <w:rsid w:val="000C30FD"/>
    <w:rsid w:val="000C310C"/>
    <w:rsid w:val="000C312C"/>
    <w:rsid w:val="000C3147"/>
    <w:rsid w:val="000C346D"/>
    <w:rsid w:val="000C3A7A"/>
    <w:rsid w:val="000C3E6A"/>
    <w:rsid w:val="000C3E8C"/>
    <w:rsid w:val="000C4050"/>
    <w:rsid w:val="000C4207"/>
    <w:rsid w:val="000C4654"/>
    <w:rsid w:val="000C4658"/>
    <w:rsid w:val="000C46CE"/>
    <w:rsid w:val="000C4705"/>
    <w:rsid w:val="000C4785"/>
    <w:rsid w:val="000C4AC4"/>
    <w:rsid w:val="000C4BCD"/>
    <w:rsid w:val="000C4D69"/>
    <w:rsid w:val="000C4E32"/>
    <w:rsid w:val="000C5076"/>
    <w:rsid w:val="000C5499"/>
    <w:rsid w:val="000C56E7"/>
    <w:rsid w:val="000C574D"/>
    <w:rsid w:val="000C5778"/>
    <w:rsid w:val="000C58EA"/>
    <w:rsid w:val="000C5974"/>
    <w:rsid w:val="000C598C"/>
    <w:rsid w:val="000C5AB9"/>
    <w:rsid w:val="000C5FB4"/>
    <w:rsid w:val="000C605C"/>
    <w:rsid w:val="000C67B8"/>
    <w:rsid w:val="000C6810"/>
    <w:rsid w:val="000C69F5"/>
    <w:rsid w:val="000C6A6A"/>
    <w:rsid w:val="000C6B9F"/>
    <w:rsid w:val="000C6F37"/>
    <w:rsid w:val="000C70C8"/>
    <w:rsid w:val="000C71AB"/>
    <w:rsid w:val="000C72FB"/>
    <w:rsid w:val="000C76A9"/>
    <w:rsid w:val="000C76F0"/>
    <w:rsid w:val="000C7802"/>
    <w:rsid w:val="000C79F9"/>
    <w:rsid w:val="000C7A6E"/>
    <w:rsid w:val="000C7BAC"/>
    <w:rsid w:val="000C7D90"/>
    <w:rsid w:val="000D0652"/>
    <w:rsid w:val="000D0966"/>
    <w:rsid w:val="000D0BEE"/>
    <w:rsid w:val="000D12A0"/>
    <w:rsid w:val="000D13EE"/>
    <w:rsid w:val="000D14C2"/>
    <w:rsid w:val="000D1A33"/>
    <w:rsid w:val="000D20AA"/>
    <w:rsid w:val="000D2240"/>
    <w:rsid w:val="000D24CE"/>
    <w:rsid w:val="000D25BC"/>
    <w:rsid w:val="000D27C6"/>
    <w:rsid w:val="000D3727"/>
    <w:rsid w:val="000D38AB"/>
    <w:rsid w:val="000D39AD"/>
    <w:rsid w:val="000D39D4"/>
    <w:rsid w:val="000D3A1E"/>
    <w:rsid w:val="000D3ACB"/>
    <w:rsid w:val="000D3C8E"/>
    <w:rsid w:val="000D3EDA"/>
    <w:rsid w:val="000D4079"/>
    <w:rsid w:val="000D4111"/>
    <w:rsid w:val="000D41DC"/>
    <w:rsid w:val="000D4205"/>
    <w:rsid w:val="000D4424"/>
    <w:rsid w:val="000D4775"/>
    <w:rsid w:val="000D4E52"/>
    <w:rsid w:val="000D4F6E"/>
    <w:rsid w:val="000D51A9"/>
    <w:rsid w:val="000D5399"/>
    <w:rsid w:val="000D54D3"/>
    <w:rsid w:val="000D54F0"/>
    <w:rsid w:val="000D58E4"/>
    <w:rsid w:val="000D5EDD"/>
    <w:rsid w:val="000D616D"/>
    <w:rsid w:val="000D6320"/>
    <w:rsid w:val="000D63D7"/>
    <w:rsid w:val="000D6467"/>
    <w:rsid w:val="000D646C"/>
    <w:rsid w:val="000D681B"/>
    <w:rsid w:val="000D6F29"/>
    <w:rsid w:val="000D6FE1"/>
    <w:rsid w:val="000D7303"/>
    <w:rsid w:val="000D7421"/>
    <w:rsid w:val="000D7431"/>
    <w:rsid w:val="000D750A"/>
    <w:rsid w:val="000D76FD"/>
    <w:rsid w:val="000D771B"/>
    <w:rsid w:val="000D7989"/>
    <w:rsid w:val="000D7A36"/>
    <w:rsid w:val="000D7BA3"/>
    <w:rsid w:val="000E00E9"/>
    <w:rsid w:val="000E024B"/>
    <w:rsid w:val="000E0710"/>
    <w:rsid w:val="000E07A8"/>
    <w:rsid w:val="000E084A"/>
    <w:rsid w:val="000E14CB"/>
    <w:rsid w:val="000E1505"/>
    <w:rsid w:val="000E157F"/>
    <w:rsid w:val="000E1D9C"/>
    <w:rsid w:val="000E1DBF"/>
    <w:rsid w:val="000E1DC1"/>
    <w:rsid w:val="000E1E1A"/>
    <w:rsid w:val="000E2125"/>
    <w:rsid w:val="000E2344"/>
    <w:rsid w:val="000E259C"/>
    <w:rsid w:val="000E2738"/>
    <w:rsid w:val="000E2759"/>
    <w:rsid w:val="000E27AD"/>
    <w:rsid w:val="000E27B7"/>
    <w:rsid w:val="000E28AF"/>
    <w:rsid w:val="000E28F8"/>
    <w:rsid w:val="000E2ACA"/>
    <w:rsid w:val="000E2BEC"/>
    <w:rsid w:val="000E2C7E"/>
    <w:rsid w:val="000E2D29"/>
    <w:rsid w:val="000E2E87"/>
    <w:rsid w:val="000E2FFA"/>
    <w:rsid w:val="000E324E"/>
    <w:rsid w:val="000E3337"/>
    <w:rsid w:val="000E3806"/>
    <w:rsid w:val="000E3C26"/>
    <w:rsid w:val="000E3EE5"/>
    <w:rsid w:val="000E4474"/>
    <w:rsid w:val="000E46DA"/>
    <w:rsid w:val="000E4903"/>
    <w:rsid w:val="000E4A05"/>
    <w:rsid w:val="000E4B3D"/>
    <w:rsid w:val="000E4E90"/>
    <w:rsid w:val="000E4FBB"/>
    <w:rsid w:val="000E5484"/>
    <w:rsid w:val="000E56E6"/>
    <w:rsid w:val="000E58B8"/>
    <w:rsid w:val="000E59F1"/>
    <w:rsid w:val="000E5B23"/>
    <w:rsid w:val="000E5EEE"/>
    <w:rsid w:val="000E5FCC"/>
    <w:rsid w:val="000E62C8"/>
    <w:rsid w:val="000E63FA"/>
    <w:rsid w:val="000E6755"/>
    <w:rsid w:val="000E6942"/>
    <w:rsid w:val="000E6CA0"/>
    <w:rsid w:val="000E705A"/>
    <w:rsid w:val="000E71D4"/>
    <w:rsid w:val="000E7338"/>
    <w:rsid w:val="000E74C6"/>
    <w:rsid w:val="000E7846"/>
    <w:rsid w:val="000E7C4D"/>
    <w:rsid w:val="000E7E83"/>
    <w:rsid w:val="000F0068"/>
    <w:rsid w:val="000F00E6"/>
    <w:rsid w:val="000F02AF"/>
    <w:rsid w:val="000F0915"/>
    <w:rsid w:val="000F0E37"/>
    <w:rsid w:val="000F128E"/>
    <w:rsid w:val="000F14A4"/>
    <w:rsid w:val="000F1983"/>
    <w:rsid w:val="000F19E7"/>
    <w:rsid w:val="000F1A98"/>
    <w:rsid w:val="000F1B4A"/>
    <w:rsid w:val="000F1F26"/>
    <w:rsid w:val="000F2108"/>
    <w:rsid w:val="000F23A9"/>
    <w:rsid w:val="000F25C2"/>
    <w:rsid w:val="000F2629"/>
    <w:rsid w:val="000F270D"/>
    <w:rsid w:val="000F2D1E"/>
    <w:rsid w:val="000F3388"/>
    <w:rsid w:val="000F3456"/>
    <w:rsid w:val="000F34FD"/>
    <w:rsid w:val="000F3530"/>
    <w:rsid w:val="000F3694"/>
    <w:rsid w:val="000F36B8"/>
    <w:rsid w:val="000F37C9"/>
    <w:rsid w:val="000F38F5"/>
    <w:rsid w:val="000F439F"/>
    <w:rsid w:val="000F48C7"/>
    <w:rsid w:val="000F4A88"/>
    <w:rsid w:val="000F4B0B"/>
    <w:rsid w:val="000F5952"/>
    <w:rsid w:val="000F5976"/>
    <w:rsid w:val="000F5A84"/>
    <w:rsid w:val="000F5A9B"/>
    <w:rsid w:val="000F5B68"/>
    <w:rsid w:val="000F5BF6"/>
    <w:rsid w:val="000F5C91"/>
    <w:rsid w:val="000F60E3"/>
    <w:rsid w:val="000F62AC"/>
    <w:rsid w:val="000F68B9"/>
    <w:rsid w:val="000F6917"/>
    <w:rsid w:val="000F6918"/>
    <w:rsid w:val="000F6C94"/>
    <w:rsid w:val="000F6DE7"/>
    <w:rsid w:val="000F711F"/>
    <w:rsid w:val="000F7124"/>
    <w:rsid w:val="000F713C"/>
    <w:rsid w:val="000F71B7"/>
    <w:rsid w:val="000F7662"/>
    <w:rsid w:val="000F784C"/>
    <w:rsid w:val="000F78B2"/>
    <w:rsid w:val="000F7B25"/>
    <w:rsid w:val="000F7B7B"/>
    <w:rsid w:val="000F7C2F"/>
    <w:rsid w:val="000F7CF6"/>
    <w:rsid w:val="000F7E62"/>
    <w:rsid w:val="00100399"/>
    <w:rsid w:val="0010057B"/>
    <w:rsid w:val="00100660"/>
    <w:rsid w:val="00100A34"/>
    <w:rsid w:val="00100BC9"/>
    <w:rsid w:val="00100F97"/>
    <w:rsid w:val="0010119D"/>
    <w:rsid w:val="001017F4"/>
    <w:rsid w:val="001019C1"/>
    <w:rsid w:val="00101E0E"/>
    <w:rsid w:val="00102012"/>
    <w:rsid w:val="00102090"/>
    <w:rsid w:val="00102244"/>
    <w:rsid w:val="00102559"/>
    <w:rsid w:val="00102642"/>
    <w:rsid w:val="00102842"/>
    <w:rsid w:val="00102A3B"/>
    <w:rsid w:val="00103459"/>
    <w:rsid w:val="00103540"/>
    <w:rsid w:val="0010397E"/>
    <w:rsid w:val="001039C5"/>
    <w:rsid w:val="00103EF0"/>
    <w:rsid w:val="00104025"/>
    <w:rsid w:val="0010430A"/>
    <w:rsid w:val="00104800"/>
    <w:rsid w:val="00104863"/>
    <w:rsid w:val="001049F3"/>
    <w:rsid w:val="00104A2A"/>
    <w:rsid w:val="00105153"/>
    <w:rsid w:val="001052E0"/>
    <w:rsid w:val="0010557E"/>
    <w:rsid w:val="00105697"/>
    <w:rsid w:val="00105808"/>
    <w:rsid w:val="001058FE"/>
    <w:rsid w:val="001059E1"/>
    <w:rsid w:val="00105D65"/>
    <w:rsid w:val="0010637C"/>
    <w:rsid w:val="001064D2"/>
    <w:rsid w:val="00106762"/>
    <w:rsid w:val="00106945"/>
    <w:rsid w:val="00106950"/>
    <w:rsid w:val="00106AF7"/>
    <w:rsid w:val="00106F55"/>
    <w:rsid w:val="00107308"/>
    <w:rsid w:val="0010783F"/>
    <w:rsid w:val="001078A5"/>
    <w:rsid w:val="00107B94"/>
    <w:rsid w:val="0011004B"/>
    <w:rsid w:val="001100BA"/>
    <w:rsid w:val="00110190"/>
    <w:rsid w:val="00110382"/>
    <w:rsid w:val="00110B52"/>
    <w:rsid w:val="00110C87"/>
    <w:rsid w:val="0011110E"/>
    <w:rsid w:val="001112D2"/>
    <w:rsid w:val="001113C3"/>
    <w:rsid w:val="0011190D"/>
    <w:rsid w:val="00111AE7"/>
    <w:rsid w:val="00111B6D"/>
    <w:rsid w:val="00111BD4"/>
    <w:rsid w:val="001121E0"/>
    <w:rsid w:val="001124BB"/>
    <w:rsid w:val="001124E0"/>
    <w:rsid w:val="00112574"/>
    <w:rsid w:val="001125CE"/>
    <w:rsid w:val="001125D5"/>
    <w:rsid w:val="00112729"/>
    <w:rsid w:val="0011291E"/>
    <w:rsid w:val="00112932"/>
    <w:rsid w:val="00112A30"/>
    <w:rsid w:val="00112C8F"/>
    <w:rsid w:val="00112D43"/>
    <w:rsid w:val="00112DC4"/>
    <w:rsid w:val="00112FE4"/>
    <w:rsid w:val="00113000"/>
    <w:rsid w:val="00113365"/>
    <w:rsid w:val="00113D0E"/>
    <w:rsid w:val="00113D71"/>
    <w:rsid w:val="001140C7"/>
    <w:rsid w:val="001142F9"/>
    <w:rsid w:val="0011449E"/>
    <w:rsid w:val="00114544"/>
    <w:rsid w:val="00114614"/>
    <w:rsid w:val="00114957"/>
    <w:rsid w:val="00114A29"/>
    <w:rsid w:val="001152F8"/>
    <w:rsid w:val="00115383"/>
    <w:rsid w:val="00115516"/>
    <w:rsid w:val="0011597F"/>
    <w:rsid w:val="00115AC0"/>
    <w:rsid w:val="00115B50"/>
    <w:rsid w:val="00115EE3"/>
    <w:rsid w:val="00115F0B"/>
    <w:rsid w:val="00116017"/>
    <w:rsid w:val="00116665"/>
    <w:rsid w:val="001167AC"/>
    <w:rsid w:val="00116B3A"/>
    <w:rsid w:val="00116BD1"/>
    <w:rsid w:val="00116CA1"/>
    <w:rsid w:val="00117232"/>
    <w:rsid w:val="001175EF"/>
    <w:rsid w:val="00117716"/>
    <w:rsid w:val="0011781E"/>
    <w:rsid w:val="00117E22"/>
    <w:rsid w:val="0012014B"/>
    <w:rsid w:val="00120212"/>
    <w:rsid w:val="00120330"/>
    <w:rsid w:val="0012052D"/>
    <w:rsid w:val="0012054F"/>
    <w:rsid w:val="00120859"/>
    <w:rsid w:val="00120920"/>
    <w:rsid w:val="0012115A"/>
    <w:rsid w:val="0012116D"/>
    <w:rsid w:val="00121344"/>
    <w:rsid w:val="00121996"/>
    <w:rsid w:val="00121AFC"/>
    <w:rsid w:val="00121C88"/>
    <w:rsid w:val="00121EB7"/>
    <w:rsid w:val="0012228F"/>
    <w:rsid w:val="001224E6"/>
    <w:rsid w:val="001225D6"/>
    <w:rsid w:val="001227E1"/>
    <w:rsid w:val="00122A57"/>
    <w:rsid w:val="00122B28"/>
    <w:rsid w:val="00122B69"/>
    <w:rsid w:val="0012315D"/>
    <w:rsid w:val="0012318C"/>
    <w:rsid w:val="00123318"/>
    <w:rsid w:val="001235AB"/>
    <w:rsid w:val="001236E0"/>
    <w:rsid w:val="0012374E"/>
    <w:rsid w:val="001237DD"/>
    <w:rsid w:val="00123935"/>
    <w:rsid w:val="0012393C"/>
    <w:rsid w:val="0012395E"/>
    <w:rsid w:val="00123B26"/>
    <w:rsid w:val="00123C17"/>
    <w:rsid w:val="00123F3A"/>
    <w:rsid w:val="00124043"/>
    <w:rsid w:val="0012445B"/>
    <w:rsid w:val="001244C8"/>
    <w:rsid w:val="001245BC"/>
    <w:rsid w:val="00124727"/>
    <w:rsid w:val="00124972"/>
    <w:rsid w:val="001249AC"/>
    <w:rsid w:val="00124DC8"/>
    <w:rsid w:val="00124FC1"/>
    <w:rsid w:val="00125088"/>
    <w:rsid w:val="0012532F"/>
    <w:rsid w:val="00125474"/>
    <w:rsid w:val="001254D1"/>
    <w:rsid w:val="00125818"/>
    <w:rsid w:val="00125993"/>
    <w:rsid w:val="001259DD"/>
    <w:rsid w:val="00125A5B"/>
    <w:rsid w:val="00125BFB"/>
    <w:rsid w:val="00125CE0"/>
    <w:rsid w:val="00125CEE"/>
    <w:rsid w:val="00125D75"/>
    <w:rsid w:val="00125D7F"/>
    <w:rsid w:val="00125E9B"/>
    <w:rsid w:val="00125FB4"/>
    <w:rsid w:val="001261FF"/>
    <w:rsid w:val="00126354"/>
    <w:rsid w:val="001265B6"/>
    <w:rsid w:val="00126832"/>
    <w:rsid w:val="00126933"/>
    <w:rsid w:val="00126ACA"/>
    <w:rsid w:val="00126D15"/>
    <w:rsid w:val="00126E15"/>
    <w:rsid w:val="00126EED"/>
    <w:rsid w:val="00126FF0"/>
    <w:rsid w:val="00127262"/>
    <w:rsid w:val="00127CE5"/>
    <w:rsid w:val="00130265"/>
    <w:rsid w:val="00130560"/>
    <w:rsid w:val="0013059C"/>
    <w:rsid w:val="00130A91"/>
    <w:rsid w:val="00130C09"/>
    <w:rsid w:val="00130CEB"/>
    <w:rsid w:val="001312AC"/>
    <w:rsid w:val="00131497"/>
    <w:rsid w:val="0013197F"/>
    <w:rsid w:val="001319A9"/>
    <w:rsid w:val="00131ADB"/>
    <w:rsid w:val="00131B05"/>
    <w:rsid w:val="00131B07"/>
    <w:rsid w:val="00131B10"/>
    <w:rsid w:val="00131E86"/>
    <w:rsid w:val="001323C6"/>
    <w:rsid w:val="001324C1"/>
    <w:rsid w:val="00132727"/>
    <w:rsid w:val="001327E4"/>
    <w:rsid w:val="0013282E"/>
    <w:rsid w:val="00132EE9"/>
    <w:rsid w:val="00132F84"/>
    <w:rsid w:val="00132FFC"/>
    <w:rsid w:val="00133057"/>
    <w:rsid w:val="001330F0"/>
    <w:rsid w:val="00133D87"/>
    <w:rsid w:val="00133F23"/>
    <w:rsid w:val="001340FD"/>
    <w:rsid w:val="00134366"/>
    <w:rsid w:val="00134C1F"/>
    <w:rsid w:val="00134D97"/>
    <w:rsid w:val="00134F18"/>
    <w:rsid w:val="00134FCE"/>
    <w:rsid w:val="00135541"/>
    <w:rsid w:val="00135667"/>
    <w:rsid w:val="0013577E"/>
    <w:rsid w:val="001358B1"/>
    <w:rsid w:val="00135DB1"/>
    <w:rsid w:val="001360D6"/>
    <w:rsid w:val="001361F9"/>
    <w:rsid w:val="001364FD"/>
    <w:rsid w:val="001365B6"/>
    <w:rsid w:val="0013669B"/>
    <w:rsid w:val="00136953"/>
    <w:rsid w:val="00136A9B"/>
    <w:rsid w:val="00136B54"/>
    <w:rsid w:val="00136E13"/>
    <w:rsid w:val="00136E7F"/>
    <w:rsid w:val="00136F3A"/>
    <w:rsid w:val="00137000"/>
    <w:rsid w:val="00137942"/>
    <w:rsid w:val="00137B0A"/>
    <w:rsid w:val="00137DB5"/>
    <w:rsid w:val="00137E9E"/>
    <w:rsid w:val="00137EB3"/>
    <w:rsid w:val="00137FF8"/>
    <w:rsid w:val="00140061"/>
    <w:rsid w:val="001401A9"/>
    <w:rsid w:val="00140214"/>
    <w:rsid w:val="00140364"/>
    <w:rsid w:val="001407D3"/>
    <w:rsid w:val="00140C97"/>
    <w:rsid w:val="001410A7"/>
    <w:rsid w:val="001412F0"/>
    <w:rsid w:val="00141572"/>
    <w:rsid w:val="00141639"/>
    <w:rsid w:val="00141801"/>
    <w:rsid w:val="001418BC"/>
    <w:rsid w:val="00141B99"/>
    <w:rsid w:val="00141C3E"/>
    <w:rsid w:val="00141D82"/>
    <w:rsid w:val="00141F03"/>
    <w:rsid w:val="00141F11"/>
    <w:rsid w:val="001421D1"/>
    <w:rsid w:val="00142264"/>
    <w:rsid w:val="00142781"/>
    <w:rsid w:val="00142832"/>
    <w:rsid w:val="00142CB7"/>
    <w:rsid w:val="00143095"/>
    <w:rsid w:val="00143104"/>
    <w:rsid w:val="0014320E"/>
    <w:rsid w:val="00143341"/>
    <w:rsid w:val="0014362A"/>
    <w:rsid w:val="001436B5"/>
    <w:rsid w:val="001437D9"/>
    <w:rsid w:val="00143806"/>
    <w:rsid w:val="00143B5C"/>
    <w:rsid w:val="00143B76"/>
    <w:rsid w:val="00143C72"/>
    <w:rsid w:val="00143EF8"/>
    <w:rsid w:val="001445D0"/>
    <w:rsid w:val="001446ED"/>
    <w:rsid w:val="00144933"/>
    <w:rsid w:val="00144AE3"/>
    <w:rsid w:val="00144BEA"/>
    <w:rsid w:val="00144D56"/>
    <w:rsid w:val="0014524A"/>
    <w:rsid w:val="00145533"/>
    <w:rsid w:val="001455A5"/>
    <w:rsid w:val="001455CA"/>
    <w:rsid w:val="0014610B"/>
    <w:rsid w:val="001463A0"/>
    <w:rsid w:val="001464D8"/>
    <w:rsid w:val="00146754"/>
    <w:rsid w:val="00146BE1"/>
    <w:rsid w:val="00146EE9"/>
    <w:rsid w:val="00146EFD"/>
    <w:rsid w:val="0014708F"/>
    <w:rsid w:val="001476BA"/>
    <w:rsid w:val="00147AAD"/>
    <w:rsid w:val="00147E2A"/>
    <w:rsid w:val="00147E2F"/>
    <w:rsid w:val="001503AA"/>
    <w:rsid w:val="001503CD"/>
    <w:rsid w:val="001504AA"/>
    <w:rsid w:val="001504BE"/>
    <w:rsid w:val="00150508"/>
    <w:rsid w:val="00150775"/>
    <w:rsid w:val="001507A3"/>
    <w:rsid w:val="00150D7A"/>
    <w:rsid w:val="001512D2"/>
    <w:rsid w:val="001512E3"/>
    <w:rsid w:val="001513D4"/>
    <w:rsid w:val="00151572"/>
    <w:rsid w:val="00151A9E"/>
    <w:rsid w:val="00151C02"/>
    <w:rsid w:val="00151C0A"/>
    <w:rsid w:val="00151E41"/>
    <w:rsid w:val="0015222F"/>
    <w:rsid w:val="00152289"/>
    <w:rsid w:val="001523FD"/>
    <w:rsid w:val="00152DB5"/>
    <w:rsid w:val="00152E5F"/>
    <w:rsid w:val="00152E81"/>
    <w:rsid w:val="00153180"/>
    <w:rsid w:val="0015330F"/>
    <w:rsid w:val="001533FA"/>
    <w:rsid w:val="0015396B"/>
    <w:rsid w:val="00153B5C"/>
    <w:rsid w:val="00153DA1"/>
    <w:rsid w:val="00153E94"/>
    <w:rsid w:val="0015437A"/>
    <w:rsid w:val="001543F0"/>
    <w:rsid w:val="0015448F"/>
    <w:rsid w:val="001547FF"/>
    <w:rsid w:val="00154B6A"/>
    <w:rsid w:val="00154BCC"/>
    <w:rsid w:val="00154E09"/>
    <w:rsid w:val="00154FC0"/>
    <w:rsid w:val="001553BA"/>
    <w:rsid w:val="001553EA"/>
    <w:rsid w:val="001554E4"/>
    <w:rsid w:val="001558C4"/>
    <w:rsid w:val="00155B1E"/>
    <w:rsid w:val="00155BCE"/>
    <w:rsid w:val="00155F8E"/>
    <w:rsid w:val="00155FA3"/>
    <w:rsid w:val="0015609B"/>
    <w:rsid w:val="0015613B"/>
    <w:rsid w:val="001561FC"/>
    <w:rsid w:val="001566E5"/>
    <w:rsid w:val="00156738"/>
    <w:rsid w:val="00156952"/>
    <w:rsid w:val="001569CA"/>
    <w:rsid w:val="00156C44"/>
    <w:rsid w:val="00156E52"/>
    <w:rsid w:val="00156EA3"/>
    <w:rsid w:val="00156F9A"/>
    <w:rsid w:val="00157020"/>
    <w:rsid w:val="0015722A"/>
    <w:rsid w:val="001577BF"/>
    <w:rsid w:val="001578BB"/>
    <w:rsid w:val="00157AD1"/>
    <w:rsid w:val="00157BF9"/>
    <w:rsid w:val="00157D92"/>
    <w:rsid w:val="00157F82"/>
    <w:rsid w:val="00157FC4"/>
    <w:rsid w:val="0016008F"/>
    <w:rsid w:val="00160206"/>
    <w:rsid w:val="001604FC"/>
    <w:rsid w:val="0016067D"/>
    <w:rsid w:val="00160938"/>
    <w:rsid w:val="00160CC7"/>
    <w:rsid w:val="00160D20"/>
    <w:rsid w:val="00160D6C"/>
    <w:rsid w:val="00161063"/>
    <w:rsid w:val="0016110C"/>
    <w:rsid w:val="00161122"/>
    <w:rsid w:val="001611DB"/>
    <w:rsid w:val="00161739"/>
    <w:rsid w:val="00161801"/>
    <w:rsid w:val="001618C8"/>
    <w:rsid w:val="00161A23"/>
    <w:rsid w:val="00161F75"/>
    <w:rsid w:val="0016238E"/>
    <w:rsid w:val="00162552"/>
    <w:rsid w:val="0016268B"/>
    <w:rsid w:val="00162770"/>
    <w:rsid w:val="001628B6"/>
    <w:rsid w:val="001629CA"/>
    <w:rsid w:val="001636CA"/>
    <w:rsid w:val="001637DF"/>
    <w:rsid w:val="00163824"/>
    <w:rsid w:val="00163960"/>
    <w:rsid w:val="00163B75"/>
    <w:rsid w:val="00163B8D"/>
    <w:rsid w:val="00163C3B"/>
    <w:rsid w:val="00163FAD"/>
    <w:rsid w:val="00163FCE"/>
    <w:rsid w:val="00164077"/>
    <w:rsid w:val="0016422B"/>
    <w:rsid w:val="00164776"/>
    <w:rsid w:val="001648C3"/>
    <w:rsid w:val="00165108"/>
    <w:rsid w:val="00165853"/>
    <w:rsid w:val="001658F7"/>
    <w:rsid w:val="00165B3D"/>
    <w:rsid w:val="00165D0E"/>
    <w:rsid w:val="00165DA6"/>
    <w:rsid w:val="0016602B"/>
    <w:rsid w:val="0016604E"/>
    <w:rsid w:val="00166122"/>
    <w:rsid w:val="00166258"/>
    <w:rsid w:val="00166496"/>
    <w:rsid w:val="00166908"/>
    <w:rsid w:val="00166C97"/>
    <w:rsid w:val="00166CDF"/>
    <w:rsid w:val="00166D01"/>
    <w:rsid w:val="00166D78"/>
    <w:rsid w:val="00166EFB"/>
    <w:rsid w:val="00167019"/>
    <w:rsid w:val="00167512"/>
    <w:rsid w:val="0016779E"/>
    <w:rsid w:val="00167D23"/>
    <w:rsid w:val="00167DE3"/>
    <w:rsid w:val="00167FB1"/>
    <w:rsid w:val="0017004A"/>
    <w:rsid w:val="00170081"/>
    <w:rsid w:val="00170248"/>
    <w:rsid w:val="001702D0"/>
    <w:rsid w:val="0017053F"/>
    <w:rsid w:val="00170A90"/>
    <w:rsid w:val="00170EFA"/>
    <w:rsid w:val="00171052"/>
    <w:rsid w:val="00171099"/>
    <w:rsid w:val="00171215"/>
    <w:rsid w:val="00171234"/>
    <w:rsid w:val="00171318"/>
    <w:rsid w:val="00171412"/>
    <w:rsid w:val="0017145D"/>
    <w:rsid w:val="001717B2"/>
    <w:rsid w:val="001718AB"/>
    <w:rsid w:val="00171908"/>
    <w:rsid w:val="00171B50"/>
    <w:rsid w:val="00171D8E"/>
    <w:rsid w:val="001720CC"/>
    <w:rsid w:val="001721F6"/>
    <w:rsid w:val="00172247"/>
    <w:rsid w:val="0017228A"/>
    <w:rsid w:val="001722CD"/>
    <w:rsid w:val="00172318"/>
    <w:rsid w:val="001723C4"/>
    <w:rsid w:val="001726AD"/>
    <w:rsid w:val="0017285E"/>
    <w:rsid w:val="00172ADA"/>
    <w:rsid w:val="0017331B"/>
    <w:rsid w:val="00173390"/>
    <w:rsid w:val="00173680"/>
    <w:rsid w:val="00173694"/>
    <w:rsid w:val="0017375E"/>
    <w:rsid w:val="001737A8"/>
    <w:rsid w:val="00173E34"/>
    <w:rsid w:val="00173E51"/>
    <w:rsid w:val="001740CB"/>
    <w:rsid w:val="00174167"/>
    <w:rsid w:val="00174577"/>
    <w:rsid w:val="0017461D"/>
    <w:rsid w:val="00174727"/>
    <w:rsid w:val="00174CF6"/>
    <w:rsid w:val="00174EE0"/>
    <w:rsid w:val="00174FB2"/>
    <w:rsid w:val="00175052"/>
    <w:rsid w:val="00175081"/>
    <w:rsid w:val="001751BD"/>
    <w:rsid w:val="0017524D"/>
    <w:rsid w:val="0017533F"/>
    <w:rsid w:val="001753AD"/>
    <w:rsid w:val="001754F2"/>
    <w:rsid w:val="0017559E"/>
    <w:rsid w:val="00175943"/>
    <w:rsid w:val="00175DBE"/>
    <w:rsid w:val="00175DC7"/>
    <w:rsid w:val="00175EB1"/>
    <w:rsid w:val="00176652"/>
    <w:rsid w:val="0017679D"/>
    <w:rsid w:val="00176D27"/>
    <w:rsid w:val="00176EFB"/>
    <w:rsid w:val="00177252"/>
    <w:rsid w:val="00177537"/>
    <w:rsid w:val="00177605"/>
    <w:rsid w:val="001776ED"/>
    <w:rsid w:val="00177783"/>
    <w:rsid w:val="001779B4"/>
    <w:rsid w:val="00177B86"/>
    <w:rsid w:val="00177C14"/>
    <w:rsid w:val="001800F6"/>
    <w:rsid w:val="001804A0"/>
    <w:rsid w:val="001806C1"/>
    <w:rsid w:val="001807F8"/>
    <w:rsid w:val="00180AE8"/>
    <w:rsid w:val="0018129D"/>
    <w:rsid w:val="001813EE"/>
    <w:rsid w:val="00181598"/>
    <w:rsid w:val="00181699"/>
    <w:rsid w:val="00181992"/>
    <w:rsid w:val="0018199D"/>
    <w:rsid w:val="001819FA"/>
    <w:rsid w:val="00181B38"/>
    <w:rsid w:val="00181C17"/>
    <w:rsid w:val="00181D15"/>
    <w:rsid w:val="00181F3D"/>
    <w:rsid w:val="001823F9"/>
    <w:rsid w:val="0018251F"/>
    <w:rsid w:val="001825FB"/>
    <w:rsid w:val="001826EE"/>
    <w:rsid w:val="00182B43"/>
    <w:rsid w:val="00182C8B"/>
    <w:rsid w:val="00182D7B"/>
    <w:rsid w:val="00182F52"/>
    <w:rsid w:val="0018308D"/>
    <w:rsid w:val="001830CB"/>
    <w:rsid w:val="0018323C"/>
    <w:rsid w:val="00183277"/>
    <w:rsid w:val="00183380"/>
    <w:rsid w:val="0018388D"/>
    <w:rsid w:val="0018398F"/>
    <w:rsid w:val="00183A45"/>
    <w:rsid w:val="00183D08"/>
    <w:rsid w:val="00183D1A"/>
    <w:rsid w:val="00183DBB"/>
    <w:rsid w:val="00183F30"/>
    <w:rsid w:val="00184080"/>
    <w:rsid w:val="00184099"/>
    <w:rsid w:val="00184401"/>
    <w:rsid w:val="00184564"/>
    <w:rsid w:val="0018470C"/>
    <w:rsid w:val="001847CA"/>
    <w:rsid w:val="00184AB5"/>
    <w:rsid w:val="00184CFD"/>
    <w:rsid w:val="00184F29"/>
    <w:rsid w:val="00184FAE"/>
    <w:rsid w:val="00185139"/>
    <w:rsid w:val="00185231"/>
    <w:rsid w:val="0018550A"/>
    <w:rsid w:val="001855F0"/>
    <w:rsid w:val="00185846"/>
    <w:rsid w:val="00185B7C"/>
    <w:rsid w:val="00185BA9"/>
    <w:rsid w:val="00186004"/>
    <w:rsid w:val="0018612E"/>
    <w:rsid w:val="001862D4"/>
    <w:rsid w:val="0018639B"/>
    <w:rsid w:val="0018679C"/>
    <w:rsid w:val="001867C9"/>
    <w:rsid w:val="0018695E"/>
    <w:rsid w:val="00186A32"/>
    <w:rsid w:val="00186E45"/>
    <w:rsid w:val="00187118"/>
    <w:rsid w:val="00187142"/>
    <w:rsid w:val="0018719D"/>
    <w:rsid w:val="00187333"/>
    <w:rsid w:val="00187655"/>
    <w:rsid w:val="001879DC"/>
    <w:rsid w:val="00187B51"/>
    <w:rsid w:val="00187CBE"/>
    <w:rsid w:val="00187E8B"/>
    <w:rsid w:val="00187F4F"/>
    <w:rsid w:val="00187FF5"/>
    <w:rsid w:val="00190461"/>
    <w:rsid w:val="0019066D"/>
    <w:rsid w:val="0019082F"/>
    <w:rsid w:val="00190E70"/>
    <w:rsid w:val="0019112C"/>
    <w:rsid w:val="00191310"/>
    <w:rsid w:val="001916BD"/>
    <w:rsid w:val="0019183F"/>
    <w:rsid w:val="00191BDB"/>
    <w:rsid w:val="00191CDD"/>
    <w:rsid w:val="00191D79"/>
    <w:rsid w:val="00191EB9"/>
    <w:rsid w:val="00191F2D"/>
    <w:rsid w:val="00192079"/>
    <w:rsid w:val="001922B7"/>
    <w:rsid w:val="00192366"/>
    <w:rsid w:val="001923F2"/>
    <w:rsid w:val="001927C9"/>
    <w:rsid w:val="0019283C"/>
    <w:rsid w:val="00192CC9"/>
    <w:rsid w:val="00192D13"/>
    <w:rsid w:val="00192E6E"/>
    <w:rsid w:val="0019310D"/>
    <w:rsid w:val="0019324B"/>
    <w:rsid w:val="001934C7"/>
    <w:rsid w:val="00193752"/>
    <w:rsid w:val="0019395E"/>
    <w:rsid w:val="00193AA2"/>
    <w:rsid w:val="00193C33"/>
    <w:rsid w:val="00194125"/>
    <w:rsid w:val="001941A2"/>
    <w:rsid w:val="00194262"/>
    <w:rsid w:val="00194E55"/>
    <w:rsid w:val="00195048"/>
    <w:rsid w:val="0019522C"/>
    <w:rsid w:val="001952AF"/>
    <w:rsid w:val="00195587"/>
    <w:rsid w:val="00195778"/>
    <w:rsid w:val="0019583E"/>
    <w:rsid w:val="00195B6C"/>
    <w:rsid w:val="00195B9A"/>
    <w:rsid w:val="00195C6E"/>
    <w:rsid w:val="00195E17"/>
    <w:rsid w:val="00196615"/>
    <w:rsid w:val="00196777"/>
    <w:rsid w:val="00196DF8"/>
    <w:rsid w:val="00196FFB"/>
    <w:rsid w:val="00197232"/>
    <w:rsid w:val="00197283"/>
    <w:rsid w:val="00197286"/>
    <w:rsid w:val="00197B36"/>
    <w:rsid w:val="001A015A"/>
    <w:rsid w:val="001A07C9"/>
    <w:rsid w:val="001A0829"/>
    <w:rsid w:val="001A0876"/>
    <w:rsid w:val="001A0953"/>
    <w:rsid w:val="001A099C"/>
    <w:rsid w:val="001A0D8D"/>
    <w:rsid w:val="001A0DC9"/>
    <w:rsid w:val="001A10C7"/>
    <w:rsid w:val="001A1254"/>
    <w:rsid w:val="001A133B"/>
    <w:rsid w:val="001A1380"/>
    <w:rsid w:val="001A143C"/>
    <w:rsid w:val="001A17D8"/>
    <w:rsid w:val="001A1BE0"/>
    <w:rsid w:val="001A1CB9"/>
    <w:rsid w:val="001A2021"/>
    <w:rsid w:val="001A215A"/>
    <w:rsid w:val="001A221C"/>
    <w:rsid w:val="001A260B"/>
    <w:rsid w:val="001A2712"/>
    <w:rsid w:val="001A29AE"/>
    <w:rsid w:val="001A2D1F"/>
    <w:rsid w:val="001A2FE1"/>
    <w:rsid w:val="001A32CF"/>
    <w:rsid w:val="001A33CA"/>
    <w:rsid w:val="001A3691"/>
    <w:rsid w:val="001A3725"/>
    <w:rsid w:val="001A431C"/>
    <w:rsid w:val="001A4349"/>
    <w:rsid w:val="001A43AC"/>
    <w:rsid w:val="001A4482"/>
    <w:rsid w:val="001A46CF"/>
    <w:rsid w:val="001A48E2"/>
    <w:rsid w:val="001A4AB9"/>
    <w:rsid w:val="001A4D2E"/>
    <w:rsid w:val="001A4DA3"/>
    <w:rsid w:val="001A4E4D"/>
    <w:rsid w:val="001A4EB9"/>
    <w:rsid w:val="001A5077"/>
    <w:rsid w:val="001A5B83"/>
    <w:rsid w:val="001A6433"/>
    <w:rsid w:val="001A659C"/>
    <w:rsid w:val="001A6B14"/>
    <w:rsid w:val="001A6C8E"/>
    <w:rsid w:val="001A6D1A"/>
    <w:rsid w:val="001A6D1C"/>
    <w:rsid w:val="001A73E8"/>
    <w:rsid w:val="001A764C"/>
    <w:rsid w:val="001A7748"/>
    <w:rsid w:val="001A7943"/>
    <w:rsid w:val="001A7C98"/>
    <w:rsid w:val="001A7FA8"/>
    <w:rsid w:val="001A7FD3"/>
    <w:rsid w:val="001B046B"/>
    <w:rsid w:val="001B05F2"/>
    <w:rsid w:val="001B065B"/>
    <w:rsid w:val="001B0660"/>
    <w:rsid w:val="001B082F"/>
    <w:rsid w:val="001B09BD"/>
    <w:rsid w:val="001B09DD"/>
    <w:rsid w:val="001B0A7E"/>
    <w:rsid w:val="001B0D20"/>
    <w:rsid w:val="001B0E06"/>
    <w:rsid w:val="001B0E5F"/>
    <w:rsid w:val="001B156A"/>
    <w:rsid w:val="001B156E"/>
    <w:rsid w:val="001B1E3A"/>
    <w:rsid w:val="001B2723"/>
    <w:rsid w:val="001B27FB"/>
    <w:rsid w:val="001B2E23"/>
    <w:rsid w:val="001B3304"/>
    <w:rsid w:val="001B3450"/>
    <w:rsid w:val="001B3711"/>
    <w:rsid w:val="001B37D6"/>
    <w:rsid w:val="001B3A96"/>
    <w:rsid w:val="001B3B09"/>
    <w:rsid w:val="001B3BFA"/>
    <w:rsid w:val="001B3C44"/>
    <w:rsid w:val="001B43E3"/>
    <w:rsid w:val="001B4777"/>
    <w:rsid w:val="001B49B0"/>
    <w:rsid w:val="001B4B25"/>
    <w:rsid w:val="001B4CB3"/>
    <w:rsid w:val="001B4EB6"/>
    <w:rsid w:val="001B5017"/>
    <w:rsid w:val="001B54E3"/>
    <w:rsid w:val="001B5CEC"/>
    <w:rsid w:val="001B5E85"/>
    <w:rsid w:val="001B60BF"/>
    <w:rsid w:val="001B61A0"/>
    <w:rsid w:val="001B641A"/>
    <w:rsid w:val="001B6466"/>
    <w:rsid w:val="001B659D"/>
    <w:rsid w:val="001B6827"/>
    <w:rsid w:val="001B6A32"/>
    <w:rsid w:val="001B6A45"/>
    <w:rsid w:val="001B715C"/>
    <w:rsid w:val="001B753C"/>
    <w:rsid w:val="001B784C"/>
    <w:rsid w:val="001B7C72"/>
    <w:rsid w:val="001B7EEB"/>
    <w:rsid w:val="001C00E3"/>
    <w:rsid w:val="001C03F9"/>
    <w:rsid w:val="001C0641"/>
    <w:rsid w:val="001C0685"/>
    <w:rsid w:val="001C0A6F"/>
    <w:rsid w:val="001C0B04"/>
    <w:rsid w:val="001C0CA9"/>
    <w:rsid w:val="001C0D08"/>
    <w:rsid w:val="001C0E9F"/>
    <w:rsid w:val="001C1065"/>
    <w:rsid w:val="001C11C5"/>
    <w:rsid w:val="001C1276"/>
    <w:rsid w:val="001C13FE"/>
    <w:rsid w:val="001C1461"/>
    <w:rsid w:val="001C1481"/>
    <w:rsid w:val="001C175A"/>
    <w:rsid w:val="001C17B2"/>
    <w:rsid w:val="001C1931"/>
    <w:rsid w:val="001C19F8"/>
    <w:rsid w:val="001C1AE1"/>
    <w:rsid w:val="001C1C26"/>
    <w:rsid w:val="001C1FFD"/>
    <w:rsid w:val="001C228B"/>
    <w:rsid w:val="001C2359"/>
    <w:rsid w:val="001C25FE"/>
    <w:rsid w:val="001C262E"/>
    <w:rsid w:val="001C28BC"/>
    <w:rsid w:val="001C2C9F"/>
    <w:rsid w:val="001C2EC7"/>
    <w:rsid w:val="001C3146"/>
    <w:rsid w:val="001C330B"/>
    <w:rsid w:val="001C333F"/>
    <w:rsid w:val="001C3647"/>
    <w:rsid w:val="001C3813"/>
    <w:rsid w:val="001C3BC0"/>
    <w:rsid w:val="001C3BD0"/>
    <w:rsid w:val="001C3E19"/>
    <w:rsid w:val="001C4522"/>
    <w:rsid w:val="001C47C3"/>
    <w:rsid w:val="001C498E"/>
    <w:rsid w:val="001C4A50"/>
    <w:rsid w:val="001C4C34"/>
    <w:rsid w:val="001C4DC3"/>
    <w:rsid w:val="001C4E9E"/>
    <w:rsid w:val="001C53E2"/>
    <w:rsid w:val="001C5469"/>
    <w:rsid w:val="001C56C8"/>
    <w:rsid w:val="001C570B"/>
    <w:rsid w:val="001C5822"/>
    <w:rsid w:val="001C598A"/>
    <w:rsid w:val="001C59DC"/>
    <w:rsid w:val="001C5AC1"/>
    <w:rsid w:val="001C5CF5"/>
    <w:rsid w:val="001C5E8C"/>
    <w:rsid w:val="001C605E"/>
    <w:rsid w:val="001C6329"/>
    <w:rsid w:val="001C6415"/>
    <w:rsid w:val="001C686F"/>
    <w:rsid w:val="001C689A"/>
    <w:rsid w:val="001C6918"/>
    <w:rsid w:val="001C69F1"/>
    <w:rsid w:val="001C6DBB"/>
    <w:rsid w:val="001C7108"/>
    <w:rsid w:val="001C73C7"/>
    <w:rsid w:val="001C73F6"/>
    <w:rsid w:val="001C7637"/>
    <w:rsid w:val="001C77FD"/>
    <w:rsid w:val="001C7860"/>
    <w:rsid w:val="001C7CF8"/>
    <w:rsid w:val="001C7E01"/>
    <w:rsid w:val="001D047E"/>
    <w:rsid w:val="001D050B"/>
    <w:rsid w:val="001D0567"/>
    <w:rsid w:val="001D06A7"/>
    <w:rsid w:val="001D0C53"/>
    <w:rsid w:val="001D0D5C"/>
    <w:rsid w:val="001D0E04"/>
    <w:rsid w:val="001D0F8D"/>
    <w:rsid w:val="001D11EE"/>
    <w:rsid w:val="001D1283"/>
    <w:rsid w:val="001D139B"/>
    <w:rsid w:val="001D147A"/>
    <w:rsid w:val="001D17E0"/>
    <w:rsid w:val="001D1CF2"/>
    <w:rsid w:val="001D2327"/>
    <w:rsid w:val="001D2583"/>
    <w:rsid w:val="001D28F7"/>
    <w:rsid w:val="001D2906"/>
    <w:rsid w:val="001D2C3D"/>
    <w:rsid w:val="001D2F7A"/>
    <w:rsid w:val="001D3100"/>
    <w:rsid w:val="001D3283"/>
    <w:rsid w:val="001D3347"/>
    <w:rsid w:val="001D34C5"/>
    <w:rsid w:val="001D35FF"/>
    <w:rsid w:val="001D3786"/>
    <w:rsid w:val="001D3AB1"/>
    <w:rsid w:val="001D3AF7"/>
    <w:rsid w:val="001D4554"/>
    <w:rsid w:val="001D4A8F"/>
    <w:rsid w:val="001D4CBE"/>
    <w:rsid w:val="001D51B4"/>
    <w:rsid w:val="001D55DE"/>
    <w:rsid w:val="001D56BB"/>
    <w:rsid w:val="001D5765"/>
    <w:rsid w:val="001D58F2"/>
    <w:rsid w:val="001D5B64"/>
    <w:rsid w:val="001D5D43"/>
    <w:rsid w:val="001D608C"/>
    <w:rsid w:val="001D6179"/>
    <w:rsid w:val="001D6186"/>
    <w:rsid w:val="001D6328"/>
    <w:rsid w:val="001D6A08"/>
    <w:rsid w:val="001D7355"/>
    <w:rsid w:val="001D7AFD"/>
    <w:rsid w:val="001D7C56"/>
    <w:rsid w:val="001D7C9A"/>
    <w:rsid w:val="001D7D92"/>
    <w:rsid w:val="001E02E2"/>
    <w:rsid w:val="001E04DC"/>
    <w:rsid w:val="001E05CE"/>
    <w:rsid w:val="001E0EC2"/>
    <w:rsid w:val="001E1089"/>
    <w:rsid w:val="001E1207"/>
    <w:rsid w:val="001E13E8"/>
    <w:rsid w:val="001E151A"/>
    <w:rsid w:val="001E166C"/>
    <w:rsid w:val="001E16C3"/>
    <w:rsid w:val="001E1860"/>
    <w:rsid w:val="001E1A2C"/>
    <w:rsid w:val="001E1A85"/>
    <w:rsid w:val="001E1C42"/>
    <w:rsid w:val="001E1C49"/>
    <w:rsid w:val="001E1D84"/>
    <w:rsid w:val="001E1E01"/>
    <w:rsid w:val="001E1F54"/>
    <w:rsid w:val="001E2BFB"/>
    <w:rsid w:val="001E2D1F"/>
    <w:rsid w:val="001E2F49"/>
    <w:rsid w:val="001E3488"/>
    <w:rsid w:val="001E34D1"/>
    <w:rsid w:val="001E3A9A"/>
    <w:rsid w:val="001E3AA2"/>
    <w:rsid w:val="001E3D3C"/>
    <w:rsid w:val="001E3E79"/>
    <w:rsid w:val="001E416B"/>
    <w:rsid w:val="001E4209"/>
    <w:rsid w:val="001E4940"/>
    <w:rsid w:val="001E49E9"/>
    <w:rsid w:val="001E4DA2"/>
    <w:rsid w:val="001E5787"/>
    <w:rsid w:val="001E5826"/>
    <w:rsid w:val="001E58DB"/>
    <w:rsid w:val="001E5BE4"/>
    <w:rsid w:val="001E5BFA"/>
    <w:rsid w:val="001E5CB0"/>
    <w:rsid w:val="001E5F90"/>
    <w:rsid w:val="001E6028"/>
    <w:rsid w:val="001E63E7"/>
    <w:rsid w:val="001E640F"/>
    <w:rsid w:val="001E6522"/>
    <w:rsid w:val="001E67FE"/>
    <w:rsid w:val="001E6BB9"/>
    <w:rsid w:val="001E6C13"/>
    <w:rsid w:val="001E6D2A"/>
    <w:rsid w:val="001E6D4C"/>
    <w:rsid w:val="001E74C9"/>
    <w:rsid w:val="001E787B"/>
    <w:rsid w:val="001E7D03"/>
    <w:rsid w:val="001E7EF3"/>
    <w:rsid w:val="001F0281"/>
    <w:rsid w:val="001F02DB"/>
    <w:rsid w:val="001F041C"/>
    <w:rsid w:val="001F0658"/>
    <w:rsid w:val="001F0998"/>
    <w:rsid w:val="001F09C4"/>
    <w:rsid w:val="001F09FF"/>
    <w:rsid w:val="001F0B7B"/>
    <w:rsid w:val="001F0DCF"/>
    <w:rsid w:val="001F0E3D"/>
    <w:rsid w:val="001F10E4"/>
    <w:rsid w:val="001F11FE"/>
    <w:rsid w:val="001F12F4"/>
    <w:rsid w:val="001F16D2"/>
    <w:rsid w:val="001F17B2"/>
    <w:rsid w:val="001F183A"/>
    <w:rsid w:val="001F1AF6"/>
    <w:rsid w:val="001F1CB8"/>
    <w:rsid w:val="001F1E28"/>
    <w:rsid w:val="001F2261"/>
    <w:rsid w:val="001F2559"/>
    <w:rsid w:val="001F27CA"/>
    <w:rsid w:val="001F27DD"/>
    <w:rsid w:val="001F28C8"/>
    <w:rsid w:val="001F2C86"/>
    <w:rsid w:val="001F2DBD"/>
    <w:rsid w:val="001F3188"/>
    <w:rsid w:val="001F3220"/>
    <w:rsid w:val="001F3265"/>
    <w:rsid w:val="001F3916"/>
    <w:rsid w:val="001F3E3D"/>
    <w:rsid w:val="001F3FB1"/>
    <w:rsid w:val="001F489D"/>
    <w:rsid w:val="001F4C51"/>
    <w:rsid w:val="001F4D8D"/>
    <w:rsid w:val="001F4D95"/>
    <w:rsid w:val="001F4DF6"/>
    <w:rsid w:val="001F4E8C"/>
    <w:rsid w:val="001F4EA2"/>
    <w:rsid w:val="001F5022"/>
    <w:rsid w:val="001F5273"/>
    <w:rsid w:val="001F5356"/>
    <w:rsid w:val="001F53C8"/>
    <w:rsid w:val="001F545F"/>
    <w:rsid w:val="001F563D"/>
    <w:rsid w:val="001F56E9"/>
    <w:rsid w:val="001F5A19"/>
    <w:rsid w:val="001F5CD0"/>
    <w:rsid w:val="001F5F82"/>
    <w:rsid w:val="001F601D"/>
    <w:rsid w:val="001F60D1"/>
    <w:rsid w:val="001F614D"/>
    <w:rsid w:val="001F6225"/>
    <w:rsid w:val="001F627A"/>
    <w:rsid w:val="001F632D"/>
    <w:rsid w:val="001F6433"/>
    <w:rsid w:val="001F6689"/>
    <w:rsid w:val="001F6984"/>
    <w:rsid w:val="001F69F1"/>
    <w:rsid w:val="001F6C2E"/>
    <w:rsid w:val="001F6D4D"/>
    <w:rsid w:val="001F6F24"/>
    <w:rsid w:val="001F7046"/>
    <w:rsid w:val="001F7050"/>
    <w:rsid w:val="001F71B7"/>
    <w:rsid w:val="001F74F2"/>
    <w:rsid w:val="001F788D"/>
    <w:rsid w:val="001F78EB"/>
    <w:rsid w:val="001F7A27"/>
    <w:rsid w:val="001F7C5F"/>
    <w:rsid w:val="00200382"/>
    <w:rsid w:val="00200474"/>
    <w:rsid w:val="00200576"/>
    <w:rsid w:val="002007C7"/>
    <w:rsid w:val="0020092B"/>
    <w:rsid w:val="002009A1"/>
    <w:rsid w:val="00200BA0"/>
    <w:rsid w:val="00200C40"/>
    <w:rsid w:val="002012D0"/>
    <w:rsid w:val="00201381"/>
    <w:rsid w:val="002013B7"/>
    <w:rsid w:val="002013E5"/>
    <w:rsid w:val="00201684"/>
    <w:rsid w:val="00202017"/>
    <w:rsid w:val="002023F5"/>
    <w:rsid w:val="00202740"/>
    <w:rsid w:val="00202765"/>
    <w:rsid w:val="002027E5"/>
    <w:rsid w:val="0020283B"/>
    <w:rsid w:val="00202A3C"/>
    <w:rsid w:val="00202A4C"/>
    <w:rsid w:val="00202B3C"/>
    <w:rsid w:val="00203287"/>
    <w:rsid w:val="002033E8"/>
    <w:rsid w:val="002034AA"/>
    <w:rsid w:val="00203543"/>
    <w:rsid w:val="00203A16"/>
    <w:rsid w:val="00203C32"/>
    <w:rsid w:val="00203CFE"/>
    <w:rsid w:val="00203F1B"/>
    <w:rsid w:val="00203FFE"/>
    <w:rsid w:val="00204146"/>
    <w:rsid w:val="0020446D"/>
    <w:rsid w:val="00204509"/>
    <w:rsid w:val="0020462F"/>
    <w:rsid w:val="00204668"/>
    <w:rsid w:val="00204A2D"/>
    <w:rsid w:val="00204F30"/>
    <w:rsid w:val="00204F98"/>
    <w:rsid w:val="0020522D"/>
    <w:rsid w:val="00205300"/>
    <w:rsid w:val="0020576E"/>
    <w:rsid w:val="00205784"/>
    <w:rsid w:val="002057E1"/>
    <w:rsid w:val="00205A11"/>
    <w:rsid w:val="00205B20"/>
    <w:rsid w:val="00205B9B"/>
    <w:rsid w:val="002060AA"/>
    <w:rsid w:val="00206399"/>
    <w:rsid w:val="00206E98"/>
    <w:rsid w:val="00207359"/>
    <w:rsid w:val="00207957"/>
    <w:rsid w:val="00207C66"/>
    <w:rsid w:val="00210234"/>
    <w:rsid w:val="002102F0"/>
    <w:rsid w:val="00210327"/>
    <w:rsid w:val="00210522"/>
    <w:rsid w:val="00210A9E"/>
    <w:rsid w:val="00210B78"/>
    <w:rsid w:val="00210CCD"/>
    <w:rsid w:val="00210EBB"/>
    <w:rsid w:val="00210EC3"/>
    <w:rsid w:val="00211086"/>
    <w:rsid w:val="00211B3C"/>
    <w:rsid w:val="00212028"/>
    <w:rsid w:val="00212057"/>
    <w:rsid w:val="002120E5"/>
    <w:rsid w:val="002122E9"/>
    <w:rsid w:val="002123B2"/>
    <w:rsid w:val="00212746"/>
    <w:rsid w:val="002128FE"/>
    <w:rsid w:val="0021298C"/>
    <w:rsid w:val="002129F6"/>
    <w:rsid w:val="00212AE6"/>
    <w:rsid w:val="00212B33"/>
    <w:rsid w:val="00212B7A"/>
    <w:rsid w:val="00212DE7"/>
    <w:rsid w:val="00212E8D"/>
    <w:rsid w:val="00212F6C"/>
    <w:rsid w:val="00212F88"/>
    <w:rsid w:val="002133F5"/>
    <w:rsid w:val="00213605"/>
    <w:rsid w:val="0021384C"/>
    <w:rsid w:val="00213AE0"/>
    <w:rsid w:val="00213CD4"/>
    <w:rsid w:val="00213DC4"/>
    <w:rsid w:val="0021458D"/>
    <w:rsid w:val="0021464F"/>
    <w:rsid w:val="00214E5B"/>
    <w:rsid w:val="002154AE"/>
    <w:rsid w:val="00215547"/>
    <w:rsid w:val="0021570C"/>
    <w:rsid w:val="00215B8E"/>
    <w:rsid w:val="00215DF2"/>
    <w:rsid w:val="00215E83"/>
    <w:rsid w:val="002161C3"/>
    <w:rsid w:val="0021646D"/>
    <w:rsid w:val="0021660C"/>
    <w:rsid w:val="002166BA"/>
    <w:rsid w:val="002167B7"/>
    <w:rsid w:val="00216910"/>
    <w:rsid w:val="00216A19"/>
    <w:rsid w:val="00216BDE"/>
    <w:rsid w:val="00216F20"/>
    <w:rsid w:val="002171BB"/>
    <w:rsid w:val="0021724E"/>
    <w:rsid w:val="0021725A"/>
    <w:rsid w:val="00217303"/>
    <w:rsid w:val="0021733F"/>
    <w:rsid w:val="0021744F"/>
    <w:rsid w:val="00217473"/>
    <w:rsid w:val="00217817"/>
    <w:rsid w:val="002178AE"/>
    <w:rsid w:val="00217A64"/>
    <w:rsid w:val="0022046E"/>
    <w:rsid w:val="00220AB8"/>
    <w:rsid w:val="00220E82"/>
    <w:rsid w:val="00220F4E"/>
    <w:rsid w:val="0022108C"/>
    <w:rsid w:val="00221187"/>
    <w:rsid w:val="0022156E"/>
    <w:rsid w:val="00221824"/>
    <w:rsid w:val="00221C53"/>
    <w:rsid w:val="00221E26"/>
    <w:rsid w:val="00222265"/>
    <w:rsid w:val="0022249A"/>
    <w:rsid w:val="002224D1"/>
    <w:rsid w:val="0022267C"/>
    <w:rsid w:val="00222850"/>
    <w:rsid w:val="00222898"/>
    <w:rsid w:val="002228B9"/>
    <w:rsid w:val="0022298B"/>
    <w:rsid w:val="00223489"/>
    <w:rsid w:val="0022360C"/>
    <w:rsid w:val="0022361D"/>
    <w:rsid w:val="00223785"/>
    <w:rsid w:val="0022391A"/>
    <w:rsid w:val="002239B8"/>
    <w:rsid w:val="00223A9F"/>
    <w:rsid w:val="00224157"/>
    <w:rsid w:val="00224341"/>
    <w:rsid w:val="002243F1"/>
    <w:rsid w:val="0022441E"/>
    <w:rsid w:val="002249A5"/>
    <w:rsid w:val="00224BE8"/>
    <w:rsid w:val="00224DA1"/>
    <w:rsid w:val="00224F44"/>
    <w:rsid w:val="0022544C"/>
    <w:rsid w:val="0022577A"/>
    <w:rsid w:val="002257CF"/>
    <w:rsid w:val="002258A8"/>
    <w:rsid w:val="0022649F"/>
    <w:rsid w:val="00226544"/>
    <w:rsid w:val="0022683D"/>
    <w:rsid w:val="002268CE"/>
    <w:rsid w:val="002268D8"/>
    <w:rsid w:val="0022691B"/>
    <w:rsid w:val="00226A7E"/>
    <w:rsid w:val="00226B4D"/>
    <w:rsid w:val="00226B82"/>
    <w:rsid w:val="00226C2D"/>
    <w:rsid w:val="00227199"/>
    <w:rsid w:val="002273C1"/>
    <w:rsid w:val="0022776A"/>
    <w:rsid w:val="002279B2"/>
    <w:rsid w:val="002279D7"/>
    <w:rsid w:val="00227A4E"/>
    <w:rsid w:val="00227DB7"/>
    <w:rsid w:val="00227E53"/>
    <w:rsid w:val="00230009"/>
    <w:rsid w:val="00230101"/>
    <w:rsid w:val="00230563"/>
    <w:rsid w:val="0023081B"/>
    <w:rsid w:val="00230CEF"/>
    <w:rsid w:val="00230D62"/>
    <w:rsid w:val="0023111F"/>
    <w:rsid w:val="00231240"/>
    <w:rsid w:val="0023130B"/>
    <w:rsid w:val="002313E1"/>
    <w:rsid w:val="002316C1"/>
    <w:rsid w:val="00231782"/>
    <w:rsid w:val="00231BAA"/>
    <w:rsid w:val="00231D0B"/>
    <w:rsid w:val="0023201D"/>
    <w:rsid w:val="002321CC"/>
    <w:rsid w:val="00232240"/>
    <w:rsid w:val="0023237A"/>
    <w:rsid w:val="002323CC"/>
    <w:rsid w:val="002325A7"/>
    <w:rsid w:val="00232604"/>
    <w:rsid w:val="00232826"/>
    <w:rsid w:val="002329B5"/>
    <w:rsid w:val="00232A07"/>
    <w:rsid w:val="00232B70"/>
    <w:rsid w:val="00232C74"/>
    <w:rsid w:val="00232C82"/>
    <w:rsid w:val="00232E2D"/>
    <w:rsid w:val="00232EC3"/>
    <w:rsid w:val="00233199"/>
    <w:rsid w:val="002335FB"/>
    <w:rsid w:val="00233609"/>
    <w:rsid w:val="0023372B"/>
    <w:rsid w:val="00233B83"/>
    <w:rsid w:val="00233E27"/>
    <w:rsid w:val="00233EBB"/>
    <w:rsid w:val="00233F51"/>
    <w:rsid w:val="00233F79"/>
    <w:rsid w:val="00233FE8"/>
    <w:rsid w:val="00234152"/>
    <w:rsid w:val="0023418F"/>
    <w:rsid w:val="00234387"/>
    <w:rsid w:val="002343BC"/>
    <w:rsid w:val="0023452F"/>
    <w:rsid w:val="00234861"/>
    <w:rsid w:val="00234E5A"/>
    <w:rsid w:val="00234EBB"/>
    <w:rsid w:val="00234F1F"/>
    <w:rsid w:val="0023508E"/>
    <w:rsid w:val="00235156"/>
    <w:rsid w:val="002352BE"/>
    <w:rsid w:val="002356E0"/>
    <w:rsid w:val="002359B2"/>
    <w:rsid w:val="00235BEB"/>
    <w:rsid w:val="00235C6E"/>
    <w:rsid w:val="00236177"/>
    <w:rsid w:val="0023668A"/>
    <w:rsid w:val="00236842"/>
    <w:rsid w:val="00236A40"/>
    <w:rsid w:val="00236AD0"/>
    <w:rsid w:val="00236CEE"/>
    <w:rsid w:val="00236D1E"/>
    <w:rsid w:val="00236D40"/>
    <w:rsid w:val="00236EDA"/>
    <w:rsid w:val="00236F0B"/>
    <w:rsid w:val="00236F19"/>
    <w:rsid w:val="002378FA"/>
    <w:rsid w:val="00237CBD"/>
    <w:rsid w:val="00237EEF"/>
    <w:rsid w:val="002401D4"/>
    <w:rsid w:val="00240244"/>
    <w:rsid w:val="0024050E"/>
    <w:rsid w:val="00240704"/>
    <w:rsid w:val="002407EC"/>
    <w:rsid w:val="00240A1B"/>
    <w:rsid w:val="00240BE8"/>
    <w:rsid w:val="00240DD4"/>
    <w:rsid w:val="002410C9"/>
    <w:rsid w:val="002414AA"/>
    <w:rsid w:val="00241522"/>
    <w:rsid w:val="00241B6A"/>
    <w:rsid w:val="00241C03"/>
    <w:rsid w:val="00241F7D"/>
    <w:rsid w:val="00242093"/>
    <w:rsid w:val="0024216F"/>
    <w:rsid w:val="0024259D"/>
    <w:rsid w:val="002426D7"/>
    <w:rsid w:val="00242CB7"/>
    <w:rsid w:val="00242CF4"/>
    <w:rsid w:val="00242D51"/>
    <w:rsid w:val="00243141"/>
    <w:rsid w:val="00243485"/>
    <w:rsid w:val="002438C3"/>
    <w:rsid w:val="00243CEF"/>
    <w:rsid w:val="00243F90"/>
    <w:rsid w:val="00244150"/>
    <w:rsid w:val="002443DD"/>
    <w:rsid w:val="00244491"/>
    <w:rsid w:val="00244525"/>
    <w:rsid w:val="00244A2D"/>
    <w:rsid w:val="00244A51"/>
    <w:rsid w:val="00244E13"/>
    <w:rsid w:val="00244FCA"/>
    <w:rsid w:val="00245288"/>
    <w:rsid w:val="002452A6"/>
    <w:rsid w:val="00245335"/>
    <w:rsid w:val="0024560F"/>
    <w:rsid w:val="00245BC5"/>
    <w:rsid w:val="00245D48"/>
    <w:rsid w:val="00245DB4"/>
    <w:rsid w:val="0024613C"/>
    <w:rsid w:val="00246284"/>
    <w:rsid w:val="002466DF"/>
    <w:rsid w:val="002469C9"/>
    <w:rsid w:val="002469E7"/>
    <w:rsid w:val="00246E71"/>
    <w:rsid w:val="00246E9D"/>
    <w:rsid w:val="00247161"/>
    <w:rsid w:val="002473EA"/>
    <w:rsid w:val="0024796D"/>
    <w:rsid w:val="00247A69"/>
    <w:rsid w:val="002502E4"/>
    <w:rsid w:val="00250333"/>
    <w:rsid w:val="0025068C"/>
    <w:rsid w:val="0025079F"/>
    <w:rsid w:val="00250B97"/>
    <w:rsid w:val="002510F8"/>
    <w:rsid w:val="0025118B"/>
    <w:rsid w:val="00251401"/>
    <w:rsid w:val="00251539"/>
    <w:rsid w:val="0025173D"/>
    <w:rsid w:val="00251960"/>
    <w:rsid w:val="002519DF"/>
    <w:rsid w:val="00251B36"/>
    <w:rsid w:val="00251C6C"/>
    <w:rsid w:val="00251C73"/>
    <w:rsid w:val="00251ED9"/>
    <w:rsid w:val="00251F79"/>
    <w:rsid w:val="00252694"/>
    <w:rsid w:val="0025292D"/>
    <w:rsid w:val="0025294A"/>
    <w:rsid w:val="00252969"/>
    <w:rsid w:val="00252A0C"/>
    <w:rsid w:val="00252D78"/>
    <w:rsid w:val="002533E0"/>
    <w:rsid w:val="002534AB"/>
    <w:rsid w:val="0025373A"/>
    <w:rsid w:val="0025375E"/>
    <w:rsid w:val="002537C9"/>
    <w:rsid w:val="00253A7D"/>
    <w:rsid w:val="00253F45"/>
    <w:rsid w:val="00253FFA"/>
    <w:rsid w:val="0025417C"/>
    <w:rsid w:val="002542C9"/>
    <w:rsid w:val="00254559"/>
    <w:rsid w:val="00254693"/>
    <w:rsid w:val="0025538F"/>
    <w:rsid w:val="002557A0"/>
    <w:rsid w:val="002559C6"/>
    <w:rsid w:val="00255F19"/>
    <w:rsid w:val="00255F3F"/>
    <w:rsid w:val="00256434"/>
    <w:rsid w:val="0025698B"/>
    <w:rsid w:val="00256A45"/>
    <w:rsid w:val="00256AA4"/>
    <w:rsid w:val="00256DA0"/>
    <w:rsid w:val="00256E12"/>
    <w:rsid w:val="00256E33"/>
    <w:rsid w:val="00256FAA"/>
    <w:rsid w:val="00257136"/>
    <w:rsid w:val="00257458"/>
    <w:rsid w:val="00257506"/>
    <w:rsid w:val="002575A3"/>
    <w:rsid w:val="00257A7F"/>
    <w:rsid w:val="00257F87"/>
    <w:rsid w:val="00257FE9"/>
    <w:rsid w:val="002600B6"/>
    <w:rsid w:val="00260347"/>
    <w:rsid w:val="002605DE"/>
    <w:rsid w:val="00260EEC"/>
    <w:rsid w:val="00261007"/>
    <w:rsid w:val="0026127F"/>
    <w:rsid w:val="002612D9"/>
    <w:rsid w:val="00261420"/>
    <w:rsid w:val="00261769"/>
    <w:rsid w:val="00261795"/>
    <w:rsid w:val="002619EF"/>
    <w:rsid w:val="00261AB3"/>
    <w:rsid w:val="00261DEF"/>
    <w:rsid w:val="00261F74"/>
    <w:rsid w:val="00262003"/>
    <w:rsid w:val="00262838"/>
    <w:rsid w:val="002629D6"/>
    <w:rsid w:val="00262B80"/>
    <w:rsid w:val="00262B83"/>
    <w:rsid w:val="00262C35"/>
    <w:rsid w:val="00262D89"/>
    <w:rsid w:val="00263084"/>
    <w:rsid w:val="0026339B"/>
    <w:rsid w:val="002633E8"/>
    <w:rsid w:val="00263582"/>
    <w:rsid w:val="002635BC"/>
    <w:rsid w:val="0026384A"/>
    <w:rsid w:val="00263864"/>
    <w:rsid w:val="00263B82"/>
    <w:rsid w:val="00263C38"/>
    <w:rsid w:val="00263EEB"/>
    <w:rsid w:val="002640B8"/>
    <w:rsid w:val="00264319"/>
    <w:rsid w:val="00264457"/>
    <w:rsid w:val="00264647"/>
    <w:rsid w:val="00264833"/>
    <w:rsid w:val="00264875"/>
    <w:rsid w:val="00264992"/>
    <w:rsid w:val="00264C45"/>
    <w:rsid w:val="00264E9D"/>
    <w:rsid w:val="002652F0"/>
    <w:rsid w:val="00265A77"/>
    <w:rsid w:val="00265E21"/>
    <w:rsid w:val="0026600D"/>
    <w:rsid w:val="00266040"/>
    <w:rsid w:val="002661ED"/>
    <w:rsid w:val="00266235"/>
    <w:rsid w:val="0026658F"/>
    <w:rsid w:val="0026666A"/>
    <w:rsid w:val="002669E5"/>
    <w:rsid w:val="00266CCF"/>
    <w:rsid w:val="00266D3B"/>
    <w:rsid w:val="00266DD2"/>
    <w:rsid w:val="00266F2E"/>
    <w:rsid w:val="00266F47"/>
    <w:rsid w:val="00266F77"/>
    <w:rsid w:val="002670BF"/>
    <w:rsid w:val="00267BFA"/>
    <w:rsid w:val="00267D73"/>
    <w:rsid w:val="00267F00"/>
    <w:rsid w:val="00267FA5"/>
    <w:rsid w:val="00270094"/>
    <w:rsid w:val="002704B4"/>
    <w:rsid w:val="00270601"/>
    <w:rsid w:val="00270802"/>
    <w:rsid w:val="002708D8"/>
    <w:rsid w:val="00270ACD"/>
    <w:rsid w:val="00270FA6"/>
    <w:rsid w:val="00271312"/>
    <w:rsid w:val="00271363"/>
    <w:rsid w:val="00271445"/>
    <w:rsid w:val="00271560"/>
    <w:rsid w:val="00271C69"/>
    <w:rsid w:val="00271C79"/>
    <w:rsid w:val="002720BB"/>
    <w:rsid w:val="00272276"/>
    <w:rsid w:val="0027253F"/>
    <w:rsid w:val="002726C1"/>
    <w:rsid w:val="00272988"/>
    <w:rsid w:val="00272BE9"/>
    <w:rsid w:val="00272E64"/>
    <w:rsid w:val="00272E9C"/>
    <w:rsid w:val="002732F2"/>
    <w:rsid w:val="00273876"/>
    <w:rsid w:val="00273AE6"/>
    <w:rsid w:val="0027412D"/>
    <w:rsid w:val="00274636"/>
    <w:rsid w:val="00274F8A"/>
    <w:rsid w:val="00275189"/>
    <w:rsid w:val="002756BB"/>
    <w:rsid w:val="002756C1"/>
    <w:rsid w:val="002757F5"/>
    <w:rsid w:val="00275A78"/>
    <w:rsid w:val="00275B87"/>
    <w:rsid w:val="00275E5D"/>
    <w:rsid w:val="00275EAD"/>
    <w:rsid w:val="00275F45"/>
    <w:rsid w:val="00276048"/>
    <w:rsid w:val="0027621E"/>
    <w:rsid w:val="002762EE"/>
    <w:rsid w:val="00276377"/>
    <w:rsid w:val="002764C4"/>
    <w:rsid w:val="002766E3"/>
    <w:rsid w:val="00276A27"/>
    <w:rsid w:val="00276AB9"/>
    <w:rsid w:val="00276EC8"/>
    <w:rsid w:val="00276F1F"/>
    <w:rsid w:val="00277008"/>
    <w:rsid w:val="00277020"/>
    <w:rsid w:val="0027704C"/>
    <w:rsid w:val="002772B3"/>
    <w:rsid w:val="002774DB"/>
    <w:rsid w:val="00277727"/>
    <w:rsid w:val="00277B34"/>
    <w:rsid w:val="00277D57"/>
    <w:rsid w:val="002801B7"/>
    <w:rsid w:val="00280321"/>
    <w:rsid w:val="002805A0"/>
    <w:rsid w:val="002806A7"/>
    <w:rsid w:val="0028109E"/>
    <w:rsid w:val="002810A7"/>
    <w:rsid w:val="0028147D"/>
    <w:rsid w:val="00281492"/>
    <w:rsid w:val="00281706"/>
    <w:rsid w:val="00281A37"/>
    <w:rsid w:val="00281E32"/>
    <w:rsid w:val="002820B4"/>
    <w:rsid w:val="0028218D"/>
    <w:rsid w:val="00282300"/>
    <w:rsid w:val="00282411"/>
    <w:rsid w:val="0028280D"/>
    <w:rsid w:val="00282994"/>
    <w:rsid w:val="00282BB8"/>
    <w:rsid w:val="00283266"/>
    <w:rsid w:val="00283345"/>
    <w:rsid w:val="00283420"/>
    <w:rsid w:val="00283859"/>
    <w:rsid w:val="00283B80"/>
    <w:rsid w:val="00283CAC"/>
    <w:rsid w:val="00283E33"/>
    <w:rsid w:val="002842AA"/>
    <w:rsid w:val="00284305"/>
    <w:rsid w:val="00284914"/>
    <w:rsid w:val="002849C1"/>
    <w:rsid w:val="00284EFF"/>
    <w:rsid w:val="002854AB"/>
    <w:rsid w:val="00285698"/>
    <w:rsid w:val="00285976"/>
    <w:rsid w:val="00285A29"/>
    <w:rsid w:val="00285A4C"/>
    <w:rsid w:val="00285B0E"/>
    <w:rsid w:val="002860DF"/>
    <w:rsid w:val="0028620C"/>
    <w:rsid w:val="002862F3"/>
    <w:rsid w:val="002864F5"/>
    <w:rsid w:val="00286964"/>
    <w:rsid w:val="00286AFC"/>
    <w:rsid w:val="00286C65"/>
    <w:rsid w:val="00286C6D"/>
    <w:rsid w:val="00286E77"/>
    <w:rsid w:val="00287843"/>
    <w:rsid w:val="002902CA"/>
    <w:rsid w:val="002904B0"/>
    <w:rsid w:val="002904BE"/>
    <w:rsid w:val="00290660"/>
    <w:rsid w:val="002906EE"/>
    <w:rsid w:val="00290E6B"/>
    <w:rsid w:val="00290FD3"/>
    <w:rsid w:val="002912E0"/>
    <w:rsid w:val="00291578"/>
    <w:rsid w:val="0029199A"/>
    <w:rsid w:val="00291C0F"/>
    <w:rsid w:val="00291C6A"/>
    <w:rsid w:val="0029211E"/>
    <w:rsid w:val="00292355"/>
    <w:rsid w:val="00292491"/>
    <w:rsid w:val="00292613"/>
    <w:rsid w:val="002926C8"/>
    <w:rsid w:val="00292770"/>
    <w:rsid w:val="00292D2D"/>
    <w:rsid w:val="00292D9B"/>
    <w:rsid w:val="00292F68"/>
    <w:rsid w:val="002930B2"/>
    <w:rsid w:val="00293267"/>
    <w:rsid w:val="0029332F"/>
    <w:rsid w:val="002938CA"/>
    <w:rsid w:val="0029391C"/>
    <w:rsid w:val="00293995"/>
    <w:rsid w:val="00293CD6"/>
    <w:rsid w:val="0029435C"/>
    <w:rsid w:val="0029436F"/>
    <w:rsid w:val="00294625"/>
    <w:rsid w:val="00294901"/>
    <w:rsid w:val="00294DF8"/>
    <w:rsid w:val="00294E90"/>
    <w:rsid w:val="0029522B"/>
    <w:rsid w:val="00295481"/>
    <w:rsid w:val="00295E14"/>
    <w:rsid w:val="00295FCB"/>
    <w:rsid w:val="0029624F"/>
    <w:rsid w:val="002965BC"/>
    <w:rsid w:val="002966D7"/>
    <w:rsid w:val="00296867"/>
    <w:rsid w:val="0029689C"/>
    <w:rsid w:val="0029689F"/>
    <w:rsid w:val="00296B5B"/>
    <w:rsid w:val="00296F2E"/>
    <w:rsid w:val="0029712E"/>
    <w:rsid w:val="0029727C"/>
    <w:rsid w:val="002975AF"/>
    <w:rsid w:val="00297868"/>
    <w:rsid w:val="002A02FA"/>
    <w:rsid w:val="002A042D"/>
    <w:rsid w:val="002A0517"/>
    <w:rsid w:val="002A0C05"/>
    <w:rsid w:val="002A0D4E"/>
    <w:rsid w:val="002A0FEC"/>
    <w:rsid w:val="002A10AE"/>
    <w:rsid w:val="002A10EF"/>
    <w:rsid w:val="002A124F"/>
    <w:rsid w:val="002A173E"/>
    <w:rsid w:val="002A18AD"/>
    <w:rsid w:val="002A1B92"/>
    <w:rsid w:val="002A1CCA"/>
    <w:rsid w:val="002A1D63"/>
    <w:rsid w:val="002A2138"/>
    <w:rsid w:val="002A24AD"/>
    <w:rsid w:val="002A2612"/>
    <w:rsid w:val="002A2D0A"/>
    <w:rsid w:val="002A2E6F"/>
    <w:rsid w:val="002A3317"/>
    <w:rsid w:val="002A3A8D"/>
    <w:rsid w:val="002A3D91"/>
    <w:rsid w:val="002A3E44"/>
    <w:rsid w:val="002A3E4E"/>
    <w:rsid w:val="002A3E6D"/>
    <w:rsid w:val="002A4209"/>
    <w:rsid w:val="002A42CA"/>
    <w:rsid w:val="002A439F"/>
    <w:rsid w:val="002A461B"/>
    <w:rsid w:val="002A48E8"/>
    <w:rsid w:val="002A4BF6"/>
    <w:rsid w:val="002A4FCE"/>
    <w:rsid w:val="002A5086"/>
    <w:rsid w:val="002A51A6"/>
    <w:rsid w:val="002A5507"/>
    <w:rsid w:val="002A5786"/>
    <w:rsid w:val="002A58ED"/>
    <w:rsid w:val="002A596D"/>
    <w:rsid w:val="002A5A8B"/>
    <w:rsid w:val="002A5D4E"/>
    <w:rsid w:val="002A6294"/>
    <w:rsid w:val="002A63C3"/>
    <w:rsid w:val="002A6401"/>
    <w:rsid w:val="002A668D"/>
    <w:rsid w:val="002A67C5"/>
    <w:rsid w:val="002A6890"/>
    <w:rsid w:val="002A6958"/>
    <w:rsid w:val="002A6AB7"/>
    <w:rsid w:val="002A6D63"/>
    <w:rsid w:val="002A6F2C"/>
    <w:rsid w:val="002A709D"/>
    <w:rsid w:val="002A7A50"/>
    <w:rsid w:val="002A7C02"/>
    <w:rsid w:val="002A7CB0"/>
    <w:rsid w:val="002A7E65"/>
    <w:rsid w:val="002A7F8A"/>
    <w:rsid w:val="002B017A"/>
    <w:rsid w:val="002B0205"/>
    <w:rsid w:val="002B037C"/>
    <w:rsid w:val="002B03A1"/>
    <w:rsid w:val="002B0916"/>
    <w:rsid w:val="002B0B50"/>
    <w:rsid w:val="002B0B87"/>
    <w:rsid w:val="002B0BEB"/>
    <w:rsid w:val="002B0CB0"/>
    <w:rsid w:val="002B0CC5"/>
    <w:rsid w:val="002B12A6"/>
    <w:rsid w:val="002B144D"/>
    <w:rsid w:val="002B1511"/>
    <w:rsid w:val="002B1B3B"/>
    <w:rsid w:val="002B1C86"/>
    <w:rsid w:val="002B1FD7"/>
    <w:rsid w:val="002B21D8"/>
    <w:rsid w:val="002B271F"/>
    <w:rsid w:val="002B2725"/>
    <w:rsid w:val="002B2836"/>
    <w:rsid w:val="002B2A47"/>
    <w:rsid w:val="002B2AB6"/>
    <w:rsid w:val="002B2AD2"/>
    <w:rsid w:val="002B2C77"/>
    <w:rsid w:val="002B2CE6"/>
    <w:rsid w:val="002B2F70"/>
    <w:rsid w:val="002B3142"/>
    <w:rsid w:val="002B34AB"/>
    <w:rsid w:val="002B3673"/>
    <w:rsid w:val="002B376A"/>
    <w:rsid w:val="002B39AE"/>
    <w:rsid w:val="002B3E18"/>
    <w:rsid w:val="002B4176"/>
    <w:rsid w:val="002B425C"/>
    <w:rsid w:val="002B4354"/>
    <w:rsid w:val="002B451E"/>
    <w:rsid w:val="002B4758"/>
    <w:rsid w:val="002B4791"/>
    <w:rsid w:val="002B4B86"/>
    <w:rsid w:val="002B4FCC"/>
    <w:rsid w:val="002B518C"/>
    <w:rsid w:val="002B51D7"/>
    <w:rsid w:val="002B58D2"/>
    <w:rsid w:val="002B59FE"/>
    <w:rsid w:val="002B5D31"/>
    <w:rsid w:val="002B5F5A"/>
    <w:rsid w:val="002B5FF3"/>
    <w:rsid w:val="002B64A8"/>
    <w:rsid w:val="002B660A"/>
    <w:rsid w:val="002B6C56"/>
    <w:rsid w:val="002B7CF3"/>
    <w:rsid w:val="002B7D47"/>
    <w:rsid w:val="002B7D9C"/>
    <w:rsid w:val="002C087B"/>
    <w:rsid w:val="002C0F49"/>
    <w:rsid w:val="002C136B"/>
    <w:rsid w:val="002C14F0"/>
    <w:rsid w:val="002C1850"/>
    <w:rsid w:val="002C1869"/>
    <w:rsid w:val="002C1951"/>
    <w:rsid w:val="002C1B8B"/>
    <w:rsid w:val="002C1E5A"/>
    <w:rsid w:val="002C1F17"/>
    <w:rsid w:val="002C1FE6"/>
    <w:rsid w:val="002C2483"/>
    <w:rsid w:val="002C2986"/>
    <w:rsid w:val="002C2A8D"/>
    <w:rsid w:val="002C2B3E"/>
    <w:rsid w:val="002C2B6C"/>
    <w:rsid w:val="002C2BA1"/>
    <w:rsid w:val="002C2C46"/>
    <w:rsid w:val="002C2CCF"/>
    <w:rsid w:val="002C2F10"/>
    <w:rsid w:val="002C3336"/>
    <w:rsid w:val="002C335E"/>
    <w:rsid w:val="002C37F5"/>
    <w:rsid w:val="002C38E8"/>
    <w:rsid w:val="002C39BF"/>
    <w:rsid w:val="002C3B92"/>
    <w:rsid w:val="002C3FA4"/>
    <w:rsid w:val="002C4122"/>
    <w:rsid w:val="002C475F"/>
    <w:rsid w:val="002C47A7"/>
    <w:rsid w:val="002C4A02"/>
    <w:rsid w:val="002C4DF5"/>
    <w:rsid w:val="002C5209"/>
    <w:rsid w:val="002C5334"/>
    <w:rsid w:val="002C5512"/>
    <w:rsid w:val="002C5A73"/>
    <w:rsid w:val="002C5D43"/>
    <w:rsid w:val="002C5DD2"/>
    <w:rsid w:val="002C6316"/>
    <w:rsid w:val="002C6379"/>
    <w:rsid w:val="002C6473"/>
    <w:rsid w:val="002C66C3"/>
    <w:rsid w:val="002C6822"/>
    <w:rsid w:val="002C6B95"/>
    <w:rsid w:val="002C6C0F"/>
    <w:rsid w:val="002C6DE6"/>
    <w:rsid w:val="002C6DFF"/>
    <w:rsid w:val="002C7192"/>
    <w:rsid w:val="002C759C"/>
    <w:rsid w:val="002C7728"/>
    <w:rsid w:val="002C7835"/>
    <w:rsid w:val="002C78D7"/>
    <w:rsid w:val="002C7B8D"/>
    <w:rsid w:val="002C7B94"/>
    <w:rsid w:val="002C7E18"/>
    <w:rsid w:val="002D0285"/>
    <w:rsid w:val="002D0385"/>
    <w:rsid w:val="002D0511"/>
    <w:rsid w:val="002D0661"/>
    <w:rsid w:val="002D0670"/>
    <w:rsid w:val="002D0902"/>
    <w:rsid w:val="002D0D32"/>
    <w:rsid w:val="002D0F44"/>
    <w:rsid w:val="002D0FCE"/>
    <w:rsid w:val="002D127B"/>
    <w:rsid w:val="002D154F"/>
    <w:rsid w:val="002D1826"/>
    <w:rsid w:val="002D1CD5"/>
    <w:rsid w:val="002D1DF2"/>
    <w:rsid w:val="002D1E43"/>
    <w:rsid w:val="002D1E71"/>
    <w:rsid w:val="002D22A2"/>
    <w:rsid w:val="002D263A"/>
    <w:rsid w:val="002D2780"/>
    <w:rsid w:val="002D283C"/>
    <w:rsid w:val="002D28F5"/>
    <w:rsid w:val="002D2C3B"/>
    <w:rsid w:val="002D2D2F"/>
    <w:rsid w:val="002D2F5C"/>
    <w:rsid w:val="002D35C3"/>
    <w:rsid w:val="002D38BA"/>
    <w:rsid w:val="002D3AD5"/>
    <w:rsid w:val="002D3EC2"/>
    <w:rsid w:val="002D41ED"/>
    <w:rsid w:val="002D41FA"/>
    <w:rsid w:val="002D4EA1"/>
    <w:rsid w:val="002D4F0A"/>
    <w:rsid w:val="002D4F88"/>
    <w:rsid w:val="002D5273"/>
    <w:rsid w:val="002D5301"/>
    <w:rsid w:val="002D5592"/>
    <w:rsid w:val="002D5625"/>
    <w:rsid w:val="002D5BB6"/>
    <w:rsid w:val="002D5CB6"/>
    <w:rsid w:val="002D6063"/>
    <w:rsid w:val="002D606B"/>
    <w:rsid w:val="002D620D"/>
    <w:rsid w:val="002D6616"/>
    <w:rsid w:val="002D668C"/>
    <w:rsid w:val="002D6710"/>
    <w:rsid w:val="002D674D"/>
    <w:rsid w:val="002D684F"/>
    <w:rsid w:val="002D6B4F"/>
    <w:rsid w:val="002D6EE6"/>
    <w:rsid w:val="002D74C7"/>
    <w:rsid w:val="002D7597"/>
    <w:rsid w:val="002D7599"/>
    <w:rsid w:val="002D75BA"/>
    <w:rsid w:val="002D773A"/>
    <w:rsid w:val="002D79A6"/>
    <w:rsid w:val="002D7BF2"/>
    <w:rsid w:val="002D7DF6"/>
    <w:rsid w:val="002E0116"/>
    <w:rsid w:val="002E0242"/>
    <w:rsid w:val="002E02CE"/>
    <w:rsid w:val="002E03D6"/>
    <w:rsid w:val="002E06BB"/>
    <w:rsid w:val="002E07D9"/>
    <w:rsid w:val="002E0992"/>
    <w:rsid w:val="002E0D28"/>
    <w:rsid w:val="002E0FA4"/>
    <w:rsid w:val="002E1227"/>
    <w:rsid w:val="002E129E"/>
    <w:rsid w:val="002E13F6"/>
    <w:rsid w:val="002E1586"/>
    <w:rsid w:val="002E15D8"/>
    <w:rsid w:val="002E17D5"/>
    <w:rsid w:val="002E18C1"/>
    <w:rsid w:val="002E19BC"/>
    <w:rsid w:val="002E1B10"/>
    <w:rsid w:val="002E2030"/>
    <w:rsid w:val="002E224A"/>
    <w:rsid w:val="002E2A4B"/>
    <w:rsid w:val="002E2AE0"/>
    <w:rsid w:val="002E2CCC"/>
    <w:rsid w:val="002E2F08"/>
    <w:rsid w:val="002E3032"/>
    <w:rsid w:val="002E3062"/>
    <w:rsid w:val="002E3713"/>
    <w:rsid w:val="002E3767"/>
    <w:rsid w:val="002E3FE2"/>
    <w:rsid w:val="002E4499"/>
    <w:rsid w:val="002E45C8"/>
    <w:rsid w:val="002E4607"/>
    <w:rsid w:val="002E4957"/>
    <w:rsid w:val="002E4A01"/>
    <w:rsid w:val="002E4F48"/>
    <w:rsid w:val="002E552D"/>
    <w:rsid w:val="002E58E8"/>
    <w:rsid w:val="002E5E7B"/>
    <w:rsid w:val="002E5EE6"/>
    <w:rsid w:val="002E61A5"/>
    <w:rsid w:val="002E62A2"/>
    <w:rsid w:val="002E653C"/>
    <w:rsid w:val="002E69FC"/>
    <w:rsid w:val="002E6B19"/>
    <w:rsid w:val="002E6B76"/>
    <w:rsid w:val="002E6DFC"/>
    <w:rsid w:val="002E6EAB"/>
    <w:rsid w:val="002E6F92"/>
    <w:rsid w:val="002E7474"/>
    <w:rsid w:val="002E74AA"/>
    <w:rsid w:val="002E7E6C"/>
    <w:rsid w:val="002E7F6E"/>
    <w:rsid w:val="002F0087"/>
    <w:rsid w:val="002F0089"/>
    <w:rsid w:val="002F00D6"/>
    <w:rsid w:val="002F04DA"/>
    <w:rsid w:val="002F0658"/>
    <w:rsid w:val="002F07D0"/>
    <w:rsid w:val="002F09B4"/>
    <w:rsid w:val="002F1157"/>
    <w:rsid w:val="002F130E"/>
    <w:rsid w:val="002F15B6"/>
    <w:rsid w:val="002F15C3"/>
    <w:rsid w:val="002F19F4"/>
    <w:rsid w:val="002F1C07"/>
    <w:rsid w:val="002F1CF1"/>
    <w:rsid w:val="002F1DB6"/>
    <w:rsid w:val="002F2119"/>
    <w:rsid w:val="002F243B"/>
    <w:rsid w:val="002F24B0"/>
    <w:rsid w:val="002F293F"/>
    <w:rsid w:val="002F2A83"/>
    <w:rsid w:val="002F2B78"/>
    <w:rsid w:val="002F2C48"/>
    <w:rsid w:val="002F2DEF"/>
    <w:rsid w:val="002F311D"/>
    <w:rsid w:val="002F32AA"/>
    <w:rsid w:val="002F32EB"/>
    <w:rsid w:val="002F360E"/>
    <w:rsid w:val="002F393E"/>
    <w:rsid w:val="002F435D"/>
    <w:rsid w:val="002F4399"/>
    <w:rsid w:val="002F4587"/>
    <w:rsid w:val="002F47CA"/>
    <w:rsid w:val="002F4C5C"/>
    <w:rsid w:val="002F53CC"/>
    <w:rsid w:val="002F58C1"/>
    <w:rsid w:val="002F5A0D"/>
    <w:rsid w:val="002F5B92"/>
    <w:rsid w:val="002F5C3C"/>
    <w:rsid w:val="002F5E55"/>
    <w:rsid w:val="002F637D"/>
    <w:rsid w:val="002F63BA"/>
    <w:rsid w:val="002F65EA"/>
    <w:rsid w:val="002F6626"/>
    <w:rsid w:val="002F6832"/>
    <w:rsid w:val="002F687E"/>
    <w:rsid w:val="002F6931"/>
    <w:rsid w:val="002F6C54"/>
    <w:rsid w:val="002F7255"/>
    <w:rsid w:val="002F7607"/>
    <w:rsid w:val="002F7ADF"/>
    <w:rsid w:val="002F7B6C"/>
    <w:rsid w:val="002F7FCB"/>
    <w:rsid w:val="003000CF"/>
    <w:rsid w:val="00300620"/>
    <w:rsid w:val="003007E3"/>
    <w:rsid w:val="003009E7"/>
    <w:rsid w:val="00300C22"/>
    <w:rsid w:val="00300F0F"/>
    <w:rsid w:val="00301353"/>
    <w:rsid w:val="0030145F"/>
    <w:rsid w:val="00301473"/>
    <w:rsid w:val="0030154A"/>
    <w:rsid w:val="003016D1"/>
    <w:rsid w:val="00301A38"/>
    <w:rsid w:val="00301C3F"/>
    <w:rsid w:val="00301DDD"/>
    <w:rsid w:val="00302085"/>
    <w:rsid w:val="003022A7"/>
    <w:rsid w:val="003024D7"/>
    <w:rsid w:val="003026CC"/>
    <w:rsid w:val="003027DF"/>
    <w:rsid w:val="00302939"/>
    <w:rsid w:val="00302A06"/>
    <w:rsid w:val="00302B34"/>
    <w:rsid w:val="003030DA"/>
    <w:rsid w:val="003032CE"/>
    <w:rsid w:val="0030345D"/>
    <w:rsid w:val="003034FD"/>
    <w:rsid w:val="00303543"/>
    <w:rsid w:val="0030385F"/>
    <w:rsid w:val="00303BA5"/>
    <w:rsid w:val="00303BC7"/>
    <w:rsid w:val="003041A3"/>
    <w:rsid w:val="00304966"/>
    <w:rsid w:val="00304D07"/>
    <w:rsid w:val="00304E43"/>
    <w:rsid w:val="00304ED7"/>
    <w:rsid w:val="003051B0"/>
    <w:rsid w:val="0030527C"/>
    <w:rsid w:val="0030576F"/>
    <w:rsid w:val="00305833"/>
    <w:rsid w:val="00305890"/>
    <w:rsid w:val="00305979"/>
    <w:rsid w:val="00305E7D"/>
    <w:rsid w:val="00306238"/>
    <w:rsid w:val="00306252"/>
    <w:rsid w:val="0030628F"/>
    <w:rsid w:val="003062A7"/>
    <w:rsid w:val="0030653A"/>
    <w:rsid w:val="00306559"/>
    <w:rsid w:val="00306593"/>
    <w:rsid w:val="003066FA"/>
    <w:rsid w:val="00306C7B"/>
    <w:rsid w:val="003076C7"/>
    <w:rsid w:val="00307BCB"/>
    <w:rsid w:val="00307D11"/>
    <w:rsid w:val="00307D47"/>
    <w:rsid w:val="00307DB6"/>
    <w:rsid w:val="00307FFA"/>
    <w:rsid w:val="003102C4"/>
    <w:rsid w:val="003104E5"/>
    <w:rsid w:val="003106FD"/>
    <w:rsid w:val="00310A34"/>
    <w:rsid w:val="00310D2B"/>
    <w:rsid w:val="00310F22"/>
    <w:rsid w:val="00310F87"/>
    <w:rsid w:val="0031102E"/>
    <w:rsid w:val="003111B5"/>
    <w:rsid w:val="0031126E"/>
    <w:rsid w:val="00311436"/>
    <w:rsid w:val="003114CB"/>
    <w:rsid w:val="003116C8"/>
    <w:rsid w:val="00311A60"/>
    <w:rsid w:val="00311AD6"/>
    <w:rsid w:val="00311B66"/>
    <w:rsid w:val="00311CE7"/>
    <w:rsid w:val="00311D7A"/>
    <w:rsid w:val="00311F06"/>
    <w:rsid w:val="0031271B"/>
    <w:rsid w:val="00312848"/>
    <w:rsid w:val="00312CE3"/>
    <w:rsid w:val="00313027"/>
    <w:rsid w:val="00313874"/>
    <w:rsid w:val="003139A8"/>
    <w:rsid w:val="00313B68"/>
    <w:rsid w:val="00313ED8"/>
    <w:rsid w:val="00314169"/>
    <w:rsid w:val="00314341"/>
    <w:rsid w:val="00314A3D"/>
    <w:rsid w:val="00314A43"/>
    <w:rsid w:val="00314A79"/>
    <w:rsid w:val="00314AA0"/>
    <w:rsid w:val="00314AB7"/>
    <w:rsid w:val="00314E84"/>
    <w:rsid w:val="00314FF2"/>
    <w:rsid w:val="003152B8"/>
    <w:rsid w:val="0031538F"/>
    <w:rsid w:val="00315EFC"/>
    <w:rsid w:val="00315FFF"/>
    <w:rsid w:val="003163BB"/>
    <w:rsid w:val="00316405"/>
    <w:rsid w:val="0031683E"/>
    <w:rsid w:val="003168BC"/>
    <w:rsid w:val="003169D6"/>
    <w:rsid w:val="00316A81"/>
    <w:rsid w:val="00316B21"/>
    <w:rsid w:val="003171C9"/>
    <w:rsid w:val="0031729F"/>
    <w:rsid w:val="003179EE"/>
    <w:rsid w:val="003179F4"/>
    <w:rsid w:val="00317F73"/>
    <w:rsid w:val="00317FC7"/>
    <w:rsid w:val="00320672"/>
    <w:rsid w:val="00320AEF"/>
    <w:rsid w:val="00320B18"/>
    <w:rsid w:val="00320C44"/>
    <w:rsid w:val="00320E76"/>
    <w:rsid w:val="00321002"/>
    <w:rsid w:val="0032139A"/>
    <w:rsid w:val="0032149E"/>
    <w:rsid w:val="00321A45"/>
    <w:rsid w:val="00321C38"/>
    <w:rsid w:val="0032234B"/>
    <w:rsid w:val="0032273F"/>
    <w:rsid w:val="0032290C"/>
    <w:rsid w:val="00322998"/>
    <w:rsid w:val="00322C9D"/>
    <w:rsid w:val="00322DAA"/>
    <w:rsid w:val="00322FA6"/>
    <w:rsid w:val="00323E44"/>
    <w:rsid w:val="00324162"/>
    <w:rsid w:val="0032428C"/>
    <w:rsid w:val="003243CB"/>
    <w:rsid w:val="00324421"/>
    <w:rsid w:val="0032465F"/>
    <w:rsid w:val="003246A9"/>
    <w:rsid w:val="003247EE"/>
    <w:rsid w:val="00324A8B"/>
    <w:rsid w:val="00324C30"/>
    <w:rsid w:val="00324C90"/>
    <w:rsid w:val="00324D53"/>
    <w:rsid w:val="00324FB6"/>
    <w:rsid w:val="0032520F"/>
    <w:rsid w:val="0032532E"/>
    <w:rsid w:val="00325F98"/>
    <w:rsid w:val="003261AF"/>
    <w:rsid w:val="003262D8"/>
    <w:rsid w:val="0032630D"/>
    <w:rsid w:val="00326421"/>
    <w:rsid w:val="00326669"/>
    <w:rsid w:val="00326900"/>
    <w:rsid w:val="003269C5"/>
    <w:rsid w:val="00326B8D"/>
    <w:rsid w:val="00326D3C"/>
    <w:rsid w:val="00326D75"/>
    <w:rsid w:val="00326DEE"/>
    <w:rsid w:val="00327153"/>
    <w:rsid w:val="00327667"/>
    <w:rsid w:val="003276CD"/>
    <w:rsid w:val="00327A9F"/>
    <w:rsid w:val="00327AEE"/>
    <w:rsid w:val="00327B5B"/>
    <w:rsid w:val="00327C3F"/>
    <w:rsid w:val="00327C7E"/>
    <w:rsid w:val="00327EBB"/>
    <w:rsid w:val="00330BC0"/>
    <w:rsid w:val="00330BE6"/>
    <w:rsid w:val="00331198"/>
    <w:rsid w:val="003312E6"/>
    <w:rsid w:val="00331D09"/>
    <w:rsid w:val="00331E74"/>
    <w:rsid w:val="00331F21"/>
    <w:rsid w:val="003320CB"/>
    <w:rsid w:val="00332111"/>
    <w:rsid w:val="0033218C"/>
    <w:rsid w:val="0033244F"/>
    <w:rsid w:val="003327AD"/>
    <w:rsid w:val="003328C2"/>
    <w:rsid w:val="00332AE8"/>
    <w:rsid w:val="00332B33"/>
    <w:rsid w:val="00332F42"/>
    <w:rsid w:val="00333617"/>
    <w:rsid w:val="00333D33"/>
    <w:rsid w:val="00333D81"/>
    <w:rsid w:val="00333F2F"/>
    <w:rsid w:val="003341B1"/>
    <w:rsid w:val="003341FB"/>
    <w:rsid w:val="003345B9"/>
    <w:rsid w:val="00334762"/>
    <w:rsid w:val="003349BB"/>
    <w:rsid w:val="00334DCE"/>
    <w:rsid w:val="00334F82"/>
    <w:rsid w:val="00335122"/>
    <w:rsid w:val="00335208"/>
    <w:rsid w:val="00335214"/>
    <w:rsid w:val="00335230"/>
    <w:rsid w:val="003354A3"/>
    <w:rsid w:val="0033554F"/>
    <w:rsid w:val="00335A3C"/>
    <w:rsid w:val="00335D30"/>
    <w:rsid w:val="00335D51"/>
    <w:rsid w:val="00335E2B"/>
    <w:rsid w:val="00335EBE"/>
    <w:rsid w:val="00335F73"/>
    <w:rsid w:val="00335FE0"/>
    <w:rsid w:val="00336A0D"/>
    <w:rsid w:val="00336AE9"/>
    <w:rsid w:val="00336B9C"/>
    <w:rsid w:val="00336CE2"/>
    <w:rsid w:val="00336D07"/>
    <w:rsid w:val="00336DC7"/>
    <w:rsid w:val="00337008"/>
    <w:rsid w:val="0033710E"/>
    <w:rsid w:val="0033712C"/>
    <w:rsid w:val="003371A5"/>
    <w:rsid w:val="003375F8"/>
    <w:rsid w:val="0033779E"/>
    <w:rsid w:val="00337A1E"/>
    <w:rsid w:val="00337C12"/>
    <w:rsid w:val="00337CEC"/>
    <w:rsid w:val="00337DF0"/>
    <w:rsid w:val="00337F3C"/>
    <w:rsid w:val="003404A3"/>
    <w:rsid w:val="00340701"/>
    <w:rsid w:val="00340886"/>
    <w:rsid w:val="00340957"/>
    <w:rsid w:val="00340A9A"/>
    <w:rsid w:val="00340B7B"/>
    <w:rsid w:val="00340F39"/>
    <w:rsid w:val="00340FC5"/>
    <w:rsid w:val="00341511"/>
    <w:rsid w:val="00341591"/>
    <w:rsid w:val="00341706"/>
    <w:rsid w:val="00341718"/>
    <w:rsid w:val="00341724"/>
    <w:rsid w:val="0034179D"/>
    <w:rsid w:val="0034198D"/>
    <w:rsid w:val="003419AB"/>
    <w:rsid w:val="00341B1F"/>
    <w:rsid w:val="00341EFE"/>
    <w:rsid w:val="003420A4"/>
    <w:rsid w:val="0034217D"/>
    <w:rsid w:val="003423B7"/>
    <w:rsid w:val="00342442"/>
    <w:rsid w:val="0034248F"/>
    <w:rsid w:val="00342774"/>
    <w:rsid w:val="0034277A"/>
    <w:rsid w:val="0034292E"/>
    <w:rsid w:val="00342AC4"/>
    <w:rsid w:val="00342B08"/>
    <w:rsid w:val="0034383B"/>
    <w:rsid w:val="003439DE"/>
    <w:rsid w:val="00343C37"/>
    <w:rsid w:val="00343E36"/>
    <w:rsid w:val="00343E68"/>
    <w:rsid w:val="00343FB2"/>
    <w:rsid w:val="003440BB"/>
    <w:rsid w:val="003440CD"/>
    <w:rsid w:val="0034459B"/>
    <w:rsid w:val="0034470A"/>
    <w:rsid w:val="00344842"/>
    <w:rsid w:val="00344A02"/>
    <w:rsid w:val="00344BF5"/>
    <w:rsid w:val="00344CFF"/>
    <w:rsid w:val="00344D7A"/>
    <w:rsid w:val="00344E0F"/>
    <w:rsid w:val="00344E6E"/>
    <w:rsid w:val="00344F7D"/>
    <w:rsid w:val="0034515B"/>
    <w:rsid w:val="00345276"/>
    <w:rsid w:val="003453B0"/>
    <w:rsid w:val="003456FB"/>
    <w:rsid w:val="00345818"/>
    <w:rsid w:val="00345913"/>
    <w:rsid w:val="0034591B"/>
    <w:rsid w:val="003459A8"/>
    <w:rsid w:val="00345BB9"/>
    <w:rsid w:val="00345F40"/>
    <w:rsid w:val="003460A0"/>
    <w:rsid w:val="00346138"/>
    <w:rsid w:val="00346175"/>
    <w:rsid w:val="00346286"/>
    <w:rsid w:val="0034657A"/>
    <w:rsid w:val="00346A04"/>
    <w:rsid w:val="00346B1D"/>
    <w:rsid w:val="00346EA0"/>
    <w:rsid w:val="00346EB6"/>
    <w:rsid w:val="0034713F"/>
    <w:rsid w:val="00347149"/>
    <w:rsid w:val="003472A1"/>
    <w:rsid w:val="00347440"/>
    <w:rsid w:val="00347776"/>
    <w:rsid w:val="0034779F"/>
    <w:rsid w:val="00347819"/>
    <w:rsid w:val="003478E6"/>
    <w:rsid w:val="00347BFF"/>
    <w:rsid w:val="00347D6D"/>
    <w:rsid w:val="00347F6B"/>
    <w:rsid w:val="00350784"/>
    <w:rsid w:val="0035084D"/>
    <w:rsid w:val="0035096F"/>
    <w:rsid w:val="00350975"/>
    <w:rsid w:val="00350BAE"/>
    <w:rsid w:val="00350BBB"/>
    <w:rsid w:val="00350BF4"/>
    <w:rsid w:val="003513D1"/>
    <w:rsid w:val="003515EF"/>
    <w:rsid w:val="00351AA6"/>
    <w:rsid w:val="00351B4E"/>
    <w:rsid w:val="003520FF"/>
    <w:rsid w:val="0035210A"/>
    <w:rsid w:val="00352453"/>
    <w:rsid w:val="00352610"/>
    <w:rsid w:val="00352B22"/>
    <w:rsid w:val="00353018"/>
    <w:rsid w:val="0035309B"/>
    <w:rsid w:val="0035316A"/>
    <w:rsid w:val="0035319D"/>
    <w:rsid w:val="003534EA"/>
    <w:rsid w:val="003536DA"/>
    <w:rsid w:val="00353891"/>
    <w:rsid w:val="0035395E"/>
    <w:rsid w:val="00353DCB"/>
    <w:rsid w:val="00353FDE"/>
    <w:rsid w:val="00354062"/>
    <w:rsid w:val="0035426F"/>
    <w:rsid w:val="003544EC"/>
    <w:rsid w:val="0035488D"/>
    <w:rsid w:val="00354B68"/>
    <w:rsid w:val="00354B7E"/>
    <w:rsid w:val="0035511B"/>
    <w:rsid w:val="00355139"/>
    <w:rsid w:val="003552C1"/>
    <w:rsid w:val="003555E2"/>
    <w:rsid w:val="00355787"/>
    <w:rsid w:val="00355AD6"/>
    <w:rsid w:val="00355C71"/>
    <w:rsid w:val="00356273"/>
    <w:rsid w:val="00356347"/>
    <w:rsid w:val="00356354"/>
    <w:rsid w:val="0035689D"/>
    <w:rsid w:val="00356C3D"/>
    <w:rsid w:val="00356E19"/>
    <w:rsid w:val="003573C5"/>
    <w:rsid w:val="003577FB"/>
    <w:rsid w:val="00357906"/>
    <w:rsid w:val="0035798C"/>
    <w:rsid w:val="00357B12"/>
    <w:rsid w:val="00357C33"/>
    <w:rsid w:val="00357E8B"/>
    <w:rsid w:val="003601E8"/>
    <w:rsid w:val="00360264"/>
    <w:rsid w:val="00360A3E"/>
    <w:rsid w:val="00360B83"/>
    <w:rsid w:val="00360FF1"/>
    <w:rsid w:val="00361210"/>
    <w:rsid w:val="003612CF"/>
    <w:rsid w:val="003614CB"/>
    <w:rsid w:val="003614D2"/>
    <w:rsid w:val="00361993"/>
    <w:rsid w:val="00361BDB"/>
    <w:rsid w:val="00361F09"/>
    <w:rsid w:val="003620D4"/>
    <w:rsid w:val="0036211D"/>
    <w:rsid w:val="003623E9"/>
    <w:rsid w:val="00362949"/>
    <w:rsid w:val="003629F2"/>
    <w:rsid w:val="00362AA9"/>
    <w:rsid w:val="00362CC8"/>
    <w:rsid w:val="00362FD8"/>
    <w:rsid w:val="003632D6"/>
    <w:rsid w:val="00363300"/>
    <w:rsid w:val="0036369D"/>
    <w:rsid w:val="00363AA3"/>
    <w:rsid w:val="00363E97"/>
    <w:rsid w:val="00363EED"/>
    <w:rsid w:val="00364AD9"/>
    <w:rsid w:val="00364D8B"/>
    <w:rsid w:val="0036518C"/>
    <w:rsid w:val="0036559B"/>
    <w:rsid w:val="00365813"/>
    <w:rsid w:val="003661E2"/>
    <w:rsid w:val="0036648D"/>
    <w:rsid w:val="00366669"/>
    <w:rsid w:val="00366708"/>
    <w:rsid w:val="00366A2D"/>
    <w:rsid w:val="00366BE2"/>
    <w:rsid w:val="00367676"/>
    <w:rsid w:val="003678BE"/>
    <w:rsid w:val="003678EF"/>
    <w:rsid w:val="00367C15"/>
    <w:rsid w:val="00367E5E"/>
    <w:rsid w:val="00367EAF"/>
    <w:rsid w:val="00367FAC"/>
    <w:rsid w:val="0037002E"/>
    <w:rsid w:val="00370119"/>
    <w:rsid w:val="0037011A"/>
    <w:rsid w:val="003704CE"/>
    <w:rsid w:val="00370AA6"/>
    <w:rsid w:val="00370AC8"/>
    <w:rsid w:val="00370AD8"/>
    <w:rsid w:val="00370AE2"/>
    <w:rsid w:val="00370B5F"/>
    <w:rsid w:val="00370DAE"/>
    <w:rsid w:val="00370FBD"/>
    <w:rsid w:val="00371070"/>
    <w:rsid w:val="00371448"/>
    <w:rsid w:val="003717D1"/>
    <w:rsid w:val="0037180D"/>
    <w:rsid w:val="003718E8"/>
    <w:rsid w:val="003719AB"/>
    <w:rsid w:val="00371B2F"/>
    <w:rsid w:val="00371B52"/>
    <w:rsid w:val="00371DE9"/>
    <w:rsid w:val="00371F0D"/>
    <w:rsid w:val="00371F55"/>
    <w:rsid w:val="003723BA"/>
    <w:rsid w:val="00372846"/>
    <w:rsid w:val="00372BFA"/>
    <w:rsid w:val="00372D15"/>
    <w:rsid w:val="00372F34"/>
    <w:rsid w:val="00372F43"/>
    <w:rsid w:val="003731EE"/>
    <w:rsid w:val="0037321E"/>
    <w:rsid w:val="003734EF"/>
    <w:rsid w:val="00373500"/>
    <w:rsid w:val="00373532"/>
    <w:rsid w:val="003736B1"/>
    <w:rsid w:val="00373714"/>
    <w:rsid w:val="003737D6"/>
    <w:rsid w:val="0037387E"/>
    <w:rsid w:val="003739D8"/>
    <w:rsid w:val="00373B9D"/>
    <w:rsid w:val="00373CA6"/>
    <w:rsid w:val="00374000"/>
    <w:rsid w:val="003740E1"/>
    <w:rsid w:val="003746FF"/>
    <w:rsid w:val="003748B4"/>
    <w:rsid w:val="003748C4"/>
    <w:rsid w:val="00374CB2"/>
    <w:rsid w:val="00374E7F"/>
    <w:rsid w:val="00374FFF"/>
    <w:rsid w:val="003753C7"/>
    <w:rsid w:val="0037553B"/>
    <w:rsid w:val="003755D5"/>
    <w:rsid w:val="003756C7"/>
    <w:rsid w:val="0037578D"/>
    <w:rsid w:val="00375AD3"/>
    <w:rsid w:val="00375E3B"/>
    <w:rsid w:val="0037625C"/>
    <w:rsid w:val="003764B4"/>
    <w:rsid w:val="003765DA"/>
    <w:rsid w:val="003765F8"/>
    <w:rsid w:val="003766D0"/>
    <w:rsid w:val="00376A3B"/>
    <w:rsid w:val="00376AEA"/>
    <w:rsid w:val="00376C1E"/>
    <w:rsid w:val="00377475"/>
    <w:rsid w:val="00377592"/>
    <w:rsid w:val="003775FD"/>
    <w:rsid w:val="0037781C"/>
    <w:rsid w:val="0038021E"/>
    <w:rsid w:val="0038028D"/>
    <w:rsid w:val="00380312"/>
    <w:rsid w:val="003804B0"/>
    <w:rsid w:val="0038064F"/>
    <w:rsid w:val="0038076C"/>
    <w:rsid w:val="0038079F"/>
    <w:rsid w:val="00380A9A"/>
    <w:rsid w:val="00380C74"/>
    <w:rsid w:val="00380D3C"/>
    <w:rsid w:val="00380DD8"/>
    <w:rsid w:val="00380E35"/>
    <w:rsid w:val="00380F6E"/>
    <w:rsid w:val="00381078"/>
    <w:rsid w:val="00381498"/>
    <w:rsid w:val="003816F9"/>
    <w:rsid w:val="003818E9"/>
    <w:rsid w:val="003819CA"/>
    <w:rsid w:val="00381B26"/>
    <w:rsid w:val="00381B96"/>
    <w:rsid w:val="00381C8B"/>
    <w:rsid w:val="00381F06"/>
    <w:rsid w:val="00381FD3"/>
    <w:rsid w:val="003822FB"/>
    <w:rsid w:val="00382352"/>
    <w:rsid w:val="0038240D"/>
    <w:rsid w:val="00382514"/>
    <w:rsid w:val="0038252C"/>
    <w:rsid w:val="00382725"/>
    <w:rsid w:val="00383085"/>
    <w:rsid w:val="003831C5"/>
    <w:rsid w:val="003835EF"/>
    <w:rsid w:val="003837BD"/>
    <w:rsid w:val="0038395E"/>
    <w:rsid w:val="003839F2"/>
    <w:rsid w:val="00383B69"/>
    <w:rsid w:val="00383BAE"/>
    <w:rsid w:val="00383CBC"/>
    <w:rsid w:val="00383D7F"/>
    <w:rsid w:val="003842C9"/>
    <w:rsid w:val="00384433"/>
    <w:rsid w:val="003846C1"/>
    <w:rsid w:val="003846CC"/>
    <w:rsid w:val="00384921"/>
    <w:rsid w:val="00384967"/>
    <w:rsid w:val="00384C3D"/>
    <w:rsid w:val="00385140"/>
    <w:rsid w:val="00385383"/>
    <w:rsid w:val="00385389"/>
    <w:rsid w:val="003855C5"/>
    <w:rsid w:val="0038585F"/>
    <w:rsid w:val="00385C43"/>
    <w:rsid w:val="003861B5"/>
    <w:rsid w:val="003862CB"/>
    <w:rsid w:val="00386555"/>
    <w:rsid w:val="00386852"/>
    <w:rsid w:val="00386B7E"/>
    <w:rsid w:val="00386CF2"/>
    <w:rsid w:val="003870E5"/>
    <w:rsid w:val="00387616"/>
    <w:rsid w:val="00387846"/>
    <w:rsid w:val="00387ADE"/>
    <w:rsid w:val="00387E0B"/>
    <w:rsid w:val="00387E69"/>
    <w:rsid w:val="003902D9"/>
    <w:rsid w:val="00390475"/>
    <w:rsid w:val="00390ACC"/>
    <w:rsid w:val="00390B94"/>
    <w:rsid w:val="00390F29"/>
    <w:rsid w:val="00391286"/>
    <w:rsid w:val="00391653"/>
    <w:rsid w:val="00391833"/>
    <w:rsid w:val="00391B81"/>
    <w:rsid w:val="00391BD3"/>
    <w:rsid w:val="00391C7C"/>
    <w:rsid w:val="00391FB8"/>
    <w:rsid w:val="00392486"/>
    <w:rsid w:val="0039274F"/>
    <w:rsid w:val="00392C5F"/>
    <w:rsid w:val="0039312C"/>
    <w:rsid w:val="00393253"/>
    <w:rsid w:val="00393283"/>
    <w:rsid w:val="00393313"/>
    <w:rsid w:val="0039346F"/>
    <w:rsid w:val="003936D7"/>
    <w:rsid w:val="0039387C"/>
    <w:rsid w:val="003938EC"/>
    <w:rsid w:val="00393A7B"/>
    <w:rsid w:val="00393B0D"/>
    <w:rsid w:val="003941B6"/>
    <w:rsid w:val="00394718"/>
    <w:rsid w:val="0039479E"/>
    <w:rsid w:val="003947BE"/>
    <w:rsid w:val="003948BB"/>
    <w:rsid w:val="00394A12"/>
    <w:rsid w:val="00394E0E"/>
    <w:rsid w:val="00394EC9"/>
    <w:rsid w:val="00394F64"/>
    <w:rsid w:val="00395099"/>
    <w:rsid w:val="003950FD"/>
    <w:rsid w:val="00395441"/>
    <w:rsid w:val="0039565E"/>
    <w:rsid w:val="003956D6"/>
    <w:rsid w:val="003957A9"/>
    <w:rsid w:val="003957F4"/>
    <w:rsid w:val="003958DF"/>
    <w:rsid w:val="003958F4"/>
    <w:rsid w:val="00395922"/>
    <w:rsid w:val="00395B7D"/>
    <w:rsid w:val="00395E39"/>
    <w:rsid w:val="00395F22"/>
    <w:rsid w:val="0039615E"/>
    <w:rsid w:val="003966E0"/>
    <w:rsid w:val="00396741"/>
    <w:rsid w:val="00396771"/>
    <w:rsid w:val="0039677A"/>
    <w:rsid w:val="00396E62"/>
    <w:rsid w:val="003970A0"/>
    <w:rsid w:val="00397126"/>
    <w:rsid w:val="003974B3"/>
    <w:rsid w:val="003974F7"/>
    <w:rsid w:val="003976DE"/>
    <w:rsid w:val="00397C62"/>
    <w:rsid w:val="00397DEA"/>
    <w:rsid w:val="00397FC4"/>
    <w:rsid w:val="003A014F"/>
    <w:rsid w:val="003A0432"/>
    <w:rsid w:val="003A052A"/>
    <w:rsid w:val="003A0539"/>
    <w:rsid w:val="003A0CA7"/>
    <w:rsid w:val="003A10AF"/>
    <w:rsid w:val="003A1160"/>
    <w:rsid w:val="003A1163"/>
    <w:rsid w:val="003A1A6E"/>
    <w:rsid w:val="003A1C11"/>
    <w:rsid w:val="003A26C3"/>
    <w:rsid w:val="003A2E01"/>
    <w:rsid w:val="003A3066"/>
    <w:rsid w:val="003A3137"/>
    <w:rsid w:val="003A3252"/>
    <w:rsid w:val="003A32F8"/>
    <w:rsid w:val="003A3524"/>
    <w:rsid w:val="003A3540"/>
    <w:rsid w:val="003A36C3"/>
    <w:rsid w:val="003A3DA4"/>
    <w:rsid w:val="003A3EE0"/>
    <w:rsid w:val="003A462C"/>
    <w:rsid w:val="003A4659"/>
    <w:rsid w:val="003A465B"/>
    <w:rsid w:val="003A47EE"/>
    <w:rsid w:val="003A49D1"/>
    <w:rsid w:val="003A4ACA"/>
    <w:rsid w:val="003A4DB9"/>
    <w:rsid w:val="003A4E90"/>
    <w:rsid w:val="003A50AD"/>
    <w:rsid w:val="003A52EF"/>
    <w:rsid w:val="003A54E0"/>
    <w:rsid w:val="003A5622"/>
    <w:rsid w:val="003A5654"/>
    <w:rsid w:val="003A573B"/>
    <w:rsid w:val="003A5A44"/>
    <w:rsid w:val="003A5F93"/>
    <w:rsid w:val="003A603E"/>
    <w:rsid w:val="003A6295"/>
    <w:rsid w:val="003A65EE"/>
    <w:rsid w:val="003A6648"/>
    <w:rsid w:val="003A669C"/>
    <w:rsid w:val="003A6829"/>
    <w:rsid w:val="003A69CD"/>
    <w:rsid w:val="003A6A04"/>
    <w:rsid w:val="003A6ED6"/>
    <w:rsid w:val="003A7004"/>
    <w:rsid w:val="003A7218"/>
    <w:rsid w:val="003A743F"/>
    <w:rsid w:val="003A7656"/>
    <w:rsid w:val="003B007A"/>
    <w:rsid w:val="003B0171"/>
    <w:rsid w:val="003B04F6"/>
    <w:rsid w:val="003B073C"/>
    <w:rsid w:val="003B0B6A"/>
    <w:rsid w:val="003B0EB7"/>
    <w:rsid w:val="003B112F"/>
    <w:rsid w:val="003B11FC"/>
    <w:rsid w:val="003B12BF"/>
    <w:rsid w:val="003B1332"/>
    <w:rsid w:val="003B144B"/>
    <w:rsid w:val="003B15A1"/>
    <w:rsid w:val="003B1A2B"/>
    <w:rsid w:val="003B1A9E"/>
    <w:rsid w:val="003B1E61"/>
    <w:rsid w:val="003B1ECC"/>
    <w:rsid w:val="003B1FB9"/>
    <w:rsid w:val="003B1FF9"/>
    <w:rsid w:val="003B2734"/>
    <w:rsid w:val="003B2A87"/>
    <w:rsid w:val="003B30A0"/>
    <w:rsid w:val="003B32A0"/>
    <w:rsid w:val="003B32A2"/>
    <w:rsid w:val="003B345F"/>
    <w:rsid w:val="003B3674"/>
    <w:rsid w:val="003B3B05"/>
    <w:rsid w:val="003B3F1D"/>
    <w:rsid w:val="003B41EB"/>
    <w:rsid w:val="003B44CF"/>
    <w:rsid w:val="003B455F"/>
    <w:rsid w:val="003B4587"/>
    <w:rsid w:val="003B494F"/>
    <w:rsid w:val="003B4BF7"/>
    <w:rsid w:val="003B4CD6"/>
    <w:rsid w:val="003B4F01"/>
    <w:rsid w:val="003B5065"/>
    <w:rsid w:val="003B5139"/>
    <w:rsid w:val="003B5478"/>
    <w:rsid w:val="003B547D"/>
    <w:rsid w:val="003B57F3"/>
    <w:rsid w:val="003B580B"/>
    <w:rsid w:val="003B5909"/>
    <w:rsid w:val="003B5A74"/>
    <w:rsid w:val="003B5C8B"/>
    <w:rsid w:val="003B5E45"/>
    <w:rsid w:val="003B62D5"/>
    <w:rsid w:val="003B6310"/>
    <w:rsid w:val="003B63D1"/>
    <w:rsid w:val="003B6471"/>
    <w:rsid w:val="003B6574"/>
    <w:rsid w:val="003B68DB"/>
    <w:rsid w:val="003B6919"/>
    <w:rsid w:val="003B69E2"/>
    <w:rsid w:val="003B6B27"/>
    <w:rsid w:val="003B6C42"/>
    <w:rsid w:val="003B6D7D"/>
    <w:rsid w:val="003B6E24"/>
    <w:rsid w:val="003B6E48"/>
    <w:rsid w:val="003B75EE"/>
    <w:rsid w:val="003B7735"/>
    <w:rsid w:val="003B79A8"/>
    <w:rsid w:val="003B7B57"/>
    <w:rsid w:val="003B7D22"/>
    <w:rsid w:val="003C05C5"/>
    <w:rsid w:val="003C05FE"/>
    <w:rsid w:val="003C07D6"/>
    <w:rsid w:val="003C0F34"/>
    <w:rsid w:val="003C0FF8"/>
    <w:rsid w:val="003C10F9"/>
    <w:rsid w:val="003C1583"/>
    <w:rsid w:val="003C159A"/>
    <w:rsid w:val="003C1827"/>
    <w:rsid w:val="003C1A8D"/>
    <w:rsid w:val="003C1F2E"/>
    <w:rsid w:val="003C2438"/>
    <w:rsid w:val="003C2802"/>
    <w:rsid w:val="003C3320"/>
    <w:rsid w:val="003C3392"/>
    <w:rsid w:val="003C33FE"/>
    <w:rsid w:val="003C3444"/>
    <w:rsid w:val="003C3479"/>
    <w:rsid w:val="003C34EA"/>
    <w:rsid w:val="003C393A"/>
    <w:rsid w:val="003C3AE5"/>
    <w:rsid w:val="003C3CEC"/>
    <w:rsid w:val="003C3DC9"/>
    <w:rsid w:val="003C3F55"/>
    <w:rsid w:val="003C4A4C"/>
    <w:rsid w:val="003C4DE5"/>
    <w:rsid w:val="003C4F4F"/>
    <w:rsid w:val="003C4FED"/>
    <w:rsid w:val="003C52FC"/>
    <w:rsid w:val="003C569A"/>
    <w:rsid w:val="003C56FC"/>
    <w:rsid w:val="003C58CB"/>
    <w:rsid w:val="003C5963"/>
    <w:rsid w:val="003C5AEB"/>
    <w:rsid w:val="003C5B08"/>
    <w:rsid w:val="003C5EAC"/>
    <w:rsid w:val="003C6001"/>
    <w:rsid w:val="003C60F6"/>
    <w:rsid w:val="003C62F7"/>
    <w:rsid w:val="003C6307"/>
    <w:rsid w:val="003C6342"/>
    <w:rsid w:val="003C6418"/>
    <w:rsid w:val="003C64A5"/>
    <w:rsid w:val="003C6954"/>
    <w:rsid w:val="003C6F25"/>
    <w:rsid w:val="003C6F52"/>
    <w:rsid w:val="003C724C"/>
    <w:rsid w:val="003C7C73"/>
    <w:rsid w:val="003D0345"/>
    <w:rsid w:val="003D04E8"/>
    <w:rsid w:val="003D051F"/>
    <w:rsid w:val="003D09D6"/>
    <w:rsid w:val="003D09EC"/>
    <w:rsid w:val="003D109E"/>
    <w:rsid w:val="003D1454"/>
    <w:rsid w:val="003D1857"/>
    <w:rsid w:val="003D1DE1"/>
    <w:rsid w:val="003D1EEB"/>
    <w:rsid w:val="003D1F90"/>
    <w:rsid w:val="003D2694"/>
    <w:rsid w:val="003D278A"/>
    <w:rsid w:val="003D27BF"/>
    <w:rsid w:val="003D287E"/>
    <w:rsid w:val="003D2BBF"/>
    <w:rsid w:val="003D2E62"/>
    <w:rsid w:val="003D33D1"/>
    <w:rsid w:val="003D352C"/>
    <w:rsid w:val="003D355D"/>
    <w:rsid w:val="003D3716"/>
    <w:rsid w:val="003D3F5D"/>
    <w:rsid w:val="003D4727"/>
    <w:rsid w:val="003D495B"/>
    <w:rsid w:val="003D49A0"/>
    <w:rsid w:val="003D4AC6"/>
    <w:rsid w:val="003D4D7A"/>
    <w:rsid w:val="003D4DD7"/>
    <w:rsid w:val="003D4FD2"/>
    <w:rsid w:val="003D527B"/>
    <w:rsid w:val="003D52C7"/>
    <w:rsid w:val="003D5379"/>
    <w:rsid w:val="003D5431"/>
    <w:rsid w:val="003D5A2D"/>
    <w:rsid w:val="003D5B27"/>
    <w:rsid w:val="003D5B5F"/>
    <w:rsid w:val="003D5E2B"/>
    <w:rsid w:val="003D61D6"/>
    <w:rsid w:val="003D6511"/>
    <w:rsid w:val="003D6540"/>
    <w:rsid w:val="003D69ED"/>
    <w:rsid w:val="003D6A3A"/>
    <w:rsid w:val="003D6BD2"/>
    <w:rsid w:val="003D6E1E"/>
    <w:rsid w:val="003D7394"/>
    <w:rsid w:val="003D73E4"/>
    <w:rsid w:val="003D7742"/>
    <w:rsid w:val="003D79E0"/>
    <w:rsid w:val="003D7AF7"/>
    <w:rsid w:val="003D7DA3"/>
    <w:rsid w:val="003E052E"/>
    <w:rsid w:val="003E0593"/>
    <w:rsid w:val="003E0692"/>
    <w:rsid w:val="003E0733"/>
    <w:rsid w:val="003E07F4"/>
    <w:rsid w:val="003E09DE"/>
    <w:rsid w:val="003E0C35"/>
    <w:rsid w:val="003E0CD7"/>
    <w:rsid w:val="003E0D3C"/>
    <w:rsid w:val="003E0F83"/>
    <w:rsid w:val="003E1486"/>
    <w:rsid w:val="003E1587"/>
    <w:rsid w:val="003E1836"/>
    <w:rsid w:val="003E1A72"/>
    <w:rsid w:val="003E1D8E"/>
    <w:rsid w:val="003E1EBA"/>
    <w:rsid w:val="003E215F"/>
    <w:rsid w:val="003E265C"/>
    <w:rsid w:val="003E29AA"/>
    <w:rsid w:val="003E2A3A"/>
    <w:rsid w:val="003E2C64"/>
    <w:rsid w:val="003E2E0D"/>
    <w:rsid w:val="003E305A"/>
    <w:rsid w:val="003E339D"/>
    <w:rsid w:val="003E370E"/>
    <w:rsid w:val="003E384B"/>
    <w:rsid w:val="003E3EB4"/>
    <w:rsid w:val="003E414D"/>
    <w:rsid w:val="003E42F6"/>
    <w:rsid w:val="003E44D6"/>
    <w:rsid w:val="003E4636"/>
    <w:rsid w:val="003E4E62"/>
    <w:rsid w:val="003E5005"/>
    <w:rsid w:val="003E51AC"/>
    <w:rsid w:val="003E5306"/>
    <w:rsid w:val="003E5474"/>
    <w:rsid w:val="003E5B32"/>
    <w:rsid w:val="003E5B7E"/>
    <w:rsid w:val="003E60A9"/>
    <w:rsid w:val="003E6156"/>
    <w:rsid w:val="003E61EC"/>
    <w:rsid w:val="003E629B"/>
    <w:rsid w:val="003E67C9"/>
    <w:rsid w:val="003E697D"/>
    <w:rsid w:val="003E6B34"/>
    <w:rsid w:val="003E6C85"/>
    <w:rsid w:val="003E6DC8"/>
    <w:rsid w:val="003E719B"/>
    <w:rsid w:val="003E726F"/>
    <w:rsid w:val="003E7329"/>
    <w:rsid w:val="003E7840"/>
    <w:rsid w:val="003E7970"/>
    <w:rsid w:val="003E7AA9"/>
    <w:rsid w:val="003E7C50"/>
    <w:rsid w:val="003E7F8C"/>
    <w:rsid w:val="003F03C8"/>
    <w:rsid w:val="003F03FA"/>
    <w:rsid w:val="003F0ACB"/>
    <w:rsid w:val="003F0C29"/>
    <w:rsid w:val="003F0CAB"/>
    <w:rsid w:val="003F1011"/>
    <w:rsid w:val="003F1B60"/>
    <w:rsid w:val="003F1BDC"/>
    <w:rsid w:val="003F1C86"/>
    <w:rsid w:val="003F2357"/>
    <w:rsid w:val="003F2446"/>
    <w:rsid w:val="003F28A7"/>
    <w:rsid w:val="003F2C3E"/>
    <w:rsid w:val="003F2D0E"/>
    <w:rsid w:val="003F2EC8"/>
    <w:rsid w:val="003F31B4"/>
    <w:rsid w:val="003F3518"/>
    <w:rsid w:val="003F35F3"/>
    <w:rsid w:val="003F3613"/>
    <w:rsid w:val="003F369F"/>
    <w:rsid w:val="003F3D15"/>
    <w:rsid w:val="003F40A7"/>
    <w:rsid w:val="003F4249"/>
    <w:rsid w:val="003F43FF"/>
    <w:rsid w:val="003F45C3"/>
    <w:rsid w:val="003F4A50"/>
    <w:rsid w:val="003F4E51"/>
    <w:rsid w:val="003F5652"/>
    <w:rsid w:val="003F56D5"/>
    <w:rsid w:val="003F56FC"/>
    <w:rsid w:val="003F5911"/>
    <w:rsid w:val="003F5A08"/>
    <w:rsid w:val="003F5AA5"/>
    <w:rsid w:val="003F5E45"/>
    <w:rsid w:val="003F5F3F"/>
    <w:rsid w:val="003F6091"/>
    <w:rsid w:val="003F6369"/>
    <w:rsid w:val="003F6919"/>
    <w:rsid w:val="003F6D06"/>
    <w:rsid w:val="003F6D2A"/>
    <w:rsid w:val="003F6DFF"/>
    <w:rsid w:val="003F7072"/>
    <w:rsid w:val="003F729E"/>
    <w:rsid w:val="003F758E"/>
    <w:rsid w:val="003F77FC"/>
    <w:rsid w:val="003F7B33"/>
    <w:rsid w:val="003F7F11"/>
    <w:rsid w:val="00400028"/>
    <w:rsid w:val="00400654"/>
    <w:rsid w:val="004006E5"/>
    <w:rsid w:val="00400BEB"/>
    <w:rsid w:val="00400C8A"/>
    <w:rsid w:val="00400FD0"/>
    <w:rsid w:val="0040116D"/>
    <w:rsid w:val="0040131D"/>
    <w:rsid w:val="00401378"/>
    <w:rsid w:val="004016C3"/>
    <w:rsid w:val="004018DC"/>
    <w:rsid w:val="00401ADA"/>
    <w:rsid w:val="00401BA2"/>
    <w:rsid w:val="00401BF2"/>
    <w:rsid w:val="00401CE7"/>
    <w:rsid w:val="00401E14"/>
    <w:rsid w:val="00401E5A"/>
    <w:rsid w:val="00401E6E"/>
    <w:rsid w:val="00402063"/>
    <w:rsid w:val="004023B9"/>
    <w:rsid w:val="00402641"/>
    <w:rsid w:val="004027B9"/>
    <w:rsid w:val="00402813"/>
    <w:rsid w:val="00402BF1"/>
    <w:rsid w:val="00402C54"/>
    <w:rsid w:val="00402CB0"/>
    <w:rsid w:val="00402D8F"/>
    <w:rsid w:val="00402EC4"/>
    <w:rsid w:val="00402EF0"/>
    <w:rsid w:val="00403022"/>
    <w:rsid w:val="00403100"/>
    <w:rsid w:val="004032CF"/>
    <w:rsid w:val="004034CF"/>
    <w:rsid w:val="004035B3"/>
    <w:rsid w:val="004035DD"/>
    <w:rsid w:val="004035FA"/>
    <w:rsid w:val="0040394F"/>
    <w:rsid w:val="00403ADD"/>
    <w:rsid w:val="00404176"/>
    <w:rsid w:val="00404299"/>
    <w:rsid w:val="004042FC"/>
    <w:rsid w:val="0040449A"/>
    <w:rsid w:val="004046C4"/>
    <w:rsid w:val="0040470F"/>
    <w:rsid w:val="00404B18"/>
    <w:rsid w:val="00405083"/>
    <w:rsid w:val="0040528C"/>
    <w:rsid w:val="0040531A"/>
    <w:rsid w:val="0040550A"/>
    <w:rsid w:val="0040562B"/>
    <w:rsid w:val="0040563D"/>
    <w:rsid w:val="00405BD4"/>
    <w:rsid w:val="00405ED1"/>
    <w:rsid w:val="00406220"/>
    <w:rsid w:val="00406243"/>
    <w:rsid w:val="00406420"/>
    <w:rsid w:val="004067ED"/>
    <w:rsid w:val="00406878"/>
    <w:rsid w:val="004069E1"/>
    <w:rsid w:val="00406A67"/>
    <w:rsid w:val="00406D5F"/>
    <w:rsid w:val="00406D69"/>
    <w:rsid w:val="00406F5F"/>
    <w:rsid w:val="00407125"/>
    <w:rsid w:val="004073C2"/>
    <w:rsid w:val="004075BD"/>
    <w:rsid w:val="00407788"/>
    <w:rsid w:val="00407F11"/>
    <w:rsid w:val="00407F25"/>
    <w:rsid w:val="00407FEA"/>
    <w:rsid w:val="00410265"/>
    <w:rsid w:val="004106D3"/>
    <w:rsid w:val="0041075E"/>
    <w:rsid w:val="00410A87"/>
    <w:rsid w:val="00410BDE"/>
    <w:rsid w:val="00410C50"/>
    <w:rsid w:val="00410C58"/>
    <w:rsid w:val="00410DDF"/>
    <w:rsid w:val="00410ED8"/>
    <w:rsid w:val="00410FBB"/>
    <w:rsid w:val="00411389"/>
    <w:rsid w:val="00411796"/>
    <w:rsid w:val="00411CF1"/>
    <w:rsid w:val="00411D54"/>
    <w:rsid w:val="00412346"/>
    <w:rsid w:val="0041239B"/>
    <w:rsid w:val="004127E4"/>
    <w:rsid w:val="00412B29"/>
    <w:rsid w:val="00413818"/>
    <w:rsid w:val="0041391B"/>
    <w:rsid w:val="00413AAC"/>
    <w:rsid w:val="00413C96"/>
    <w:rsid w:val="00413ECF"/>
    <w:rsid w:val="00413FCD"/>
    <w:rsid w:val="00414056"/>
    <w:rsid w:val="0041410B"/>
    <w:rsid w:val="00414492"/>
    <w:rsid w:val="00414494"/>
    <w:rsid w:val="004144B0"/>
    <w:rsid w:val="00414850"/>
    <w:rsid w:val="00414BED"/>
    <w:rsid w:val="00414DE0"/>
    <w:rsid w:val="004152CA"/>
    <w:rsid w:val="004154F2"/>
    <w:rsid w:val="00415630"/>
    <w:rsid w:val="00415877"/>
    <w:rsid w:val="00415A41"/>
    <w:rsid w:val="00415A52"/>
    <w:rsid w:val="00415DC9"/>
    <w:rsid w:val="00415F4B"/>
    <w:rsid w:val="00416017"/>
    <w:rsid w:val="004161CF"/>
    <w:rsid w:val="0041635E"/>
    <w:rsid w:val="004163A4"/>
    <w:rsid w:val="004163AD"/>
    <w:rsid w:val="0041669C"/>
    <w:rsid w:val="00416758"/>
    <w:rsid w:val="004168FF"/>
    <w:rsid w:val="00416968"/>
    <w:rsid w:val="00416A32"/>
    <w:rsid w:val="00416AF9"/>
    <w:rsid w:val="00416F4B"/>
    <w:rsid w:val="00416F84"/>
    <w:rsid w:val="004171E6"/>
    <w:rsid w:val="004171F9"/>
    <w:rsid w:val="004176BE"/>
    <w:rsid w:val="00417887"/>
    <w:rsid w:val="00417B3B"/>
    <w:rsid w:val="00417D66"/>
    <w:rsid w:val="00417EAC"/>
    <w:rsid w:val="00420018"/>
    <w:rsid w:val="0042012A"/>
    <w:rsid w:val="004202DE"/>
    <w:rsid w:val="0042067F"/>
    <w:rsid w:val="00420737"/>
    <w:rsid w:val="004208F0"/>
    <w:rsid w:val="00420C06"/>
    <w:rsid w:val="00420CD1"/>
    <w:rsid w:val="00420D98"/>
    <w:rsid w:val="00420DC0"/>
    <w:rsid w:val="004213D6"/>
    <w:rsid w:val="00421413"/>
    <w:rsid w:val="004214F7"/>
    <w:rsid w:val="004216E4"/>
    <w:rsid w:val="00421979"/>
    <w:rsid w:val="00421A1C"/>
    <w:rsid w:val="00421D4C"/>
    <w:rsid w:val="00421F16"/>
    <w:rsid w:val="00422074"/>
    <w:rsid w:val="0042213E"/>
    <w:rsid w:val="004225CB"/>
    <w:rsid w:val="00422A57"/>
    <w:rsid w:val="00422FC1"/>
    <w:rsid w:val="004230EB"/>
    <w:rsid w:val="00423286"/>
    <w:rsid w:val="00424923"/>
    <w:rsid w:val="004249A2"/>
    <w:rsid w:val="00424AF2"/>
    <w:rsid w:val="00425021"/>
    <w:rsid w:val="00425235"/>
    <w:rsid w:val="0042543E"/>
    <w:rsid w:val="004255C7"/>
    <w:rsid w:val="00425962"/>
    <w:rsid w:val="00425992"/>
    <w:rsid w:val="00425C63"/>
    <w:rsid w:val="004260D4"/>
    <w:rsid w:val="00426552"/>
    <w:rsid w:val="00426586"/>
    <w:rsid w:val="004265BB"/>
    <w:rsid w:val="004268FF"/>
    <w:rsid w:val="00426936"/>
    <w:rsid w:val="00426B3B"/>
    <w:rsid w:val="004272BA"/>
    <w:rsid w:val="00427693"/>
    <w:rsid w:val="00427AC2"/>
    <w:rsid w:val="0043029D"/>
    <w:rsid w:val="004304B8"/>
    <w:rsid w:val="00430593"/>
    <w:rsid w:val="004306CF"/>
    <w:rsid w:val="0043076E"/>
    <w:rsid w:val="004310F0"/>
    <w:rsid w:val="00431189"/>
    <w:rsid w:val="004313B2"/>
    <w:rsid w:val="0043140D"/>
    <w:rsid w:val="00431554"/>
    <w:rsid w:val="00431A29"/>
    <w:rsid w:val="00431B97"/>
    <w:rsid w:val="00431C86"/>
    <w:rsid w:val="00431D04"/>
    <w:rsid w:val="00431D5F"/>
    <w:rsid w:val="00431FB1"/>
    <w:rsid w:val="00432442"/>
    <w:rsid w:val="004326C9"/>
    <w:rsid w:val="004327E1"/>
    <w:rsid w:val="00432A83"/>
    <w:rsid w:val="00432FE6"/>
    <w:rsid w:val="004333B8"/>
    <w:rsid w:val="004334B7"/>
    <w:rsid w:val="00433A0C"/>
    <w:rsid w:val="00434466"/>
    <w:rsid w:val="00434567"/>
    <w:rsid w:val="004345D5"/>
    <w:rsid w:val="00434765"/>
    <w:rsid w:val="00434794"/>
    <w:rsid w:val="00434945"/>
    <w:rsid w:val="00434D8C"/>
    <w:rsid w:val="00434FB8"/>
    <w:rsid w:val="00435489"/>
    <w:rsid w:val="004354B6"/>
    <w:rsid w:val="0043556D"/>
    <w:rsid w:val="00435644"/>
    <w:rsid w:val="00435B06"/>
    <w:rsid w:val="00435B50"/>
    <w:rsid w:val="0043632C"/>
    <w:rsid w:val="00436A1D"/>
    <w:rsid w:val="00436E56"/>
    <w:rsid w:val="00436F49"/>
    <w:rsid w:val="004370B1"/>
    <w:rsid w:val="0043710A"/>
    <w:rsid w:val="004373FF"/>
    <w:rsid w:val="004375F3"/>
    <w:rsid w:val="00437C76"/>
    <w:rsid w:val="00437CE0"/>
    <w:rsid w:val="00437E67"/>
    <w:rsid w:val="00437FBB"/>
    <w:rsid w:val="00440299"/>
    <w:rsid w:val="00440AFC"/>
    <w:rsid w:val="00440B3C"/>
    <w:rsid w:val="00440E6C"/>
    <w:rsid w:val="00440EEA"/>
    <w:rsid w:val="00440F22"/>
    <w:rsid w:val="0044128F"/>
    <w:rsid w:val="00441398"/>
    <w:rsid w:val="004413D2"/>
    <w:rsid w:val="00441798"/>
    <w:rsid w:val="00441830"/>
    <w:rsid w:val="00442199"/>
    <w:rsid w:val="004421F9"/>
    <w:rsid w:val="004424FD"/>
    <w:rsid w:val="0044262F"/>
    <w:rsid w:val="0044298B"/>
    <w:rsid w:val="0044313B"/>
    <w:rsid w:val="0044317A"/>
    <w:rsid w:val="00443697"/>
    <w:rsid w:val="004436AF"/>
    <w:rsid w:val="00443F1E"/>
    <w:rsid w:val="00444242"/>
    <w:rsid w:val="00444265"/>
    <w:rsid w:val="00444300"/>
    <w:rsid w:val="0044435C"/>
    <w:rsid w:val="0044441C"/>
    <w:rsid w:val="00444611"/>
    <w:rsid w:val="004446AC"/>
    <w:rsid w:val="004446B6"/>
    <w:rsid w:val="00444ADA"/>
    <w:rsid w:val="00445338"/>
    <w:rsid w:val="00445458"/>
    <w:rsid w:val="004455C5"/>
    <w:rsid w:val="00445746"/>
    <w:rsid w:val="00445964"/>
    <w:rsid w:val="00445C04"/>
    <w:rsid w:val="00445EB0"/>
    <w:rsid w:val="00445EF5"/>
    <w:rsid w:val="0044607C"/>
    <w:rsid w:val="00446083"/>
    <w:rsid w:val="00446168"/>
    <w:rsid w:val="0044631E"/>
    <w:rsid w:val="00446442"/>
    <w:rsid w:val="00446866"/>
    <w:rsid w:val="004468BD"/>
    <w:rsid w:val="00446B3B"/>
    <w:rsid w:val="00446BB3"/>
    <w:rsid w:val="00446CA2"/>
    <w:rsid w:val="004472D6"/>
    <w:rsid w:val="00447435"/>
    <w:rsid w:val="0044749D"/>
    <w:rsid w:val="004478E3"/>
    <w:rsid w:val="00447C4C"/>
    <w:rsid w:val="00447D86"/>
    <w:rsid w:val="00447EC2"/>
    <w:rsid w:val="004500C6"/>
    <w:rsid w:val="004501AC"/>
    <w:rsid w:val="004506E9"/>
    <w:rsid w:val="0045070F"/>
    <w:rsid w:val="0045080C"/>
    <w:rsid w:val="00450831"/>
    <w:rsid w:val="00450AE6"/>
    <w:rsid w:val="00450D80"/>
    <w:rsid w:val="00450ED2"/>
    <w:rsid w:val="00450F4C"/>
    <w:rsid w:val="004514EB"/>
    <w:rsid w:val="0045183A"/>
    <w:rsid w:val="00451883"/>
    <w:rsid w:val="00451DC4"/>
    <w:rsid w:val="00451EC3"/>
    <w:rsid w:val="00451F56"/>
    <w:rsid w:val="00452024"/>
    <w:rsid w:val="00452672"/>
    <w:rsid w:val="004528A7"/>
    <w:rsid w:val="00452A82"/>
    <w:rsid w:val="00452CFC"/>
    <w:rsid w:val="004530DB"/>
    <w:rsid w:val="0045312D"/>
    <w:rsid w:val="00453222"/>
    <w:rsid w:val="004533B9"/>
    <w:rsid w:val="00453E98"/>
    <w:rsid w:val="004540B4"/>
    <w:rsid w:val="0045444F"/>
    <w:rsid w:val="00454632"/>
    <w:rsid w:val="00454C51"/>
    <w:rsid w:val="00454EDE"/>
    <w:rsid w:val="004555A4"/>
    <w:rsid w:val="00455764"/>
    <w:rsid w:val="00455CAA"/>
    <w:rsid w:val="00455CF3"/>
    <w:rsid w:val="00455EF0"/>
    <w:rsid w:val="00455F74"/>
    <w:rsid w:val="00455FFE"/>
    <w:rsid w:val="00456227"/>
    <w:rsid w:val="004563A3"/>
    <w:rsid w:val="004563EB"/>
    <w:rsid w:val="004564E8"/>
    <w:rsid w:val="00456673"/>
    <w:rsid w:val="00456E00"/>
    <w:rsid w:val="0045727C"/>
    <w:rsid w:val="0045730E"/>
    <w:rsid w:val="004576AC"/>
    <w:rsid w:val="00457AC3"/>
    <w:rsid w:val="00457B53"/>
    <w:rsid w:val="00457C63"/>
    <w:rsid w:val="00457CED"/>
    <w:rsid w:val="00457D31"/>
    <w:rsid w:val="00457E44"/>
    <w:rsid w:val="004600BC"/>
    <w:rsid w:val="004603F3"/>
    <w:rsid w:val="00460493"/>
    <w:rsid w:val="004604C0"/>
    <w:rsid w:val="004605C8"/>
    <w:rsid w:val="00460795"/>
    <w:rsid w:val="0046093D"/>
    <w:rsid w:val="0046094D"/>
    <w:rsid w:val="004609AA"/>
    <w:rsid w:val="00460C95"/>
    <w:rsid w:val="00460CD0"/>
    <w:rsid w:val="00461301"/>
    <w:rsid w:val="00461561"/>
    <w:rsid w:val="00461877"/>
    <w:rsid w:val="00462373"/>
    <w:rsid w:val="00462834"/>
    <w:rsid w:val="00462963"/>
    <w:rsid w:val="00462BBB"/>
    <w:rsid w:val="00462E2E"/>
    <w:rsid w:val="0046319B"/>
    <w:rsid w:val="004631F5"/>
    <w:rsid w:val="00463703"/>
    <w:rsid w:val="00463752"/>
    <w:rsid w:val="00463B41"/>
    <w:rsid w:val="00463D30"/>
    <w:rsid w:val="00463EC2"/>
    <w:rsid w:val="0046401A"/>
    <w:rsid w:val="004643A6"/>
    <w:rsid w:val="00464420"/>
    <w:rsid w:val="004645C8"/>
    <w:rsid w:val="00464AC7"/>
    <w:rsid w:val="00464AC8"/>
    <w:rsid w:val="00464E18"/>
    <w:rsid w:val="00465002"/>
    <w:rsid w:val="00465039"/>
    <w:rsid w:val="00465254"/>
    <w:rsid w:val="004655F1"/>
    <w:rsid w:val="00465E0E"/>
    <w:rsid w:val="00465E90"/>
    <w:rsid w:val="00465ECF"/>
    <w:rsid w:val="00465ED2"/>
    <w:rsid w:val="00465F5D"/>
    <w:rsid w:val="004661EA"/>
    <w:rsid w:val="00466295"/>
    <w:rsid w:val="00466366"/>
    <w:rsid w:val="004663F8"/>
    <w:rsid w:val="0046649A"/>
    <w:rsid w:val="004668B2"/>
    <w:rsid w:val="00466D95"/>
    <w:rsid w:val="00466E62"/>
    <w:rsid w:val="00467619"/>
    <w:rsid w:val="004676C6"/>
    <w:rsid w:val="00467901"/>
    <w:rsid w:val="00467C3C"/>
    <w:rsid w:val="004700F0"/>
    <w:rsid w:val="00470437"/>
    <w:rsid w:val="0047061E"/>
    <w:rsid w:val="0047067B"/>
    <w:rsid w:val="00470950"/>
    <w:rsid w:val="00470A71"/>
    <w:rsid w:val="00470B15"/>
    <w:rsid w:val="00470C51"/>
    <w:rsid w:val="00471104"/>
    <w:rsid w:val="004712D1"/>
    <w:rsid w:val="004715BD"/>
    <w:rsid w:val="00471739"/>
    <w:rsid w:val="00471EDB"/>
    <w:rsid w:val="00471F91"/>
    <w:rsid w:val="00472515"/>
    <w:rsid w:val="00472556"/>
    <w:rsid w:val="004728BF"/>
    <w:rsid w:val="00472B2A"/>
    <w:rsid w:val="00472F06"/>
    <w:rsid w:val="00472F75"/>
    <w:rsid w:val="004730BD"/>
    <w:rsid w:val="004731D4"/>
    <w:rsid w:val="0047339C"/>
    <w:rsid w:val="004738E6"/>
    <w:rsid w:val="00473940"/>
    <w:rsid w:val="00473A91"/>
    <w:rsid w:val="00473C42"/>
    <w:rsid w:val="00473E3A"/>
    <w:rsid w:val="004743F0"/>
    <w:rsid w:val="0047454D"/>
    <w:rsid w:val="004746DD"/>
    <w:rsid w:val="004748BA"/>
    <w:rsid w:val="00474962"/>
    <w:rsid w:val="00474DCE"/>
    <w:rsid w:val="004754C4"/>
    <w:rsid w:val="004757F6"/>
    <w:rsid w:val="0047582D"/>
    <w:rsid w:val="00475914"/>
    <w:rsid w:val="00475E3B"/>
    <w:rsid w:val="00476009"/>
    <w:rsid w:val="00476133"/>
    <w:rsid w:val="004761FB"/>
    <w:rsid w:val="0047629E"/>
    <w:rsid w:val="0047692B"/>
    <w:rsid w:val="00476A6D"/>
    <w:rsid w:val="00476C2E"/>
    <w:rsid w:val="00476D90"/>
    <w:rsid w:val="0047711E"/>
    <w:rsid w:val="00477174"/>
    <w:rsid w:val="00477980"/>
    <w:rsid w:val="00477F1D"/>
    <w:rsid w:val="00480012"/>
    <w:rsid w:val="004801D6"/>
    <w:rsid w:val="004803D3"/>
    <w:rsid w:val="00480404"/>
    <w:rsid w:val="00481905"/>
    <w:rsid w:val="00481921"/>
    <w:rsid w:val="00481D05"/>
    <w:rsid w:val="0048208E"/>
    <w:rsid w:val="004821A7"/>
    <w:rsid w:val="00482201"/>
    <w:rsid w:val="00482258"/>
    <w:rsid w:val="0048232B"/>
    <w:rsid w:val="004825E2"/>
    <w:rsid w:val="00482BB9"/>
    <w:rsid w:val="00482D0F"/>
    <w:rsid w:val="00482D57"/>
    <w:rsid w:val="00482E3E"/>
    <w:rsid w:val="00482EB9"/>
    <w:rsid w:val="00482F0B"/>
    <w:rsid w:val="00483000"/>
    <w:rsid w:val="004831CA"/>
    <w:rsid w:val="00483241"/>
    <w:rsid w:val="0048372D"/>
    <w:rsid w:val="00483797"/>
    <w:rsid w:val="004837BF"/>
    <w:rsid w:val="004840E7"/>
    <w:rsid w:val="004840EA"/>
    <w:rsid w:val="0048421A"/>
    <w:rsid w:val="00484278"/>
    <w:rsid w:val="0048448F"/>
    <w:rsid w:val="00484515"/>
    <w:rsid w:val="004845D3"/>
    <w:rsid w:val="004849AE"/>
    <w:rsid w:val="00484B5E"/>
    <w:rsid w:val="00484FC0"/>
    <w:rsid w:val="0048539B"/>
    <w:rsid w:val="00485467"/>
    <w:rsid w:val="00485595"/>
    <w:rsid w:val="004856D0"/>
    <w:rsid w:val="00485817"/>
    <w:rsid w:val="00485857"/>
    <w:rsid w:val="00485C77"/>
    <w:rsid w:val="00485EDB"/>
    <w:rsid w:val="00486118"/>
    <w:rsid w:val="004862E0"/>
    <w:rsid w:val="00486632"/>
    <w:rsid w:val="0048684E"/>
    <w:rsid w:val="00486A2D"/>
    <w:rsid w:val="00486B37"/>
    <w:rsid w:val="00486BD5"/>
    <w:rsid w:val="00486C89"/>
    <w:rsid w:val="00486D1E"/>
    <w:rsid w:val="00486E7A"/>
    <w:rsid w:val="004870F0"/>
    <w:rsid w:val="00487189"/>
    <w:rsid w:val="00487357"/>
    <w:rsid w:val="004876A1"/>
    <w:rsid w:val="004876C7"/>
    <w:rsid w:val="00487F55"/>
    <w:rsid w:val="00490410"/>
    <w:rsid w:val="00490731"/>
    <w:rsid w:val="00490779"/>
    <w:rsid w:val="0049089C"/>
    <w:rsid w:val="00490B94"/>
    <w:rsid w:val="0049132E"/>
    <w:rsid w:val="004917A7"/>
    <w:rsid w:val="0049192A"/>
    <w:rsid w:val="00491E85"/>
    <w:rsid w:val="0049222B"/>
    <w:rsid w:val="00492298"/>
    <w:rsid w:val="0049276E"/>
    <w:rsid w:val="00492850"/>
    <w:rsid w:val="00492B6E"/>
    <w:rsid w:val="00492F84"/>
    <w:rsid w:val="00493224"/>
    <w:rsid w:val="004935EE"/>
    <w:rsid w:val="004936A5"/>
    <w:rsid w:val="004936F8"/>
    <w:rsid w:val="00493734"/>
    <w:rsid w:val="0049375B"/>
    <w:rsid w:val="00493967"/>
    <w:rsid w:val="00493C3D"/>
    <w:rsid w:val="00493D03"/>
    <w:rsid w:val="00494014"/>
    <w:rsid w:val="004941DF"/>
    <w:rsid w:val="0049446F"/>
    <w:rsid w:val="004947B0"/>
    <w:rsid w:val="00494BCB"/>
    <w:rsid w:val="00494CFC"/>
    <w:rsid w:val="00494E8C"/>
    <w:rsid w:val="0049523D"/>
    <w:rsid w:val="00495935"/>
    <w:rsid w:val="00495BC0"/>
    <w:rsid w:val="00495BE6"/>
    <w:rsid w:val="00495CBB"/>
    <w:rsid w:val="00495D62"/>
    <w:rsid w:val="00496046"/>
    <w:rsid w:val="004963EA"/>
    <w:rsid w:val="00496827"/>
    <w:rsid w:val="00496A86"/>
    <w:rsid w:val="00496A9B"/>
    <w:rsid w:val="00496DFA"/>
    <w:rsid w:val="00496FE6"/>
    <w:rsid w:val="00497CDC"/>
    <w:rsid w:val="00497EA6"/>
    <w:rsid w:val="004A01B9"/>
    <w:rsid w:val="004A05C5"/>
    <w:rsid w:val="004A0930"/>
    <w:rsid w:val="004A095C"/>
    <w:rsid w:val="004A0B08"/>
    <w:rsid w:val="004A0EDD"/>
    <w:rsid w:val="004A0FD1"/>
    <w:rsid w:val="004A1218"/>
    <w:rsid w:val="004A13EE"/>
    <w:rsid w:val="004A1481"/>
    <w:rsid w:val="004A150D"/>
    <w:rsid w:val="004A1685"/>
    <w:rsid w:val="004A1B7C"/>
    <w:rsid w:val="004A1C66"/>
    <w:rsid w:val="004A1D3A"/>
    <w:rsid w:val="004A1F4E"/>
    <w:rsid w:val="004A2226"/>
    <w:rsid w:val="004A23A6"/>
    <w:rsid w:val="004A272B"/>
    <w:rsid w:val="004A27E5"/>
    <w:rsid w:val="004A2880"/>
    <w:rsid w:val="004A2D0C"/>
    <w:rsid w:val="004A2F3A"/>
    <w:rsid w:val="004A34A2"/>
    <w:rsid w:val="004A35EA"/>
    <w:rsid w:val="004A38AC"/>
    <w:rsid w:val="004A3A6E"/>
    <w:rsid w:val="004A3C7B"/>
    <w:rsid w:val="004A40E8"/>
    <w:rsid w:val="004A4162"/>
    <w:rsid w:val="004A499C"/>
    <w:rsid w:val="004A4A92"/>
    <w:rsid w:val="004A4BD6"/>
    <w:rsid w:val="004A4C23"/>
    <w:rsid w:val="004A4D45"/>
    <w:rsid w:val="004A4D51"/>
    <w:rsid w:val="004A4D76"/>
    <w:rsid w:val="004A4F02"/>
    <w:rsid w:val="004A55DD"/>
    <w:rsid w:val="004A56C4"/>
    <w:rsid w:val="004A57C6"/>
    <w:rsid w:val="004A5CFA"/>
    <w:rsid w:val="004A617B"/>
    <w:rsid w:val="004A61EA"/>
    <w:rsid w:val="004A642E"/>
    <w:rsid w:val="004A6692"/>
    <w:rsid w:val="004A6C8D"/>
    <w:rsid w:val="004A7003"/>
    <w:rsid w:val="004A7046"/>
    <w:rsid w:val="004A706B"/>
    <w:rsid w:val="004A716F"/>
    <w:rsid w:val="004A71EE"/>
    <w:rsid w:val="004A7202"/>
    <w:rsid w:val="004A7325"/>
    <w:rsid w:val="004A73C7"/>
    <w:rsid w:val="004A73F5"/>
    <w:rsid w:val="004A7722"/>
    <w:rsid w:val="004A7955"/>
    <w:rsid w:val="004A79F6"/>
    <w:rsid w:val="004A7AF8"/>
    <w:rsid w:val="004A7CA6"/>
    <w:rsid w:val="004A7FEB"/>
    <w:rsid w:val="004B0521"/>
    <w:rsid w:val="004B06AF"/>
    <w:rsid w:val="004B0AF7"/>
    <w:rsid w:val="004B0E23"/>
    <w:rsid w:val="004B0F13"/>
    <w:rsid w:val="004B0FC7"/>
    <w:rsid w:val="004B0FE8"/>
    <w:rsid w:val="004B101D"/>
    <w:rsid w:val="004B120F"/>
    <w:rsid w:val="004B14DB"/>
    <w:rsid w:val="004B17CD"/>
    <w:rsid w:val="004B22DC"/>
    <w:rsid w:val="004B2652"/>
    <w:rsid w:val="004B267C"/>
    <w:rsid w:val="004B275D"/>
    <w:rsid w:val="004B2AC8"/>
    <w:rsid w:val="004B2B66"/>
    <w:rsid w:val="004B2C7E"/>
    <w:rsid w:val="004B2DCF"/>
    <w:rsid w:val="004B3093"/>
    <w:rsid w:val="004B3143"/>
    <w:rsid w:val="004B375F"/>
    <w:rsid w:val="004B39DA"/>
    <w:rsid w:val="004B3B19"/>
    <w:rsid w:val="004B3C77"/>
    <w:rsid w:val="004B3E14"/>
    <w:rsid w:val="004B3E36"/>
    <w:rsid w:val="004B4114"/>
    <w:rsid w:val="004B42D9"/>
    <w:rsid w:val="004B43BC"/>
    <w:rsid w:val="004B460A"/>
    <w:rsid w:val="004B4A12"/>
    <w:rsid w:val="004B4A5C"/>
    <w:rsid w:val="004B5021"/>
    <w:rsid w:val="004B50E8"/>
    <w:rsid w:val="004B5601"/>
    <w:rsid w:val="004B583C"/>
    <w:rsid w:val="004B5A78"/>
    <w:rsid w:val="004B5D8C"/>
    <w:rsid w:val="004B5EB1"/>
    <w:rsid w:val="004B5F2B"/>
    <w:rsid w:val="004B631D"/>
    <w:rsid w:val="004B64EE"/>
    <w:rsid w:val="004B6758"/>
    <w:rsid w:val="004B6E23"/>
    <w:rsid w:val="004B732B"/>
    <w:rsid w:val="004B7A5A"/>
    <w:rsid w:val="004B7D3C"/>
    <w:rsid w:val="004B7D93"/>
    <w:rsid w:val="004B7EA7"/>
    <w:rsid w:val="004B7EAC"/>
    <w:rsid w:val="004B7EC7"/>
    <w:rsid w:val="004C013F"/>
    <w:rsid w:val="004C03D7"/>
    <w:rsid w:val="004C08C2"/>
    <w:rsid w:val="004C08F1"/>
    <w:rsid w:val="004C0913"/>
    <w:rsid w:val="004C0B6F"/>
    <w:rsid w:val="004C0C7D"/>
    <w:rsid w:val="004C1137"/>
    <w:rsid w:val="004C1677"/>
    <w:rsid w:val="004C1934"/>
    <w:rsid w:val="004C1B99"/>
    <w:rsid w:val="004C1BE5"/>
    <w:rsid w:val="004C1D37"/>
    <w:rsid w:val="004C1E50"/>
    <w:rsid w:val="004C20E4"/>
    <w:rsid w:val="004C23A6"/>
    <w:rsid w:val="004C24CE"/>
    <w:rsid w:val="004C265A"/>
    <w:rsid w:val="004C294C"/>
    <w:rsid w:val="004C2A19"/>
    <w:rsid w:val="004C2BDC"/>
    <w:rsid w:val="004C2C58"/>
    <w:rsid w:val="004C2F9F"/>
    <w:rsid w:val="004C3018"/>
    <w:rsid w:val="004C30C4"/>
    <w:rsid w:val="004C317F"/>
    <w:rsid w:val="004C3573"/>
    <w:rsid w:val="004C36BD"/>
    <w:rsid w:val="004C3DB1"/>
    <w:rsid w:val="004C4189"/>
    <w:rsid w:val="004C41CD"/>
    <w:rsid w:val="004C42C9"/>
    <w:rsid w:val="004C4314"/>
    <w:rsid w:val="004C4385"/>
    <w:rsid w:val="004C4850"/>
    <w:rsid w:val="004C4F5F"/>
    <w:rsid w:val="004C507A"/>
    <w:rsid w:val="004C5356"/>
    <w:rsid w:val="004C54F0"/>
    <w:rsid w:val="004C5535"/>
    <w:rsid w:val="004C57BF"/>
    <w:rsid w:val="004C5876"/>
    <w:rsid w:val="004C5892"/>
    <w:rsid w:val="004C5BB8"/>
    <w:rsid w:val="004C5DCD"/>
    <w:rsid w:val="004C5E15"/>
    <w:rsid w:val="004C5EA9"/>
    <w:rsid w:val="004C5EE9"/>
    <w:rsid w:val="004C6644"/>
    <w:rsid w:val="004C6919"/>
    <w:rsid w:val="004C69A7"/>
    <w:rsid w:val="004C6D7A"/>
    <w:rsid w:val="004C6DBD"/>
    <w:rsid w:val="004C6F59"/>
    <w:rsid w:val="004C707F"/>
    <w:rsid w:val="004C74EC"/>
    <w:rsid w:val="004C77FF"/>
    <w:rsid w:val="004C793A"/>
    <w:rsid w:val="004C798C"/>
    <w:rsid w:val="004C7B02"/>
    <w:rsid w:val="004C7C43"/>
    <w:rsid w:val="004C7FFE"/>
    <w:rsid w:val="004D02A6"/>
    <w:rsid w:val="004D055B"/>
    <w:rsid w:val="004D05CB"/>
    <w:rsid w:val="004D0802"/>
    <w:rsid w:val="004D0937"/>
    <w:rsid w:val="004D0C91"/>
    <w:rsid w:val="004D0CCB"/>
    <w:rsid w:val="004D0D06"/>
    <w:rsid w:val="004D0EA5"/>
    <w:rsid w:val="004D1377"/>
    <w:rsid w:val="004D182F"/>
    <w:rsid w:val="004D1F6F"/>
    <w:rsid w:val="004D1FDC"/>
    <w:rsid w:val="004D2011"/>
    <w:rsid w:val="004D23AA"/>
    <w:rsid w:val="004D2464"/>
    <w:rsid w:val="004D27B3"/>
    <w:rsid w:val="004D2814"/>
    <w:rsid w:val="004D287F"/>
    <w:rsid w:val="004D2C11"/>
    <w:rsid w:val="004D2D8F"/>
    <w:rsid w:val="004D2D9B"/>
    <w:rsid w:val="004D306D"/>
    <w:rsid w:val="004D30D9"/>
    <w:rsid w:val="004D31AD"/>
    <w:rsid w:val="004D3683"/>
    <w:rsid w:val="004D3896"/>
    <w:rsid w:val="004D3983"/>
    <w:rsid w:val="004D3B50"/>
    <w:rsid w:val="004D3D51"/>
    <w:rsid w:val="004D3E25"/>
    <w:rsid w:val="004D3E8E"/>
    <w:rsid w:val="004D3EED"/>
    <w:rsid w:val="004D4109"/>
    <w:rsid w:val="004D414D"/>
    <w:rsid w:val="004D457F"/>
    <w:rsid w:val="004D49A4"/>
    <w:rsid w:val="004D4BBD"/>
    <w:rsid w:val="004D4C36"/>
    <w:rsid w:val="004D4FBE"/>
    <w:rsid w:val="004D516C"/>
    <w:rsid w:val="004D539E"/>
    <w:rsid w:val="004D5478"/>
    <w:rsid w:val="004D54D5"/>
    <w:rsid w:val="004D5BFF"/>
    <w:rsid w:val="004D5CD1"/>
    <w:rsid w:val="004D5D54"/>
    <w:rsid w:val="004D5EE3"/>
    <w:rsid w:val="004D65A4"/>
    <w:rsid w:val="004D6739"/>
    <w:rsid w:val="004D68AE"/>
    <w:rsid w:val="004D714C"/>
    <w:rsid w:val="004D7370"/>
    <w:rsid w:val="004D766A"/>
    <w:rsid w:val="004D7CD5"/>
    <w:rsid w:val="004D7DA9"/>
    <w:rsid w:val="004D7DBE"/>
    <w:rsid w:val="004D7F0C"/>
    <w:rsid w:val="004E01A4"/>
    <w:rsid w:val="004E07D0"/>
    <w:rsid w:val="004E07FF"/>
    <w:rsid w:val="004E08CC"/>
    <w:rsid w:val="004E0AD0"/>
    <w:rsid w:val="004E1889"/>
    <w:rsid w:val="004E18DA"/>
    <w:rsid w:val="004E1B65"/>
    <w:rsid w:val="004E1F2E"/>
    <w:rsid w:val="004E20A5"/>
    <w:rsid w:val="004E21E3"/>
    <w:rsid w:val="004E23CE"/>
    <w:rsid w:val="004E2640"/>
    <w:rsid w:val="004E2861"/>
    <w:rsid w:val="004E30ED"/>
    <w:rsid w:val="004E344C"/>
    <w:rsid w:val="004E346A"/>
    <w:rsid w:val="004E3529"/>
    <w:rsid w:val="004E37A7"/>
    <w:rsid w:val="004E38C5"/>
    <w:rsid w:val="004E392A"/>
    <w:rsid w:val="004E3B52"/>
    <w:rsid w:val="004E3BC0"/>
    <w:rsid w:val="004E3E66"/>
    <w:rsid w:val="004E4189"/>
    <w:rsid w:val="004E4411"/>
    <w:rsid w:val="004E4420"/>
    <w:rsid w:val="004E4801"/>
    <w:rsid w:val="004E49A0"/>
    <w:rsid w:val="004E4D84"/>
    <w:rsid w:val="004E4F3F"/>
    <w:rsid w:val="004E4F8B"/>
    <w:rsid w:val="004E5317"/>
    <w:rsid w:val="004E5612"/>
    <w:rsid w:val="004E5822"/>
    <w:rsid w:val="004E586A"/>
    <w:rsid w:val="004E5D6A"/>
    <w:rsid w:val="004E5EEA"/>
    <w:rsid w:val="004E5F0E"/>
    <w:rsid w:val="004E687C"/>
    <w:rsid w:val="004E68BF"/>
    <w:rsid w:val="004E68C5"/>
    <w:rsid w:val="004E6ACB"/>
    <w:rsid w:val="004E6C36"/>
    <w:rsid w:val="004E6C58"/>
    <w:rsid w:val="004E6D0F"/>
    <w:rsid w:val="004E724F"/>
    <w:rsid w:val="004E72CB"/>
    <w:rsid w:val="004E74C1"/>
    <w:rsid w:val="004E792C"/>
    <w:rsid w:val="004E7E45"/>
    <w:rsid w:val="004F04B5"/>
    <w:rsid w:val="004F050C"/>
    <w:rsid w:val="004F07DC"/>
    <w:rsid w:val="004F092D"/>
    <w:rsid w:val="004F0961"/>
    <w:rsid w:val="004F0EC8"/>
    <w:rsid w:val="004F14E8"/>
    <w:rsid w:val="004F1511"/>
    <w:rsid w:val="004F1937"/>
    <w:rsid w:val="004F1B27"/>
    <w:rsid w:val="004F1C66"/>
    <w:rsid w:val="004F1DFE"/>
    <w:rsid w:val="004F1FFD"/>
    <w:rsid w:val="004F226A"/>
    <w:rsid w:val="004F226B"/>
    <w:rsid w:val="004F22D1"/>
    <w:rsid w:val="004F240D"/>
    <w:rsid w:val="004F31CB"/>
    <w:rsid w:val="004F3288"/>
    <w:rsid w:val="004F32B1"/>
    <w:rsid w:val="004F3962"/>
    <w:rsid w:val="004F3CA0"/>
    <w:rsid w:val="004F3F1F"/>
    <w:rsid w:val="004F4259"/>
    <w:rsid w:val="004F4269"/>
    <w:rsid w:val="004F47C0"/>
    <w:rsid w:val="004F4CA9"/>
    <w:rsid w:val="004F59F1"/>
    <w:rsid w:val="004F5B5B"/>
    <w:rsid w:val="004F5BE8"/>
    <w:rsid w:val="004F5E94"/>
    <w:rsid w:val="004F65F8"/>
    <w:rsid w:val="004F6D01"/>
    <w:rsid w:val="004F6FCA"/>
    <w:rsid w:val="004F70D5"/>
    <w:rsid w:val="004F740E"/>
    <w:rsid w:val="004F7412"/>
    <w:rsid w:val="004F746F"/>
    <w:rsid w:val="004F7474"/>
    <w:rsid w:val="004F7485"/>
    <w:rsid w:val="004F750A"/>
    <w:rsid w:val="004F753B"/>
    <w:rsid w:val="004F7762"/>
    <w:rsid w:val="004F78A0"/>
    <w:rsid w:val="004F7BD2"/>
    <w:rsid w:val="0050001F"/>
    <w:rsid w:val="00500032"/>
    <w:rsid w:val="0050023E"/>
    <w:rsid w:val="0050058A"/>
    <w:rsid w:val="005006A6"/>
    <w:rsid w:val="00500746"/>
    <w:rsid w:val="0050089B"/>
    <w:rsid w:val="00500A53"/>
    <w:rsid w:val="00500B04"/>
    <w:rsid w:val="00500D23"/>
    <w:rsid w:val="00500D80"/>
    <w:rsid w:val="00500FA4"/>
    <w:rsid w:val="005010B7"/>
    <w:rsid w:val="005013A0"/>
    <w:rsid w:val="005013AA"/>
    <w:rsid w:val="005015D8"/>
    <w:rsid w:val="00501954"/>
    <w:rsid w:val="005019BD"/>
    <w:rsid w:val="005022C4"/>
    <w:rsid w:val="005022C7"/>
    <w:rsid w:val="00502361"/>
    <w:rsid w:val="005023E3"/>
    <w:rsid w:val="005023F0"/>
    <w:rsid w:val="00502B14"/>
    <w:rsid w:val="005037AE"/>
    <w:rsid w:val="005037BD"/>
    <w:rsid w:val="00503B85"/>
    <w:rsid w:val="00503BA3"/>
    <w:rsid w:val="00503FDB"/>
    <w:rsid w:val="005040D6"/>
    <w:rsid w:val="00504110"/>
    <w:rsid w:val="00504201"/>
    <w:rsid w:val="00504B50"/>
    <w:rsid w:val="00504E9E"/>
    <w:rsid w:val="00504F4E"/>
    <w:rsid w:val="00504FC3"/>
    <w:rsid w:val="0050501B"/>
    <w:rsid w:val="0050525D"/>
    <w:rsid w:val="00505A95"/>
    <w:rsid w:val="00505E97"/>
    <w:rsid w:val="0050621B"/>
    <w:rsid w:val="00506273"/>
    <w:rsid w:val="00506463"/>
    <w:rsid w:val="00506478"/>
    <w:rsid w:val="00506493"/>
    <w:rsid w:val="00506721"/>
    <w:rsid w:val="00506E1F"/>
    <w:rsid w:val="00506E4D"/>
    <w:rsid w:val="005072C0"/>
    <w:rsid w:val="0050759A"/>
    <w:rsid w:val="00507B00"/>
    <w:rsid w:val="00507B57"/>
    <w:rsid w:val="00507F46"/>
    <w:rsid w:val="00510A87"/>
    <w:rsid w:val="00510D96"/>
    <w:rsid w:val="00510E37"/>
    <w:rsid w:val="0051114B"/>
    <w:rsid w:val="00511419"/>
    <w:rsid w:val="00511448"/>
    <w:rsid w:val="005119B3"/>
    <w:rsid w:val="00511ABD"/>
    <w:rsid w:val="00511B28"/>
    <w:rsid w:val="00511C82"/>
    <w:rsid w:val="00512089"/>
    <w:rsid w:val="005120EA"/>
    <w:rsid w:val="005121BC"/>
    <w:rsid w:val="00512517"/>
    <w:rsid w:val="00512616"/>
    <w:rsid w:val="0051275F"/>
    <w:rsid w:val="005127C5"/>
    <w:rsid w:val="0051294E"/>
    <w:rsid w:val="00512B60"/>
    <w:rsid w:val="00513511"/>
    <w:rsid w:val="00513777"/>
    <w:rsid w:val="005139ED"/>
    <w:rsid w:val="005141A5"/>
    <w:rsid w:val="00514282"/>
    <w:rsid w:val="00514292"/>
    <w:rsid w:val="00514317"/>
    <w:rsid w:val="00514361"/>
    <w:rsid w:val="0051469A"/>
    <w:rsid w:val="00514793"/>
    <w:rsid w:val="005149B2"/>
    <w:rsid w:val="005149F1"/>
    <w:rsid w:val="00514EDA"/>
    <w:rsid w:val="005150E5"/>
    <w:rsid w:val="00515213"/>
    <w:rsid w:val="00515305"/>
    <w:rsid w:val="005153A2"/>
    <w:rsid w:val="005155E7"/>
    <w:rsid w:val="00515790"/>
    <w:rsid w:val="005159D9"/>
    <w:rsid w:val="00515BFC"/>
    <w:rsid w:val="00515D74"/>
    <w:rsid w:val="00516074"/>
    <w:rsid w:val="00516524"/>
    <w:rsid w:val="005166A2"/>
    <w:rsid w:val="00516C19"/>
    <w:rsid w:val="00516EDD"/>
    <w:rsid w:val="00516F2B"/>
    <w:rsid w:val="00516F5E"/>
    <w:rsid w:val="00517397"/>
    <w:rsid w:val="0051748F"/>
    <w:rsid w:val="00517500"/>
    <w:rsid w:val="0051754A"/>
    <w:rsid w:val="005175CC"/>
    <w:rsid w:val="0051762A"/>
    <w:rsid w:val="005176DC"/>
    <w:rsid w:val="00517892"/>
    <w:rsid w:val="005178F7"/>
    <w:rsid w:val="0051791F"/>
    <w:rsid w:val="00517A53"/>
    <w:rsid w:val="00517A83"/>
    <w:rsid w:val="00517C08"/>
    <w:rsid w:val="00517F06"/>
    <w:rsid w:val="0052025C"/>
    <w:rsid w:val="005205B3"/>
    <w:rsid w:val="005205ED"/>
    <w:rsid w:val="0052090A"/>
    <w:rsid w:val="00520922"/>
    <w:rsid w:val="0052093C"/>
    <w:rsid w:val="005209F0"/>
    <w:rsid w:val="00520A00"/>
    <w:rsid w:val="00520C01"/>
    <w:rsid w:val="00520D3D"/>
    <w:rsid w:val="00520EE3"/>
    <w:rsid w:val="0052158B"/>
    <w:rsid w:val="005215AE"/>
    <w:rsid w:val="00521855"/>
    <w:rsid w:val="005219B2"/>
    <w:rsid w:val="00521B58"/>
    <w:rsid w:val="00522159"/>
    <w:rsid w:val="005224DD"/>
    <w:rsid w:val="005229FF"/>
    <w:rsid w:val="00522B68"/>
    <w:rsid w:val="00522C55"/>
    <w:rsid w:val="00522C97"/>
    <w:rsid w:val="00522CC6"/>
    <w:rsid w:val="00522E2B"/>
    <w:rsid w:val="00522F47"/>
    <w:rsid w:val="0052337C"/>
    <w:rsid w:val="00523400"/>
    <w:rsid w:val="005235F6"/>
    <w:rsid w:val="00523B8B"/>
    <w:rsid w:val="00524429"/>
    <w:rsid w:val="00524464"/>
    <w:rsid w:val="005248FC"/>
    <w:rsid w:val="00524A43"/>
    <w:rsid w:val="00525268"/>
    <w:rsid w:val="00525919"/>
    <w:rsid w:val="00525CB1"/>
    <w:rsid w:val="00525E9D"/>
    <w:rsid w:val="00526115"/>
    <w:rsid w:val="005263E7"/>
    <w:rsid w:val="00526555"/>
    <w:rsid w:val="005266AD"/>
    <w:rsid w:val="005267D6"/>
    <w:rsid w:val="005267EA"/>
    <w:rsid w:val="0052692A"/>
    <w:rsid w:val="0052694C"/>
    <w:rsid w:val="005269ED"/>
    <w:rsid w:val="00526A9B"/>
    <w:rsid w:val="00526E37"/>
    <w:rsid w:val="005274EC"/>
    <w:rsid w:val="005276BD"/>
    <w:rsid w:val="005277D0"/>
    <w:rsid w:val="00527BC1"/>
    <w:rsid w:val="00527BC2"/>
    <w:rsid w:val="00527C1F"/>
    <w:rsid w:val="00527E2D"/>
    <w:rsid w:val="00527E6F"/>
    <w:rsid w:val="00527F94"/>
    <w:rsid w:val="005300EF"/>
    <w:rsid w:val="005305F4"/>
    <w:rsid w:val="00530838"/>
    <w:rsid w:val="00530932"/>
    <w:rsid w:val="00530998"/>
    <w:rsid w:val="005309F6"/>
    <w:rsid w:val="00530A3E"/>
    <w:rsid w:val="00530ABE"/>
    <w:rsid w:val="00530B3E"/>
    <w:rsid w:val="00530B4D"/>
    <w:rsid w:val="00530E03"/>
    <w:rsid w:val="005310BC"/>
    <w:rsid w:val="00531148"/>
    <w:rsid w:val="00531181"/>
    <w:rsid w:val="005312D1"/>
    <w:rsid w:val="00531443"/>
    <w:rsid w:val="005314EC"/>
    <w:rsid w:val="0053152F"/>
    <w:rsid w:val="005317A3"/>
    <w:rsid w:val="00531976"/>
    <w:rsid w:val="00531F5E"/>
    <w:rsid w:val="005320B6"/>
    <w:rsid w:val="0053221A"/>
    <w:rsid w:val="00532231"/>
    <w:rsid w:val="0053232D"/>
    <w:rsid w:val="005324B9"/>
    <w:rsid w:val="00532A08"/>
    <w:rsid w:val="00532BB8"/>
    <w:rsid w:val="00532BD4"/>
    <w:rsid w:val="00532C74"/>
    <w:rsid w:val="00532F13"/>
    <w:rsid w:val="00533070"/>
    <w:rsid w:val="00533113"/>
    <w:rsid w:val="00533458"/>
    <w:rsid w:val="005334DB"/>
    <w:rsid w:val="005336E2"/>
    <w:rsid w:val="00533BAE"/>
    <w:rsid w:val="00533C99"/>
    <w:rsid w:val="00533CDD"/>
    <w:rsid w:val="00533D61"/>
    <w:rsid w:val="00533EA6"/>
    <w:rsid w:val="0053410F"/>
    <w:rsid w:val="00534C89"/>
    <w:rsid w:val="00534C9B"/>
    <w:rsid w:val="00534D79"/>
    <w:rsid w:val="00534DAB"/>
    <w:rsid w:val="00535165"/>
    <w:rsid w:val="0053535F"/>
    <w:rsid w:val="005353C5"/>
    <w:rsid w:val="005353FB"/>
    <w:rsid w:val="005355DA"/>
    <w:rsid w:val="0053573D"/>
    <w:rsid w:val="00535764"/>
    <w:rsid w:val="00535DB3"/>
    <w:rsid w:val="005360AC"/>
    <w:rsid w:val="005360C3"/>
    <w:rsid w:val="00536B68"/>
    <w:rsid w:val="0053703B"/>
    <w:rsid w:val="005370C7"/>
    <w:rsid w:val="00537736"/>
    <w:rsid w:val="005379BF"/>
    <w:rsid w:val="00537A94"/>
    <w:rsid w:val="00537B39"/>
    <w:rsid w:val="00537DBD"/>
    <w:rsid w:val="00537E24"/>
    <w:rsid w:val="00537E65"/>
    <w:rsid w:val="00537EC2"/>
    <w:rsid w:val="0054001E"/>
    <w:rsid w:val="005401A6"/>
    <w:rsid w:val="00540B81"/>
    <w:rsid w:val="00540C09"/>
    <w:rsid w:val="00540D98"/>
    <w:rsid w:val="0054109C"/>
    <w:rsid w:val="00541440"/>
    <w:rsid w:val="005414F2"/>
    <w:rsid w:val="005416A3"/>
    <w:rsid w:val="00541879"/>
    <w:rsid w:val="005419EA"/>
    <w:rsid w:val="00541B7A"/>
    <w:rsid w:val="00541C83"/>
    <w:rsid w:val="00541CF9"/>
    <w:rsid w:val="00541DF7"/>
    <w:rsid w:val="005420E3"/>
    <w:rsid w:val="005421EB"/>
    <w:rsid w:val="005422F5"/>
    <w:rsid w:val="005425AD"/>
    <w:rsid w:val="0054280A"/>
    <w:rsid w:val="005428FF"/>
    <w:rsid w:val="00542B23"/>
    <w:rsid w:val="00542E43"/>
    <w:rsid w:val="00543253"/>
    <w:rsid w:val="00543267"/>
    <w:rsid w:val="005432BA"/>
    <w:rsid w:val="005432C2"/>
    <w:rsid w:val="00543863"/>
    <w:rsid w:val="005439B0"/>
    <w:rsid w:val="00543A3F"/>
    <w:rsid w:val="00544021"/>
    <w:rsid w:val="00544387"/>
    <w:rsid w:val="00544471"/>
    <w:rsid w:val="00544600"/>
    <w:rsid w:val="005449F5"/>
    <w:rsid w:val="00544BE8"/>
    <w:rsid w:val="00544C43"/>
    <w:rsid w:val="0054508E"/>
    <w:rsid w:val="005451FF"/>
    <w:rsid w:val="005452F9"/>
    <w:rsid w:val="005455B7"/>
    <w:rsid w:val="00545750"/>
    <w:rsid w:val="00545776"/>
    <w:rsid w:val="00545E31"/>
    <w:rsid w:val="0054624E"/>
    <w:rsid w:val="005466C9"/>
    <w:rsid w:val="005468E3"/>
    <w:rsid w:val="00546CF0"/>
    <w:rsid w:val="00546D2A"/>
    <w:rsid w:val="00547107"/>
    <w:rsid w:val="005472C5"/>
    <w:rsid w:val="0054785D"/>
    <w:rsid w:val="00547A10"/>
    <w:rsid w:val="00547AD1"/>
    <w:rsid w:val="00547B79"/>
    <w:rsid w:val="00547FC5"/>
    <w:rsid w:val="00550477"/>
    <w:rsid w:val="005504EC"/>
    <w:rsid w:val="005508A1"/>
    <w:rsid w:val="00550ADA"/>
    <w:rsid w:val="005513C4"/>
    <w:rsid w:val="0055180E"/>
    <w:rsid w:val="00551ADC"/>
    <w:rsid w:val="00551E88"/>
    <w:rsid w:val="00551F02"/>
    <w:rsid w:val="00551F97"/>
    <w:rsid w:val="0055249A"/>
    <w:rsid w:val="00552577"/>
    <w:rsid w:val="00552947"/>
    <w:rsid w:val="00552C4E"/>
    <w:rsid w:val="00552C95"/>
    <w:rsid w:val="00552DBD"/>
    <w:rsid w:val="005530F5"/>
    <w:rsid w:val="00553204"/>
    <w:rsid w:val="00553281"/>
    <w:rsid w:val="00553423"/>
    <w:rsid w:val="0055348E"/>
    <w:rsid w:val="00553890"/>
    <w:rsid w:val="00553C44"/>
    <w:rsid w:val="00553DA6"/>
    <w:rsid w:val="00553F20"/>
    <w:rsid w:val="005543DC"/>
    <w:rsid w:val="005544D1"/>
    <w:rsid w:val="00554852"/>
    <w:rsid w:val="005548B8"/>
    <w:rsid w:val="0055492F"/>
    <w:rsid w:val="00554A86"/>
    <w:rsid w:val="00554EB6"/>
    <w:rsid w:val="00555505"/>
    <w:rsid w:val="00555618"/>
    <w:rsid w:val="00555BF9"/>
    <w:rsid w:val="00555E89"/>
    <w:rsid w:val="00556415"/>
    <w:rsid w:val="0055668C"/>
    <w:rsid w:val="0055679F"/>
    <w:rsid w:val="005567E7"/>
    <w:rsid w:val="00556802"/>
    <w:rsid w:val="0055697D"/>
    <w:rsid w:val="00556D1C"/>
    <w:rsid w:val="00556D21"/>
    <w:rsid w:val="00556F1F"/>
    <w:rsid w:val="00556FCB"/>
    <w:rsid w:val="00556FEE"/>
    <w:rsid w:val="005570D7"/>
    <w:rsid w:val="005571BE"/>
    <w:rsid w:val="00557427"/>
    <w:rsid w:val="00557493"/>
    <w:rsid w:val="005575C1"/>
    <w:rsid w:val="00557793"/>
    <w:rsid w:val="00557868"/>
    <w:rsid w:val="00557B21"/>
    <w:rsid w:val="00557F88"/>
    <w:rsid w:val="00560541"/>
    <w:rsid w:val="00560621"/>
    <w:rsid w:val="005607D5"/>
    <w:rsid w:val="00560939"/>
    <w:rsid w:val="00560C45"/>
    <w:rsid w:val="00560C5C"/>
    <w:rsid w:val="00560CDF"/>
    <w:rsid w:val="0056107F"/>
    <w:rsid w:val="00561130"/>
    <w:rsid w:val="0056130E"/>
    <w:rsid w:val="0056182A"/>
    <w:rsid w:val="005618CF"/>
    <w:rsid w:val="00561AA1"/>
    <w:rsid w:val="00562157"/>
    <w:rsid w:val="00562997"/>
    <w:rsid w:val="00562A39"/>
    <w:rsid w:val="00562D0E"/>
    <w:rsid w:val="00562D83"/>
    <w:rsid w:val="00562E43"/>
    <w:rsid w:val="00562E71"/>
    <w:rsid w:val="00562F72"/>
    <w:rsid w:val="005633F6"/>
    <w:rsid w:val="005634CD"/>
    <w:rsid w:val="005638DA"/>
    <w:rsid w:val="00563929"/>
    <w:rsid w:val="00563B19"/>
    <w:rsid w:val="00563F4E"/>
    <w:rsid w:val="00564BB0"/>
    <w:rsid w:val="00564CA7"/>
    <w:rsid w:val="00564DC0"/>
    <w:rsid w:val="0056510F"/>
    <w:rsid w:val="00565186"/>
    <w:rsid w:val="00565333"/>
    <w:rsid w:val="00565710"/>
    <w:rsid w:val="00565AA5"/>
    <w:rsid w:val="00565E69"/>
    <w:rsid w:val="00565EB0"/>
    <w:rsid w:val="00565F0A"/>
    <w:rsid w:val="0056601A"/>
    <w:rsid w:val="00566188"/>
    <w:rsid w:val="0056636E"/>
    <w:rsid w:val="0056679E"/>
    <w:rsid w:val="00566A77"/>
    <w:rsid w:val="00566B15"/>
    <w:rsid w:val="00566B81"/>
    <w:rsid w:val="00566E89"/>
    <w:rsid w:val="00567110"/>
    <w:rsid w:val="005671B7"/>
    <w:rsid w:val="00567918"/>
    <w:rsid w:val="00567978"/>
    <w:rsid w:val="00567BF4"/>
    <w:rsid w:val="00567C59"/>
    <w:rsid w:val="00567DC0"/>
    <w:rsid w:val="00567E1F"/>
    <w:rsid w:val="00567F7E"/>
    <w:rsid w:val="00570252"/>
    <w:rsid w:val="005705E7"/>
    <w:rsid w:val="00570629"/>
    <w:rsid w:val="00570863"/>
    <w:rsid w:val="005709DA"/>
    <w:rsid w:val="00571187"/>
    <w:rsid w:val="005712BF"/>
    <w:rsid w:val="00571318"/>
    <w:rsid w:val="0057145A"/>
    <w:rsid w:val="005714F7"/>
    <w:rsid w:val="00571501"/>
    <w:rsid w:val="00571BE2"/>
    <w:rsid w:val="00571C58"/>
    <w:rsid w:val="00571C92"/>
    <w:rsid w:val="0057200D"/>
    <w:rsid w:val="00572236"/>
    <w:rsid w:val="00572240"/>
    <w:rsid w:val="00572275"/>
    <w:rsid w:val="005723FA"/>
    <w:rsid w:val="005724D5"/>
    <w:rsid w:val="005725B4"/>
    <w:rsid w:val="005726DD"/>
    <w:rsid w:val="00573498"/>
    <w:rsid w:val="005734E9"/>
    <w:rsid w:val="00573606"/>
    <w:rsid w:val="0057375B"/>
    <w:rsid w:val="005739A9"/>
    <w:rsid w:val="00573EDE"/>
    <w:rsid w:val="00573FAA"/>
    <w:rsid w:val="00574734"/>
    <w:rsid w:val="0057474C"/>
    <w:rsid w:val="00574905"/>
    <w:rsid w:val="00574BA3"/>
    <w:rsid w:val="00574C31"/>
    <w:rsid w:val="00575008"/>
    <w:rsid w:val="0057523A"/>
    <w:rsid w:val="005754F9"/>
    <w:rsid w:val="00575811"/>
    <w:rsid w:val="005758E8"/>
    <w:rsid w:val="005761C3"/>
    <w:rsid w:val="00576468"/>
    <w:rsid w:val="005764E4"/>
    <w:rsid w:val="005764E6"/>
    <w:rsid w:val="005766B1"/>
    <w:rsid w:val="00576A83"/>
    <w:rsid w:val="00576C92"/>
    <w:rsid w:val="00576D3C"/>
    <w:rsid w:val="00576EFD"/>
    <w:rsid w:val="00576FFE"/>
    <w:rsid w:val="00577176"/>
    <w:rsid w:val="00577623"/>
    <w:rsid w:val="00577CA6"/>
    <w:rsid w:val="00577CC8"/>
    <w:rsid w:val="00577CF8"/>
    <w:rsid w:val="0058014D"/>
    <w:rsid w:val="00581131"/>
    <w:rsid w:val="005813D3"/>
    <w:rsid w:val="0058199D"/>
    <w:rsid w:val="005820C3"/>
    <w:rsid w:val="0058235B"/>
    <w:rsid w:val="00582371"/>
    <w:rsid w:val="0058250D"/>
    <w:rsid w:val="00582852"/>
    <w:rsid w:val="005829EC"/>
    <w:rsid w:val="00582E71"/>
    <w:rsid w:val="00582F26"/>
    <w:rsid w:val="00583111"/>
    <w:rsid w:val="005833F9"/>
    <w:rsid w:val="00583637"/>
    <w:rsid w:val="00583676"/>
    <w:rsid w:val="005836C6"/>
    <w:rsid w:val="005836DD"/>
    <w:rsid w:val="00583958"/>
    <w:rsid w:val="00583984"/>
    <w:rsid w:val="00583A0E"/>
    <w:rsid w:val="00583F7B"/>
    <w:rsid w:val="005841DF"/>
    <w:rsid w:val="00584281"/>
    <w:rsid w:val="005845EA"/>
    <w:rsid w:val="00584A49"/>
    <w:rsid w:val="00584A8C"/>
    <w:rsid w:val="00584C7C"/>
    <w:rsid w:val="00584DF5"/>
    <w:rsid w:val="0058523E"/>
    <w:rsid w:val="0058535A"/>
    <w:rsid w:val="00585591"/>
    <w:rsid w:val="00585AE3"/>
    <w:rsid w:val="00585AE7"/>
    <w:rsid w:val="00585B02"/>
    <w:rsid w:val="00585B88"/>
    <w:rsid w:val="0058604E"/>
    <w:rsid w:val="00586052"/>
    <w:rsid w:val="00586176"/>
    <w:rsid w:val="0058649B"/>
    <w:rsid w:val="00586527"/>
    <w:rsid w:val="0058688D"/>
    <w:rsid w:val="00586AC2"/>
    <w:rsid w:val="005875A9"/>
    <w:rsid w:val="00587802"/>
    <w:rsid w:val="005878E1"/>
    <w:rsid w:val="0058794B"/>
    <w:rsid w:val="00587BE3"/>
    <w:rsid w:val="00587DC5"/>
    <w:rsid w:val="00587E75"/>
    <w:rsid w:val="00590100"/>
    <w:rsid w:val="005903AF"/>
    <w:rsid w:val="005904B8"/>
    <w:rsid w:val="0059062C"/>
    <w:rsid w:val="0059094B"/>
    <w:rsid w:val="00590A7D"/>
    <w:rsid w:val="00590BE5"/>
    <w:rsid w:val="00590D4F"/>
    <w:rsid w:val="00590D93"/>
    <w:rsid w:val="00590DD0"/>
    <w:rsid w:val="00590E8A"/>
    <w:rsid w:val="00590FC1"/>
    <w:rsid w:val="0059111B"/>
    <w:rsid w:val="00591258"/>
    <w:rsid w:val="005914CC"/>
    <w:rsid w:val="005915BD"/>
    <w:rsid w:val="005916F1"/>
    <w:rsid w:val="0059188C"/>
    <w:rsid w:val="005919FD"/>
    <w:rsid w:val="0059201B"/>
    <w:rsid w:val="00592675"/>
    <w:rsid w:val="0059289D"/>
    <w:rsid w:val="005928B2"/>
    <w:rsid w:val="00592C74"/>
    <w:rsid w:val="00592DE8"/>
    <w:rsid w:val="00592FBC"/>
    <w:rsid w:val="0059364F"/>
    <w:rsid w:val="00593BA6"/>
    <w:rsid w:val="00593CBF"/>
    <w:rsid w:val="00593D17"/>
    <w:rsid w:val="00593D19"/>
    <w:rsid w:val="00593EC5"/>
    <w:rsid w:val="00594049"/>
    <w:rsid w:val="00594A94"/>
    <w:rsid w:val="00594C25"/>
    <w:rsid w:val="00594D80"/>
    <w:rsid w:val="00594F61"/>
    <w:rsid w:val="005954CE"/>
    <w:rsid w:val="005958FF"/>
    <w:rsid w:val="00595974"/>
    <w:rsid w:val="00595981"/>
    <w:rsid w:val="00595C4A"/>
    <w:rsid w:val="00595CE8"/>
    <w:rsid w:val="00595E09"/>
    <w:rsid w:val="00595FFC"/>
    <w:rsid w:val="005960EA"/>
    <w:rsid w:val="005963D9"/>
    <w:rsid w:val="00596589"/>
    <w:rsid w:val="0059670E"/>
    <w:rsid w:val="00596917"/>
    <w:rsid w:val="0059696B"/>
    <w:rsid w:val="00596981"/>
    <w:rsid w:val="00596B05"/>
    <w:rsid w:val="00596E58"/>
    <w:rsid w:val="005973AE"/>
    <w:rsid w:val="005978DF"/>
    <w:rsid w:val="005979AA"/>
    <w:rsid w:val="00597AD5"/>
    <w:rsid w:val="005A035F"/>
    <w:rsid w:val="005A046E"/>
    <w:rsid w:val="005A0524"/>
    <w:rsid w:val="005A070D"/>
    <w:rsid w:val="005A0803"/>
    <w:rsid w:val="005A080A"/>
    <w:rsid w:val="005A0B3A"/>
    <w:rsid w:val="005A0F00"/>
    <w:rsid w:val="005A109F"/>
    <w:rsid w:val="005A1131"/>
    <w:rsid w:val="005A163D"/>
    <w:rsid w:val="005A164C"/>
    <w:rsid w:val="005A1AAF"/>
    <w:rsid w:val="005A1EEB"/>
    <w:rsid w:val="005A1FAF"/>
    <w:rsid w:val="005A1FFA"/>
    <w:rsid w:val="005A2012"/>
    <w:rsid w:val="005A20DC"/>
    <w:rsid w:val="005A214D"/>
    <w:rsid w:val="005A2530"/>
    <w:rsid w:val="005A25B4"/>
    <w:rsid w:val="005A28E2"/>
    <w:rsid w:val="005A2C1E"/>
    <w:rsid w:val="005A2EAD"/>
    <w:rsid w:val="005A32EA"/>
    <w:rsid w:val="005A335F"/>
    <w:rsid w:val="005A33F1"/>
    <w:rsid w:val="005A35AD"/>
    <w:rsid w:val="005A377E"/>
    <w:rsid w:val="005A388C"/>
    <w:rsid w:val="005A3D62"/>
    <w:rsid w:val="005A3E24"/>
    <w:rsid w:val="005A4125"/>
    <w:rsid w:val="005A41EA"/>
    <w:rsid w:val="005A43C4"/>
    <w:rsid w:val="005A449D"/>
    <w:rsid w:val="005A4688"/>
    <w:rsid w:val="005A46E1"/>
    <w:rsid w:val="005A474B"/>
    <w:rsid w:val="005A47DA"/>
    <w:rsid w:val="005A48A1"/>
    <w:rsid w:val="005A4974"/>
    <w:rsid w:val="005A4CC5"/>
    <w:rsid w:val="005A5024"/>
    <w:rsid w:val="005A5053"/>
    <w:rsid w:val="005A5196"/>
    <w:rsid w:val="005A5249"/>
    <w:rsid w:val="005A564E"/>
    <w:rsid w:val="005A5857"/>
    <w:rsid w:val="005A5C18"/>
    <w:rsid w:val="005A5E79"/>
    <w:rsid w:val="005A5F46"/>
    <w:rsid w:val="005A61D6"/>
    <w:rsid w:val="005A6C9D"/>
    <w:rsid w:val="005A6DBB"/>
    <w:rsid w:val="005A6EEE"/>
    <w:rsid w:val="005A6F08"/>
    <w:rsid w:val="005A7386"/>
    <w:rsid w:val="005A78E1"/>
    <w:rsid w:val="005A7BAD"/>
    <w:rsid w:val="005A7DAB"/>
    <w:rsid w:val="005A7FCC"/>
    <w:rsid w:val="005B01C7"/>
    <w:rsid w:val="005B0320"/>
    <w:rsid w:val="005B040D"/>
    <w:rsid w:val="005B054C"/>
    <w:rsid w:val="005B05E7"/>
    <w:rsid w:val="005B09E9"/>
    <w:rsid w:val="005B0AB6"/>
    <w:rsid w:val="005B0DE7"/>
    <w:rsid w:val="005B0E01"/>
    <w:rsid w:val="005B0ED1"/>
    <w:rsid w:val="005B1288"/>
    <w:rsid w:val="005B12A4"/>
    <w:rsid w:val="005B12DB"/>
    <w:rsid w:val="005B1584"/>
    <w:rsid w:val="005B19A3"/>
    <w:rsid w:val="005B1A0A"/>
    <w:rsid w:val="005B1A24"/>
    <w:rsid w:val="005B1BE4"/>
    <w:rsid w:val="005B1D87"/>
    <w:rsid w:val="005B2317"/>
    <w:rsid w:val="005B238B"/>
    <w:rsid w:val="005B23DF"/>
    <w:rsid w:val="005B24A5"/>
    <w:rsid w:val="005B267F"/>
    <w:rsid w:val="005B27CB"/>
    <w:rsid w:val="005B2905"/>
    <w:rsid w:val="005B2DCB"/>
    <w:rsid w:val="005B3070"/>
    <w:rsid w:val="005B3384"/>
    <w:rsid w:val="005B35C6"/>
    <w:rsid w:val="005B383C"/>
    <w:rsid w:val="005B3BBD"/>
    <w:rsid w:val="005B4161"/>
    <w:rsid w:val="005B41CA"/>
    <w:rsid w:val="005B41F7"/>
    <w:rsid w:val="005B424E"/>
    <w:rsid w:val="005B43D8"/>
    <w:rsid w:val="005B4434"/>
    <w:rsid w:val="005B44D6"/>
    <w:rsid w:val="005B4904"/>
    <w:rsid w:val="005B5388"/>
    <w:rsid w:val="005B53DE"/>
    <w:rsid w:val="005B548D"/>
    <w:rsid w:val="005B588C"/>
    <w:rsid w:val="005B5AC7"/>
    <w:rsid w:val="005B604A"/>
    <w:rsid w:val="005B6083"/>
    <w:rsid w:val="005B6492"/>
    <w:rsid w:val="005B68C1"/>
    <w:rsid w:val="005B6A77"/>
    <w:rsid w:val="005B6ABC"/>
    <w:rsid w:val="005B6CA4"/>
    <w:rsid w:val="005B732E"/>
    <w:rsid w:val="005B7949"/>
    <w:rsid w:val="005B79FD"/>
    <w:rsid w:val="005B7D0E"/>
    <w:rsid w:val="005B7E92"/>
    <w:rsid w:val="005C018C"/>
    <w:rsid w:val="005C0294"/>
    <w:rsid w:val="005C0785"/>
    <w:rsid w:val="005C09AE"/>
    <w:rsid w:val="005C0AC4"/>
    <w:rsid w:val="005C0BE5"/>
    <w:rsid w:val="005C0DE7"/>
    <w:rsid w:val="005C15BA"/>
    <w:rsid w:val="005C15FE"/>
    <w:rsid w:val="005C18CE"/>
    <w:rsid w:val="005C1B61"/>
    <w:rsid w:val="005C1BA0"/>
    <w:rsid w:val="005C1EE9"/>
    <w:rsid w:val="005C241A"/>
    <w:rsid w:val="005C24D2"/>
    <w:rsid w:val="005C24F8"/>
    <w:rsid w:val="005C25CF"/>
    <w:rsid w:val="005C263F"/>
    <w:rsid w:val="005C2762"/>
    <w:rsid w:val="005C27FA"/>
    <w:rsid w:val="005C29FB"/>
    <w:rsid w:val="005C2A67"/>
    <w:rsid w:val="005C2C93"/>
    <w:rsid w:val="005C2DB5"/>
    <w:rsid w:val="005C2F0E"/>
    <w:rsid w:val="005C2FD5"/>
    <w:rsid w:val="005C306E"/>
    <w:rsid w:val="005C31D9"/>
    <w:rsid w:val="005C359A"/>
    <w:rsid w:val="005C3665"/>
    <w:rsid w:val="005C3C23"/>
    <w:rsid w:val="005C3CFB"/>
    <w:rsid w:val="005C448C"/>
    <w:rsid w:val="005C4520"/>
    <w:rsid w:val="005C4856"/>
    <w:rsid w:val="005C4BE4"/>
    <w:rsid w:val="005C4C22"/>
    <w:rsid w:val="005C4E76"/>
    <w:rsid w:val="005C5374"/>
    <w:rsid w:val="005C577F"/>
    <w:rsid w:val="005C5781"/>
    <w:rsid w:val="005C6242"/>
    <w:rsid w:val="005C63E1"/>
    <w:rsid w:val="005C6594"/>
    <w:rsid w:val="005C6D13"/>
    <w:rsid w:val="005C6EF1"/>
    <w:rsid w:val="005C6EFF"/>
    <w:rsid w:val="005C7347"/>
    <w:rsid w:val="005C7447"/>
    <w:rsid w:val="005C748A"/>
    <w:rsid w:val="005C75E2"/>
    <w:rsid w:val="005C7898"/>
    <w:rsid w:val="005C7E11"/>
    <w:rsid w:val="005C7ECE"/>
    <w:rsid w:val="005D074D"/>
    <w:rsid w:val="005D0D13"/>
    <w:rsid w:val="005D0D29"/>
    <w:rsid w:val="005D1210"/>
    <w:rsid w:val="005D13D0"/>
    <w:rsid w:val="005D13D4"/>
    <w:rsid w:val="005D15EA"/>
    <w:rsid w:val="005D1754"/>
    <w:rsid w:val="005D1A3A"/>
    <w:rsid w:val="005D2027"/>
    <w:rsid w:val="005D245B"/>
    <w:rsid w:val="005D270F"/>
    <w:rsid w:val="005D2734"/>
    <w:rsid w:val="005D2744"/>
    <w:rsid w:val="005D2E5C"/>
    <w:rsid w:val="005D2F1C"/>
    <w:rsid w:val="005D324E"/>
    <w:rsid w:val="005D3437"/>
    <w:rsid w:val="005D3459"/>
    <w:rsid w:val="005D349D"/>
    <w:rsid w:val="005D3527"/>
    <w:rsid w:val="005D3888"/>
    <w:rsid w:val="005D388C"/>
    <w:rsid w:val="005D38CC"/>
    <w:rsid w:val="005D3BD3"/>
    <w:rsid w:val="005D3D12"/>
    <w:rsid w:val="005D3D19"/>
    <w:rsid w:val="005D3F44"/>
    <w:rsid w:val="005D432B"/>
    <w:rsid w:val="005D46E9"/>
    <w:rsid w:val="005D46F3"/>
    <w:rsid w:val="005D478F"/>
    <w:rsid w:val="005D499A"/>
    <w:rsid w:val="005D4A27"/>
    <w:rsid w:val="005D4B28"/>
    <w:rsid w:val="005D4B7B"/>
    <w:rsid w:val="005D4D62"/>
    <w:rsid w:val="005D4F32"/>
    <w:rsid w:val="005D5315"/>
    <w:rsid w:val="005D55C7"/>
    <w:rsid w:val="005D59A6"/>
    <w:rsid w:val="005D5B7D"/>
    <w:rsid w:val="005D62B3"/>
    <w:rsid w:val="005D63C2"/>
    <w:rsid w:val="005D6565"/>
    <w:rsid w:val="005D656A"/>
    <w:rsid w:val="005D688F"/>
    <w:rsid w:val="005D6B99"/>
    <w:rsid w:val="005D6C3A"/>
    <w:rsid w:val="005D6C98"/>
    <w:rsid w:val="005D6D78"/>
    <w:rsid w:val="005D6E2B"/>
    <w:rsid w:val="005D70DF"/>
    <w:rsid w:val="005D74D9"/>
    <w:rsid w:val="005D7769"/>
    <w:rsid w:val="005D7847"/>
    <w:rsid w:val="005D797B"/>
    <w:rsid w:val="005D7B0A"/>
    <w:rsid w:val="005D7E74"/>
    <w:rsid w:val="005D7FC2"/>
    <w:rsid w:val="005E0025"/>
    <w:rsid w:val="005E0683"/>
    <w:rsid w:val="005E06D1"/>
    <w:rsid w:val="005E0A22"/>
    <w:rsid w:val="005E0B6F"/>
    <w:rsid w:val="005E10F7"/>
    <w:rsid w:val="005E120D"/>
    <w:rsid w:val="005E1276"/>
    <w:rsid w:val="005E13AD"/>
    <w:rsid w:val="005E1437"/>
    <w:rsid w:val="005E14DE"/>
    <w:rsid w:val="005E1613"/>
    <w:rsid w:val="005E17B1"/>
    <w:rsid w:val="005E19A1"/>
    <w:rsid w:val="005E1AFC"/>
    <w:rsid w:val="005E287B"/>
    <w:rsid w:val="005E2B16"/>
    <w:rsid w:val="005E2B5D"/>
    <w:rsid w:val="005E2C1B"/>
    <w:rsid w:val="005E2D18"/>
    <w:rsid w:val="005E2F28"/>
    <w:rsid w:val="005E2F6F"/>
    <w:rsid w:val="005E34EF"/>
    <w:rsid w:val="005E35D5"/>
    <w:rsid w:val="005E3D70"/>
    <w:rsid w:val="005E3D79"/>
    <w:rsid w:val="005E3F6A"/>
    <w:rsid w:val="005E3FE6"/>
    <w:rsid w:val="005E4089"/>
    <w:rsid w:val="005E409C"/>
    <w:rsid w:val="005E4419"/>
    <w:rsid w:val="005E4708"/>
    <w:rsid w:val="005E4744"/>
    <w:rsid w:val="005E48D7"/>
    <w:rsid w:val="005E49E7"/>
    <w:rsid w:val="005E4AA2"/>
    <w:rsid w:val="005E4CA4"/>
    <w:rsid w:val="005E4FDE"/>
    <w:rsid w:val="005E5024"/>
    <w:rsid w:val="005E576E"/>
    <w:rsid w:val="005E5A56"/>
    <w:rsid w:val="005E5B4E"/>
    <w:rsid w:val="005E5B8F"/>
    <w:rsid w:val="005E5BD6"/>
    <w:rsid w:val="005E5D3C"/>
    <w:rsid w:val="005E5DD5"/>
    <w:rsid w:val="005E5E27"/>
    <w:rsid w:val="005E5EA7"/>
    <w:rsid w:val="005E60FC"/>
    <w:rsid w:val="005E6375"/>
    <w:rsid w:val="005E63E6"/>
    <w:rsid w:val="005E648C"/>
    <w:rsid w:val="005E66F0"/>
    <w:rsid w:val="005E68C5"/>
    <w:rsid w:val="005E6C2C"/>
    <w:rsid w:val="005E6EA8"/>
    <w:rsid w:val="005E6F9D"/>
    <w:rsid w:val="005E72E6"/>
    <w:rsid w:val="005E733E"/>
    <w:rsid w:val="005E769C"/>
    <w:rsid w:val="005E79C0"/>
    <w:rsid w:val="005E7AD0"/>
    <w:rsid w:val="005E7F59"/>
    <w:rsid w:val="005F004C"/>
    <w:rsid w:val="005F04BD"/>
    <w:rsid w:val="005F0549"/>
    <w:rsid w:val="005F068E"/>
    <w:rsid w:val="005F0831"/>
    <w:rsid w:val="005F0AD3"/>
    <w:rsid w:val="005F0B4C"/>
    <w:rsid w:val="005F0BA5"/>
    <w:rsid w:val="005F0D83"/>
    <w:rsid w:val="005F1220"/>
    <w:rsid w:val="005F123C"/>
    <w:rsid w:val="005F130D"/>
    <w:rsid w:val="005F1AC4"/>
    <w:rsid w:val="005F1B14"/>
    <w:rsid w:val="005F21E4"/>
    <w:rsid w:val="005F284D"/>
    <w:rsid w:val="005F2A5A"/>
    <w:rsid w:val="005F2BF8"/>
    <w:rsid w:val="005F2F98"/>
    <w:rsid w:val="005F317C"/>
    <w:rsid w:val="005F36F2"/>
    <w:rsid w:val="005F3812"/>
    <w:rsid w:val="005F3947"/>
    <w:rsid w:val="005F3A34"/>
    <w:rsid w:val="005F3B5C"/>
    <w:rsid w:val="005F3C1C"/>
    <w:rsid w:val="005F3E6C"/>
    <w:rsid w:val="005F3F90"/>
    <w:rsid w:val="005F4011"/>
    <w:rsid w:val="005F4202"/>
    <w:rsid w:val="005F4392"/>
    <w:rsid w:val="005F4396"/>
    <w:rsid w:val="005F48C8"/>
    <w:rsid w:val="005F4A7E"/>
    <w:rsid w:val="005F4E62"/>
    <w:rsid w:val="005F51EE"/>
    <w:rsid w:val="005F5253"/>
    <w:rsid w:val="005F5ADE"/>
    <w:rsid w:val="005F5E4B"/>
    <w:rsid w:val="005F60AB"/>
    <w:rsid w:val="005F6250"/>
    <w:rsid w:val="005F633D"/>
    <w:rsid w:val="005F6819"/>
    <w:rsid w:val="005F6BFC"/>
    <w:rsid w:val="005F6CD7"/>
    <w:rsid w:val="005F7098"/>
    <w:rsid w:val="005F70DA"/>
    <w:rsid w:val="005F730A"/>
    <w:rsid w:val="005F782E"/>
    <w:rsid w:val="005F784D"/>
    <w:rsid w:val="005F78CD"/>
    <w:rsid w:val="005F78CE"/>
    <w:rsid w:val="005F7A3D"/>
    <w:rsid w:val="005F7B56"/>
    <w:rsid w:val="005F7C0F"/>
    <w:rsid w:val="005F7FB1"/>
    <w:rsid w:val="00600570"/>
    <w:rsid w:val="00600760"/>
    <w:rsid w:val="006007B7"/>
    <w:rsid w:val="0060098B"/>
    <w:rsid w:val="006009BF"/>
    <w:rsid w:val="00600AA0"/>
    <w:rsid w:val="00600E98"/>
    <w:rsid w:val="00600FE3"/>
    <w:rsid w:val="0060107C"/>
    <w:rsid w:val="0060112D"/>
    <w:rsid w:val="006012BD"/>
    <w:rsid w:val="006016FC"/>
    <w:rsid w:val="00601849"/>
    <w:rsid w:val="00601B04"/>
    <w:rsid w:val="00601E0F"/>
    <w:rsid w:val="00601E20"/>
    <w:rsid w:val="0060205F"/>
    <w:rsid w:val="00602453"/>
    <w:rsid w:val="006027E0"/>
    <w:rsid w:val="00602814"/>
    <w:rsid w:val="00602A07"/>
    <w:rsid w:val="00602B00"/>
    <w:rsid w:val="00602E8C"/>
    <w:rsid w:val="00603146"/>
    <w:rsid w:val="00603303"/>
    <w:rsid w:val="006034B1"/>
    <w:rsid w:val="0060363B"/>
    <w:rsid w:val="006038C6"/>
    <w:rsid w:val="006038C8"/>
    <w:rsid w:val="00603976"/>
    <w:rsid w:val="0060398A"/>
    <w:rsid w:val="00603A6D"/>
    <w:rsid w:val="00603B79"/>
    <w:rsid w:val="00604096"/>
    <w:rsid w:val="006040C1"/>
    <w:rsid w:val="006043E6"/>
    <w:rsid w:val="006045FE"/>
    <w:rsid w:val="00604A78"/>
    <w:rsid w:val="00604BE2"/>
    <w:rsid w:val="00604EB0"/>
    <w:rsid w:val="00604F50"/>
    <w:rsid w:val="00605301"/>
    <w:rsid w:val="00605459"/>
    <w:rsid w:val="00605D85"/>
    <w:rsid w:val="00605E51"/>
    <w:rsid w:val="00606440"/>
    <w:rsid w:val="00606515"/>
    <w:rsid w:val="00606538"/>
    <w:rsid w:val="0060664C"/>
    <w:rsid w:val="006067EE"/>
    <w:rsid w:val="00606D97"/>
    <w:rsid w:val="00606E9A"/>
    <w:rsid w:val="006073E1"/>
    <w:rsid w:val="0060742C"/>
    <w:rsid w:val="00607670"/>
    <w:rsid w:val="006079D8"/>
    <w:rsid w:val="00607AAC"/>
    <w:rsid w:val="00607BAE"/>
    <w:rsid w:val="00607DDF"/>
    <w:rsid w:val="00607DF6"/>
    <w:rsid w:val="00607E9B"/>
    <w:rsid w:val="00607EF6"/>
    <w:rsid w:val="00610133"/>
    <w:rsid w:val="00610222"/>
    <w:rsid w:val="006103F2"/>
    <w:rsid w:val="00610469"/>
    <w:rsid w:val="006105B6"/>
    <w:rsid w:val="0061073D"/>
    <w:rsid w:val="00610792"/>
    <w:rsid w:val="006108D4"/>
    <w:rsid w:val="006109E0"/>
    <w:rsid w:val="00610B1C"/>
    <w:rsid w:val="00610B88"/>
    <w:rsid w:val="00610C10"/>
    <w:rsid w:val="00610F31"/>
    <w:rsid w:val="00610F81"/>
    <w:rsid w:val="00610FB5"/>
    <w:rsid w:val="0061146C"/>
    <w:rsid w:val="0061180B"/>
    <w:rsid w:val="0061186C"/>
    <w:rsid w:val="00611987"/>
    <w:rsid w:val="00611AC1"/>
    <w:rsid w:val="00611CBB"/>
    <w:rsid w:val="0061219F"/>
    <w:rsid w:val="006126E1"/>
    <w:rsid w:val="00612839"/>
    <w:rsid w:val="00612B98"/>
    <w:rsid w:val="00613017"/>
    <w:rsid w:val="00613180"/>
    <w:rsid w:val="0061332E"/>
    <w:rsid w:val="00613445"/>
    <w:rsid w:val="006135C1"/>
    <w:rsid w:val="006138E2"/>
    <w:rsid w:val="00613A4C"/>
    <w:rsid w:val="00613D23"/>
    <w:rsid w:val="00613D67"/>
    <w:rsid w:val="00613F3D"/>
    <w:rsid w:val="00613FB0"/>
    <w:rsid w:val="0061401A"/>
    <w:rsid w:val="00614118"/>
    <w:rsid w:val="00614137"/>
    <w:rsid w:val="006141D4"/>
    <w:rsid w:val="006141EC"/>
    <w:rsid w:val="00614A33"/>
    <w:rsid w:val="00614FF0"/>
    <w:rsid w:val="006152B6"/>
    <w:rsid w:val="00615360"/>
    <w:rsid w:val="006156D3"/>
    <w:rsid w:val="0061578C"/>
    <w:rsid w:val="006157FD"/>
    <w:rsid w:val="00615C66"/>
    <w:rsid w:val="00615E6C"/>
    <w:rsid w:val="00616185"/>
    <w:rsid w:val="006161F0"/>
    <w:rsid w:val="006162B7"/>
    <w:rsid w:val="0061641C"/>
    <w:rsid w:val="00616823"/>
    <w:rsid w:val="00616954"/>
    <w:rsid w:val="00617071"/>
    <w:rsid w:val="0061766A"/>
    <w:rsid w:val="00617DBB"/>
    <w:rsid w:val="00620095"/>
    <w:rsid w:val="0062044D"/>
    <w:rsid w:val="00620537"/>
    <w:rsid w:val="00620A91"/>
    <w:rsid w:val="00620AC9"/>
    <w:rsid w:val="00620D30"/>
    <w:rsid w:val="00620DC1"/>
    <w:rsid w:val="006211CD"/>
    <w:rsid w:val="006215B6"/>
    <w:rsid w:val="00621A3E"/>
    <w:rsid w:val="00621B6A"/>
    <w:rsid w:val="00621E73"/>
    <w:rsid w:val="00621FBD"/>
    <w:rsid w:val="0062228C"/>
    <w:rsid w:val="006223EF"/>
    <w:rsid w:val="00622EA8"/>
    <w:rsid w:val="00622EC3"/>
    <w:rsid w:val="00622ED2"/>
    <w:rsid w:val="006234D6"/>
    <w:rsid w:val="00623671"/>
    <w:rsid w:val="006237A6"/>
    <w:rsid w:val="00623B86"/>
    <w:rsid w:val="00623C4C"/>
    <w:rsid w:val="00624495"/>
    <w:rsid w:val="00624734"/>
    <w:rsid w:val="006248C5"/>
    <w:rsid w:val="00624CEC"/>
    <w:rsid w:val="00625222"/>
    <w:rsid w:val="006255E0"/>
    <w:rsid w:val="0062578D"/>
    <w:rsid w:val="00625A00"/>
    <w:rsid w:val="00625A4D"/>
    <w:rsid w:val="00625D5C"/>
    <w:rsid w:val="00625E96"/>
    <w:rsid w:val="00626128"/>
    <w:rsid w:val="006269F5"/>
    <w:rsid w:val="00626A60"/>
    <w:rsid w:val="00627235"/>
    <w:rsid w:val="006275D2"/>
    <w:rsid w:val="006275E9"/>
    <w:rsid w:val="006277ED"/>
    <w:rsid w:val="00627AFC"/>
    <w:rsid w:val="00627BCD"/>
    <w:rsid w:val="00627C1C"/>
    <w:rsid w:val="0063002D"/>
    <w:rsid w:val="0063042E"/>
    <w:rsid w:val="00630565"/>
    <w:rsid w:val="00630599"/>
    <w:rsid w:val="0063071C"/>
    <w:rsid w:val="00630747"/>
    <w:rsid w:val="00630A6C"/>
    <w:rsid w:val="00631052"/>
    <w:rsid w:val="00631117"/>
    <w:rsid w:val="00631183"/>
    <w:rsid w:val="006314F6"/>
    <w:rsid w:val="00631569"/>
    <w:rsid w:val="00631D24"/>
    <w:rsid w:val="00631E9B"/>
    <w:rsid w:val="00631F31"/>
    <w:rsid w:val="00632238"/>
    <w:rsid w:val="006322E9"/>
    <w:rsid w:val="006323AE"/>
    <w:rsid w:val="006323CF"/>
    <w:rsid w:val="006323D4"/>
    <w:rsid w:val="00632428"/>
    <w:rsid w:val="00632B60"/>
    <w:rsid w:val="00632BF5"/>
    <w:rsid w:val="00632D86"/>
    <w:rsid w:val="00632DD2"/>
    <w:rsid w:val="0063321A"/>
    <w:rsid w:val="00633EE9"/>
    <w:rsid w:val="0063403A"/>
    <w:rsid w:val="00634327"/>
    <w:rsid w:val="00634B0A"/>
    <w:rsid w:val="00634D6B"/>
    <w:rsid w:val="00634FC8"/>
    <w:rsid w:val="00635251"/>
    <w:rsid w:val="00635265"/>
    <w:rsid w:val="0063576C"/>
    <w:rsid w:val="006357C7"/>
    <w:rsid w:val="00635841"/>
    <w:rsid w:val="00635CD6"/>
    <w:rsid w:val="00636495"/>
    <w:rsid w:val="00636899"/>
    <w:rsid w:val="00636A62"/>
    <w:rsid w:val="00636ABD"/>
    <w:rsid w:val="00636AC8"/>
    <w:rsid w:val="00636B4B"/>
    <w:rsid w:val="00636B83"/>
    <w:rsid w:val="00636F96"/>
    <w:rsid w:val="0063716D"/>
    <w:rsid w:val="006376F3"/>
    <w:rsid w:val="0063783B"/>
    <w:rsid w:val="00637DCD"/>
    <w:rsid w:val="00637E13"/>
    <w:rsid w:val="0064016D"/>
    <w:rsid w:val="006408BD"/>
    <w:rsid w:val="006409F1"/>
    <w:rsid w:val="00640A63"/>
    <w:rsid w:val="00640ABC"/>
    <w:rsid w:val="00640EFE"/>
    <w:rsid w:val="0064111E"/>
    <w:rsid w:val="00641455"/>
    <w:rsid w:val="006420AC"/>
    <w:rsid w:val="006420BD"/>
    <w:rsid w:val="00642116"/>
    <w:rsid w:val="0064232E"/>
    <w:rsid w:val="006424A5"/>
    <w:rsid w:val="00642631"/>
    <w:rsid w:val="006427AD"/>
    <w:rsid w:val="00642850"/>
    <w:rsid w:val="0064289F"/>
    <w:rsid w:val="006428C3"/>
    <w:rsid w:val="00642E25"/>
    <w:rsid w:val="00643097"/>
    <w:rsid w:val="0064336E"/>
    <w:rsid w:val="0064354B"/>
    <w:rsid w:val="006435AD"/>
    <w:rsid w:val="00643631"/>
    <w:rsid w:val="00643A73"/>
    <w:rsid w:val="00643B12"/>
    <w:rsid w:val="0064416B"/>
    <w:rsid w:val="006444A2"/>
    <w:rsid w:val="006448CB"/>
    <w:rsid w:val="00644ACB"/>
    <w:rsid w:val="00644B9D"/>
    <w:rsid w:val="00644BBB"/>
    <w:rsid w:val="00644CF2"/>
    <w:rsid w:val="00645087"/>
    <w:rsid w:val="006450DE"/>
    <w:rsid w:val="0064524D"/>
    <w:rsid w:val="006454CB"/>
    <w:rsid w:val="00645DC5"/>
    <w:rsid w:val="00646000"/>
    <w:rsid w:val="0064603A"/>
    <w:rsid w:val="0064621B"/>
    <w:rsid w:val="0064671E"/>
    <w:rsid w:val="00646821"/>
    <w:rsid w:val="006468A6"/>
    <w:rsid w:val="00646E6A"/>
    <w:rsid w:val="0064719B"/>
    <w:rsid w:val="00647285"/>
    <w:rsid w:val="00647765"/>
    <w:rsid w:val="00647862"/>
    <w:rsid w:val="00647A04"/>
    <w:rsid w:val="00647A28"/>
    <w:rsid w:val="00647A3D"/>
    <w:rsid w:val="00647C58"/>
    <w:rsid w:val="0065033B"/>
    <w:rsid w:val="006504D7"/>
    <w:rsid w:val="006505DC"/>
    <w:rsid w:val="006505E7"/>
    <w:rsid w:val="00650708"/>
    <w:rsid w:val="00650C7D"/>
    <w:rsid w:val="00651CC5"/>
    <w:rsid w:val="00651D8E"/>
    <w:rsid w:val="006522B0"/>
    <w:rsid w:val="006522D3"/>
    <w:rsid w:val="0065236C"/>
    <w:rsid w:val="00652449"/>
    <w:rsid w:val="006525BD"/>
    <w:rsid w:val="00652732"/>
    <w:rsid w:val="00652778"/>
    <w:rsid w:val="00652A17"/>
    <w:rsid w:val="00652C1E"/>
    <w:rsid w:val="00652C35"/>
    <w:rsid w:val="006531BA"/>
    <w:rsid w:val="00653A67"/>
    <w:rsid w:val="00653B90"/>
    <w:rsid w:val="00653BF6"/>
    <w:rsid w:val="00653C24"/>
    <w:rsid w:val="00653E1E"/>
    <w:rsid w:val="00654120"/>
    <w:rsid w:val="006542BC"/>
    <w:rsid w:val="006542FF"/>
    <w:rsid w:val="0065434E"/>
    <w:rsid w:val="00654550"/>
    <w:rsid w:val="006545FF"/>
    <w:rsid w:val="0065469F"/>
    <w:rsid w:val="00654766"/>
    <w:rsid w:val="006547AF"/>
    <w:rsid w:val="006548E1"/>
    <w:rsid w:val="00654A43"/>
    <w:rsid w:val="00654AB4"/>
    <w:rsid w:val="00654DF2"/>
    <w:rsid w:val="00654E68"/>
    <w:rsid w:val="00655168"/>
    <w:rsid w:val="006551C6"/>
    <w:rsid w:val="00655485"/>
    <w:rsid w:val="006558BA"/>
    <w:rsid w:val="00655AB8"/>
    <w:rsid w:val="006560A1"/>
    <w:rsid w:val="006560B1"/>
    <w:rsid w:val="006561E6"/>
    <w:rsid w:val="0065630F"/>
    <w:rsid w:val="006566F0"/>
    <w:rsid w:val="00656B69"/>
    <w:rsid w:val="00656CF2"/>
    <w:rsid w:val="00656DCA"/>
    <w:rsid w:val="00656E88"/>
    <w:rsid w:val="00656FAE"/>
    <w:rsid w:val="00657385"/>
    <w:rsid w:val="00657430"/>
    <w:rsid w:val="0065771A"/>
    <w:rsid w:val="0065785C"/>
    <w:rsid w:val="006578C4"/>
    <w:rsid w:val="0065791E"/>
    <w:rsid w:val="006579CB"/>
    <w:rsid w:val="00657A47"/>
    <w:rsid w:val="00657C36"/>
    <w:rsid w:val="006600B9"/>
    <w:rsid w:val="006601AD"/>
    <w:rsid w:val="006603FB"/>
    <w:rsid w:val="0066050B"/>
    <w:rsid w:val="00660838"/>
    <w:rsid w:val="00660991"/>
    <w:rsid w:val="00660B44"/>
    <w:rsid w:val="00660D19"/>
    <w:rsid w:val="00660D64"/>
    <w:rsid w:val="00660DF0"/>
    <w:rsid w:val="006610D7"/>
    <w:rsid w:val="00661354"/>
    <w:rsid w:val="00661540"/>
    <w:rsid w:val="006618B8"/>
    <w:rsid w:val="00661C0F"/>
    <w:rsid w:val="00661C72"/>
    <w:rsid w:val="00662176"/>
    <w:rsid w:val="006621CE"/>
    <w:rsid w:val="00662535"/>
    <w:rsid w:val="00662948"/>
    <w:rsid w:val="00662A13"/>
    <w:rsid w:val="00662A17"/>
    <w:rsid w:val="00662B95"/>
    <w:rsid w:val="00662C22"/>
    <w:rsid w:val="00662D28"/>
    <w:rsid w:val="00662D5F"/>
    <w:rsid w:val="0066310C"/>
    <w:rsid w:val="0066321C"/>
    <w:rsid w:val="0066335F"/>
    <w:rsid w:val="006635F1"/>
    <w:rsid w:val="00663A01"/>
    <w:rsid w:val="00663A67"/>
    <w:rsid w:val="00663D64"/>
    <w:rsid w:val="00663DB2"/>
    <w:rsid w:val="00663DCF"/>
    <w:rsid w:val="0066416B"/>
    <w:rsid w:val="00664265"/>
    <w:rsid w:val="00664277"/>
    <w:rsid w:val="00664327"/>
    <w:rsid w:val="006646BA"/>
    <w:rsid w:val="006646FD"/>
    <w:rsid w:val="00664862"/>
    <w:rsid w:val="0066495C"/>
    <w:rsid w:val="00664A71"/>
    <w:rsid w:val="00664BE9"/>
    <w:rsid w:val="00664D23"/>
    <w:rsid w:val="006651CC"/>
    <w:rsid w:val="0066549E"/>
    <w:rsid w:val="006654F8"/>
    <w:rsid w:val="00665555"/>
    <w:rsid w:val="006655CF"/>
    <w:rsid w:val="006655D4"/>
    <w:rsid w:val="0066580F"/>
    <w:rsid w:val="00665D2D"/>
    <w:rsid w:val="006660CC"/>
    <w:rsid w:val="006662B0"/>
    <w:rsid w:val="00666400"/>
    <w:rsid w:val="00666716"/>
    <w:rsid w:val="00666720"/>
    <w:rsid w:val="00666DE6"/>
    <w:rsid w:val="00667158"/>
    <w:rsid w:val="0066740D"/>
    <w:rsid w:val="0066769B"/>
    <w:rsid w:val="006676AE"/>
    <w:rsid w:val="00667719"/>
    <w:rsid w:val="00667D0C"/>
    <w:rsid w:val="006701A3"/>
    <w:rsid w:val="006702F1"/>
    <w:rsid w:val="00670472"/>
    <w:rsid w:val="00670518"/>
    <w:rsid w:val="006708C9"/>
    <w:rsid w:val="0067091D"/>
    <w:rsid w:val="006709B1"/>
    <w:rsid w:val="00670B31"/>
    <w:rsid w:val="00670EF3"/>
    <w:rsid w:val="006710D4"/>
    <w:rsid w:val="00671360"/>
    <w:rsid w:val="00671362"/>
    <w:rsid w:val="00671CBF"/>
    <w:rsid w:val="0067202F"/>
    <w:rsid w:val="00672082"/>
    <w:rsid w:val="00672287"/>
    <w:rsid w:val="006724B0"/>
    <w:rsid w:val="0067286C"/>
    <w:rsid w:val="00672C12"/>
    <w:rsid w:val="00672FE9"/>
    <w:rsid w:val="00673028"/>
    <w:rsid w:val="00673473"/>
    <w:rsid w:val="006735A2"/>
    <w:rsid w:val="00673A0A"/>
    <w:rsid w:val="00673B01"/>
    <w:rsid w:val="0067400C"/>
    <w:rsid w:val="0067417A"/>
    <w:rsid w:val="0067445A"/>
    <w:rsid w:val="00674535"/>
    <w:rsid w:val="006747A2"/>
    <w:rsid w:val="00674914"/>
    <w:rsid w:val="00674927"/>
    <w:rsid w:val="00674C7D"/>
    <w:rsid w:val="006751DC"/>
    <w:rsid w:val="00675247"/>
    <w:rsid w:val="00675274"/>
    <w:rsid w:val="0067542F"/>
    <w:rsid w:val="00675519"/>
    <w:rsid w:val="00675A6E"/>
    <w:rsid w:val="00675A9D"/>
    <w:rsid w:val="00675AEE"/>
    <w:rsid w:val="00675B73"/>
    <w:rsid w:val="00675B96"/>
    <w:rsid w:val="00675E0F"/>
    <w:rsid w:val="00675E89"/>
    <w:rsid w:val="00675EA7"/>
    <w:rsid w:val="00675FB5"/>
    <w:rsid w:val="0067621F"/>
    <w:rsid w:val="006763B4"/>
    <w:rsid w:val="00676594"/>
    <w:rsid w:val="00676755"/>
    <w:rsid w:val="00676F2D"/>
    <w:rsid w:val="00676FDC"/>
    <w:rsid w:val="00677009"/>
    <w:rsid w:val="00677031"/>
    <w:rsid w:val="00677618"/>
    <w:rsid w:val="006779CD"/>
    <w:rsid w:val="00677BCF"/>
    <w:rsid w:val="00677C18"/>
    <w:rsid w:val="00677D5A"/>
    <w:rsid w:val="00677D61"/>
    <w:rsid w:val="00680076"/>
    <w:rsid w:val="006800D1"/>
    <w:rsid w:val="0068014D"/>
    <w:rsid w:val="00680497"/>
    <w:rsid w:val="00680661"/>
    <w:rsid w:val="006808A8"/>
    <w:rsid w:val="00681125"/>
    <w:rsid w:val="0068130B"/>
    <w:rsid w:val="00681552"/>
    <w:rsid w:val="00681740"/>
    <w:rsid w:val="006817B5"/>
    <w:rsid w:val="006819BB"/>
    <w:rsid w:val="0068218C"/>
    <w:rsid w:val="006824E9"/>
    <w:rsid w:val="006826B4"/>
    <w:rsid w:val="006827E5"/>
    <w:rsid w:val="00682ACF"/>
    <w:rsid w:val="00682FDE"/>
    <w:rsid w:val="00683330"/>
    <w:rsid w:val="00683558"/>
    <w:rsid w:val="006835A7"/>
    <w:rsid w:val="00683A20"/>
    <w:rsid w:val="00683AE4"/>
    <w:rsid w:val="00683D74"/>
    <w:rsid w:val="00683DFD"/>
    <w:rsid w:val="00683F9A"/>
    <w:rsid w:val="0068437A"/>
    <w:rsid w:val="00684530"/>
    <w:rsid w:val="00684675"/>
    <w:rsid w:val="0068470B"/>
    <w:rsid w:val="00684E86"/>
    <w:rsid w:val="00684EF6"/>
    <w:rsid w:val="006852B5"/>
    <w:rsid w:val="006853C3"/>
    <w:rsid w:val="006853FB"/>
    <w:rsid w:val="00685607"/>
    <w:rsid w:val="00685754"/>
    <w:rsid w:val="00686025"/>
    <w:rsid w:val="00686320"/>
    <w:rsid w:val="006863AD"/>
    <w:rsid w:val="0068641A"/>
    <w:rsid w:val="00686529"/>
    <w:rsid w:val="0068664B"/>
    <w:rsid w:val="0068672A"/>
    <w:rsid w:val="00686AAB"/>
    <w:rsid w:val="00687234"/>
    <w:rsid w:val="006873BC"/>
    <w:rsid w:val="00687405"/>
    <w:rsid w:val="006877A8"/>
    <w:rsid w:val="006878DA"/>
    <w:rsid w:val="006879D5"/>
    <w:rsid w:val="00687E52"/>
    <w:rsid w:val="00687EE2"/>
    <w:rsid w:val="006902E2"/>
    <w:rsid w:val="006907E5"/>
    <w:rsid w:val="00690AF9"/>
    <w:rsid w:val="00690BA7"/>
    <w:rsid w:val="00690BFB"/>
    <w:rsid w:val="00690C7A"/>
    <w:rsid w:val="00690CFB"/>
    <w:rsid w:val="00690F0A"/>
    <w:rsid w:val="00690F70"/>
    <w:rsid w:val="00691004"/>
    <w:rsid w:val="0069126A"/>
    <w:rsid w:val="0069158B"/>
    <w:rsid w:val="006915BE"/>
    <w:rsid w:val="00691C13"/>
    <w:rsid w:val="00692613"/>
    <w:rsid w:val="00692ECE"/>
    <w:rsid w:val="00693094"/>
    <w:rsid w:val="00693AAB"/>
    <w:rsid w:val="00693C8B"/>
    <w:rsid w:val="00693CFC"/>
    <w:rsid w:val="00693FAC"/>
    <w:rsid w:val="00694146"/>
    <w:rsid w:val="0069420A"/>
    <w:rsid w:val="00694351"/>
    <w:rsid w:val="00694824"/>
    <w:rsid w:val="00694C6E"/>
    <w:rsid w:val="00694D09"/>
    <w:rsid w:val="00694F31"/>
    <w:rsid w:val="006950FD"/>
    <w:rsid w:val="0069573B"/>
    <w:rsid w:val="00695BFB"/>
    <w:rsid w:val="0069625B"/>
    <w:rsid w:val="006962C9"/>
    <w:rsid w:val="006962F1"/>
    <w:rsid w:val="00696BEA"/>
    <w:rsid w:val="00696C4E"/>
    <w:rsid w:val="00696E74"/>
    <w:rsid w:val="006971F3"/>
    <w:rsid w:val="0069746C"/>
    <w:rsid w:val="006974B7"/>
    <w:rsid w:val="006974BF"/>
    <w:rsid w:val="006975B2"/>
    <w:rsid w:val="006976F8"/>
    <w:rsid w:val="00697894"/>
    <w:rsid w:val="00697C60"/>
    <w:rsid w:val="00697C99"/>
    <w:rsid w:val="00697CA4"/>
    <w:rsid w:val="00697EC3"/>
    <w:rsid w:val="00697EDB"/>
    <w:rsid w:val="00697F36"/>
    <w:rsid w:val="006A0201"/>
    <w:rsid w:val="006A041B"/>
    <w:rsid w:val="006A0423"/>
    <w:rsid w:val="006A0463"/>
    <w:rsid w:val="006A0548"/>
    <w:rsid w:val="006A05D5"/>
    <w:rsid w:val="006A0FC6"/>
    <w:rsid w:val="006A1937"/>
    <w:rsid w:val="006A1999"/>
    <w:rsid w:val="006A1DD5"/>
    <w:rsid w:val="006A1F4B"/>
    <w:rsid w:val="006A2252"/>
    <w:rsid w:val="006A240F"/>
    <w:rsid w:val="006A251F"/>
    <w:rsid w:val="006A261B"/>
    <w:rsid w:val="006A2A33"/>
    <w:rsid w:val="006A2BF1"/>
    <w:rsid w:val="006A2F3F"/>
    <w:rsid w:val="006A37E1"/>
    <w:rsid w:val="006A3E19"/>
    <w:rsid w:val="006A3F25"/>
    <w:rsid w:val="006A4156"/>
    <w:rsid w:val="006A4177"/>
    <w:rsid w:val="006A429A"/>
    <w:rsid w:val="006A43CF"/>
    <w:rsid w:val="006A45C8"/>
    <w:rsid w:val="006A46F0"/>
    <w:rsid w:val="006A471F"/>
    <w:rsid w:val="006A47BD"/>
    <w:rsid w:val="006A4A16"/>
    <w:rsid w:val="006A4C5F"/>
    <w:rsid w:val="006A4DC5"/>
    <w:rsid w:val="006A4DF1"/>
    <w:rsid w:val="006A508D"/>
    <w:rsid w:val="006A50C8"/>
    <w:rsid w:val="006A52CA"/>
    <w:rsid w:val="006A54A5"/>
    <w:rsid w:val="006A5831"/>
    <w:rsid w:val="006A610B"/>
    <w:rsid w:val="006A61BA"/>
    <w:rsid w:val="006A655F"/>
    <w:rsid w:val="006A681B"/>
    <w:rsid w:val="006A68E6"/>
    <w:rsid w:val="006A6999"/>
    <w:rsid w:val="006A72B8"/>
    <w:rsid w:val="006A731F"/>
    <w:rsid w:val="006A73BF"/>
    <w:rsid w:val="006A73D3"/>
    <w:rsid w:val="006A7476"/>
    <w:rsid w:val="006A74BC"/>
    <w:rsid w:val="006A7589"/>
    <w:rsid w:val="006A7AC4"/>
    <w:rsid w:val="006A7CE1"/>
    <w:rsid w:val="006B0B05"/>
    <w:rsid w:val="006B0CED"/>
    <w:rsid w:val="006B0DCF"/>
    <w:rsid w:val="006B0EFA"/>
    <w:rsid w:val="006B15D4"/>
    <w:rsid w:val="006B172F"/>
    <w:rsid w:val="006B1C26"/>
    <w:rsid w:val="006B1CDE"/>
    <w:rsid w:val="006B1D1D"/>
    <w:rsid w:val="006B1F1A"/>
    <w:rsid w:val="006B21A4"/>
    <w:rsid w:val="006B23EF"/>
    <w:rsid w:val="006B245C"/>
    <w:rsid w:val="006B24F4"/>
    <w:rsid w:val="006B2512"/>
    <w:rsid w:val="006B2676"/>
    <w:rsid w:val="006B2815"/>
    <w:rsid w:val="006B2CFB"/>
    <w:rsid w:val="006B2D27"/>
    <w:rsid w:val="006B2F4E"/>
    <w:rsid w:val="006B2FF8"/>
    <w:rsid w:val="006B30A1"/>
    <w:rsid w:val="006B3193"/>
    <w:rsid w:val="006B33A9"/>
    <w:rsid w:val="006B3434"/>
    <w:rsid w:val="006B3771"/>
    <w:rsid w:val="006B3F65"/>
    <w:rsid w:val="006B42AD"/>
    <w:rsid w:val="006B4A7C"/>
    <w:rsid w:val="006B4A87"/>
    <w:rsid w:val="006B4DB8"/>
    <w:rsid w:val="006B5046"/>
    <w:rsid w:val="006B51E0"/>
    <w:rsid w:val="006B5524"/>
    <w:rsid w:val="006B55A3"/>
    <w:rsid w:val="006B5700"/>
    <w:rsid w:val="006B571A"/>
    <w:rsid w:val="006B631A"/>
    <w:rsid w:val="006B6392"/>
    <w:rsid w:val="006B63CC"/>
    <w:rsid w:val="006B63E0"/>
    <w:rsid w:val="006B676E"/>
    <w:rsid w:val="006B69FB"/>
    <w:rsid w:val="006B6AD0"/>
    <w:rsid w:val="006B6BAE"/>
    <w:rsid w:val="006B6C1F"/>
    <w:rsid w:val="006B6C44"/>
    <w:rsid w:val="006B6D6D"/>
    <w:rsid w:val="006B6F14"/>
    <w:rsid w:val="006B7063"/>
    <w:rsid w:val="006B72A3"/>
    <w:rsid w:val="006B744A"/>
    <w:rsid w:val="006B7547"/>
    <w:rsid w:val="006B7814"/>
    <w:rsid w:val="006B7A17"/>
    <w:rsid w:val="006B7EF3"/>
    <w:rsid w:val="006B7F08"/>
    <w:rsid w:val="006C05C2"/>
    <w:rsid w:val="006C087B"/>
    <w:rsid w:val="006C0A71"/>
    <w:rsid w:val="006C0B25"/>
    <w:rsid w:val="006C0D68"/>
    <w:rsid w:val="006C1169"/>
    <w:rsid w:val="006C127E"/>
    <w:rsid w:val="006C1289"/>
    <w:rsid w:val="006C1519"/>
    <w:rsid w:val="006C165A"/>
    <w:rsid w:val="006C1A95"/>
    <w:rsid w:val="006C1ACE"/>
    <w:rsid w:val="006C1B2B"/>
    <w:rsid w:val="006C1B49"/>
    <w:rsid w:val="006C1D40"/>
    <w:rsid w:val="006C214C"/>
    <w:rsid w:val="006C2669"/>
    <w:rsid w:val="006C2768"/>
    <w:rsid w:val="006C27EB"/>
    <w:rsid w:val="006C2EB1"/>
    <w:rsid w:val="006C342E"/>
    <w:rsid w:val="006C34BD"/>
    <w:rsid w:val="006C34F2"/>
    <w:rsid w:val="006C36E7"/>
    <w:rsid w:val="006C3727"/>
    <w:rsid w:val="006C3876"/>
    <w:rsid w:val="006C38BA"/>
    <w:rsid w:val="006C3AFA"/>
    <w:rsid w:val="006C3FD9"/>
    <w:rsid w:val="006C40F0"/>
    <w:rsid w:val="006C40FF"/>
    <w:rsid w:val="006C4358"/>
    <w:rsid w:val="006C439D"/>
    <w:rsid w:val="006C47AD"/>
    <w:rsid w:val="006C5009"/>
    <w:rsid w:val="006C532A"/>
    <w:rsid w:val="006C5485"/>
    <w:rsid w:val="006C5869"/>
    <w:rsid w:val="006C5A7C"/>
    <w:rsid w:val="006C5BB2"/>
    <w:rsid w:val="006C5CAB"/>
    <w:rsid w:val="006C5D12"/>
    <w:rsid w:val="006C5EC7"/>
    <w:rsid w:val="006C6503"/>
    <w:rsid w:val="006C666C"/>
    <w:rsid w:val="006C6910"/>
    <w:rsid w:val="006C6B4F"/>
    <w:rsid w:val="006C6C75"/>
    <w:rsid w:val="006C6D94"/>
    <w:rsid w:val="006C6FBA"/>
    <w:rsid w:val="006C706E"/>
    <w:rsid w:val="006C720A"/>
    <w:rsid w:val="006C740C"/>
    <w:rsid w:val="006C740F"/>
    <w:rsid w:val="006C743A"/>
    <w:rsid w:val="006C759B"/>
    <w:rsid w:val="006C7797"/>
    <w:rsid w:val="006C7B8B"/>
    <w:rsid w:val="006C7D33"/>
    <w:rsid w:val="006C7D8E"/>
    <w:rsid w:val="006D0195"/>
    <w:rsid w:val="006D03EA"/>
    <w:rsid w:val="006D06DF"/>
    <w:rsid w:val="006D0E56"/>
    <w:rsid w:val="006D11C3"/>
    <w:rsid w:val="006D11C9"/>
    <w:rsid w:val="006D11D0"/>
    <w:rsid w:val="006D1758"/>
    <w:rsid w:val="006D17B6"/>
    <w:rsid w:val="006D19A6"/>
    <w:rsid w:val="006D1C01"/>
    <w:rsid w:val="006D1E0F"/>
    <w:rsid w:val="006D1F5B"/>
    <w:rsid w:val="006D2369"/>
    <w:rsid w:val="006D2B6E"/>
    <w:rsid w:val="006D2D8C"/>
    <w:rsid w:val="006D2F20"/>
    <w:rsid w:val="006D2F3A"/>
    <w:rsid w:val="006D2FAC"/>
    <w:rsid w:val="006D3904"/>
    <w:rsid w:val="006D3B9B"/>
    <w:rsid w:val="006D45CB"/>
    <w:rsid w:val="006D46B0"/>
    <w:rsid w:val="006D4B8C"/>
    <w:rsid w:val="006D4E70"/>
    <w:rsid w:val="006D4ECC"/>
    <w:rsid w:val="006D5001"/>
    <w:rsid w:val="006D50CB"/>
    <w:rsid w:val="006D52B5"/>
    <w:rsid w:val="006D52C5"/>
    <w:rsid w:val="006D5444"/>
    <w:rsid w:val="006D556E"/>
    <w:rsid w:val="006D5588"/>
    <w:rsid w:val="006D5949"/>
    <w:rsid w:val="006D601F"/>
    <w:rsid w:val="006D64B1"/>
    <w:rsid w:val="006D64F1"/>
    <w:rsid w:val="006D65A5"/>
    <w:rsid w:val="006D66D0"/>
    <w:rsid w:val="006D6778"/>
    <w:rsid w:val="006D6930"/>
    <w:rsid w:val="006D6E59"/>
    <w:rsid w:val="006D6F26"/>
    <w:rsid w:val="006D7050"/>
    <w:rsid w:val="006D7059"/>
    <w:rsid w:val="006D7565"/>
    <w:rsid w:val="006D7568"/>
    <w:rsid w:val="006D774A"/>
    <w:rsid w:val="006D778D"/>
    <w:rsid w:val="006D7991"/>
    <w:rsid w:val="006D7B73"/>
    <w:rsid w:val="006E04FC"/>
    <w:rsid w:val="006E0596"/>
    <w:rsid w:val="006E12F9"/>
    <w:rsid w:val="006E13C3"/>
    <w:rsid w:val="006E1487"/>
    <w:rsid w:val="006E1AB1"/>
    <w:rsid w:val="006E1D09"/>
    <w:rsid w:val="006E219F"/>
    <w:rsid w:val="006E21D5"/>
    <w:rsid w:val="006E2446"/>
    <w:rsid w:val="006E2638"/>
    <w:rsid w:val="006E2699"/>
    <w:rsid w:val="006E2834"/>
    <w:rsid w:val="006E2A05"/>
    <w:rsid w:val="006E2E05"/>
    <w:rsid w:val="006E3172"/>
    <w:rsid w:val="006E3510"/>
    <w:rsid w:val="006E35EA"/>
    <w:rsid w:val="006E37A6"/>
    <w:rsid w:val="006E37ED"/>
    <w:rsid w:val="006E37F9"/>
    <w:rsid w:val="006E3871"/>
    <w:rsid w:val="006E3A5D"/>
    <w:rsid w:val="006E3B16"/>
    <w:rsid w:val="006E3E01"/>
    <w:rsid w:val="006E4163"/>
    <w:rsid w:val="006E4205"/>
    <w:rsid w:val="006E436D"/>
    <w:rsid w:val="006E47C3"/>
    <w:rsid w:val="006E48DB"/>
    <w:rsid w:val="006E501B"/>
    <w:rsid w:val="006E504D"/>
    <w:rsid w:val="006E5060"/>
    <w:rsid w:val="006E54BD"/>
    <w:rsid w:val="006E55EE"/>
    <w:rsid w:val="006E593C"/>
    <w:rsid w:val="006E5C6C"/>
    <w:rsid w:val="006E5EDE"/>
    <w:rsid w:val="006E6E33"/>
    <w:rsid w:val="006E6EC4"/>
    <w:rsid w:val="006E7005"/>
    <w:rsid w:val="006E7AD7"/>
    <w:rsid w:val="006E7C78"/>
    <w:rsid w:val="006E7DC3"/>
    <w:rsid w:val="006E7DEC"/>
    <w:rsid w:val="006E7F7C"/>
    <w:rsid w:val="006F01CC"/>
    <w:rsid w:val="006F036D"/>
    <w:rsid w:val="006F05E3"/>
    <w:rsid w:val="006F0614"/>
    <w:rsid w:val="006F066E"/>
    <w:rsid w:val="006F06DB"/>
    <w:rsid w:val="006F079D"/>
    <w:rsid w:val="006F090E"/>
    <w:rsid w:val="006F0FAF"/>
    <w:rsid w:val="006F1546"/>
    <w:rsid w:val="006F15B5"/>
    <w:rsid w:val="006F1AB2"/>
    <w:rsid w:val="006F1D53"/>
    <w:rsid w:val="006F1E96"/>
    <w:rsid w:val="006F2926"/>
    <w:rsid w:val="006F2ACC"/>
    <w:rsid w:val="006F2D03"/>
    <w:rsid w:val="006F2F0C"/>
    <w:rsid w:val="006F3116"/>
    <w:rsid w:val="006F33B2"/>
    <w:rsid w:val="006F346A"/>
    <w:rsid w:val="006F35BB"/>
    <w:rsid w:val="006F38F3"/>
    <w:rsid w:val="006F394E"/>
    <w:rsid w:val="006F3F1C"/>
    <w:rsid w:val="006F42CE"/>
    <w:rsid w:val="006F434E"/>
    <w:rsid w:val="006F453B"/>
    <w:rsid w:val="006F48E9"/>
    <w:rsid w:val="006F4999"/>
    <w:rsid w:val="006F4BF8"/>
    <w:rsid w:val="006F4C66"/>
    <w:rsid w:val="006F4E94"/>
    <w:rsid w:val="006F4F21"/>
    <w:rsid w:val="006F5048"/>
    <w:rsid w:val="006F5244"/>
    <w:rsid w:val="006F551E"/>
    <w:rsid w:val="006F5AB7"/>
    <w:rsid w:val="006F5BB1"/>
    <w:rsid w:val="006F62EE"/>
    <w:rsid w:val="006F63F2"/>
    <w:rsid w:val="006F64F6"/>
    <w:rsid w:val="006F65BA"/>
    <w:rsid w:val="006F6BFE"/>
    <w:rsid w:val="006F6F01"/>
    <w:rsid w:val="006F6F20"/>
    <w:rsid w:val="006F7144"/>
    <w:rsid w:val="006F71D1"/>
    <w:rsid w:val="006F732D"/>
    <w:rsid w:val="006F735B"/>
    <w:rsid w:val="006F7642"/>
    <w:rsid w:val="006F7667"/>
    <w:rsid w:val="006F7749"/>
    <w:rsid w:val="006F7814"/>
    <w:rsid w:val="006F7832"/>
    <w:rsid w:val="006F78AE"/>
    <w:rsid w:val="006F78E6"/>
    <w:rsid w:val="006F7AA6"/>
    <w:rsid w:val="006F7D02"/>
    <w:rsid w:val="006F7F86"/>
    <w:rsid w:val="00700002"/>
    <w:rsid w:val="00700098"/>
    <w:rsid w:val="007001DF"/>
    <w:rsid w:val="007004BA"/>
    <w:rsid w:val="00700945"/>
    <w:rsid w:val="007009B9"/>
    <w:rsid w:val="007009BF"/>
    <w:rsid w:val="00700C1D"/>
    <w:rsid w:val="00700F26"/>
    <w:rsid w:val="007010E3"/>
    <w:rsid w:val="00701399"/>
    <w:rsid w:val="00701848"/>
    <w:rsid w:val="0070185A"/>
    <w:rsid w:val="0070190F"/>
    <w:rsid w:val="00701A01"/>
    <w:rsid w:val="00701AA5"/>
    <w:rsid w:val="00701E62"/>
    <w:rsid w:val="00701F95"/>
    <w:rsid w:val="007027AC"/>
    <w:rsid w:val="0070289B"/>
    <w:rsid w:val="007029E5"/>
    <w:rsid w:val="00702B9D"/>
    <w:rsid w:val="00702C6E"/>
    <w:rsid w:val="00702F52"/>
    <w:rsid w:val="00703177"/>
    <w:rsid w:val="007035BE"/>
    <w:rsid w:val="007035F3"/>
    <w:rsid w:val="00703688"/>
    <w:rsid w:val="00703826"/>
    <w:rsid w:val="0070389A"/>
    <w:rsid w:val="00703B68"/>
    <w:rsid w:val="00703C12"/>
    <w:rsid w:val="00703C76"/>
    <w:rsid w:val="00703D02"/>
    <w:rsid w:val="00703EC0"/>
    <w:rsid w:val="007045F8"/>
    <w:rsid w:val="007046A9"/>
    <w:rsid w:val="00704771"/>
    <w:rsid w:val="00704818"/>
    <w:rsid w:val="0070494F"/>
    <w:rsid w:val="00704BD1"/>
    <w:rsid w:val="00704C04"/>
    <w:rsid w:val="00704E9A"/>
    <w:rsid w:val="0070503C"/>
    <w:rsid w:val="0070511A"/>
    <w:rsid w:val="00705679"/>
    <w:rsid w:val="0070599E"/>
    <w:rsid w:val="00705A5D"/>
    <w:rsid w:val="00705AE1"/>
    <w:rsid w:val="00705DCE"/>
    <w:rsid w:val="00705FB4"/>
    <w:rsid w:val="00705FBA"/>
    <w:rsid w:val="007062B2"/>
    <w:rsid w:val="00706406"/>
    <w:rsid w:val="00706660"/>
    <w:rsid w:val="007067C9"/>
    <w:rsid w:val="00706A4B"/>
    <w:rsid w:val="00706CB5"/>
    <w:rsid w:val="00706CF8"/>
    <w:rsid w:val="00706D39"/>
    <w:rsid w:val="007070DD"/>
    <w:rsid w:val="007070E4"/>
    <w:rsid w:val="00707251"/>
    <w:rsid w:val="007072FB"/>
    <w:rsid w:val="007076FD"/>
    <w:rsid w:val="00707B57"/>
    <w:rsid w:val="00710866"/>
    <w:rsid w:val="00710AC2"/>
    <w:rsid w:val="00710B4C"/>
    <w:rsid w:val="00711042"/>
    <w:rsid w:val="00711328"/>
    <w:rsid w:val="00711346"/>
    <w:rsid w:val="0071170A"/>
    <w:rsid w:val="00711951"/>
    <w:rsid w:val="00711A10"/>
    <w:rsid w:val="00711A18"/>
    <w:rsid w:val="00711C3A"/>
    <w:rsid w:val="00711EC2"/>
    <w:rsid w:val="00712344"/>
    <w:rsid w:val="007123E5"/>
    <w:rsid w:val="00712637"/>
    <w:rsid w:val="00712737"/>
    <w:rsid w:val="00712766"/>
    <w:rsid w:val="007128F0"/>
    <w:rsid w:val="007129F2"/>
    <w:rsid w:val="00712C49"/>
    <w:rsid w:val="00712D0A"/>
    <w:rsid w:val="00712EF5"/>
    <w:rsid w:val="00712FF0"/>
    <w:rsid w:val="0071322F"/>
    <w:rsid w:val="007132B0"/>
    <w:rsid w:val="0071336A"/>
    <w:rsid w:val="007133CF"/>
    <w:rsid w:val="00713605"/>
    <w:rsid w:val="0071377F"/>
    <w:rsid w:val="007137A9"/>
    <w:rsid w:val="00713E95"/>
    <w:rsid w:val="0071415F"/>
    <w:rsid w:val="00714425"/>
    <w:rsid w:val="00714461"/>
    <w:rsid w:val="007147F1"/>
    <w:rsid w:val="007148E2"/>
    <w:rsid w:val="00714950"/>
    <w:rsid w:val="00714B5C"/>
    <w:rsid w:val="00715062"/>
    <w:rsid w:val="00715245"/>
    <w:rsid w:val="0071565B"/>
    <w:rsid w:val="0071583A"/>
    <w:rsid w:val="007158BD"/>
    <w:rsid w:val="00715FF7"/>
    <w:rsid w:val="0071634F"/>
    <w:rsid w:val="007165F9"/>
    <w:rsid w:val="0071685D"/>
    <w:rsid w:val="00716E22"/>
    <w:rsid w:val="00716FCC"/>
    <w:rsid w:val="007171CB"/>
    <w:rsid w:val="007172B2"/>
    <w:rsid w:val="00717543"/>
    <w:rsid w:val="0071773C"/>
    <w:rsid w:val="00717995"/>
    <w:rsid w:val="0071799E"/>
    <w:rsid w:val="007179AB"/>
    <w:rsid w:val="00717F88"/>
    <w:rsid w:val="00717FB2"/>
    <w:rsid w:val="00717FF2"/>
    <w:rsid w:val="0072020E"/>
    <w:rsid w:val="007202DB"/>
    <w:rsid w:val="007202E7"/>
    <w:rsid w:val="00720649"/>
    <w:rsid w:val="00720A29"/>
    <w:rsid w:val="00720B53"/>
    <w:rsid w:val="00720E63"/>
    <w:rsid w:val="00721096"/>
    <w:rsid w:val="0072129B"/>
    <w:rsid w:val="00721347"/>
    <w:rsid w:val="0072153E"/>
    <w:rsid w:val="00721694"/>
    <w:rsid w:val="007218E6"/>
    <w:rsid w:val="007219A0"/>
    <w:rsid w:val="00721B81"/>
    <w:rsid w:val="0072242A"/>
    <w:rsid w:val="0072250E"/>
    <w:rsid w:val="00722569"/>
    <w:rsid w:val="007229F7"/>
    <w:rsid w:val="00722B75"/>
    <w:rsid w:val="00722DA1"/>
    <w:rsid w:val="00722F56"/>
    <w:rsid w:val="00723082"/>
    <w:rsid w:val="00723381"/>
    <w:rsid w:val="00723657"/>
    <w:rsid w:val="007236A8"/>
    <w:rsid w:val="007237F0"/>
    <w:rsid w:val="007239CD"/>
    <w:rsid w:val="00723D2D"/>
    <w:rsid w:val="00723E13"/>
    <w:rsid w:val="00724302"/>
    <w:rsid w:val="0072432B"/>
    <w:rsid w:val="0072453D"/>
    <w:rsid w:val="00724618"/>
    <w:rsid w:val="007247CA"/>
    <w:rsid w:val="0072487C"/>
    <w:rsid w:val="00724991"/>
    <w:rsid w:val="00724995"/>
    <w:rsid w:val="00724B7A"/>
    <w:rsid w:val="00724D42"/>
    <w:rsid w:val="00725A41"/>
    <w:rsid w:val="00725BAA"/>
    <w:rsid w:val="00725BED"/>
    <w:rsid w:val="00725DFE"/>
    <w:rsid w:val="00725FD2"/>
    <w:rsid w:val="00726519"/>
    <w:rsid w:val="00726A34"/>
    <w:rsid w:val="00727242"/>
    <w:rsid w:val="007276B0"/>
    <w:rsid w:val="007279A2"/>
    <w:rsid w:val="00727D45"/>
    <w:rsid w:val="00727D56"/>
    <w:rsid w:val="00727EA7"/>
    <w:rsid w:val="00727EC5"/>
    <w:rsid w:val="0073010C"/>
    <w:rsid w:val="00730253"/>
    <w:rsid w:val="0073069D"/>
    <w:rsid w:val="007306FA"/>
    <w:rsid w:val="0073088E"/>
    <w:rsid w:val="00730964"/>
    <w:rsid w:val="00730BE8"/>
    <w:rsid w:val="00730D1B"/>
    <w:rsid w:val="00730DA5"/>
    <w:rsid w:val="007311EC"/>
    <w:rsid w:val="00731336"/>
    <w:rsid w:val="00731885"/>
    <w:rsid w:val="00731CDA"/>
    <w:rsid w:val="00732407"/>
    <w:rsid w:val="00732617"/>
    <w:rsid w:val="00732B9E"/>
    <w:rsid w:val="00732C2F"/>
    <w:rsid w:val="00732FB2"/>
    <w:rsid w:val="0073310E"/>
    <w:rsid w:val="0073367C"/>
    <w:rsid w:val="00733DD6"/>
    <w:rsid w:val="00733FDE"/>
    <w:rsid w:val="0073437D"/>
    <w:rsid w:val="00734414"/>
    <w:rsid w:val="00734568"/>
    <w:rsid w:val="00734691"/>
    <w:rsid w:val="0073489C"/>
    <w:rsid w:val="00734911"/>
    <w:rsid w:val="00734D8F"/>
    <w:rsid w:val="007351C9"/>
    <w:rsid w:val="007357FB"/>
    <w:rsid w:val="00735893"/>
    <w:rsid w:val="00735A59"/>
    <w:rsid w:val="00735F61"/>
    <w:rsid w:val="007360EA"/>
    <w:rsid w:val="0073610C"/>
    <w:rsid w:val="00736212"/>
    <w:rsid w:val="00736549"/>
    <w:rsid w:val="00736672"/>
    <w:rsid w:val="00736D68"/>
    <w:rsid w:val="00737176"/>
    <w:rsid w:val="0073737C"/>
    <w:rsid w:val="00737499"/>
    <w:rsid w:val="007375B8"/>
    <w:rsid w:val="007377B4"/>
    <w:rsid w:val="0073783B"/>
    <w:rsid w:val="00737987"/>
    <w:rsid w:val="007401DC"/>
    <w:rsid w:val="0074022E"/>
    <w:rsid w:val="007403D0"/>
    <w:rsid w:val="00740430"/>
    <w:rsid w:val="007405DF"/>
    <w:rsid w:val="00740852"/>
    <w:rsid w:val="00740958"/>
    <w:rsid w:val="00740967"/>
    <w:rsid w:val="00740A1F"/>
    <w:rsid w:val="00740EA1"/>
    <w:rsid w:val="00740EFB"/>
    <w:rsid w:val="00741062"/>
    <w:rsid w:val="007412C6"/>
    <w:rsid w:val="00741BBE"/>
    <w:rsid w:val="00741D45"/>
    <w:rsid w:val="00741F64"/>
    <w:rsid w:val="00742683"/>
    <w:rsid w:val="00742763"/>
    <w:rsid w:val="00742A16"/>
    <w:rsid w:val="00742AC3"/>
    <w:rsid w:val="00742DDF"/>
    <w:rsid w:val="00742E62"/>
    <w:rsid w:val="00742F43"/>
    <w:rsid w:val="00742FB0"/>
    <w:rsid w:val="00742FE0"/>
    <w:rsid w:val="00743296"/>
    <w:rsid w:val="00743451"/>
    <w:rsid w:val="00743480"/>
    <w:rsid w:val="007436D0"/>
    <w:rsid w:val="007437D4"/>
    <w:rsid w:val="0074402C"/>
    <w:rsid w:val="00744156"/>
    <w:rsid w:val="00744168"/>
    <w:rsid w:val="007444DF"/>
    <w:rsid w:val="007445CD"/>
    <w:rsid w:val="00744766"/>
    <w:rsid w:val="007447A7"/>
    <w:rsid w:val="007448DF"/>
    <w:rsid w:val="00744E29"/>
    <w:rsid w:val="00745180"/>
    <w:rsid w:val="007451EB"/>
    <w:rsid w:val="00745257"/>
    <w:rsid w:val="00745586"/>
    <w:rsid w:val="00745650"/>
    <w:rsid w:val="00745A52"/>
    <w:rsid w:val="00745F65"/>
    <w:rsid w:val="00746662"/>
    <w:rsid w:val="00746712"/>
    <w:rsid w:val="00746763"/>
    <w:rsid w:val="00746810"/>
    <w:rsid w:val="007469A9"/>
    <w:rsid w:val="00746CC6"/>
    <w:rsid w:val="00746DDD"/>
    <w:rsid w:val="00747399"/>
    <w:rsid w:val="007473E8"/>
    <w:rsid w:val="00747459"/>
    <w:rsid w:val="007474C9"/>
    <w:rsid w:val="00747660"/>
    <w:rsid w:val="00747967"/>
    <w:rsid w:val="007479AF"/>
    <w:rsid w:val="00747CCB"/>
    <w:rsid w:val="00747E1D"/>
    <w:rsid w:val="00750401"/>
    <w:rsid w:val="007504C3"/>
    <w:rsid w:val="00750631"/>
    <w:rsid w:val="007507AD"/>
    <w:rsid w:val="00750D0D"/>
    <w:rsid w:val="00750E85"/>
    <w:rsid w:val="007511E2"/>
    <w:rsid w:val="00751821"/>
    <w:rsid w:val="0075189D"/>
    <w:rsid w:val="00751EC3"/>
    <w:rsid w:val="0075203B"/>
    <w:rsid w:val="00752478"/>
    <w:rsid w:val="007527AE"/>
    <w:rsid w:val="0075287C"/>
    <w:rsid w:val="00752884"/>
    <w:rsid w:val="007528EB"/>
    <w:rsid w:val="00752B91"/>
    <w:rsid w:val="00752E5A"/>
    <w:rsid w:val="00753894"/>
    <w:rsid w:val="007539E3"/>
    <w:rsid w:val="00753E59"/>
    <w:rsid w:val="00753EC5"/>
    <w:rsid w:val="00753FB9"/>
    <w:rsid w:val="007543AD"/>
    <w:rsid w:val="007543B7"/>
    <w:rsid w:val="00754537"/>
    <w:rsid w:val="0075476D"/>
    <w:rsid w:val="007548CA"/>
    <w:rsid w:val="00754A64"/>
    <w:rsid w:val="00754F4C"/>
    <w:rsid w:val="00754F63"/>
    <w:rsid w:val="00755023"/>
    <w:rsid w:val="00755294"/>
    <w:rsid w:val="00755995"/>
    <w:rsid w:val="00755B05"/>
    <w:rsid w:val="00755F75"/>
    <w:rsid w:val="007560A1"/>
    <w:rsid w:val="007565DB"/>
    <w:rsid w:val="00756809"/>
    <w:rsid w:val="00756BE8"/>
    <w:rsid w:val="00756CC6"/>
    <w:rsid w:val="00756D30"/>
    <w:rsid w:val="00756F06"/>
    <w:rsid w:val="0075721F"/>
    <w:rsid w:val="00757381"/>
    <w:rsid w:val="007575C8"/>
    <w:rsid w:val="007576A2"/>
    <w:rsid w:val="00757703"/>
    <w:rsid w:val="00760419"/>
    <w:rsid w:val="0076057B"/>
    <w:rsid w:val="00760B8A"/>
    <w:rsid w:val="00761068"/>
    <w:rsid w:val="007610C6"/>
    <w:rsid w:val="00761425"/>
    <w:rsid w:val="00761AFB"/>
    <w:rsid w:val="007620D6"/>
    <w:rsid w:val="00762159"/>
    <w:rsid w:val="0076228D"/>
    <w:rsid w:val="007622E5"/>
    <w:rsid w:val="00762322"/>
    <w:rsid w:val="00762567"/>
    <w:rsid w:val="007629B7"/>
    <w:rsid w:val="007629C9"/>
    <w:rsid w:val="00762A26"/>
    <w:rsid w:val="00762C30"/>
    <w:rsid w:val="00762CF8"/>
    <w:rsid w:val="00762DC2"/>
    <w:rsid w:val="00762E1F"/>
    <w:rsid w:val="00762E86"/>
    <w:rsid w:val="00762FA9"/>
    <w:rsid w:val="007633CA"/>
    <w:rsid w:val="0076346B"/>
    <w:rsid w:val="0076378C"/>
    <w:rsid w:val="00763BF5"/>
    <w:rsid w:val="00763CFA"/>
    <w:rsid w:val="00763D8A"/>
    <w:rsid w:val="00763E9E"/>
    <w:rsid w:val="00764674"/>
    <w:rsid w:val="00764729"/>
    <w:rsid w:val="00764BC5"/>
    <w:rsid w:val="00764D7F"/>
    <w:rsid w:val="00765394"/>
    <w:rsid w:val="00765906"/>
    <w:rsid w:val="00765ABD"/>
    <w:rsid w:val="00765C1D"/>
    <w:rsid w:val="00765CCF"/>
    <w:rsid w:val="00765D73"/>
    <w:rsid w:val="00765FDF"/>
    <w:rsid w:val="007664A3"/>
    <w:rsid w:val="00766717"/>
    <w:rsid w:val="007669EE"/>
    <w:rsid w:val="00766B38"/>
    <w:rsid w:val="00766DAD"/>
    <w:rsid w:val="00766E66"/>
    <w:rsid w:val="00766F28"/>
    <w:rsid w:val="0076735C"/>
    <w:rsid w:val="007674C1"/>
    <w:rsid w:val="00767751"/>
    <w:rsid w:val="007678E4"/>
    <w:rsid w:val="00767BF1"/>
    <w:rsid w:val="00767E7F"/>
    <w:rsid w:val="00767FD4"/>
    <w:rsid w:val="00770017"/>
    <w:rsid w:val="00770183"/>
    <w:rsid w:val="00770197"/>
    <w:rsid w:val="007701F0"/>
    <w:rsid w:val="0077036F"/>
    <w:rsid w:val="007703BC"/>
    <w:rsid w:val="0077061A"/>
    <w:rsid w:val="00770683"/>
    <w:rsid w:val="007707EE"/>
    <w:rsid w:val="00770879"/>
    <w:rsid w:val="00770C6F"/>
    <w:rsid w:val="00770D0A"/>
    <w:rsid w:val="00770DD2"/>
    <w:rsid w:val="00770E11"/>
    <w:rsid w:val="00771A09"/>
    <w:rsid w:val="00771A0D"/>
    <w:rsid w:val="00771A5C"/>
    <w:rsid w:val="00771B3E"/>
    <w:rsid w:val="00772146"/>
    <w:rsid w:val="007721EE"/>
    <w:rsid w:val="007726D3"/>
    <w:rsid w:val="0077315F"/>
    <w:rsid w:val="007731FD"/>
    <w:rsid w:val="00773669"/>
    <w:rsid w:val="00773A07"/>
    <w:rsid w:val="00773D59"/>
    <w:rsid w:val="00773EE2"/>
    <w:rsid w:val="007740D8"/>
    <w:rsid w:val="00774169"/>
    <w:rsid w:val="007742D0"/>
    <w:rsid w:val="0077437B"/>
    <w:rsid w:val="0077439C"/>
    <w:rsid w:val="007743E9"/>
    <w:rsid w:val="007744AD"/>
    <w:rsid w:val="007746D8"/>
    <w:rsid w:val="0077488B"/>
    <w:rsid w:val="0077534C"/>
    <w:rsid w:val="007755EC"/>
    <w:rsid w:val="0077565B"/>
    <w:rsid w:val="0077586A"/>
    <w:rsid w:val="00775901"/>
    <w:rsid w:val="007759D8"/>
    <w:rsid w:val="00775CBE"/>
    <w:rsid w:val="00775DE3"/>
    <w:rsid w:val="00775E4A"/>
    <w:rsid w:val="00775ECA"/>
    <w:rsid w:val="0077613C"/>
    <w:rsid w:val="007761EA"/>
    <w:rsid w:val="0077643A"/>
    <w:rsid w:val="0077648D"/>
    <w:rsid w:val="00776540"/>
    <w:rsid w:val="0077654A"/>
    <w:rsid w:val="0077658A"/>
    <w:rsid w:val="00776590"/>
    <w:rsid w:val="007769FB"/>
    <w:rsid w:val="00776BA1"/>
    <w:rsid w:val="00776F2B"/>
    <w:rsid w:val="00777207"/>
    <w:rsid w:val="00777314"/>
    <w:rsid w:val="0077735F"/>
    <w:rsid w:val="007773DF"/>
    <w:rsid w:val="00777551"/>
    <w:rsid w:val="0077755C"/>
    <w:rsid w:val="0077758E"/>
    <w:rsid w:val="00777A15"/>
    <w:rsid w:val="00777D8E"/>
    <w:rsid w:val="00780165"/>
    <w:rsid w:val="00780666"/>
    <w:rsid w:val="00780742"/>
    <w:rsid w:val="00780B5D"/>
    <w:rsid w:val="00780C0E"/>
    <w:rsid w:val="00780C1E"/>
    <w:rsid w:val="007815E7"/>
    <w:rsid w:val="00781807"/>
    <w:rsid w:val="00781F42"/>
    <w:rsid w:val="00782260"/>
    <w:rsid w:val="0078238C"/>
    <w:rsid w:val="00782432"/>
    <w:rsid w:val="00782845"/>
    <w:rsid w:val="0078294A"/>
    <w:rsid w:val="00782967"/>
    <w:rsid w:val="00782C7F"/>
    <w:rsid w:val="00782D0F"/>
    <w:rsid w:val="00783587"/>
    <w:rsid w:val="00783721"/>
    <w:rsid w:val="00783C72"/>
    <w:rsid w:val="00783E3D"/>
    <w:rsid w:val="007841DB"/>
    <w:rsid w:val="007847DB"/>
    <w:rsid w:val="00784B05"/>
    <w:rsid w:val="00784BE0"/>
    <w:rsid w:val="007850EE"/>
    <w:rsid w:val="00785168"/>
    <w:rsid w:val="007851B9"/>
    <w:rsid w:val="007851DF"/>
    <w:rsid w:val="007852DF"/>
    <w:rsid w:val="0078561C"/>
    <w:rsid w:val="0078590B"/>
    <w:rsid w:val="00785AF1"/>
    <w:rsid w:val="00786104"/>
    <w:rsid w:val="007861DE"/>
    <w:rsid w:val="007862A7"/>
    <w:rsid w:val="00786737"/>
    <w:rsid w:val="0078673A"/>
    <w:rsid w:val="0078696E"/>
    <w:rsid w:val="007869C6"/>
    <w:rsid w:val="00786B5F"/>
    <w:rsid w:val="00786B72"/>
    <w:rsid w:val="00786C60"/>
    <w:rsid w:val="00786D7D"/>
    <w:rsid w:val="00786DDC"/>
    <w:rsid w:val="007870C1"/>
    <w:rsid w:val="007872CE"/>
    <w:rsid w:val="007874C2"/>
    <w:rsid w:val="007874E2"/>
    <w:rsid w:val="007874F4"/>
    <w:rsid w:val="00787624"/>
    <w:rsid w:val="00787648"/>
    <w:rsid w:val="00787955"/>
    <w:rsid w:val="007879ED"/>
    <w:rsid w:val="00787BC5"/>
    <w:rsid w:val="00787D23"/>
    <w:rsid w:val="00787D90"/>
    <w:rsid w:val="00787F9D"/>
    <w:rsid w:val="0079006D"/>
    <w:rsid w:val="007901B1"/>
    <w:rsid w:val="007904D3"/>
    <w:rsid w:val="00790A25"/>
    <w:rsid w:val="00790AAC"/>
    <w:rsid w:val="00790FCD"/>
    <w:rsid w:val="00791183"/>
    <w:rsid w:val="00791490"/>
    <w:rsid w:val="007914ED"/>
    <w:rsid w:val="0079160B"/>
    <w:rsid w:val="0079161B"/>
    <w:rsid w:val="00791935"/>
    <w:rsid w:val="00791A1E"/>
    <w:rsid w:val="00791F41"/>
    <w:rsid w:val="0079200D"/>
    <w:rsid w:val="00792040"/>
    <w:rsid w:val="00792317"/>
    <w:rsid w:val="0079279D"/>
    <w:rsid w:val="00792B84"/>
    <w:rsid w:val="00792D00"/>
    <w:rsid w:val="0079309A"/>
    <w:rsid w:val="00793523"/>
    <w:rsid w:val="007937F1"/>
    <w:rsid w:val="0079385B"/>
    <w:rsid w:val="00793B5C"/>
    <w:rsid w:val="00793E4B"/>
    <w:rsid w:val="00793F66"/>
    <w:rsid w:val="007944FB"/>
    <w:rsid w:val="0079456C"/>
    <w:rsid w:val="007948F7"/>
    <w:rsid w:val="00794AF2"/>
    <w:rsid w:val="007953F9"/>
    <w:rsid w:val="00795849"/>
    <w:rsid w:val="00796266"/>
    <w:rsid w:val="007964F2"/>
    <w:rsid w:val="007967C6"/>
    <w:rsid w:val="007969B9"/>
    <w:rsid w:val="00796A48"/>
    <w:rsid w:val="00796AEE"/>
    <w:rsid w:val="00796D3A"/>
    <w:rsid w:val="00797611"/>
    <w:rsid w:val="00797799"/>
    <w:rsid w:val="00797A3D"/>
    <w:rsid w:val="00797F35"/>
    <w:rsid w:val="007A004A"/>
    <w:rsid w:val="007A03A5"/>
    <w:rsid w:val="007A03E0"/>
    <w:rsid w:val="007A0414"/>
    <w:rsid w:val="007A0670"/>
    <w:rsid w:val="007A0A04"/>
    <w:rsid w:val="007A0A38"/>
    <w:rsid w:val="007A0D8C"/>
    <w:rsid w:val="007A0F06"/>
    <w:rsid w:val="007A11A0"/>
    <w:rsid w:val="007A1297"/>
    <w:rsid w:val="007A12D1"/>
    <w:rsid w:val="007A155A"/>
    <w:rsid w:val="007A19BD"/>
    <w:rsid w:val="007A1AD1"/>
    <w:rsid w:val="007A1AE0"/>
    <w:rsid w:val="007A1B6A"/>
    <w:rsid w:val="007A1EA9"/>
    <w:rsid w:val="007A1F35"/>
    <w:rsid w:val="007A23C9"/>
    <w:rsid w:val="007A2AE0"/>
    <w:rsid w:val="007A2EEB"/>
    <w:rsid w:val="007A2F8E"/>
    <w:rsid w:val="007A313D"/>
    <w:rsid w:val="007A31A4"/>
    <w:rsid w:val="007A33F5"/>
    <w:rsid w:val="007A3689"/>
    <w:rsid w:val="007A38DD"/>
    <w:rsid w:val="007A3AB6"/>
    <w:rsid w:val="007A3E4F"/>
    <w:rsid w:val="007A40AC"/>
    <w:rsid w:val="007A40CC"/>
    <w:rsid w:val="007A44AF"/>
    <w:rsid w:val="007A4B46"/>
    <w:rsid w:val="007A4D1A"/>
    <w:rsid w:val="007A4F81"/>
    <w:rsid w:val="007A50A1"/>
    <w:rsid w:val="007A55CF"/>
    <w:rsid w:val="007A589D"/>
    <w:rsid w:val="007A58DA"/>
    <w:rsid w:val="007A5AEB"/>
    <w:rsid w:val="007A5F49"/>
    <w:rsid w:val="007A6091"/>
    <w:rsid w:val="007A6371"/>
    <w:rsid w:val="007A63A2"/>
    <w:rsid w:val="007A6404"/>
    <w:rsid w:val="007A648F"/>
    <w:rsid w:val="007A68BF"/>
    <w:rsid w:val="007A6AE8"/>
    <w:rsid w:val="007A6BEA"/>
    <w:rsid w:val="007A6D5B"/>
    <w:rsid w:val="007A6D80"/>
    <w:rsid w:val="007A6EE1"/>
    <w:rsid w:val="007A731B"/>
    <w:rsid w:val="007A743D"/>
    <w:rsid w:val="007A755C"/>
    <w:rsid w:val="007A7653"/>
    <w:rsid w:val="007A794B"/>
    <w:rsid w:val="007A7E93"/>
    <w:rsid w:val="007B02A7"/>
    <w:rsid w:val="007B04F5"/>
    <w:rsid w:val="007B06F7"/>
    <w:rsid w:val="007B079E"/>
    <w:rsid w:val="007B07BB"/>
    <w:rsid w:val="007B0C7E"/>
    <w:rsid w:val="007B12D7"/>
    <w:rsid w:val="007B152E"/>
    <w:rsid w:val="007B15D2"/>
    <w:rsid w:val="007B1716"/>
    <w:rsid w:val="007B1A5E"/>
    <w:rsid w:val="007B1A8C"/>
    <w:rsid w:val="007B1B96"/>
    <w:rsid w:val="007B1C1C"/>
    <w:rsid w:val="007B1CD4"/>
    <w:rsid w:val="007B1FF8"/>
    <w:rsid w:val="007B20C3"/>
    <w:rsid w:val="007B220C"/>
    <w:rsid w:val="007B2E9D"/>
    <w:rsid w:val="007B2EF3"/>
    <w:rsid w:val="007B30C8"/>
    <w:rsid w:val="007B3158"/>
    <w:rsid w:val="007B3294"/>
    <w:rsid w:val="007B33CD"/>
    <w:rsid w:val="007B3632"/>
    <w:rsid w:val="007B371B"/>
    <w:rsid w:val="007B3774"/>
    <w:rsid w:val="007B37CD"/>
    <w:rsid w:val="007B384B"/>
    <w:rsid w:val="007B3CDE"/>
    <w:rsid w:val="007B3F80"/>
    <w:rsid w:val="007B4198"/>
    <w:rsid w:val="007B42B7"/>
    <w:rsid w:val="007B4677"/>
    <w:rsid w:val="007B4AB1"/>
    <w:rsid w:val="007B4FAB"/>
    <w:rsid w:val="007B5227"/>
    <w:rsid w:val="007B5352"/>
    <w:rsid w:val="007B53C0"/>
    <w:rsid w:val="007B5796"/>
    <w:rsid w:val="007B5A98"/>
    <w:rsid w:val="007B5BBC"/>
    <w:rsid w:val="007B6028"/>
    <w:rsid w:val="007B646A"/>
    <w:rsid w:val="007B649A"/>
    <w:rsid w:val="007B65C2"/>
    <w:rsid w:val="007B65EC"/>
    <w:rsid w:val="007B668B"/>
    <w:rsid w:val="007B6A26"/>
    <w:rsid w:val="007B6A7E"/>
    <w:rsid w:val="007B6C48"/>
    <w:rsid w:val="007B6C63"/>
    <w:rsid w:val="007B6E00"/>
    <w:rsid w:val="007B6EEC"/>
    <w:rsid w:val="007B7144"/>
    <w:rsid w:val="007B72FE"/>
    <w:rsid w:val="007B7585"/>
    <w:rsid w:val="007B7753"/>
    <w:rsid w:val="007B7A75"/>
    <w:rsid w:val="007B7C69"/>
    <w:rsid w:val="007B7E30"/>
    <w:rsid w:val="007B7F0D"/>
    <w:rsid w:val="007C01B8"/>
    <w:rsid w:val="007C027E"/>
    <w:rsid w:val="007C051E"/>
    <w:rsid w:val="007C07CE"/>
    <w:rsid w:val="007C09E6"/>
    <w:rsid w:val="007C0A4F"/>
    <w:rsid w:val="007C0AA5"/>
    <w:rsid w:val="007C0B4C"/>
    <w:rsid w:val="007C0D97"/>
    <w:rsid w:val="007C0DCB"/>
    <w:rsid w:val="007C0E2A"/>
    <w:rsid w:val="007C0F15"/>
    <w:rsid w:val="007C0F91"/>
    <w:rsid w:val="007C1350"/>
    <w:rsid w:val="007C13BD"/>
    <w:rsid w:val="007C15CF"/>
    <w:rsid w:val="007C1654"/>
    <w:rsid w:val="007C1715"/>
    <w:rsid w:val="007C19A6"/>
    <w:rsid w:val="007C19FC"/>
    <w:rsid w:val="007C1A93"/>
    <w:rsid w:val="007C1BBA"/>
    <w:rsid w:val="007C1C41"/>
    <w:rsid w:val="007C2077"/>
    <w:rsid w:val="007C21CB"/>
    <w:rsid w:val="007C21DE"/>
    <w:rsid w:val="007C2426"/>
    <w:rsid w:val="007C2A95"/>
    <w:rsid w:val="007C2B5E"/>
    <w:rsid w:val="007C3140"/>
    <w:rsid w:val="007C339D"/>
    <w:rsid w:val="007C34B9"/>
    <w:rsid w:val="007C3569"/>
    <w:rsid w:val="007C3628"/>
    <w:rsid w:val="007C3757"/>
    <w:rsid w:val="007C37A2"/>
    <w:rsid w:val="007C38A9"/>
    <w:rsid w:val="007C3C49"/>
    <w:rsid w:val="007C41BE"/>
    <w:rsid w:val="007C46B1"/>
    <w:rsid w:val="007C46FE"/>
    <w:rsid w:val="007C475B"/>
    <w:rsid w:val="007C48A9"/>
    <w:rsid w:val="007C49DA"/>
    <w:rsid w:val="007C4B05"/>
    <w:rsid w:val="007C4C53"/>
    <w:rsid w:val="007C4CD7"/>
    <w:rsid w:val="007C4DCA"/>
    <w:rsid w:val="007C515E"/>
    <w:rsid w:val="007C5254"/>
    <w:rsid w:val="007C528D"/>
    <w:rsid w:val="007C5384"/>
    <w:rsid w:val="007C579E"/>
    <w:rsid w:val="007C5A92"/>
    <w:rsid w:val="007C5E15"/>
    <w:rsid w:val="007C6162"/>
    <w:rsid w:val="007C6209"/>
    <w:rsid w:val="007C647F"/>
    <w:rsid w:val="007C6642"/>
    <w:rsid w:val="007C6813"/>
    <w:rsid w:val="007C68A7"/>
    <w:rsid w:val="007C6A7F"/>
    <w:rsid w:val="007C6E8D"/>
    <w:rsid w:val="007C6FEE"/>
    <w:rsid w:val="007C749E"/>
    <w:rsid w:val="007C74E3"/>
    <w:rsid w:val="007C74EA"/>
    <w:rsid w:val="007C79C6"/>
    <w:rsid w:val="007C7ACD"/>
    <w:rsid w:val="007C7C7C"/>
    <w:rsid w:val="007C7ED7"/>
    <w:rsid w:val="007D0620"/>
    <w:rsid w:val="007D0729"/>
    <w:rsid w:val="007D0873"/>
    <w:rsid w:val="007D08D6"/>
    <w:rsid w:val="007D0A30"/>
    <w:rsid w:val="007D0F84"/>
    <w:rsid w:val="007D0FCB"/>
    <w:rsid w:val="007D1725"/>
    <w:rsid w:val="007D18E5"/>
    <w:rsid w:val="007D1ACD"/>
    <w:rsid w:val="007D1B3E"/>
    <w:rsid w:val="007D2093"/>
    <w:rsid w:val="007D22AE"/>
    <w:rsid w:val="007D2402"/>
    <w:rsid w:val="007D24BF"/>
    <w:rsid w:val="007D2526"/>
    <w:rsid w:val="007D292C"/>
    <w:rsid w:val="007D2AAE"/>
    <w:rsid w:val="007D2F00"/>
    <w:rsid w:val="007D2FDF"/>
    <w:rsid w:val="007D3404"/>
    <w:rsid w:val="007D3484"/>
    <w:rsid w:val="007D3895"/>
    <w:rsid w:val="007D392A"/>
    <w:rsid w:val="007D3B5E"/>
    <w:rsid w:val="007D45E9"/>
    <w:rsid w:val="007D4659"/>
    <w:rsid w:val="007D480A"/>
    <w:rsid w:val="007D48B1"/>
    <w:rsid w:val="007D4C2E"/>
    <w:rsid w:val="007D4C71"/>
    <w:rsid w:val="007D5462"/>
    <w:rsid w:val="007D5719"/>
    <w:rsid w:val="007D5A89"/>
    <w:rsid w:val="007D5DC3"/>
    <w:rsid w:val="007D60A2"/>
    <w:rsid w:val="007D6187"/>
    <w:rsid w:val="007D626B"/>
    <w:rsid w:val="007D62CA"/>
    <w:rsid w:val="007D670A"/>
    <w:rsid w:val="007D680A"/>
    <w:rsid w:val="007D6B23"/>
    <w:rsid w:val="007D6FCD"/>
    <w:rsid w:val="007D704F"/>
    <w:rsid w:val="007D7092"/>
    <w:rsid w:val="007D72C2"/>
    <w:rsid w:val="007D7702"/>
    <w:rsid w:val="007D7A94"/>
    <w:rsid w:val="007D7F0B"/>
    <w:rsid w:val="007D7FC1"/>
    <w:rsid w:val="007E0E8D"/>
    <w:rsid w:val="007E0ED4"/>
    <w:rsid w:val="007E1041"/>
    <w:rsid w:val="007E1686"/>
    <w:rsid w:val="007E16F6"/>
    <w:rsid w:val="007E1BC9"/>
    <w:rsid w:val="007E1E9E"/>
    <w:rsid w:val="007E214B"/>
    <w:rsid w:val="007E225F"/>
    <w:rsid w:val="007E22E3"/>
    <w:rsid w:val="007E252A"/>
    <w:rsid w:val="007E2543"/>
    <w:rsid w:val="007E258B"/>
    <w:rsid w:val="007E299D"/>
    <w:rsid w:val="007E29C1"/>
    <w:rsid w:val="007E2A92"/>
    <w:rsid w:val="007E2B6D"/>
    <w:rsid w:val="007E2C2F"/>
    <w:rsid w:val="007E2C59"/>
    <w:rsid w:val="007E2F28"/>
    <w:rsid w:val="007E3199"/>
    <w:rsid w:val="007E323A"/>
    <w:rsid w:val="007E37A6"/>
    <w:rsid w:val="007E3B7B"/>
    <w:rsid w:val="007E3E0B"/>
    <w:rsid w:val="007E3FBF"/>
    <w:rsid w:val="007E3FD6"/>
    <w:rsid w:val="007E40A0"/>
    <w:rsid w:val="007E4104"/>
    <w:rsid w:val="007E413B"/>
    <w:rsid w:val="007E4670"/>
    <w:rsid w:val="007E4D51"/>
    <w:rsid w:val="007E5107"/>
    <w:rsid w:val="007E52E4"/>
    <w:rsid w:val="007E5604"/>
    <w:rsid w:val="007E57AF"/>
    <w:rsid w:val="007E5803"/>
    <w:rsid w:val="007E5BE4"/>
    <w:rsid w:val="007E5C8A"/>
    <w:rsid w:val="007E6140"/>
    <w:rsid w:val="007E642D"/>
    <w:rsid w:val="007E6592"/>
    <w:rsid w:val="007E6784"/>
    <w:rsid w:val="007E67DC"/>
    <w:rsid w:val="007E6EEC"/>
    <w:rsid w:val="007E6F28"/>
    <w:rsid w:val="007E6FA3"/>
    <w:rsid w:val="007E6FD7"/>
    <w:rsid w:val="007E7010"/>
    <w:rsid w:val="007E7377"/>
    <w:rsid w:val="007F0085"/>
    <w:rsid w:val="007F0342"/>
    <w:rsid w:val="007F06FB"/>
    <w:rsid w:val="007F079D"/>
    <w:rsid w:val="007F07CB"/>
    <w:rsid w:val="007F0B1D"/>
    <w:rsid w:val="007F0BE3"/>
    <w:rsid w:val="007F0C42"/>
    <w:rsid w:val="007F0C7D"/>
    <w:rsid w:val="007F0F4A"/>
    <w:rsid w:val="007F0F64"/>
    <w:rsid w:val="007F117E"/>
    <w:rsid w:val="007F11CF"/>
    <w:rsid w:val="007F1318"/>
    <w:rsid w:val="007F163E"/>
    <w:rsid w:val="007F194A"/>
    <w:rsid w:val="007F1D61"/>
    <w:rsid w:val="007F1E26"/>
    <w:rsid w:val="007F216F"/>
    <w:rsid w:val="007F223F"/>
    <w:rsid w:val="007F22D4"/>
    <w:rsid w:val="007F2338"/>
    <w:rsid w:val="007F2E7F"/>
    <w:rsid w:val="007F3EF5"/>
    <w:rsid w:val="007F3F47"/>
    <w:rsid w:val="007F4130"/>
    <w:rsid w:val="007F4234"/>
    <w:rsid w:val="007F445E"/>
    <w:rsid w:val="007F491E"/>
    <w:rsid w:val="007F49CE"/>
    <w:rsid w:val="007F4FEE"/>
    <w:rsid w:val="007F5029"/>
    <w:rsid w:val="007F512F"/>
    <w:rsid w:val="007F56DB"/>
    <w:rsid w:val="007F5A73"/>
    <w:rsid w:val="007F5B92"/>
    <w:rsid w:val="007F609D"/>
    <w:rsid w:val="007F644A"/>
    <w:rsid w:val="007F66BE"/>
    <w:rsid w:val="007F67C1"/>
    <w:rsid w:val="007F6F91"/>
    <w:rsid w:val="007F6FF9"/>
    <w:rsid w:val="007F7039"/>
    <w:rsid w:val="007F752B"/>
    <w:rsid w:val="007F7533"/>
    <w:rsid w:val="007F7986"/>
    <w:rsid w:val="007F7CEA"/>
    <w:rsid w:val="007F7D36"/>
    <w:rsid w:val="007F7DD4"/>
    <w:rsid w:val="008000DF"/>
    <w:rsid w:val="00800222"/>
    <w:rsid w:val="00800389"/>
    <w:rsid w:val="0080046B"/>
    <w:rsid w:val="008005B8"/>
    <w:rsid w:val="00800B52"/>
    <w:rsid w:val="00800C29"/>
    <w:rsid w:val="00800D77"/>
    <w:rsid w:val="00801172"/>
    <w:rsid w:val="00801175"/>
    <w:rsid w:val="0080144F"/>
    <w:rsid w:val="00801512"/>
    <w:rsid w:val="008015D6"/>
    <w:rsid w:val="0080164D"/>
    <w:rsid w:val="00801899"/>
    <w:rsid w:val="00801B2F"/>
    <w:rsid w:val="00801B62"/>
    <w:rsid w:val="00801BE5"/>
    <w:rsid w:val="00801D65"/>
    <w:rsid w:val="00802037"/>
    <w:rsid w:val="00802387"/>
    <w:rsid w:val="00802673"/>
    <w:rsid w:val="00802B40"/>
    <w:rsid w:val="00802CB5"/>
    <w:rsid w:val="00802D5F"/>
    <w:rsid w:val="00802DC7"/>
    <w:rsid w:val="00802F09"/>
    <w:rsid w:val="00803193"/>
    <w:rsid w:val="00803318"/>
    <w:rsid w:val="008033BF"/>
    <w:rsid w:val="008035FB"/>
    <w:rsid w:val="00803658"/>
    <w:rsid w:val="008037B3"/>
    <w:rsid w:val="0080391D"/>
    <w:rsid w:val="00803F8D"/>
    <w:rsid w:val="0080408F"/>
    <w:rsid w:val="008045A2"/>
    <w:rsid w:val="0080491E"/>
    <w:rsid w:val="00804A25"/>
    <w:rsid w:val="00804C02"/>
    <w:rsid w:val="00804EF4"/>
    <w:rsid w:val="00804FEC"/>
    <w:rsid w:val="00805042"/>
    <w:rsid w:val="00805173"/>
    <w:rsid w:val="0080569E"/>
    <w:rsid w:val="00805777"/>
    <w:rsid w:val="0080579D"/>
    <w:rsid w:val="008057C8"/>
    <w:rsid w:val="00805839"/>
    <w:rsid w:val="00805BF5"/>
    <w:rsid w:val="00805E20"/>
    <w:rsid w:val="00805E64"/>
    <w:rsid w:val="00805EC4"/>
    <w:rsid w:val="0080607A"/>
    <w:rsid w:val="00806506"/>
    <w:rsid w:val="008066E1"/>
    <w:rsid w:val="00806737"/>
    <w:rsid w:val="00806881"/>
    <w:rsid w:val="00806AA8"/>
    <w:rsid w:val="00806BE8"/>
    <w:rsid w:val="00806D47"/>
    <w:rsid w:val="00806E45"/>
    <w:rsid w:val="00806FF1"/>
    <w:rsid w:val="008070CA"/>
    <w:rsid w:val="00807A7C"/>
    <w:rsid w:val="00807E50"/>
    <w:rsid w:val="008108C6"/>
    <w:rsid w:val="00810CB7"/>
    <w:rsid w:val="00811155"/>
    <w:rsid w:val="008113A4"/>
    <w:rsid w:val="00811429"/>
    <w:rsid w:val="00812326"/>
    <w:rsid w:val="0081248D"/>
    <w:rsid w:val="008124C9"/>
    <w:rsid w:val="008124EB"/>
    <w:rsid w:val="00812522"/>
    <w:rsid w:val="00812898"/>
    <w:rsid w:val="00812A16"/>
    <w:rsid w:val="00812B0C"/>
    <w:rsid w:val="0081368A"/>
    <w:rsid w:val="008136D8"/>
    <w:rsid w:val="00813FA8"/>
    <w:rsid w:val="008140EE"/>
    <w:rsid w:val="00814143"/>
    <w:rsid w:val="008141D9"/>
    <w:rsid w:val="008141EE"/>
    <w:rsid w:val="008142E5"/>
    <w:rsid w:val="00814334"/>
    <w:rsid w:val="00814426"/>
    <w:rsid w:val="00814495"/>
    <w:rsid w:val="00814D4E"/>
    <w:rsid w:val="00814D91"/>
    <w:rsid w:val="008151F4"/>
    <w:rsid w:val="008152F6"/>
    <w:rsid w:val="0081536B"/>
    <w:rsid w:val="00815556"/>
    <w:rsid w:val="00815746"/>
    <w:rsid w:val="00815978"/>
    <w:rsid w:val="00815A96"/>
    <w:rsid w:val="00815B0C"/>
    <w:rsid w:val="00815CB1"/>
    <w:rsid w:val="008160CD"/>
    <w:rsid w:val="00816DF8"/>
    <w:rsid w:val="00816EEB"/>
    <w:rsid w:val="0081725E"/>
    <w:rsid w:val="008178B2"/>
    <w:rsid w:val="00817DCD"/>
    <w:rsid w:val="00817F1A"/>
    <w:rsid w:val="0082001B"/>
    <w:rsid w:val="008200A3"/>
    <w:rsid w:val="00820126"/>
    <w:rsid w:val="00820465"/>
    <w:rsid w:val="008205F9"/>
    <w:rsid w:val="00820991"/>
    <w:rsid w:val="00820A35"/>
    <w:rsid w:val="00820AEA"/>
    <w:rsid w:val="00820B50"/>
    <w:rsid w:val="008210D6"/>
    <w:rsid w:val="00821132"/>
    <w:rsid w:val="00821547"/>
    <w:rsid w:val="00821976"/>
    <w:rsid w:val="00821CFD"/>
    <w:rsid w:val="00821DF6"/>
    <w:rsid w:val="0082232B"/>
    <w:rsid w:val="00822335"/>
    <w:rsid w:val="00822511"/>
    <w:rsid w:val="008225CB"/>
    <w:rsid w:val="00822ACD"/>
    <w:rsid w:val="00822CBB"/>
    <w:rsid w:val="00822CC8"/>
    <w:rsid w:val="00822DFF"/>
    <w:rsid w:val="00822EE8"/>
    <w:rsid w:val="008230AF"/>
    <w:rsid w:val="00823738"/>
    <w:rsid w:val="00823976"/>
    <w:rsid w:val="00823B5B"/>
    <w:rsid w:val="00823B7E"/>
    <w:rsid w:val="00823CC7"/>
    <w:rsid w:val="00823D08"/>
    <w:rsid w:val="00824255"/>
    <w:rsid w:val="008246A7"/>
    <w:rsid w:val="00824729"/>
    <w:rsid w:val="008247DE"/>
    <w:rsid w:val="00824889"/>
    <w:rsid w:val="00824A2E"/>
    <w:rsid w:val="00824A98"/>
    <w:rsid w:val="00824C7F"/>
    <w:rsid w:val="00824E2B"/>
    <w:rsid w:val="00825885"/>
    <w:rsid w:val="008259B7"/>
    <w:rsid w:val="00825D48"/>
    <w:rsid w:val="00826219"/>
    <w:rsid w:val="0082675E"/>
    <w:rsid w:val="00826913"/>
    <w:rsid w:val="008269EE"/>
    <w:rsid w:val="00826E2F"/>
    <w:rsid w:val="0082708E"/>
    <w:rsid w:val="0082792F"/>
    <w:rsid w:val="00827953"/>
    <w:rsid w:val="00827D7D"/>
    <w:rsid w:val="0083012A"/>
    <w:rsid w:val="008308ED"/>
    <w:rsid w:val="00830A2D"/>
    <w:rsid w:val="00831069"/>
    <w:rsid w:val="008310EC"/>
    <w:rsid w:val="0083112D"/>
    <w:rsid w:val="008312C0"/>
    <w:rsid w:val="008313F8"/>
    <w:rsid w:val="00831715"/>
    <w:rsid w:val="008317D6"/>
    <w:rsid w:val="008318B9"/>
    <w:rsid w:val="008318F0"/>
    <w:rsid w:val="00831B96"/>
    <w:rsid w:val="00831EE6"/>
    <w:rsid w:val="00832103"/>
    <w:rsid w:val="00832158"/>
    <w:rsid w:val="0083227F"/>
    <w:rsid w:val="00832548"/>
    <w:rsid w:val="008328D6"/>
    <w:rsid w:val="008329AA"/>
    <w:rsid w:val="00832ACA"/>
    <w:rsid w:val="00832BC7"/>
    <w:rsid w:val="00832C07"/>
    <w:rsid w:val="00833111"/>
    <w:rsid w:val="008331AC"/>
    <w:rsid w:val="0083326D"/>
    <w:rsid w:val="00833315"/>
    <w:rsid w:val="00833694"/>
    <w:rsid w:val="00833806"/>
    <w:rsid w:val="00833884"/>
    <w:rsid w:val="008339C6"/>
    <w:rsid w:val="00833BDC"/>
    <w:rsid w:val="00833C9C"/>
    <w:rsid w:val="00833CA7"/>
    <w:rsid w:val="00833E66"/>
    <w:rsid w:val="00833F95"/>
    <w:rsid w:val="00834622"/>
    <w:rsid w:val="00834B7F"/>
    <w:rsid w:val="00834D7D"/>
    <w:rsid w:val="00834F52"/>
    <w:rsid w:val="00834F66"/>
    <w:rsid w:val="00834FB4"/>
    <w:rsid w:val="008350DA"/>
    <w:rsid w:val="00835162"/>
    <w:rsid w:val="008356EC"/>
    <w:rsid w:val="00835CF0"/>
    <w:rsid w:val="00836338"/>
    <w:rsid w:val="008367BF"/>
    <w:rsid w:val="008367DA"/>
    <w:rsid w:val="00836B9E"/>
    <w:rsid w:val="00836C64"/>
    <w:rsid w:val="0083701C"/>
    <w:rsid w:val="008370F8"/>
    <w:rsid w:val="00837186"/>
    <w:rsid w:val="00837248"/>
    <w:rsid w:val="008375F3"/>
    <w:rsid w:val="0083795B"/>
    <w:rsid w:val="00837E87"/>
    <w:rsid w:val="00837EEF"/>
    <w:rsid w:val="00840015"/>
    <w:rsid w:val="0084058E"/>
    <w:rsid w:val="00840644"/>
    <w:rsid w:val="0084090D"/>
    <w:rsid w:val="00840A7F"/>
    <w:rsid w:val="00840C34"/>
    <w:rsid w:val="00840D5A"/>
    <w:rsid w:val="00840F9D"/>
    <w:rsid w:val="00841074"/>
    <w:rsid w:val="00841123"/>
    <w:rsid w:val="00841303"/>
    <w:rsid w:val="008414FB"/>
    <w:rsid w:val="00841D1A"/>
    <w:rsid w:val="00841D88"/>
    <w:rsid w:val="00842044"/>
    <w:rsid w:val="00842149"/>
    <w:rsid w:val="008421AF"/>
    <w:rsid w:val="008423AF"/>
    <w:rsid w:val="00842646"/>
    <w:rsid w:val="0084298C"/>
    <w:rsid w:val="00842C77"/>
    <w:rsid w:val="00842D54"/>
    <w:rsid w:val="00842F4F"/>
    <w:rsid w:val="008430D1"/>
    <w:rsid w:val="008430F1"/>
    <w:rsid w:val="008433DD"/>
    <w:rsid w:val="0084346F"/>
    <w:rsid w:val="008434F8"/>
    <w:rsid w:val="0084377A"/>
    <w:rsid w:val="00843AAA"/>
    <w:rsid w:val="00843ADD"/>
    <w:rsid w:val="00843BB2"/>
    <w:rsid w:val="00843D34"/>
    <w:rsid w:val="00843E63"/>
    <w:rsid w:val="00843F4D"/>
    <w:rsid w:val="0084403A"/>
    <w:rsid w:val="00844366"/>
    <w:rsid w:val="008443FC"/>
    <w:rsid w:val="00844E9E"/>
    <w:rsid w:val="00844F25"/>
    <w:rsid w:val="00844FA1"/>
    <w:rsid w:val="0084516D"/>
    <w:rsid w:val="00845614"/>
    <w:rsid w:val="00845765"/>
    <w:rsid w:val="00845804"/>
    <w:rsid w:val="0084586A"/>
    <w:rsid w:val="00845956"/>
    <w:rsid w:val="00845AF9"/>
    <w:rsid w:val="00845B41"/>
    <w:rsid w:val="00846090"/>
    <w:rsid w:val="00846098"/>
    <w:rsid w:val="00846400"/>
    <w:rsid w:val="00846603"/>
    <w:rsid w:val="008467FB"/>
    <w:rsid w:val="0084689B"/>
    <w:rsid w:val="00846A03"/>
    <w:rsid w:val="00846D83"/>
    <w:rsid w:val="00846EA1"/>
    <w:rsid w:val="00846FD6"/>
    <w:rsid w:val="0084716E"/>
    <w:rsid w:val="0084723F"/>
    <w:rsid w:val="0084725C"/>
    <w:rsid w:val="008473DD"/>
    <w:rsid w:val="00847E44"/>
    <w:rsid w:val="00850285"/>
    <w:rsid w:val="0085061F"/>
    <w:rsid w:val="00850D4D"/>
    <w:rsid w:val="00850E56"/>
    <w:rsid w:val="00850F4C"/>
    <w:rsid w:val="00850F7E"/>
    <w:rsid w:val="0085135C"/>
    <w:rsid w:val="00851462"/>
    <w:rsid w:val="00851925"/>
    <w:rsid w:val="0085194A"/>
    <w:rsid w:val="00851CD7"/>
    <w:rsid w:val="00851E20"/>
    <w:rsid w:val="00852134"/>
    <w:rsid w:val="008521BD"/>
    <w:rsid w:val="0085227B"/>
    <w:rsid w:val="008522A3"/>
    <w:rsid w:val="008522D2"/>
    <w:rsid w:val="00852458"/>
    <w:rsid w:val="00852626"/>
    <w:rsid w:val="00852687"/>
    <w:rsid w:val="00852CE0"/>
    <w:rsid w:val="00852D2B"/>
    <w:rsid w:val="00852D92"/>
    <w:rsid w:val="00852E58"/>
    <w:rsid w:val="00852E59"/>
    <w:rsid w:val="00852EE6"/>
    <w:rsid w:val="00852F1C"/>
    <w:rsid w:val="00853148"/>
    <w:rsid w:val="00853153"/>
    <w:rsid w:val="0085355C"/>
    <w:rsid w:val="0085392E"/>
    <w:rsid w:val="00853A5B"/>
    <w:rsid w:val="00853CCA"/>
    <w:rsid w:val="00853D56"/>
    <w:rsid w:val="00853FF1"/>
    <w:rsid w:val="0085452A"/>
    <w:rsid w:val="008546B2"/>
    <w:rsid w:val="0085475E"/>
    <w:rsid w:val="008549A9"/>
    <w:rsid w:val="008549E9"/>
    <w:rsid w:val="00854A82"/>
    <w:rsid w:val="00854C06"/>
    <w:rsid w:val="00854DA5"/>
    <w:rsid w:val="008550D7"/>
    <w:rsid w:val="00855515"/>
    <w:rsid w:val="00855935"/>
    <w:rsid w:val="00855A36"/>
    <w:rsid w:val="00855B2A"/>
    <w:rsid w:val="00855FE3"/>
    <w:rsid w:val="00855FEC"/>
    <w:rsid w:val="00856120"/>
    <w:rsid w:val="0085616F"/>
    <w:rsid w:val="00856705"/>
    <w:rsid w:val="00856885"/>
    <w:rsid w:val="00856EF0"/>
    <w:rsid w:val="0085719A"/>
    <w:rsid w:val="008571A7"/>
    <w:rsid w:val="00857A9F"/>
    <w:rsid w:val="00857F6B"/>
    <w:rsid w:val="00860070"/>
    <w:rsid w:val="0086082C"/>
    <w:rsid w:val="00860B71"/>
    <w:rsid w:val="0086100F"/>
    <w:rsid w:val="00861174"/>
    <w:rsid w:val="008612CB"/>
    <w:rsid w:val="00861417"/>
    <w:rsid w:val="0086142D"/>
    <w:rsid w:val="008614D9"/>
    <w:rsid w:val="008617F2"/>
    <w:rsid w:val="00861FE1"/>
    <w:rsid w:val="00862037"/>
    <w:rsid w:val="00862347"/>
    <w:rsid w:val="00862651"/>
    <w:rsid w:val="00862905"/>
    <w:rsid w:val="00862B7C"/>
    <w:rsid w:val="00862ED4"/>
    <w:rsid w:val="0086308F"/>
    <w:rsid w:val="00863156"/>
    <w:rsid w:val="00863336"/>
    <w:rsid w:val="008633B1"/>
    <w:rsid w:val="008634C5"/>
    <w:rsid w:val="00863540"/>
    <w:rsid w:val="00863B11"/>
    <w:rsid w:val="00863EA7"/>
    <w:rsid w:val="00863F3B"/>
    <w:rsid w:val="00864D33"/>
    <w:rsid w:val="008650D3"/>
    <w:rsid w:val="008655FC"/>
    <w:rsid w:val="0086592F"/>
    <w:rsid w:val="008659B1"/>
    <w:rsid w:val="00866173"/>
    <w:rsid w:val="00866412"/>
    <w:rsid w:val="0086653E"/>
    <w:rsid w:val="00866561"/>
    <w:rsid w:val="0086672C"/>
    <w:rsid w:val="00866919"/>
    <w:rsid w:val="008669DB"/>
    <w:rsid w:val="00866AE5"/>
    <w:rsid w:val="00866E48"/>
    <w:rsid w:val="00866ED3"/>
    <w:rsid w:val="0086730F"/>
    <w:rsid w:val="00867B16"/>
    <w:rsid w:val="00867E9B"/>
    <w:rsid w:val="00870509"/>
    <w:rsid w:val="00870558"/>
    <w:rsid w:val="008705A6"/>
    <w:rsid w:val="00870684"/>
    <w:rsid w:val="008706A1"/>
    <w:rsid w:val="00870C99"/>
    <w:rsid w:val="00870DF6"/>
    <w:rsid w:val="00870E3D"/>
    <w:rsid w:val="008711B9"/>
    <w:rsid w:val="00871244"/>
    <w:rsid w:val="008714BA"/>
    <w:rsid w:val="008715C0"/>
    <w:rsid w:val="0087169C"/>
    <w:rsid w:val="00871747"/>
    <w:rsid w:val="008717E3"/>
    <w:rsid w:val="008718A5"/>
    <w:rsid w:val="008721CC"/>
    <w:rsid w:val="00872C2C"/>
    <w:rsid w:val="00873510"/>
    <w:rsid w:val="0087378A"/>
    <w:rsid w:val="00873C0F"/>
    <w:rsid w:val="00873C58"/>
    <w:rsid w:val="00874203"/>
    <w:rsid w:val="008749CC"/>
    <w:rsid w:val="00874D05"/>
    <w:rsid w:val="00874DC0"/>
    <w:rsid w:val="00874EE9"/>
    <w:rsid w:val="00874F6B"/>
    <w:rsid w:val="008752E4"/>
    <w:rsid w:val="008755D9"/>
    <w:rsid w:val="00875601"/>
    <w:rsid w:val="0087589E"/>
    <w:rsid w:val="00875AAA"/>
    <w:rsid w:val="00875B8B"/>
    <w:rsid w:val="00875F83"/>
    <w:rsid w:val="00875FD0"/>
    <w:rsid w:val="0087604F"/>
    <w:rsid w:val="0087610C"/>
    <w:rsid w:val="00876377"/>
    <w:rsid w:val="00876414"/>
    <w:rsid w:val="00876421"/>
    <w:rsid w:val="008765E1"/>
    <w:rsid w:val="0087660C"/>
    <w:rsid w:val="008768F8"/>
    <w:rsid w:val="0087690D"/>
    <w:rsid w:val="00876E3F"/>
    <w:rsid w:val="00876EEF"/>
    <w:rsid w:val="00876F78"/>
    <w:rsid w:val="00877060"/>
    <w:rsid w:val="008770BC"/>
    <w:rsid w:val="00877261"/>
    <w:rsid w:val="00877491"/>
    <w:rsid w:val="008776B7"/>
    <w:rsid w:val="00877728"/>
    <w:rsid w:val="00877969"/>
    <w:rsid w:val="00877AC9"/>
    <w:rsid w:val="00877D1E"/>
    <w:rsid w:val="00880157"/>
    <w:rsid w:val="008802C5"/>
    <w:rsid w:val="00880367"/>
    <w:rsid w:val="00880E9E"/>
    <w:rsid w:val="00881051"/>
    <w:rsid w:val="00881112"/>
    <w:rsid w:val="008811DA"/>
    <w:rsid w:val="008816B3"/>
    <w:rsid w:val="00881A35"/>
    <w:rsid w:val="00881BCF"/>
    <w:rsid w:val="00881E08"/>
    <w:rsid w:val="0088213A"/>
    <w:rsid w:val="0088226C"/>
    <w:rsid w:val="00882287"/>
    <w:rsid w:val="00882343"/>
    <w:rsid w:val="008827A0"/>
    <w:rsid w:val="00882B2E"/>
    <w:rsid w:val="00882E45"/>
    <w:rsid w:val="008832AC"/>
    <w:rsid w:val="008836A6"/>
    <w:rsid w:val="008838BC"/>
    <w:rsid w:val="0088393B"/>
    <w:rsid w:val="0088395F"/>
    <w:rsid w:val="0088433C"/>
    <w:rsid w:val="0088434B"/>
    <w:rsid w:val="00884625"/>
    <w:rsid w:val="008846A2"/>
    <w:rsid w:val="008847D0"/>
    <w:rsid w:val="00884944"/>
    <w:rsid w:val="00884AAD"/>
    <w:rsid w:val="00884EC8"/>
    <w:rsid w:val="008852D5"/>
    <w:rsid w:val="008853A7"/>
    <w:rsid w:val="008853F0"/>
    <w:rsid w:val="00885694"/>
    <w:rsid w:val="008857DD"/>
    <w:rsid w:val="00885B49"/>
    <w:rsid w:val="00885BBB"/>
    <w:rsid w:val="00885C51"/>
    <w:rsid w:val="00885D51"/>
    <w:rsid w:val="00885E6C"/>
    <w:rsid w:val="00886101"/>
    <w:rsid w:val="00886411"/>
    <w:rsid w:val="0088659C"/>
    <w:rsid w:val="0088697F"/>
    <w:rsid w:val="00886AEF"/>
    <w:rsid w:val="00886BEE"/>
    <w:rsid w:val="00886FF3"/>
    <w:rsid w:val="00887185"/>
    <w:rsid w:val="00887639"/>
    <w:rsid w:val="008877A9"/>
    <w:rsid w:val="00887A52"/>
    <w:rsid w:val="00887E09"/>
    <w:rsid w:val="008901D4"/>
    <w:rsid w:val="008903E5"/>
    <w:rsid w:val="0089076D"/>
    <w:rsid w:val="00890BA5"/>
    <w:rsid w:val="00890E17"/>
    <w:rsid w:val="00890E70"/>
    <w:rsid w:val="00890E95"/>
    <w:rsid w:val="00890F6A"/>
    <w:rsid w:val="0089116C"/>
    <w:rsid w:val="008911A0"/>
    <w:rsid w:val="00891467"/>
    <w:rsid w:val="00891673"/>
    <w:rsid w:val="008916BC"/>
    <w:rsid w:val="00891774"/>
    <w:rsid w:val="00891968"/>
    <w:rsid w:val="00891A36"/>
    <w:rsid w:val="00891BB5"/>
    <w:rsid w:val="00891CDC"/>
    <w:rsid w:val="00891E02"/>
    <w:rsid w:val="00891F1C"/>
    <w:rsid w:val="0089227E"/>
    <w:rsid w:val="00892782"/>
    <w:rsid w:val="00892843"/>
    <w:rsid w:val="0089285F"/>
    <w:rsid w:val="008928C7"/>
    <w:rsid w:val="008929B8"/>
    <w:rsid w:val="00892A4B"/>
    <w:rsid w:val="00892B85"/>
    <w:rsid w:val="00893261"/>
    <w:rsid w:val="00893321"/>
    <w:rsid w:val="00893483"/>
    <w:rsid w:val="008935A2"/>
    <w:rsid w:val="00893833"/>
    <w:rsid w:val="00893919"/>
    <w:rsid w:val="00893A37"/>
    <w:rsid w:val="00893AC2"/>
    <w:rsid w:val="00893B92"/>
    <w:rsid w:val="00893B98"/>
    <w:rsid w:val="00893D95"/>
    <w:rsid w:val="00893FCC"/>
    <w:rsid w:val="008941BC"/>
    <w:rsid w:val="008942EA"/>
    <w:rsid w:val="00894305"/>
    <w:rsid w:val="008948FA"/>
    <w:rsid w:val="00894C48"/>
    <w:rsid w:val="00894D5E"/>
    <w:rsid w:val="00894DEA"/>
    <w:rsid w:val="008950A6"/>
    <w:rsid w:val="00895135"/>
    <w:rsid w:val="00895223"/>
    <w:rsid w:val="0089538A"/>
    <w:rsid w:val="00895CED"/>
    <w:rsid w:val="00895FAF"/>
    <w:rsid w:val="008960DC"/>
    <w:rsid w:val="008963CE"/>
    <w:rsid w:val="008969A8"/>
    <w:rsid w:val="00896D68"/>
    <w:rsid w:val="00896E1D"/>
    <w:rsid w:val="00896EB1"/>
    <w:rsid w:val="008972A0"/>
    <w:rsid w:val="0089761C"/>
    <w:rsid w:val="008976DA"/>
    <w:rsid w:val="00897D52"/>
    <w:rsid w:val="008A01BC"/>
    <w:rsid w:val="008A02FA"/>
    <w:rsid w:val="008A09B0"/>
    <w:rsid w:val="008A0F26"/>
    <w:rsid w:val="008A1298"/>
    <w:rsid w:val="008A1367"/>
    <w:rsid w:val="008A1430"/>
    <w:rsid w:val="008A168E"/>
    <w:rsid w:val="008A1AA3"/>
    <w:rsid w:val="008A1C2C"/>
    <w:rsid w:val="008A1C9F"/>
    <w:rsid w:val="008A1CAC"/>
    <w:rsid w:val="008A28A0"/>
    <w:rsid w:val="008A28E9"/>
    <w:rsid w:val="008A2A29"/>
    <w:rsid w:val="008A2ACA"/>
    <w:rsid w:val="008A2BD8"/>
    <w:rsid w:val="008A2D1D"/>
    <w:rsid w:val="008A35AD"/>
    <w:rsid w:val="008A37A3"/>
    <w:rsid w:val="008A37FB"/>
    <w:rsid w:val="008A3BBE"/>
    <w:rsid w:val="008A40A1"/>
    <w:rsid w:val="008A4161"/>
    <w:rsid w:val="008A44C0"/>
    <w:rsid w:val="008A44D1"/>
    <w:rsid w:val="008A44F8"/>
    <w:rsid w:val="008A45DF"/>
    <w:rsid w:val="008A4F2A"/>
    <w:rsid w:val="008A4F93"/>
    <w:rsid w:val="008A4FC4"/>
    <w:rsid w:val="008A4FF4"/>
    <w:rsid w:val="008A53AC"/>
    <w:rsid w:val="008A5716"/>
    <w:rsid w:val="008A5902"/>
    <w:rsid w:val="008A5950"/>
    <w:rsid w:val="008A5BDA"/>
    <w:rsid w:val="008A5DCF"/>
    <w:rsid w:val="008A5DD2"/>
    <w:rsid w:val="008A5E0C"/>
    <w:rsid w:val="008A68CE"/>
    <w:rsid w:val="008A6901"/>
    <w:rsid w:val="008A6A0C"/>
    <w:rsid w:val="008A6B20"/>
    <w:rsid w:val="008A6C85"/>
    <w:rsid w:val="008A6F48"/>
    <w:rsid w:val="008A71A0"/>
    <w:rsid w:val="008A75C4"/>
    <w:rsid w:val="008A76EE"/>
    <w:rsid w:val="008A7F07"/>
    <w:rsid w:val="008B0079"/>
    <w:rsid w:val="008B00DE"/>
    <w:rsid w:val="008B0678"/>
    <w:rsid w:val="008B0728"/>
    <w:rsid w:val="008B08D6"/>
    <w:rsid w:val="008B0BB0"/>
    <w:rsid w:val="008B110F"/>
    <w:rsid w:val="008B12BF"/>
    <w:rsid w:val="008B1385"/>
    <w:rsid w:val="008B15C8"/>
    <w:rsid w:val="008B1903"/>
    <w:rsid w:val="008B1B95"/>
    <w:rsid w:val="008B1CEA"/>
    <w:rsid w:val="008B22DA"/>
    <w:rsid w:val="008B2367"/>
    <w:rsid w:val="008B2776"/>
    <w:rsid w:val="008B27CF"/>
    <w:rsid w:val="008B2A79"/>
    <w:rsid w:val="008B2EA5"/>
    <w:rsid w:val="008B2F04"/>
    <w:rsid w:val="008B3039"/>
    <w:rsid w:val="008B30E3"/>
    <w:rsid w:val="008B3157"/>
    <w:rsid w:val="008B3241"/>
    <w:rsid w:val="008B3B8D"/>
    <w:rsid w:val="008B3BB5"/>
    <w:rsid w:val="008B3EFC"/>
    <w:rsid w:val="008B41ED"/>
    <w:rsid w:val="008B41F5"/>
    <w:rsid w:val="008B43B6"/>
    <w:rsid w:val="008B43F9"/>
    <w:rsid w:val="008B487A"/>
    <w:rsid w:val="008B4BC3"/>
    <w:rsid w:val="008B4F8D"/>
    <w:rsid w:val="008B50CA"/>
    <w:rsid w:val="008B5795"/>
    <w:rsid w:val="008B58A0"/>
    <w:rsid w:val="008B5A98"/>
    <w:rsid w:val="008B5DA7"/>
    <w:rsid w:val="008B5EBC"/>
    <w:rsid w:val="008B5F19"/>
    <w:rsid w:val="008B6544"/>
    <w:rsid w:val="008B67FA"/>
    <w:rsid w:val="008B6B2A"/>
    <w:rsid w:val="008B6CCE"/>
    <w:rsid w:val="008B6D32"/>
    <w:rsid w:val="008B6FE6"/>
    <w:rsid w:val="008B71BA"/>
    <w:rsid w:val="008B72FE"/>
    <w:rsid w:val="008B73EB"/>
    <w:rsid w:val="008B7700"/>
    <w:rsid w:val="008B7715"/>
    <w:rsid w:val="008B7C6A"/>
    <w:rsid w:val="008C0321"/>
    <w:rsid w:val="008C04CE"/>
    <w:rsid w:val="008C04DB"/>
    <w:rsid w:val="008C04F9"/>
    <w:rsid w:val="008C090F"/>
    <w:rsid w:val="008C0A2D"/>
    <w:rsid w:val="008C0BC4"/>
    <w:rsid w:val="008C0BD1"/>
    <w:rsid w:val="008C0E01"/>
    <w:rsid w:val="008C1470"/>
    <w:rsid w:val="008C178A"/>
    <w:rsid w:val="008C1B19"/>
    <w:rsid w:val="008C1BD3"/>
    <w:rsid w:val="008C1CBF"/>
    <w:rsid w:val="008C1CCC"/>
    <w:rsid w:val="008C1F8A"/>
    <w:rsid w:val="008C2019"/>
    <w:rsid w:val="008C21C6"/>
    <w:rsid w:val="008C2232"/>
    <w:rsid w:val="008C2493"/>
    <w:rsid w:val="008C2589"/>
    <w:rsid w:val="008C273A"/>
    <w:rsid w:val="008C29D5"/>
    <w:rsid w:val="008C2C5D"/>
    <w:rsid w:val="008C2D85"/>
    <w:rsid w:val="008C31D4"/>
    <w:rsid w:val="008C321E"/>
    <w:rsid w:val="008C3256"/>
    <w:rsid w:val="008C3ABF"/>
    <w:rsid w:val="008C3AFB"/>
    <w:rsid w:val="008C3BB1"/>
    <w:rsid w:val="008C3CA0"/>
    <w:rsid w:val="008C3D7F"/>
    <w:rsid w:val="008C405C"/>
    <w:rsid w:val="008C40CE"/>
    <w:rsid w:val="008C416B"/>
    <w:rsid w:val="008C41B9"/>
    <w:rsid w:val="008C44DB"/>
    <w:rsid w:val="008C4576"/>
    <w:rsid w:val="008C4597"/>
    <w:rsid w:val="008C45CF"/>
    <w:rsid w:val="008C4635"/>
    <w:rsid w:val="008C4A03"/>
    <w:rsid w:val="008C5083"/>
    <w:rsid w:val="008C54A9"/>
    <w:rsid w:val="008C54D1"/>
    <w:rsid w:val="008C5553"/>
    <w:rsid w:val="008C5596"/>
    <w:rsid w:val="008C55C4"/>
    <w:rsid w:val="008C5670"/>
    <w:rsid w:val="008C5B5D"/>
    <w:rsid w:val="008C5B9B"/>
    <w:rsid w:val="008C60F0"/>
    <w:rsid w:val="008C6197"/>
    <w:rsid w:val="008C624D"/>
    <w:rsid w:val="008C63A1"/>
    <w:rsid w:val="008C6ACF"/>
    <w:rsid w:val="008C6B32"/>
    <w:rsid w:val="008C6C6F"/>
    <w:rsid w:val="008C6CA6"/>
    <w:rsid w:val="008C6ED0"/>
    <w:rsid w:val="008C6F8A"/>
    <w:rsid w:val="008C702C"/>
    <w:rsid w:val="008C7336"/>
    <w:rsid w:val="008C75BA"/>
    <w:rsid w:val="008C77D8"/>
    <w:rsid w:val="008C7A8E"/>
    <w:rsid w:val="008D0495"/>
    <w:rsid w:val="008D08C7"/>
    <w:rsid w:val="008D08F3"/>
    <w:rsid w:val="008D0A74"/>
    <w:rsid w:val="008D0DEB"/>
    <w:rsid w:val="008D10DE"/>
    <w:rsid w:val="008D166C"/>
    <w:rsid w:val="008D16EA"/>
    <w:rsid w:val="008D1775"/>
    <w:rsid w:val="008D197C"/>
    <w:rsid w:val="008D19A9"/>
    <w:rsid w:val="008D19F2"/>
    <w:rsid w:val="008D1AB9"/>
    <w:rsid w:val="008D1C31"/>
    <w:rsid w:val="008D1E6E"/>
    <w:rsid w:val="008D28FC"/>
    <w:rsid w:val="008D28FE"/>
    <w:rsid w:val="008D29AA"/>
    <w:rsid w:val="008D2B44"/>
    <w:rsid w:val="008D2C5E"/>
    <w:rsid w:val="008D2D86"/>
    <w:rsid w:val="008D2E66"/>
    <w:rsid w:val="008D3A41"/>
    <w:rsid w:val="008D3AC8"/>
    <w:rsid w:val="008D3F58"/>
    <w:rsid w:val="008D40A5"/>
    <w:rsid w:val="008D40BE"/>
    <w:rsid w:val="008D4787"/>
    <w:rsid w:val="008D492B"/>
    <w:rsid w:val="008D4B5E"/>
    <w:rsid w:val="008D4C3D"/>
    <w:rsid w:val="008D4D78"/>
    <w:rsid w:val="008D4E1F"/>
    <w:rsid w:val="008D50EC"/>
    <w:rsid w:val="008D52DB"/>
    <w:rsid w:val="008D5F45"/>
    <w:rsid w:val="008D5FBE"/>
    <w:rsid w:val="008D6091"/>
    <w:rsid w:val="008D6320"/>
    <w:rsid w:val="008D6454"/>
    <w:rsid w:val="008D65D3"/>
    <w:rsid w:val="008D6716"/>
    <w:rsid w:val="008D6C4D"/>
    <w:rsid w:val="008D6EC3"/>
    <w:rsid w:val="008D72B6"/>
    <w:rsid w:val="008D7424"/>
    <w:rsid w:val="008D758A"/>
    <w:rsid w:val="008E02B7"/>
    <w:rsid w:val="008E09C1"/>
    <w:rsid w:val="008E09C2"/>
    <w:rsid w:val="008E0B70"/>
    <w:rsid w:val="008E1194"/>
    <w:rsid w:val="008E1201"/>
    <w:rsid w:val="008E13B3"/>
    <w:rsid w:val="008E1474"/>
    <w:rsid w:val="008E155E"/>
    <w:rsid w:val="008E1A56"/>
    <w:rsid w:val="008E2161"/>
    <w:rsid w:val="008E257C"/>
    <w:rsid w:val="008E2674"/>
    <w:rsid w:val="008E2690"/>
    <w:rsid w:val="008E2AE9"/>
    <w:rsid w:val="008E2C5E"/>
    <w:rsid w:val="008E2CBC"/>
    <w:rsid w:val="008E2DA9"/>
    <w:rsid w:val="008E3AC6"/>
    <w:rsid w:val="008E3D17"/>
    <w:rsid w:val="008E403E"/>
    <w:rsid w:val="008E4075"/>
    <w:rsid w:val="008E4372"/>
    <w:rsid w:val="008E487A"/>
    <w:rsid w:val="008E4923"/>
    <w:rsid w:val="008E4ABD"/>
    <w:rsid w:val="008E4D84"/>
    <w:rsid w:val="008E4E47"/>
    <w:rsid w:val="008E51DD"/>
    <w:rsid w:val="008E56D1"/>
    <w:rsid w:val="008E57B2"/>
    <w:rsid w:val="008E58F5"/>
    <w:rsid w:val="008E5912"/>
    <w:rsid w:val="008E5BA8"/>
    <w:rsid w:val="008E5F4E"/>
    <w:rsid w:val="008E60CC"/>
    <w:rsid w:val="008E60F9"/>
    <w:rsid w:val="008E6123"/>
    <w:rsid w:val="008E622B"/>
    <w:rsid w:val="008E63E0"/>
    <w:rsid w:val="008E656A"/>
    <w:rsid w:val="008E6798"/>
    <w:rsid w:val="008E69C7"/>
    <w:rsid w:val="008E6B7E"/>
    <w:rsid w:val="008E6F14"/>
    <w:rsid w:val="008E6FFC"/>
    <w:rsid w:val="008E7032"/>
    <w:rsid w:val="008E70E2"/>
    <w:rsid w:val="008E7451"/>
    <w:rsid w:val="008E793F"/>
    <w:rsid w:val="008E7B01"/>
    <w:rsid w:val="008E7C52"/>
    <w:rsid w:val="008E7C5E"/>
    <w:rsid w:val="008E7F3B"/>
    <w:rsid w:val="008F0054"/>
    <w:rsid w:val="008F005A"/>
    <w:rsid w:val="008F046A"/>
    <w:rsid w:val="008F058A"/>
    <w:rsid w:val="008F063E"/>
    <w:rsid w:val="008F0926"/>
    <w:rsid w:val="008F0B98"/>
    <w:rsid w:val="008F0D9B"/>
    <w:rsid w:val="008F0E7B"/>
    <w:rsid w:val="008F0EFA"/>
    <w:rsid w:val="008F0F23"/>
    <w:rsid w:val="008F1132"/>
    <w:rsid w:val="008F1B2C"/>
    <w:rsid w:val="008F23E5"/>
    <w:rsid w:val="008F252F"/>
    <w:rsid w:val="008F267B"/>
    <w:rsid w:val="008F268D"/>
    <w:rsid w:val="008F2870"/>
    <w:rsid w:val="008F2E70"/>
    <w:rsid w:val="008F332F"/>
    <w:rsid w:val="008F33E7"/>
    <w:rsid w:val="008F3A6E"/>
    <w:rsid w:val="008F3BB9"/>
    <w:rsid w:val="008F3E20"/>
    <w:rsid w:val="008F3E90"/>
    <w:rsid w:val="008F448E"/>
    <w:rsid w:val="008F46E9"/>
    <w:rsid w:val="008F4864"/>
    <w:rsid w:val="008F499A"/>
    <w:rsid w:val="008F4C30"/>
    <w:rsid w:val="008F4F9C"/>
    <w:rsid w:val="008F5088"/>
    <w:rsid w:val="008F587C"/>
    <w:rsid w:val="008F58A6"/>
    <w:rsid w:val="008F5AD5"/>
    <w:rsid w:val="008F5CE7"/>
    <w:rsid w:val="008F5D2E"/>
    <w:rsid w:val="008F5F55"/>
    <w:rsid w:val="008F5F5E"/>
    <w:rsid w:val="008F6203"/>
    <w:rsid w:val="008F6424"/>
    <w:rsid w:val="008F6590"/>
    <w:rsid w:val="008F67F2"/>
    <w:rsid w:val="008F6C13"/>
    <w:rsid w:val="008F6E0A"/>
    <w:rsid w:val="008F752B"/>
    <w:rsid w:val="008F7D7C"/>
    <w:rsid w:val="008F7E86"/>
    <w:rsid w:val="009000BC"/>
    <w:rsid w:val="0090019A"/>
    <w:rsid w:val="009003A4"/>
    <w:rsid w:val="0090067D"/>
    <w:rsid w:val="00900C14"/>
    <w:rsid w:val="00900F6E"/>
    <w:rsid w:val="009016A4"/>
    <w:rsid w:val="00901AA1"/>
    <w:rsid w:val="0090207C"/>
    <w:rsid w:val="00902222"/>
    <w:rsid w:val="00902268"/>
    <w:rsid w:val="00902360"/>
    <w:rsid w:val="009023DD"/>
    <w:rsid w:val="00902A7D"/>
    <w:rsid w:val="00902B15"/>
    <w:rsid w:val="00902B75"/>
    <w:rsid w:val="009034D0"/>
    <w:rsid w:val="00903843"/>
    <w:rsid w:val="00903CDE"/>
    <w:rsid w:val="00903D57"/>
    <w:rsid w:val="00904628"/>
    <w:rsid w:val="00904695"/>
    <w:rsid w:val="009047E3"/>
    <w:rsid w:val="00904B7C"/>
    <w:rsid w:val="00904C88"/>
    <w:rsid w:val="00904D6F"/>
    <w:rsid w:val="00905446"/>
    <w:rsid w:val="00905FBF"/>
    <w:rsid w:val="009066BF"/>
    <w:rsid w:val="009067A3"/>
    <w:rsid w:val="009067C3"/>
    <w:rsid w:val="00906969"/>
    <w:rsid w:val="0090757A"/>
    <w:rsid w:val="009076DA"/>
    <w:rsid w:val="00907941"/>
    <w:rsid w:val="00907A15"/>
    <w:rsid w:val="00907D78"/>
    <w:rsid w:val="00907E1D"/>
    <w:rsid w:val="00907E67"/>
    <w:rsid w:val="00910002"/>
    <w:rsid w:val="009101B4"/>
    <w:rsid w:val="009101E7"/>
    <w:rsid w:val="0091096C"/>
    <w:rsid w:val="00910EDB"/>
    <w:rsid w:val="00910F0B"/>
    <w:rsid w:val="00910F4C"/>
    <w:rsid w:val="00910FF0"/>
    <w:rsid w:val="0091104E"/>
    <w:rsid w:val="0091119A"/>
    <w:rsid w:val="0091131D"/>
    <w:rsid w:val="00911352"/>
    <w:rsid w:val="00911856"/>
    <w:rsid w:val="00911DB4"/>
    <w:rsid w:val="009120A0"/>
    <w:rsid w:val="00912169"/>
    <w:rsid w:val="00912318"/>
    <w:rsid w:val="0091231B"/>
    <w:rsid w:val="00912506"/>
    <w:rsid w:val="00912568"/>
    <w:rsid w:val="00912830"/>
    <w:rsid w:val="0091297A"/>
    <w:rsid w:val="00912CE5"/>
    <w:rsid w:val="009130C4"/>
    <w:rsid w:val="00913358"/>
    <w:rsid w:val="0091339F"/>
    <w:rsid w:val="0091340A"/>
    <w:rsid w:val="00913496"/>
    <w:rsid w:val="009136F4"/>
    <w:rsid w:val="009136FE"/>
    <w:rsid w:val="00913765"/>
    <w:rsid w:val="00913DFD"/>
    <w:rsid w:val="00914599"/>
    <w:rsid w:val="009149C8"/>
    <w:rsid w:val="009149FA"/>
    <w:rsid w:val="00914A65"/>
    <w:rsid w:val="00914C9F"/>
    <w:rsid w:val="00914CCC"/>
    <w:rsid w:val="00914D48"/>
    <w:rsid w:val="00915378"/>
    <w:rsid w:val="00915627"/>
    <w:rsid w:val="0091571A"/>
    <w:rsid w:val="00915970"/>
    <w:rsid w:val="00915B1D"/>
    <w:rsid w:val="00915BB3"/>
    <w:rsid w:val="00915E4A"/>
    <w:rsid w:val="0091600C"/>
    <w:rsid w:val="009164FB"/>
    <w:rsid w:val="009166A9"/>
    <w:rsid w:val="009168B5"/>
    <w:rsid w:val="009168C7"/>
    <w:rsid w:val="00916991"/>
    <w:rsid w:val="00916F0A"/>
    <w:rsid w:val="009170D8"/>
    <w:rsid w:val="0091719F"/>
    <w:rsid w:val="009179F0"/>
    <w:rsid w:val="00917C26"/>
    <w:rsid w:val="00917C4B"/>
    <w:rsid w:val="00917D95"/>
    <w:rsid w:val="00917DFF"/>
    <w:rsid w:val="00917FAC"/>
    <w:rsid w:val="00920238"/>
    <w:rsid w:val="00920377"/>
    <w:rsid w:val="00920A58"/>
    <w:rsid w:val="00920DF3"/>
    <w:rsid w:val="00920E18"/>
    <w:rsid w:val="00920E34"/>
    <w:rsid w:val="0092107C"/>
    <w:rsid w:val="009210E6"/>
    <w:rsid w:val="009212C6"/>
    <w:rsid w:val="009212DB"/>
    <w:rsid w:val="009213CB"/>
    <w:rsid w:val="009214C5"/>
    <w:rsid w:val="009215B7"/>
    <w:rsid w:val="00921737"/>
    <w:rsid w:val="009218AB"/>
    <w:rsid w:val="009218D5"/>
    <w:rsid w:val="00921E8A"/>
    <w:rsid w:val="00921E91"/>
    <w:rsid w:val="00921F3A"/>
    <w:rsid w:val="009223FA"/>
    <w:rsid w:val="00922425"/>
    <w:rsid w:val="00922CDE"/>
    <w:rsid w:val="00922D13"/>
    <w:rsid w:val="00922D59"/>
    <w:rsid w:val="009231D6"/>
    <w:rsid w:val="00923746"/>
    <w:rsid w:val="009239AC"/>
    <w:rsid w:val="00923C78"/>
    <w:rsid w:val="00923D97"/>
    <w:rsid w:val="00923E94"/>
    <w:rsid w:val="00924459"/>
    <w:rsid w:val="0092449A"/>
    <w:rsid w:val="00924516"/>
    <w:rsid w:val="009246A5"/>
    <w:rsid w:val="0092499D"/>
    <w:rsid w:val="00924A1C"/>
    <w:rsid w:val="00924BBE"/>
    <w:rsid w:val="009254A3"/>
    <w:rsid w:val="00925615"/>
    <w:rsid w:val="00925725"/>
    <w:rsid w:val="00925759"/>
    <w:rsid w:val="00925A85"/>
    <w:rsid w:val="00925B40"/>
    <w:rsid w:val="00925DCF"/>
    <w:rsid w:val="00925DFE"/>
    <w:rsid w:val="009264E6"/>
    <w:rsid w:val="0092665D"/>
    <w:rsid w:val="00926753"/>
    <w:rsid w:val="009268C8"/>
    <w:rsid w:val="00926996"/>
    <w:rsid w:val="009269B1"/>
    <w:rsid w:val="00926AD6"/>
    <w:rsid w:val="00926D4F"/>
    <w:rsid w:val="0092776D"/>
    <w:rsid w:val="00927887"/>
    <w:rsid w:val="00927EB4"/>
    <w:rsid w:val="00927F95"/>
    <w:rsid w:val="0093003E"/>
    <w:rsid w:val="00930456"/>
    <w:rsid w:val="009304EF"/>
    <w:rsid w:val="009305B9"/>
    <w:rsid w:val="00930619"/>
    <w:rsid w:val="0093061E"/>
    <w:rsid w:val="00930625"/>
    <w:rsid w:val="009308F4"/>
    <w:rsid w:val="009309A2"/>
    <w:rsid w:val="00930ADD"/>
    <w:rsid w:val="00930C96"/>
    <w:rsid w:val="009310A1"/>
    <w:rsid w:val="009314F1"/>
    <w:rsid w:val="00931656"/>
    <w:rsid w:val="009318FB"/>
    <w:rsid w:val="00931C97"/>
    <w:rsid w:val="00932229"/>
    <w:rsid w:val="0093231E"/>
    <w:rsid w:val="00932832"/>
    <w:rsid w:val="009328E6"/>
    <w:rsid w:val="00932F3E"/>
    <w:rsid w:val="00932F67"/>
    <w:rsid w:val="00933294"/>
    <w:rsid w:val="009339EA"/>
    <w:rsid w:val="00933A8E"/>
    <w:rsid w:val="00933D7B"/>
    <w:rsid w:val="0093401A"/>
    <w:rsid w:val="009341D9"/>
    <w:rsid w:val="0093421F"/>
    <w:rsid w:val="0093424D"/>
    <w:rsid w:val="00934318"/>
    <w:rsid w:val="00934450"/>
    <w:rsid w:val="00934EAC"/>
    <w:rsid w:val="00934EE5"/>
    <w:rsid w:val="009351CC"/>
    <w:rsid w:val="009351D4"/>
    <w:rsid w:val="00935314"/>
    <w:rsid w:val="00935571"/>
    <w:rsid w:val="009357E4"/>
    <w:rsid w:val="00935DFB"/>
    <w:rsid w:val="00936155"/>
    <w:rsid w:val="00936158"/>
    <w:rsid w:val="009367A8"/>
    <w:rsid w:val="009367E3"/>
    <w:rsid w:val="009369A0"/>
    <w:rsid w:val="00936AC1"/>
    <w:rsid w:val="00936BE2"/>
    <w:rsid w:val="00936C93"/>
    <w:rsid w:val="00936D72"/>
    <w:rsid w:val="009370EA"/>
    <w:rsid w:val="00937165"/>
    <w:rsid w:val="00937340"/>
    <w:rsid w:val="00937347"/>
    <w:rsid w:val="009375F1"/>
    <w:rsid w:val="009376FB"/>
    <w:rsid w:val="00937CD8"/>
    <w:rsid w:val="00937F6E"/>
    <w:rsid w:val="00940249"/>
    <w:rsid w:val="009402DB"/>
    <w:rsid w:val="00940388"/>
    <w:rsid w:val="0094039D"/>
    <w:rsid w:val="00940445"/>
    <w:rsid w:val="00940566"/>
    <w:rsid w:val="0094071A"/>
    <w:rsid w:val="009407BC"/>
    <w:rsid w:val="00940D4B"/>
    <w:rsid w:val="00941327"/>
    <w:rsid w:val="009418DC"/>
    <w:rsid w:val="00941BBE"/>
    <w:rsid w:val="00941EEB"/>
    <w:rsid w:val="0094208F"/>
    <w:rsid w:val="0094233F"/>
    <w:rsid w:val="00942669"/>
    <w:rsid w:val="00942675"/>
    <w:rsid w:val="00942707"/>
    <w:rsid w:val="00942741"/>
    <w:rsid w:val="0094291E"/>
    <w:rsid w:val="00942DB5"/>
    <w:rsid w:val="0094335F"/>
    <w:rsid w:val="0094383B"/>
    <w:rsid w:val="00943A6F"/>
    <w:rsid w:val="00943BE2"/>
    <w:rsid w:val="00943BEF"/>
    <w:rsid w:val="00943C1B"/>
    <w:rsid w:val="00943C8A"/>
    <w:rsid w:val="00943CE5"/>
    <w:rsid w:val="00943D9F"/>
    <w:rsid w:val="00943DAC"/>
    <w:rsid w:val="00943E69"/>
    <w:rsid w:val="00943FA8"/>
    <w:rsid w:val="00943FE9"/>
    <w:rsid w:val="0094431A"/>
    <w:rsid w:val="00944BE6"/>
    <w:rsid w:val="00944ED9"/>
    <w:rsid w:val="00945168"/>
    <w:rsid w:val="0094548E"/>
    <w:rsid w:val="0094586E"/>
    <w:rsid w:val="00946371"/>
    <w:rsid w:val="00946534"/>
    <w:rsid w:val="00946642"/>
    <w:rsid w:val="0094667E"/>
    <w:rsid w:val="009466E3"/>
    <w:rsid w:val="00946FD0"/>
    <w:rsid w:val="009473AF"/>
    <w:rsid w:val="0094740D"/>
    <w:rsid w:val="009477F8"/>
    <w:rsid w:val="00947967"/>
    <w:rsid w:val="00947A84"/>
    <w:rsid w:val="00947E7D"/>
    <w:rsid w:val="00947E89"/>
    <w:rsid w:val="00947EA5"/>
    <w:rsid w:val="00947F5B"/>
    <w:rsid w:val="0095009B"/>
    <w:rsid w:val="00950132"/>
    <w:rsid w:val="009507F2"/>
    <w:rsid w:val="00950E19"/>
    <w:rsid w:val="00950E22"/>
    <w:rsid w:val="00950E3D"/>
    <w:rsid w:val="009513C8"/>
    <w:rsid w:val="00951517"/>
    <w:rsid w:val="00951608"/>
    <w:rsid w:val="00951684"/>
    <w:rsid w:val="00951773"/>
    <w:rsid w:val="009517FF"/>
    <w:rsid w:val="00951E83"/>
    <w:rsid w:val="00952332"/>
    <w:rsid w:val="009523B1"/>
    <w:rsid w:val="009524B1"/>
    <w:rsid w:val="009525DE"/>
    <w:rsid w:val="009527EF"/>
    <w:rsid w:val="00952AE5"/>
    <w:rsid w:val="00952B0A"/>
    <w:rsid w:val="00952DD0"/>
    <w:rsid w:val="00952E94"/>
    <w:rsid w:val="00952ECD"/>
    <w:rsid w:val="009530FC"/>
    <w:rsid w:val="0095318A"/>
    <w:rsid w:val="009532AA"/>
    <w:rsid w:val="009535FE"/>
    <w:rsid w:val="00953BD5"/>
    <w:rsid w:val="00953D5F"/>
    <w:rsid w:val="00953D93"/>
    <w:rsid w:val="00953F68"/>
    <w:rsid w:val="00954266"/>
    <w:rsid w:val="009544E5"/>
    <w:rsid w:val="009546B8"/>
    <w:rsid w:val="009547CB"/>
    <w:rsid w:val="00954907"/>
    <w:rsid w:val="00954C6E"/>
    <w:rsid w:val="00954D47"/>
    <w:rsid w:val="00954D49"/>
    <w:rsid w:val="00954DA8"/>
    <w:rsid w:val="00954DF9"/>
    <w:rsid w:val="009553DF"/>
    <w:rsid w:val="00955408"/>
    <w:rsid w:val="00955634"/>
    <w:rsid w:val="00955696"/>
    <w:rsid w:val="009556C6"/>
    <w:rsid w:val="00955862"/>
    <w:rsid w:val="00955964"/>
    <w:rsid w:val="00955A8B"/>
    <w:rsid w:val="00955A94"/>
    <w:rsid w:val="00956502"/>
    <w:rsid w:val="009566A4"/>
    <w:rsid w:val="00956738"/>
    <w:rsid w:val="009567F6"/>
    <w:rsid w:val="0095709C"/>
    <w:rsid w:val="00957F6C"/>
    <w:rsid w:val="009600CB"/>
    <w:rsid w:val="00960125"/>
    <w:rsid w:val="0096016C"/>
    <w:rsid w:val="00960209"/>
    <w:rsid w:val="009607C0"/>
    <w:rsid w:val="00960830"/>
    <w:rsid w:val="00960B42"/>
    <w:rsid w:val="00960C37"/>
    <w:rsid w:val="009613C0"/>
    <w:rsid w:val="009614DA"/>
    <w:rsid w:val="00961D5C"/>
    <w:rsid w:val="00961E3F"/>
    <w:rsid w:val="00961F0C"/>
    <w:rsid w:val="00961F64"/>
    <w:rsid w:val="00961FC0"/>
    <w:rsid w:val="00962179"/>
    <w:rsid w:val="00962373"/>
    <w:rsid w:val="009623B6"/>
    <w:rsid w:val="009624ED"/>
    <w:rsid w:val="00962A3E"/>
    <w:rsid w:val="00963099"/>
    <w:rsid w:val="0096317B"/>
    <w:rsid w:val="009632EF"/>
    <w:rsid w:val="009633A9"/>
    <w:rsid w:val="00963570"/>
    <w:rsid w:val="009635AC"/>
    <w:rsid w:val="009637ED"/>
    <w:rsid w:val="00963ACC"/>
    <w:rsid w:val="00963B3D"/>
    <w:rsid w:val="00963C30"/>
    <w:rsid w:val="00963CBC"/>
    <w:rsid w:val="00963FFC"/>
    <w:rsid w:val="00964057"/>
    <w:rsid w:val="009641F1"/>
    <w:rsid w:val="00964323"/>
    <w:rsid w:val="00964411"/>
    <w:rsid w:val="0096441C"/>
    <w:rsid w:val="009649A5"/>
    <w:rsid w:val="00964C2B"/>
    <w:rsid w:val="00965138"/>
    <w:rsid w:val="00965507"/>
    <w:rsid w:val="0096587D"/>
    <w:rsid w:val="00965D12"/>
    <w:rsid w:val="00965E19"/>
    <w:rsid w:val="00965E8E"/>
    <w:rsid w:val="009661E6"/>
    <w:rsid w:val="00966387"/>
    <w:rsid w:val="00966982"/>
    <w:rsid w:val="00966E36"/>
    <w:rsid w:val="00966EE2"/>
    <w:rsid w:val="00966F21"/>
    <w:rsid w:val="00966F65"/>
    <w:rsid w:val="00966FAE"/>
    <w:rsid w:val="0096708B"/>
    <w:rsid w:val="009670FA"/>
    <w:rsid w:val="0096714D"/>
    <w:rsid w:val="00967178"/>
    <w:rsid w:val="00967A73"/>
    <w:rsid w:val="00967DC1"/>
    <w:rsid w:val="00967E40"/>
    <w:rsid w:val="00967F15"/>
    <w:rsid w:val="00970092"/>
    <w:rsid w:val="00970135"/>
    <w:rsid w:val="00970139"/>
    <w:rsid w:val="009701FE"/>
    <w:rsid w:val="00970356"/>
    <w:rsid w:val="0097066B"/>
    <w:rsid w:val="009706DD"/>
    <w:rsid w:val="00970726"/>
    <w:rsid w:val="00970B4D"/>
    <w:rsid w:val="00970C48"/>
    <w:rsid w:val="00970E1B"/>
    <w:rsid w:val="00971019"/>
    <w:rsid w:val="00971825"/>
    <w:rsid w:val="00971CA7"/>
    <w:rsid w:val="00971E21"/>
    <w:rsid w:val="00971EE1"/>
    <w:rsid w:val="0097212D"/>
    <w:rsid w:val="009723D2"/>
    <w:rsid w:val="009724E2"/>
    <w:rsid w:val="00972A42"/>
    <w:rsid w:val="00972C31"/>
    <w:rsid w:val="00972ED2"/>
    <w:rsid w:val="009731B0"/>
    <w:rsid w:val="00973212"/>
    <w:rsid w:val="00973214"/>
    <w:rsid w:val="0097322B"/>
    <w:rsid w:val="009734B7"/>
    <w:rsid w:val="009737CE"/>
    <w:rsid w:val="0097395D"/>
    <w:rsid w:val="009739E7"/>
    <w:rsid w:val="00973DAA"/>
    <w:rsid w:val="00974304"/>
    <w:rsid w:val="009745B8"/>
    <w:rsid w:val="00974631"/>
    <w:rsid w:val="0097463C"/>
    <w:rsid w:val="00974680"/>
    <w:rsid w:val="009748EC"/>
    <w:rsid w:val="00974D39"/>
    <w:rsid w:val="00974DD7"/>
    <w:rsid w:val="00974F14"/>
    <w:rsid w:val="00974FB7"/>
    <w:rsid w:val="00975097"/>
    <w:rsid w:val="00975135"/>
    <w:rsid w:val="00975228"/>
    <w:rsid w:val="00975926"/>
    <w:rsid w:val="00975A03"/>
    <w:rsid w:val="00975B36"/>
    <w:rsid w:val="00975B94"/>
    <w:rsid w:val="00975C42"/>
    <w:rsid w:val="00975F41"/>
    <w:rsid w:val="00975F96"/>
    <w:rsid w:val="00976300"/>
    <w:rsid w:val="0097653A"/>
    <w:rsid w:val="00976A2A"/>
    <w:rsid w:val="009771D7"/>
    <w:rsid w:val="0097732E"/>
    <w:rsid w:val="009775ED"/>
    <w:rsid w:val="0097790F"/>
    <w:rsid w:val="00977B2E"/>
    <w:rsid w:val="00977B69"/>
    <w:rsid w:val="00977F15"/>
    <w:rsid w:val="0098030F"/>
    <w:rsid w:val="00980315"/>
    <w:rsid w:val="0098050E"/>
    <w:rsid w:val="009805AA"/>
    <w:rsid w:val="009805AD"/>
    <w:rsid w:val="00980C09"/>
    <w:rsid w:val="00980D79"/>
    <w:rsid w:val="00980D7C"/>
    <w:rsid w:val="00981085"/>
    <w:rsid w:val="00981A98"/>
    <w:rsid w:val="00981EC1"/>
    <w:rsid w:val="00981F3B"/>
    <w:rsid w:val="009820B2"/>
    <w:rsid w:val="0098240F"/>
    <w:rsid w:val="00982E05"/>
    <w:rsid w:val="00982E50"/>
    <w:rsid w:val="0098322B"/>
    <w:rsid w:val="00983233"/>
    <w:rsid w:val="0098326C"/>
    <w:rsid w:val="009833EA"/>
    <w:rsid w:val="00983696"/>
    <w:rsid w:val="00983A81"/>
    <w:rsid w:val="00983F6F"/>
    <w:rsid w:val="00984424"/>
    <w:rsid w:val="0098444E"/>
    <w:rsid w:val="00984462"/>
    <w:rsid w:val="0098449E"/>
    <w:rsid w:val="0098486F"/>
    <w:rsid w:val="00984B04"/>
    <w:rsid w:val="00984B3D"/>
    <w:rsid w:val="00985371"/>
    <w:rsid w:val="0098555A"/>
    <w:rsid w:val="009856E2"/>
    <w:rsid w:val="00985879"/>
    <w:rsid w:val="00986049"/>
    <w:rsid w:val="009860BB"/>
    <w:rsid w:val="009860E1"/>
    <w:rsid w:val="00986358"/>
    <w:rsid w:val="009863CD"/>
    <w:rsid w:val="009865D5"/>
    <w:rsid w:val="00986A09"/>
    <w:rsid w:val="00986ED3"/>
    <w:rsid w:val="00987109"/>
    <w:rsid w:val="009872B5"/>
    <w:rsid w:val="00987310"/>
    <w:rsid w:val="00987507"/>
    <w:rsid w:val="0098763B"/>
    <w:rsid w:val="009876C4"/>
    <w:rsid w:val="00987717"/>
    <w:rsid w:val="0098777F"/>
    <w:rsid w:val="0098780A"/>
    <w:rsid w:val="0098798B"/>
    <w:rsid w:val="00990194"/>
    <w:rsid w:val="0099074E"/>
    <w:rsid w:val="009907CA"/>
    <w:rsid w:val="00990AE4"/>
    <w:rsid w:val="00990E2F"/>
    <w:rsid w:val="00990E67"/>
    <w:rsid w:val="00991349"/>
    <w:rsid w:val="00991673"/>
    <w:rsid w:val="0099167C"/>
    <w:rsid w:val="0099194D"/>
    <w:rsid w:val="00991C4B"/>
    <w:rsid w:val="0099212D"/>
    <w:rsid w:val="00992598"/>
    <w:rsid w:val="0099274B"/>
    <w:rsid w:val="0099282F"/>
    <w:rsid w:val="00992D46"/>
    <w:rsid w:val="009933B8"/>
    <w:rsid w:val="00993506"/>
    <w:rsid w:val="009939DF"/>
    <w:rsid w:val="00993C95"/>
    <w:rsid w:val="0099414C"/>
    <w:rsid w:val="009945C5"/>
    <w:rsid w:val="009946F1"/>
    <w:rsid w:val="00994B82"/>
    <w:rsid w:val="00994C73"/>
    <w:rsid w:val="00994E7B"/>
    <w:rsid w:val="00994FE0"/>
    <w:rsid w:val="0099510E"/>
    <w:rsid w:val="009953FD"/>
    <w:rsid w:val="009954FA"/>
    <w:rsid w:val="009959F2"/>
    <w:rsid w:val="00995A8B"/>
    <w:rsid w:val="00995C30"/>
    <w:rsid w:val="00995FC9"/>
    <w:rsid w:val="0099601E"/>
    <w:rsid w:val="00996290"/>
    <w:rsid w:val="0099653F"/>
    <w:rsid w:val="0099665A"/>
    <w:rsid w:val="009969D9"/>
    <w:rsid w:val="00996A55"/>
    <w:rsid w:val="00996AA6"/>
    <w:rsid w:val="00996BDC"/>
    <w:rsid w:val="00996E4F"/>
    <w:rsid w:val="00997329"/>
    <w:rsid w:val="00997860"/>
    <w:rsid w:val="00997885"/>
    <w:rsid w:val="00997F96"/>
    <w:rsid w:val="009A0303"/>
    <w:rsid w:val="009A0366"/>
    <w:rsid w:val="009A038D"/>
    <w:rsid w:val="009A05EC"/>
    <w:rsid w:val="009A0728"/>
    <w:rsid w:val="009A09A1"/>
    <w:rsid w:val="009A0B9C"/>
    <w:rsid w:val="009A0FF4"/>
    <w:rsid w:val="009A101F"/>
    <w:rsid w:val="009A1208"/>
    <w:rsid w:val="009A1646"/>
    <w:rsid w:val="009A189A"/>
    <w:rsid w:val="009A1930"/>
    <w:rsid w:val="009A19D9"/>
    <w:rsid w:val="009A1CA3"/>
    <w:rsid w:val="009A1F4F"/>
    <w:rsid w:val="009A211F"/>
    <w:rsid w:val="009A228D"/>
    <w:rsid w:val="009A23D4"/>
    <w:rsid w:val="009A26AA"/>
    <w:rsid w:val="009A2891"/>
    <w:rsid w:val="009A2B9A"/>
    <w:rsid w:val="009A2D1E"/>
    <w:rsid w:val="009A2F1E"/>
    <w:rsid w:val="009A3210"/>
    <w:rsid w:val="009A3654"/>
    <w:rsid w:val="009A3790"/>
    <w:rsid w:val="009A3863"/>
    <w:rsid w:val="009A3A7D"/>
    <w:rsid w:val="009A3E05"/>
    <w:rsid w:val="009A3FD6"/>
    <w:rsid w:val="009A456D"/>
    <w:rsid w:val="009A4991"/>
    <w:rsid w:val="009A49ED"/>
    <w:rsid w:val="009A4A42"/>
    <w:rsid w:val="009A4A61"/>
    <w:rsid w:val="009A4C24"/>
    <w:rsid w:val="009A4D9B"/>
    <w:rsid w:val="009A4E42"/>
    <w:rsid w:val="009A5077"/>
    <w:rsid w:val="009A51CB"/>
    <w:rsid w:val="009A51F6"/>
    <w:rsid w:val="009A563F"/>
    <w:rsid w:val="009A58D2"/>
    <w:rsid w:val="009A5A13"/>
    <w:rsid w:val="009A5B14"/>
    <w:rsid w:val="009A5EB2"/>
    <w:rsid w:val="009A5F92"/>
    <w:rsid w:val="009A6039"/>
    <w:rsid w:val="009A667E"/>
    <w:rsid w:val="009A6898"/>
    <w:rsid w:val="009A6BAA"/>
    <w:rsid w:val="009A6C36"/>
    <w:rsid w:val="009A6EAD"/>
    <w:rsid w:val="009A719E"/>
    <w:rsid w:val="009A73D0"/>
    <w:rsid w:val="009A7591"/>
    <w:rsid w:val="009A7849"/>
    <w:rsid w:val="009A7AFE"/>
    <w:rsid w:val="009A7C1F"/>
    <w:rsid w:val="009A7F41"/>
    <w:rsid w:val="009B05BB"/>
    <w:rsid w:val="009B0608"/>
    <w:rsid w:val="009B06B3"/>
    <w:rsid w:val="009B0874"/>
    <w:rsid w:val="009B11EF"/>
    <w:rsid w:val="009B1962"/>
    <w:rsid w:val="009B1C70"/>
    <w:rsid w:val="009B1CAD"/>
    <w:rsid w:val="009B2025"/>
    <w:rsid w:val="009B235B"/>
    <w:rsid w:val="009B23AA"/>
    <w:rsid w:val="009B28A2"/>
    <w:rsid w:val="009B2DD4"/>
    <w:rsid w:val="009B3082"/>
    <w:rsid w:val="009B3195"/>
    <w:rsid w:val="009B330C"/>
    <w:rsid w:val="009B3324"/>
    <w:rsid w:val="009B33B2"/>
    <w:rsid w:val="009B34FD"/>
    <w:rsid w:val="009B350A"/>
    <w:rsid w:val="009B35FF"/>
    <w:rsid w:val="009B3D5F"/>
    <w:rsid w:val="009B4257"/>
    <w:rsid w:val="009B4338"/>
    <w:rsid w:val="009B4444"/>
    <w:rsid w:val="009B4454"/>
    <w:rsid w:val="009B4599"/>
    <w:rsid w:val="009B48D0"/>
    <w:rsid w:val="009B4DFE"/>
    <w:rsid w:val="009B501A"/>
    <w:rsid w:val="009B5094"/>
    <w:rsid w:val="009B510C"/>
    <w:rsid w:val="009B5382"/>
    <w:rsid w:val="009B5611"/>
    <w:rsid w:val="009B57FD"/>
    <w:rsid w:val="009B5C92"/>
    <w:rsid w:val="009B5FC3"/>
    <w:rsid w:val="009B63D0"/>
    <w:rsid w:val="009B6C86"/>
    <w:rsid w:val="009B6D2B"/>
    <w:rsid w:val="009B71F8"/>
    <w:rsid w:val="009B72CB"/>
    <w:rsid w:val="009B734A"/>
    <w:rsid w:val="009B734B"/>
    <w:rsid w:val="009B748A"/>
    <w:rsid w:val="009B74DB"/>
    <w:rsid w:val="009B7D1B"/>
    <w:rsid w:val="009C00C3"/>
    <w:rsid w:val="009C0349"/>
    <w:rsid w:val="009C0574"/>
    <w:rsid w:val="009C069C"/>
    <w:rsid w:val="009C09E6"/>
    <w:rsid w:val="009C0BFD"/>
    <w:rsid w:val="009C0E2B"/>
    <w:rsid w:val="009C0EB6"/>
    <w:rsid w:val="009C11A2"/>
    <w:rsid w:val="009C1313"/>
    <w:rsid w:val="009C15F9"/>
    <w:rsid w:val="009C171A"/>
    <w:rsid w:val="009C1B7C"/>
    <w:rsid w:val="009C1BB1"/>
    <w:rsid w:val="009C1BC6"/>
    <w:rsid w:val="009C220E"/>
    <w:rsid w:val="009C2B83"/>
    <w:rsid w:val="009C2DF2"/>
    <w:rsid w:val="009C302E"/>
    <w:rsid w:val="009C31F1"/>
    <w:rsid w:val="009C3461"/>
    <w:rsid w:val="009C34CB"/>
    <w:rsid w:val="009C3770"/>
    <w:rsid w:val="009C3A0A"/>
    <w:rsid w:val="009C3A29"/>
    <w:rsid w:val="009C3D4A"/>
    <w:rsid w:val="009C3ED1"/>
    <w:rsid w:val="009C4101"/>
    <w:rsid w:val="009C4125"/>
    <w:rsid w:val="009C4483"/>
    <w:rsid w:val="009C4808"/>
    <w:rsid w:val="009C4931"/>
    <w:rsid w:val="009C4C89"/>
    <w:rsid w:val="009C4EB4"/>
    <w:rsid w:val="009C5307"/>
    <w:rsid w:val="009C53A2"/>
    <w:rsid w:val="009C5520"/>
    <w:rsid w:val="009C5530"/>
    <w:rsid w:val="009C5544"/>
    <w:rsid w:val="009C59E8"/>
    <w:rsid w:val="009C5B76"/>
    <w:rsid w:val="009C5CC0"/>
    <w:rsid w:val="009C5CD5"/>
    <w:rsid w:val="009C5EBC"/>
    <w:rsid w:val="009C5F73"/>
    <w:rsid w:val="009C5FA4"/>
    <w:rsid w:val="009C65DC"/>
    <w:rsid w:val="009C6BCC"/>
    <w:rsid w:val="009C6BDF"/>
    <w:rsid w:val="009C6FC0"/>
    <w:rsid w:val="009C6FE3"/>
    <w:rsid w:val="009C706F"/>
    <w:rsid w:val="009C7D55"/>
    <w:rsid w:val="009D05DD"/>
    <w:rsid w:val="009D068A"/>
    <w:rsid w:val="009D0822"/>
    <w:rsid w:val="009D08E9"/>
    <w:rsid w:val="009D0AB4"/>
    <w:rsid w:val="009D0CA5"/>
    <w:rsid w:val="009D0CE4"/>
    <w:rsid w:val="009D0F20"/>
    <w:rsid w:val="009D123D"/>
    <w:rsid w:val="009D147F"/>
    <w:rsid w:val="009D158B"/>
    <w:rsid w:val="009D19E0"/>
    <w:rsid w:val="009D1C24"/>
    <w:rsid w:val="009D2034"/>
    <w:rsid w:val="009D260C"/>
    <w:rsid w:val="009D275D"/>
    <w:rsid w:val="009D2891"/>
    <w:rsid w:val="009D2D5C"/>
    <w:rsid w:val="009D309B"/>
    <w:rsid w:val="009D36D5"/>
    <w:rsid w:val="009D398F"/>
    <w:rsid w:val="009D39DC"/>
    <w:rsid w:val="009D3A79"/>
    <w:rsid w:val="009D3D0E"/>
    <w:rsid w:val="009D3D9D"/>
    <w:rsid w:val="009D3E55"/>
    <w:rsid w:val="009D4099"/>
    <w:rsid w:val="009D4424"/>
    <w:rsid w:val="009D4513"/>
    <w:rsid w:val="009D45D1"/>
    <w:rsid w:val="009D46A6"/>
    <w:rsid w:val="009D4C7F"/>
    <w:rsid w:val="009D4EAF"/>
    <w:rsid w:val="009D5080"/>
    <w:rsid w:val="009D519D"/>
    <w:rsid w:val="009D51FB"/>
    <w:rsid w:val="009D521B"/>
    <w:rsid w:val="009D52CD"/>
    <w:rsid w:val="009D5495"/>
    <w:rsid w:val="009D59E9"/>
    <w:rsid w:val="009D5A09"/>
    <w:rsid w:val="009D5B20"/>
    <w:rsid w:val="009D5B68"/>
    <w:rsid w:val="009D5C48"/>
    <w:rsid w:val="009D5CEF"/>
    <w:rsid w:val="009D5D20"/>
    <w:rsid w:val="009D5F4D"/>
    <w:rsid w:val="009D5FBE"/>
    <w:rsid w:val="009D6124"/>
    <w:rsid w:val="009D63F1"/>
    <w:rsid w:val="009D6522"/>
    <w:rsid w:val="009D6524"/>
    <w:rsid w:val="009D68D8"/>
    <w:rsid w:val="009D6917"/>
    <w:rsid w:val="009D6A13"/>
    <w:rsid w:val="009D737F"/>
    <w:rsid w:val="009D77F2"/>
    <w:rsid w:val="009D7895"/>
    <w:rsid w:val="009D7D72"/>
    <w:rsid w:val="009D7DEA"/>
    <w:rsid w:val="009D7E2A"/>
    <w:rsid w:val="009D7E7F"/>
    <w:rsid w:val="009E05D6"/>
    <w:rsid w:val="009E0A83"/>
    <w:rsid w:val="009E0AA3"/>
    <w:rsid w:val="009E0B73"/>
    <w:rsid w:val="009E1362"/>
    <w:rsid w:val="009E13AF"/>
    <w:rsid w:val="009E1516"/>
    <w:rsid w:val="009E16D2"/>
    <w:rsid w:val="009E1B3D"/>
    <w:rsid w:val="009E1D63"/>
    <w:rsid w:val="009E1D6F"/>
    <w:rsid w:val="009E1FBD"/>
    <w:rsid w:val="009E220C"/>
    <w:rsid w:val="009E2250"/>
    <w:rsid w:val="009E23FC"/>
    <w:rsid w:val="009E2553"/>
    <w:rsid w:val="009E25DA"/>
    <w:rsid w:val="009E2855"/>
    <w:rsid w:val="009E2B43"/>
    <w:rsid w:val="009E2B65"/>
    <w:rsid w:val="009E2C92"/>
    <w:rsid w:val="009E2CED"/>
    <w:rsid w:val="009E31DC"/>
    <w:rsid w:val="009E3657"/>
    <w:rsid w:val="009E38FC"/>
    <w:rsid w:val="009E39B0"/>
    <w:rsid w:val="009E3A08"/>
    <w:rsid w:val="009E3B03"/>
    <w:rsid w:val="009E3E18"/>
    <w:rsid w:val="009E3F7D"/>
    <w:rsid w:val="009E41B4"/>
    <w:rsid w:val="009E455E"/>
    <w:rsid w:val="009E4616"/>
    <w:rsid w:val="009E46FC"/>
    <w:rsid w:val="009E4804"/>
    <w:rsid w:val="009E4B28"/>
    <w:rsid w:val="009E5598"/>
    <w:rsid w:val="009E57EA"/>
    <w:rsid w:val="009E5989"/>
    <w:rsid w:val="009E5E1F"/>
    <w:rsid w:val="009E5EE1"/>
    <w:rsid w:val="009E6101"/>
    <w:rsid w:val="009E680E"/>
    <w:rsid w:val="009E69D5"/>
    <w:rsid w:val="009E6B55"/>
    <w:rsid w:val="009E6DA6"/>
    <w:rsid w:val="009E6E27"/>
    <w:rsid w:val="009E6FBF"/>
    <w:rsid w:val="009E715B"/>
    <w:rsid w:val="009E7243"/>
    <w:rsid w:val="009E72E6"/>
    <w:rsid w:val="009E7561"/>
    <w:rsid w:val="009E7746"/>
    <w:rsid w:val="009E789F"/>
    <w:rsid w:val="009E7A47"/>
    <w:rsid w:val="009E7E0E"/>
    <w:rsid w:val="009F00AD"/>
    <w:rsid w:val="009F02B2"/>
    <w:rsid w:val="009F05AF"/>
    <w:rsid w:val="009F06CB"/>
    <w:rsid w:val="009F0728"/>
    <w:rsid w:val="009F08BB"/>
    <w:rsid w:val="009F09EC"/>
    <w:rsid w:val="009F0B2D"/>
    <w:rsid w:val="009F1804"/>
    <w:rsid w:val="009F189B"/>
    <w:rsid w:val="009F192C"/>
    <w:rsid w:val="009F19AC"/>
    <w:rsid w:val="009F1D00"/>
    <w:rsid w:val="009F1D48"/>
    <w:rsid w:val="009F1DAB"/>
    <w:rsid w:val="009F22D5"/>
    <w:rsid w:val="009F22E6"/>
    <w:rsid w:val="009F2379"/>
    <w:rsid w:val="009F24C5"/>
    <w:rsid w:val="009F24ED"/>
    <w:rsid w:val="009F2615"/>
    <w:rsid w:val="009F2626"/>
    <w:rsid w:val="009F2896"/>
    <w:rsid w:val="009F28C6"/>
    <w:rsid w:val="009F2D67"/>
    <w:rsid w:val="009F2D69"/>
    <w:rsid w:val="009F3009"/>
    <w:rsid w:val="009F31A5"/>
    <w:rsid w:val="009F391A"/>
    <w:rsid w:val="009F3999"/>
    <w:rsid w:val="009F3C14"/>
    <w:rsid w:val="009F40F7"/>
    <w:rsid w:val="009F4326"/>
    <w:rsid w:val="009F4447"/>
    <w:rsid w:val="009F44EF"/>
    <w:rsid w:val="009F476A"/>
    <w:rsid w:val="009F4AE0"/>
    <w:rsid w:val="009F4CC8"/>
    <w:rsid w:val="009F4D4E"/>
    <w:rsid w:val="009F56E4"/>
    <w:rsid w:val="009F5B76"/>
    <w:rsid w:val="009F5D7A"/>
    <w:rsid w:val="009F5E6E"/>
    <w:rsid w:val="009F5EF4"/>
    <w:rsid w:val="009F5F38"/>
    <w:rsid w:val="009F5F48"/>
    <w:rsid w:val="009F6156"/>
    <w:rsid w:val="009F61CA"/>
    <w:rsid w:val="009F6B80"/>
    <w:rsid w:val="009F6C10"/>
    <w:rsid w:val="009F6CB1"/>
    <w:rsid w:val="009F6DA7"/>
    <w:rsid w:val="009F6F32"/>
    <w:rsid w:val="009F7487"/>
    <w:rsid w:val="009F7894"/>
    <w:rsid w:val="009F78EE"/>
    <w:rsid w:val="009F7989"/>
    <w:rsid w:val="009F7C7C"/>
    <w:rsid w:val="009F7D72"/>
    <w:rsid w:val="009F7F7E"/>
    <w:rsid w:val="00A00503"/>
    <w:rsid w:val="00A007AC"/>
    <w:rsid w:val="00A00C44"/>
    <w:rsid w:val="00A0124F"/>
    <w:rsid w:val="00A013B4"/>
    <w:rsid w:val="00A014AE"/>
    <w:rsid w:val="00A0185F"/>
    <w:rsid w:val="00A01EFB"/>
    <w:rsid w:val="00A02042"/>
    <w:rsid w:val="00A02805"/>
    <w:rsid w:val="00A0289C"/>
    <w:rsid w:val="00A028D8"/>
    <w:rsid w:val="00A0299E"/>
    <w:rsid w:val="00A029DD"/>
    <w:rsid w:val="00A02B73"/>
    <w:rsid w:val="00A03298"/>
    <w:rsid w:val="00A03753"/>
    <w:rsid w:val="00A038E3"/>
    <w:rsid w:val="00A03969"/>
    <w:rsid w:val="00A0397D"/>
    <w:rsid w:val="00A03A3E"/>
    <w:rsid w:val="00A03AC4"/>
    <w:rsid w:val="00A03F74"/>
    <w:rsid w:val="00A040DD"/>
    <w:rsid w:val="00A0423E"/>
    <w:rsid w:val="00A042A3"/>
    <w:rsid w:val="00A044E0"/>
    <w:rsid w:val="00A04696"/>
    <w:rsid w:val="00A047CC"/>
    <w:rsid w:val="00A04908"/>
    <w:rsid w:val="00A0507B"/>
    <w:rsid w:val="00A05108"/>
    <w:rsid w:val="00A05502"/>
    <w:rsid w:val="00A0574C"/>
    <w:rsid w:val="00A057AB"/>
    <w:rsid w:val="00A05991"/>
    <w:rsid w:val="00A05CD5"/>
    <w:rsid w:val="00A06072"/>
    <w:rsid w:val="00A061C9"/>
    <w:rsid w:val="00A0653E"/>
    <w:rsid w:val="00A06666"/>
    <w:rsid w:val="00A06928"/>
    <w:rsid w:val="00A069C8"/>
    <w:rsid w:val="00A069F3"/>
    <w:rsid w:val="00A06B17"/>
    <w:rsid w:val="00A070B7"/>
    <w:rsid w:val="00A07158"/>
    <w:rsid w:val="00A07454"/>
    <w:rsid w:val="00A074B6"/>
    <w:rsid w:val="00A0761E"/>
    <w:rsid w:val="00A07A14"/>
    <w:rsid w:val="00A07AFB"/>
    <w:rsid w:val="00A07BB0"/>
    <w:rsid w:val="00A1043E"/>
    <w:rsid w:val="00A10563"/>
    <w:rsid w:val="00A1063D"/>
    <w:rsid w:val="00A10682"/>
    <w:rsid w:val="00A1071D"/>
    <w:rsid w:val="00A10D53"/>
    <w:rsid w:val="00A1118A"/>
    <w:rsid w:val="00A112EB"/>
    <w:rsid w:val="00A11306"/>
    <w:rsid w:val="00A1134C"/>
    <w:rsid w:val="00A11357"/>
    <w:rsid w:val="00A11421"/>
    <w:rsid w:val="00A11684"/>
    <w:rsid w:val="00A11704"/>
    <w:rsid w:val="00A11727"/>
    <w:rsid w:val="00A11937"/>
    <w:rsid w:val="00A11BC2"/>
    <w:rsid w:val="00A11BDF"/>
    <w:rsid w:val="00A11D5C"/>
    <w:rsid w:val="00A11FDD"/>
    <w:rsid w:val="00A120AA"/>
    <w:rsid w:val="00A120BA"/>
    <w:rsid w:val="00A12202"/>
    <w:rsid w:val="00A12441"/>
    <w:rsid w:val="00A125BC"/>
    <w:rsid w:val="00A125FA"/>
    <w:rsid w:val="00A12D73"/>
    <w:rsid w:val="00A12F12"/>
    <w:rsid w:val="00A12FC0"/>
    <w:rsid w:val="00A13041"/>
    <w:rsid w:val="00A13077"/>
    <w:rsid w:val="00A1314A"/>
    <w:rsid w:val="00A1319B"/>
    <w:rsid w:val="00A13D56"/>
    <w:rsid w:val="00A13E86"/>
    <w:rsid w:val="00A146D1"/>
    <w:rsid w:val="00A14884"/>
    <w:rsid w:val="00A14BBA"/>
    <w:rsid w:val="00A14CC8"/>
    <w:rsid w:val="00A14DBA"/>
    <w:rsid w:val="00A14E87"/>
    <w:rsid w:val="00A14FBA"/>
    <w:rsid w:val="00A15032"/>
    <w:rsid w:val="00A150F5"/>
    <w:rsid w:val="00A15269"/>
    <w:rsid w:val="00A152CB"/>
    <w:rsid w:val="00A15492"/>
    <w:rsid w:val="00A155AA"/>
    <w:rsid w:val="00A15645"/>
    <w:rsid w:val="00A1575D"/>
    <w:rsid w:val="00A1576D"/>
    <w:rsid w:val="00A157DC"/>
    <w:rsid w:val="00A15AAE"/>
    <w:rsid w:val="00A15B4D"/>
    <w:rsid w:val="00A15B6E"/>
    <w:rsid w:val="00A15DF7"/>
    <w:rsid w:val="00A1637D"/>
    <w:rsid w:val="00A16BE2"/>
    <w:rsid w:val="00A16ED6"/>
    <w:rsid w:val="00A16F17"/>
    <w:rsid w:val="00A17253"/>
    <w:rsid w:val="00A17257"/>
    <w:rsid w:val="00A1731B"/>
    <w:rsid w:val="00A17355"/>
    <w:rsid w:val="00A1738C"/>
    <w:rsid w:val="00A1739E"/>
    <w:rsid w:val="00A174D6"/>
    <w:rsid w:val="00A174FF"/>
    <w:rsid w:val="00A1788F"/>
    <w:rsid w:val="00A2003A"/>
    <w:rsid w:val="00A203FD"/>
    <w:rsid w:val="00A204BA"/>
    <w:rsid w:val="00A20506"/>
    <w:rsid w:val="00A20613"/>
    <w:rsid w:val="00A20670"/>
    <w:rsid w:val="00A20679"/>
    <w:rsid w:val="00A20697"/>
    <w:rsid w:val="00A20BCE"/>
    <w:rsid w:val="00A20C4F"/>
    <w:rsid w:val="00A20DDB"/>
    <w:rsid w:val="00A20FCA"/>
    <w:rsid w:val="00A20FEC"/>
    <w:rsid w:val="00A21107"/>
    <w:rsid w:val="00A2111B"/>
    <w:rsid w:val="00A2129F"/>
    <w:rsid w:val="00A21303"/>
    <w:rsid w:val="00A213FB"/>
    <w:rsid w:val="00A2141F"/>
    <w:rsid w:val="00A21433"/>
    <w:rsid w:val="00A214C1"/>
    <w:rsid w:val="00A2175E"/>
    <w:rsid w:val="00A2180A"/>
    <w:rsid w:val="00A21E8D"/>
    <w:rsid w:val="00A2208D"/>
    <w:rsid w:val="00A22641"/>
    <w:rsid w:val="00A229E8"/>
    <w:rsid w:val="00A22DF1"/>
    <w:rsid w:val="00A22F3E"/>
    <w:rsid w:val="00A23352"/>
    <w:rsid w:val="00A233D2"/>
    <w:rsid w:val="00A23407"/>
    <w:rsid w:val="00A23710"/>
    <w:rsid w:val="00A23814"/>
    <w:rsid w:val="00A23B2D"/>
    <w:rsid w:val="00A23B89"/>
    <w:rsid w:val="00A23C84"/>
    <w:rsid w:val="00A23FD3"/>
    <w:rsid w:val="00A23FDD"/>
    <w:rsid w:val="00A249D7"/>
    <w:rsid w:val="00A24A26"/>
    <w:rsid w:val="00A24E97"/>
    <w:rsid w:val="00A2519D"/>
    <w:rsid w:val="00A251D9"/>
    <w:rsid w:val="00A25664"/>
    <w:rsid w:val="00A257A8"/>
    <w:rsid w:val="00A25988"/>
    <w:rsid w:val="00A25EA2"/>
    <w:rsid w:val="00A261CE"/>
    <w:rsid w:val="00A26440"/>
    <w:rsid w:val="00A264CA"/>
    <w:rsid w:val="00A266BA"/>
    <w:rsid w:val="00A26777"/>
    <w:rsid w:val="00A2687A"/>
    <w:rsid w:val="00A27369"/>
    <w:rsid w:val="00A273A2"/>
    <w:rsid w:val="00A273FE"/>
    <w:rsid w:val="00A2750F"/>
    <w:rsid w:val="00A276FB"/>
    <w:rsid w:val="00A27858"/>
    <w:rsid w:val="00A27B3E"/>
    <w:rsid w:val="00A27B8B"/>
    <w:rsid w:val="00A27F6A"/>
    <w:rsid w:val="00A30203"/>
    <w:rsid w:val="00A303A4"/>
    <w:rsid w:val="00A3078E"/>
    <w:rsid w:val="00A3079C"/>
    <w:rsid w:val="00A30BBB"/>
    <w:rsid w:val="00A30EFB"/>
    <w:rsid w:val="00A31228"/>
    <w:rsid w:val="00A313F3"/>
    <w:rsid w:val="00A3149A"/>
    <w:rsid w:val="00A315C8"/>
    <w:rsid w:val="00A31D28"/>
    <w:rsid w:val="00A31DAB"/>
    <w:rsid w:val="00A31E4D"/>
    <w:rsid w:val="00A3219F"/>
    <w:rsid w:val="00A32362"/>
    <w:rsid w:val="00A32518"/>
    <w:rsid w:val="00A32660"/>
    <w:rsid w:val="00A32B18"/>
    <w:rsid w:val="00A32C7E"/>
    <w:rsid w:val="00A33314"/>
    <w:rsid w:val="00A333D6"/>
    <w:rsid w:val="00A33737"/>
    <w:rsid w:val="00A33CB6"/>
    <w:rsid w:val="00A33CBE"/>
    <w:rsid w:val="00A33CDA"/>
    <w:rsid w:val="00A33E12"/>
    <w:rsid w:val="00A33E39"/>
    <w:rsid w:val="00A34158"/>
    <w:rsid w:val="00A3455B"/>
    <w:rsid w:val="00A34840"/>
    <w:rsid w:val="00A34D87"/>
    <w:rsid w:val="00A350C1"/>
    <w:rsid w:val="00A3567F"/>
    <w:rsid w:val="00A35B55"/>
    <w:rsid w:val="00A35BBB"/>
    <w:rsid w:val="00A3631B"/>
    <w:rsid w:val="00A364F4"/>
    <w:rsid w:val="00A366F2"/>
    <w:rsid w:val="00A36943"/>
    <w:rsid w:val="00A36BE7"/>
    <w:rsid w:val="00A36C36"/>
    <w:rsid w:val="00A36C7E"/>
    <w:rsid w:val="00A36DD7"/>
    <w:rsid w:val="00A36E20"/>
    <w:rsid w:val="00A37082"/>
    <w:rsid w:val="00A3722C"/>
    <w:rsid w:val="00A3771A"/>
    <w:rsid w:val="00A3779B"/>
    <w:rsid w:val="00A37890"/>
    <w:rsid w:val="00A379C5"/>
    <w:rsid w:val="00A37A60"/>
    <w:rsid w:val="00A37AF0"/>
    <w:rsid w:val="00A37B03"/>
    <w:rsid w:val="00A37C9D"/>
    <w:rsid w:val="00A37D60"/>
    <w:rsid w:val="00A37E68"/>
    <w:rsid w:val="00A40507"/>
    <w:rsid w:val="00A40648"/>
    <w:rsid w:val="00A40703"/>
    <w:rsid w:val="00A40A3A"/>
    <w:rsid w:val="00A40B31"/>
    <w:rsid w:val="00A40DC8"/>
    <w:rsid w:val="00A41AAF"/>
    <w:rsid w:val="00A41C2A"/>
    <w:rsid w:val="00A41C8B"/>
    <w:rsid w:val="00A41E6B"/>
    <w:rsid w:val="00A42318"/>
    <w:rsid w:val="00A42354"/>
    <w:rsid w:val="00A42368"/>
    <w:rsid w:val="00A42493"/>
    <w:rsid w:val="00A42539"/>
    <w:rsid w:val="00A42A79"/>
    <w:rsid w:val="00A42AE6"/>
    <w:rsid w:val="00A43039"/>
    <w:rsid w:val="00A4371A"/>
    <w:rsid w:val="00A43BCB"/>
    <w:rsid w:val="00A43C59"/>
    <w:rsid w:val="00A44173"/>
    <w:rsid w:val="00A4424A"/>
    <w:rsid w:val="00A44295"/>
    <w:rsid w:val="00A445C3"/>
    <w:rsid w:val="00A447EC"/>
    <w:rsid w:val="00A44882"/>
    <w:rsid w:val="00A44C96"/>
    <w:rsid w:val="00A44FF5"/>
    <w:rsid w:val="00A450CB"/>
    <w:rsid w:val="00A4528D"/>
    <w:rsid w:val="00A452E6"/>
    <w:rsid w:val="00A4569D"/>
    <w:rsid w:val="00A4596F"/>
    <w:rsid w:val="00A45B3E"/>
    <w:rsid w:val="00A45C41"/>
    <w:rsid w:val="00A45D93"/>
    <w:rsid w:val="00A4601D"/>
    <w:rsid w:val="00A46066"/>
    <w:rsid w:val="00A46076"/>
    <w:rsid w:val="00A464F5"/>
    <w:rsid w:val="00A46B28"/>
    <w:rsid w:val="00A46C0C"/>
    <w:rsid w:val="00A46CB2"/>
    <w:rsid w:val="00A46E43"/>
    <w:rsid w:val="00A46F52"/>
    <w:rsid w:val="00A46FED"/>
    <w:rsid w:val="00A47202"/>
    <w:rsid w:val="00A473D6"/>
    <w:rsid w:val="00A47519"/>
    <w:rsid w:val="00A4786A"/>
    <w:rsid w:val="00A47AB2"/>
    <w:rsid w:val="00A47B40"/>
    <w:rsid w:val="00A47BF6"/>
    <w:rsid w:val="00A47C77"/>
    <w:rsid w:val="00A47D8E"/>
    <w:rsid w:val="00A47E57"/>
    <w:rsid w:val="00A50989"/>
    <w:rsid w:val="00A50C02"/>
    <w:rsid w:val="00A50C6C"/>
    <w:rsid w:val="00A50CC4"/>
    <w:rsid w:val="00A50DDB"/>
    <w:rsid w:val="00A511FC"/>
    <w:rsid w:val="00A511FD"/>
    <w:rsid w:val="00A513D8"/>
    <w:rsid w:val="00A51565"/>
    <w:rsid w:val="00A51673"/>
    <w:rsid w:val="00A51717"/>
    <w:rsid w:val="00A51808"/>
    <w:rsid w:val="00A51999"/>
    <w:rsid w:val="00A51A19"/>
    <w:rsid w:val="00A51A56"/>
    <w:rsid w:val="00A51C1C"/>
    <w:rsid w:val="00A520E9"/>
    <w:rsid w:val="00A523BB"/>
    <w:rsid w:val="00A5252E"/>
    <w:rsid w:val="00A52678"/>
    <w:rsid w:val="00A528D9"/>
    <w:rsid w:val="00A5298F"/>
    <w:rsid w:val="00A52A2F"/>
    <w:rsid w:val="00A52B2F"/>
    <w:rsid w:val="00A52C1B"/>
    <w:rsid w:val="00A52C36"/>
    <w:rsid w:val="00A52FFD"/>
    <w:rsid w:val="00A530A1"/>
    <w:rsid w:val="00A530D8"/>
    <w:rsid w:val="00A5324D"/>
    <w:rsid w:val="00A532AE"/>
    <w:rsid w:val="00A53445"/>
    <w:rsid w:val="00A5358E"/>
    <w:rsid w:val="00A538B1"/>
    <w:rsid w:val="00A538DD"/>
    <w:rsid w:val="00A53B60"/>
    <w:rsid w:val="00A53C51"/>
    <w:rsid w:val="00A53DA3"/>
    <w:rsid w:val="00A53EE4"/>
    <w:rsid w:val="00A54222"/>
    <w:rsid w:val="00A542ED"/>
    <w:rsid w:val="00A544A7"/>
    <w:rsid w:val="00A5459B"/>
    <w:rsid w:val="00A54731"/>
    <w:rsid w:val="00A54A60"/>
    <w:rsid w:val="00A54A78"/>
    <w:rsid w:val="00A54A7A"/>
    <w:rsid w:val="00A54CEF"/>
    <w:rsid w:val="00A54E50"/>
    <w:rsid w:val="00A551EE"/>
    <w:rsid w:val="00A5531F"/>
    <w:rsid w:val="00A555E1"/>
    <w:rsid w:val="00A5571D"/>
    <w:rsid w:val="00A557B2"/>
    <w:rsid w:val="00A557DC"/>
    <w:rsid w:val="00A55B85"/>
    <w:rsid w:val="00A56119"/>
    <w:rsid w:val="00A5612F"/>
    <w:rsid w:val="00A561C1"/>
    <w:rsid w:val="00A56249"/>
    <w:rsid w:val="00A5647E"/>
    <w:rsid w:val="00A56550"/>
    <w:rsid w:val="00A56596"/>
    <w:rsid w:val="00A56702"/>
    <w:rsid w:val="00A56740"/>
    <w:rsid w:val="00A568C3"/>
    <w:rsid w:val="00A56EBE"/>
    <w:rsid w:val="00A57469"/>
    <w:rsid w:val="00A57471"/>
    <w:rsid w:val="00A574F0"/>
    <w:rsid w:val="00A57849"/>
    <w:rsid w:val="00A57894"/>
    <w:rsid w:val="00A579EE"/>
    <w:rsid w:val="00A57ED9"/>
    <w:rsid w:val="00A57F4D"/>
    <w:rsid w:val="00A60271"/>
    <w:rsid w:val="00A6037A"/>
    <w:rsid w:val="00A60807"/>
    <w:rsid w:val="00A6098E"/>
    <w:rsid w:val="00A60ABC"/>
    <w:rsid w:val="00A60B96"/>
    <w:rsid w:val="00A60BA8"/>
    <w:rsid w:val="00A611C0"/>
    <w:rsid w:val="00A616C9"/>
    <w:rsid w:val="00A61711"/>
    <w:rsid w:val="00A61838"/>
    <w:rsid w:val="00A6194F"/>
    <w:rsid w:val="00A61DAA"/>
    <w:rsid w:val="00A624F5"/>
    <w:rsid w:val="00A625B8"/>
    <w:rsid w:val="00A6265C"/>
    <w:rsid w:val="00A62C3B"/>
    <w:rsid w:val="00A62D2F"/>
    <w:rsid w:val="00A62DA3"/>
    <w:rsid w:val="00A62E08"/>
    <w:rsid w:val="00A62E41"/>
    <w:rsid w:val="00A62F77"/>
    <w:rsid w:val="00A63048"/>
    <w:rsid w:val="00A63073"/>
    <w:rsid w:val="00A63195"/>
    <w:rsid w:val="00A63215"/>
    <w:rsid w:val="00A63752"/>
    <w:rsid w:val="00A6388C"/>
    <w:rsid w:val="00A639DA"/>
    <w:rsid w:val="00A63AB5"/>
    <w:rsid w:val="00A63EE7"/>
    <w:rsid w:val="00A63F96"/>
    <w:rsid w:val="00A6410D"/>
    <w:rsid w:val="00A64416"/>
    <w:rsid w:val="00A64529"/>
    <w:rsid w:val="00A64812"/>
    <w:rsid w:val="00A6493F"/>
    <w:rsid w:val="00A64A3E"/>
    <w:rsid w:val="00A64A71"/>
    <w:rsid w:val="00A64DB2"/>
    <w:rsid w:val="00A64EF1"/>
    <w:rsid w:val="00A65436"/>
    <w:rsid w:val="00A65446"/>
    <w:rsid w:val="00A655D3"/>
    <w:rsid w:val="00A656AD"/>
    <w:rsid w:val="00A658AD"/>
    <w:rsid w:val="00A65D0E"/>
    <w:rsid w:val="00A65DB0"/>
    <w:rsid w:val="00A6638D"/>
    <w:rsid w:val="00A663C7"/>
    <w:rsid w:val="00A666C1"/>
    <w:rsid w:val="00A667C8"/>
    <w:rsid w:val="00A668DB"/>
    <w:rsid w:val="00A66927"/>
    <w:rsid w:val="00A66A88"/>
    <w:rsid w:val="00A66FFB"/>
    <w:rsid w:val="00A67128"/>
    <w:rsid w:val="00A671B8"/>
    <w:rsid w:val="00A673EF"/>
    <w:rsid w:val="00A67447"/>
    <w:rsid w:val="00A67469"/>
    <w:rsid w:val="00A67753"/>
    <w:rsid w:val="00A679F1"/>
    <w:rsid w:val="00A67DF9"/>
    <w:rsid w:val="00A67DFB"/>
    <w:rsid w:val="00A67EC3"/>
    <w:rsid w:val="00A70C84"/>
    <w:rsid w:val="00A718CE"/>
    <w:rsid w:val="00A71C05"/>
    <w:rsid w:val="00A721A9"/>
    <w:rsid w:val="00A72348"/>
    <w:rsid w:val="00A72956"/>
    <w:rsid w:val="00A72A33"/>
    <w:rsid w:val="00A72D70"/>
    <w:rsid w:val="00A7340F"/>
    <w:rsid w:val="00A73598"/>
    <w:rsid w:val="00A735F3"/>
    <w:rsid w:val="00A73AA3"/>
    <w:rsid w:val="00A73BD5"/>
    <w:rsid w:val="00A73FE7"/>
    <w:rsid w:val="00A74478"/>
    <w:rsid w:val="00A74B2A"/>
    <w:rsid w:val="00A74BE9"/>
    <w:rsid w:val="00A7535B"/>
    <w:rsid w:val="00A7552D"/>
    <w:rsid w:val="00A756ED"/>
    <w:rsid w:val="00A7588C"/>
    <w:rsid w:val="00A75A9E"/>
    <w:rsid w:val="00A75C76"/>
    <w:rsid w:val="00A75CE0"/>
    <w:rsid w:val="00A75D9D"/>
    <w:rsid w:val="00A75F99"/>
    <w:rsid w:val="00A7607F"/>
    <w:rsid w:val="00A763EF"/>
    <w:rsid w:val="00A76454"/>
    <w:rsid w:val="00A764BA"/>
    <w:rsid w:val="00A766BD"/>
    <w:rsid w:val="00A76852"/>
    <w:rsid w:val="00A76865"/>
    <w:rsid w:val="00A76ED8"/>
    <w:rsid w:val="00A76EE8"/>
    <w:rsid w:val="00A77155"/>
    <w:rsid w:val="00A7745B"/>
    <w:rsid w:val="00A77829"/>
    <w:rsid w:val="00A77ABC"/>
    <w:rsid w:val="00A77D60"/>
    <w:rsid w:val="00A77D62"/>
    <w:rsid w:val="00A77D73"/>
    <w:rsid w:val="00A77DC1"/>
    <w:rsid w:val="00A80086"/>
    <w:rsid w:val="00A8033C"/>
    <w:rsid w:val="00A805E4"/>
    <w:rsid w:val="00A807C3"/>
    <w:rsid w:val="00A80974"/>
    <w:rsid w:val="00A80C85"/>
    <w:rsid w:val="00A80EE2"/>
    <w:rsid w:val="00A813AD"/>
    <w:rsid w:val="00A81A33"/>
    <w:rsid w:val="00A81A7C"/>
    <w:rsid w:val="00A81BA8"/>
    <w:rsid w:val="00A81BC0"/>
    <w:rsid w:val="00A81DF1"/>
    <w:rsid w:val="00A82075"/>
    <w:rsid w:val="00A8209B"/>
    <w:rsid w:val="00A82755"/>
    <w:rsid w:val="00A82B72"/>
    <w:rsid w:val="00A82BF3"/>
    <w:rsid w:val="00A82D23"/>
    <w:rsid w:val="00A82E63"/>
    <w:rsid w:val="00A83048"/>
    <w:rsid w:val="00A833ED"/>
    <w:rsid w:val="00A838AF"/>
    <w:rsid w:val="00A83916"/>
    <w:rsid w:val="00A83B50"/>
    <w:rsid w:val="00A83EEA"/>
    <w:rsid w:val="00A84164"/>
    <w:rsid w:val="00A84293"/>
    <w:rsid w:val="00A84492"/>
    <w:rsid w:val="00A844B6"/>
    <w:rsid w:val="00A84852"/>
    <w:rsid w:val="00A8491A"/>
    <w:rsid w:val="00A8493A"/>
    <w:rsid w:val="00A84947"/>
    <w:rsid w:val="00A84AF3"/>
    <w:rsid w:val="00A850EC"/>
    <w:rsid w:val="00A8519D"/>
    <w:rsid w:val="00A8523A"/>
    <w:rsid w:val="00A85538"/>
    <w:rsid w:val="00A85567"/>
    <w:rsid w:val="00A85842"/>
    <w:rsid w:val="00A85B16"/>
    <w:rsid w:val="00A85FF4"/>
    <w:rsid w:val="00A86BEF"/>
    <w:rsid w:val="00A86D88"/>
    <w:rsid w:val="00A87747"/>
    <w:rsid w:val="00A87760"/>
    <w:rsid w:val="00A879A8"/>
    <w:rsid w:val="00A87DD5"/>
    <w:rsid w:val="00A9013C"/>
    <w:rsid w:val="00A90172"/>
    <w:rsid w:val="00A90304"/>
    <w:rsid w:val="00A904A4"/>
    <w:rsid w:val="00A9076B"/>
    <w:rsid w:val="00A90CA7"/>
    <w:rsid w:val="00A90F46"/>
    <w:rsid w:val="00A910E3"/>
    <w:rsid w:val="00A91264"/>
    <w:rsid w:val="00A912B5"/>
    <w:rsid w:val="00A915A7"/>
    <w:rsid w:val="00A91767"/>
    <w:rsid w:val="00A91894"/>
    <w:rsid w:val="00A91A86"/>
    <w:rsid w:val="00A91B45"/>
    <w:rsid w:val="00A91F91"/>
    <w:rsid w:val="00A925B8"/>
    <w:rsid w:val="00A927E1"/>
    <w:rsid w:val="00A92A5D"/>
    <w:rsid w:val="00A92A9C"/>
    <w:rsid w:val="00A92B47"/>
    <w:rsid w:val="00A92DC0"/>
    <w:rsid w:val="00A9306E"/>
    <w:rsid w:val="00A931FF"/>
    <w:rsid w:val="00A93452"/>
    <w:rsid w:val="00A93663"/>
    <w:rsid w:val="00A93C47"/>
    <w:rsid w:val="00A93E56"/>
    <w:rsid w:val="00A93E62"/>
    <w:rsid w:val="00A93FDC"/>
    <w:rsid w:val="00A94174"/>
    <w:rsid w:val="00A946C1"/>
    <w:rsid w:val="00A94A24"/>
    <w:rsid w:val="00A94B44"/>
    <w:rsid w:val="00A94CB3"/>
    <w:rsid w:val="00A94E2A"/>
    <w:rsid w:val="00A94F34"/>
    <w:rsid w:val="00A95053"/>
    <w:rsid w:val="00A95055"/>
    <w:rsid w:val="00A9551F"/>
    <w:rsid w:val="00A956A2"/>
    <w:rsid w:val="00A958CF"/>
    <w:rsid w:val="00A960D3"/>
    <w:rsid w:val="00A965F9"/>
    <w:rsid w:val="00A96A53"/>
    <w:rsid w:val="00A96B04"/>
    <w:rsid w:val="00A96E12"/>
    <w:rsid w:val="00A96F43"/>
    <w:rsid w:val="00A972CC"/>
    <w:rsid w:val="00A973AC"/>
    <w:rsid w:val="00A97551"/>
    <w:rsid w:val="00A97613"/>
    <w:rsid w:val="00A978B7"/>
    <w:rsid w:val="00A9799C"/>
    <w:rsid w:val="00A97A94"/>
    <w:rsid w:val="00A97ABE"/>
    <w:rsid w:val="00A97BD2"/>
    <w:rsid w:val="00A97C8F"/>
    <w:rsid w:val="00A97D27"/>
    <w:rsid w:val="00A97DD3"/>
    <w:rsid w:val="00A97DD6"/>
    <w:rsid w:val="00AA0B1D"/>
    <w:rsid w:val="00AA0D18"/>
    <w:rsid w:val="00AA0F94"/>
    <w:rsid w:val="00AA0FF8"/>
    <w:rsid w:val="00AA167C"/>
    <w:rsid w:val="00AA1A61"/>
    <w:rsid w:val="00AA1C13"/>
    <w:rsid w:val="00AA1CE2"/>
    <w:rsid w:val="00AA1D27"/>
    <w:rsid w:val="00AA2220"/>
    <w:rsid w:val="00AA26AA"/>
    <w:rsid w:val="00AA281B"/>
    <w:rsid w:val="00AA2B43"/>
    <w:rsid w:val="00AA2E74"/>
    <w:rsid w:val="00AA3118"/>
    <w:rsid w:val="00AA314D"/>
    <w:rsid w:val="00AA3157"/>
    <w:rsid w:val="00AA32AD"/>
    <w:rsid w:val="00AA33BE"/>
    <w:rsid w:val="00AA3505"/>
    <w:rsid w:val="00AA36D3"/>
    <w:rsid w:val="00AA377F"/>
    <w:rsid w:val="00AA3AD4"/>
    <w:rsid w:val="00AA3B00"/>
    <w:rsid w:val="00AA3C30"/>
    <w:rsid w:val="00AA40EE"/>
    <w:rsid w:val="00AA42AB"/>
    <w:rsid w:val="00AA4738"/>
    <w:rsid w:val="00AA4745"/>
    <w:rsid w:val="00AA4853"/>
    <w:rsid w:val="00AA4913"/>
    <w:rsid w:val="00AA4984"/>
    <w:rsid w:val="00AA4A8F"/>
    <w:rsid w:val="00AA4B21"/>
    <w:rsid w:val="00AA56A3"/>
    <w:rsid w:val="00AA5E6D"/>
    <w:rsid w:val="00AA629C"/>
    <w:rsid w:val="00AA64CE"/>
    <w:rsid w:val="00AA66AF"/>
    <w:rsid w:val="00AA6BCA"/>
    <w:rsid w:val="00AA6C0F"/>
    <w:rsid w:val="00AA6DFC"/>
    <w:rsid w:val="00AA6F06"/>
    <w:rsid w:val="00AA6F8D"/>
    <w:rsid w:val="00AA7791"/>
    <w:rsid w:val="00AA78CA"/>
    <w:rsid w:val="00AA7C42"/>
    <w:rsid w:val="00AB0351"/>
    <w:rsid w:val="00AB0387"/>
    <w:rsid w:val="00AB0574"/>
    <w:rsid w:val="00AB0E88"/>
    <w:rsid w:val="00AB1042"/>
    <w:rsid w:val="00AB1670"/>
    <w:rsid w:val="00AB17C1"/>
    <w:rsid w:val="00AB1A4E"/>
    <w:rsid w:val="00AB1B5A"/>
    <w:rsid w:val="00AB22E5"/>
    <w:rsid w:val="00AB23D0"/>
    <w:rsid w:val="00AB2658"/>
    <w:rsid w:val="00AB2971"/>
    <w:rsid w:val="00AB2AD9"/>
    <w:rsid w:val="00AB2CEA"/>
    <w:rsid w:val="00AB2E3B"/>
    <w:rsid w:val="00AB2FCF"/>
    <w:rsid w:val="00AB347F"/>
    <w:rsid w:val="00AB3C81"/>
    <w:rsid w:val="00AB3C8B"/>
    <w:rsid w:val="00AB3DBE"/>
    <w:rsid w:val="00AB3DE4"/>
    <w:rsid w:val="00AB4351"/>
    <w:rsid w:val="00AB4670"/>
    <w:rsid w:val="00AB47A7"/>
    <w:rsid w:val="00AB48BD"/>
    <w:rsid w:val="00AB4914"/>
    <w:rsid w:val="00AB4AD7"/>
    <w:rsid w:val="00AB4ADC"/>
    <w:rsid w:val="00AB4C69"/>
    <w:rsid w:val="00AB4D33"/>
    <w:rsid w:val="00AB4E2E"/>
    <w:rsid w:val="00AB4EA4"/>
    <w:rsid w:val="00AB4FBD"/>
    <w:rsid w:val="00AB5139"/>
    <w:rsid w:val="00AB5170"/>
    <w:rsid w:val="00AB5527"/>
    <w:rsid w:val="00AB563E"/>
    <w:rsid w:val="00AB58C3"/>
    <w:rsid w:val="00AB59CA"/>
    <w:rsid w:val="00AB5CA7"/>
    <w:rsid w:val="00AB6521"/>
    <w:rsid w:val="00AB682B"/>
    <w:rsid w:val="00AB6849"/>
    <w:rsid w:val="00AB694F"/>
    <w:rsid w:val="00AB6E2F"/>
    <w:rsid w:val="00AB6E88"/>
    <w:rsid w:val="00AB748B"/>
    <w:rsid w:val="00AB74AB"/>
    <w:rsid w:val="00AB79AC"/>
    <w:rsid w:val="00AB79E0"/>
    <w:rsid w:val="00AB7E7B"/>
    <w:rsid w:val="00AC026B"/>
    <w:rsid w:val="00AC041A"/>
    <w:rsid w:val="00AC0626"/>
    <w:rsid w:val="00AC069C"/>
    <w:rsid w:val="00AC0ADA"/>
    <w:rsid w:val="00AC0BBF"/>
    <w:rsid w:val="00AC10CC"/>
    <w:rsid w:val="00AC1293"/>
    <w:rsid w:val="00AC151D"/>
    <w:rsid w:val="00AC1635"/>
    <w:rsid w:val="00AC1743"/>
    <w:rsid w:val="00AC19C2"/>
    <w:rsid w:val="00AC1B00"/>
    <w:rsid w:val="00AC1C82"/>
    <w:rsid w:val="00AC2096"/>
    <w:rsid w:val="00AC22CE"/>
    <w:rsid w:val="00AC22F5"/>
    <w:rsid w:val="00AC25CB"/>
    <w:rsid w:val="00AC26F7"/>
    <w:rsid w:val="00AC27BC"/>
    <w:rsid w:val="00AC2A42"/>
    <w:rsid w:val="00AC2BC6"/>
    <w:rsid w:val="00AC2FE8"/>
    <w:rsid w:val="00AC32C1"/>
    <w:rsid w:val="00AC3A7C"/>
    <w:rsid w:val="00AC3B2C"/>
    <w:rsid w:val="00AC3B2D"/>
    <w:rsid w:val="00AC3CDE"/>
    <w:rsid w:val="00AC3D5B"/>
    <w:rsid w:val="00AC3E7A"/>
    <w:rsid w:val="00AC4023"/>
    <w:rsid w:val="00AC4070"/>
    <w:rsid w:val="00AC410D"/>
    <w:rsid w:val="00AC4360"/>
    <w:rsid w:val="00AC46FD"/>
    <w:rsid w:val="00AC4909"/>
    <w:rsid w:val="00AC4987"/>
    <w:rsid w:val="00AC4D43"/>
    <w:rsid w:val="00AC4D56"/>
    <w:rsid w:val="00AC51CF"/>
    <w:rsid w:val="00AC5268"/>
    <w:rsid w:val="00AC5361"/>
    <w:rsid w:val="00AC5444"/>
    <w:rsid w:val="00AC551F"/>
    <w:rsid w:val="00AC58CC"/>
    <w:rsid w:val="00AC5912"/>
    <w:rsid w:val="00AC5A39"/>
    <w:rsid w:val="00AC5B5D"/>
    <w:rsid w:val="00AC5FA3"/>
    <w:rsid w:val="00AC61E6"/>
    <w:rsid w:val="00AC6673"/>
    <w:rsid w:val="00AC6915"/>
    <w:rsid w:val="00AC6CF2"/>
    <w:rsid w:val="00AC6E64"/>
    <w:rsid w:val="00AC702E"/>
    <w:rsid w:val="00AC70B4"/>
    <w:rsid w:val="00AC7240"/>
    <w:rsid w:val="00AC78B9"/>
    <w:rsid w:val="00AC7943"/>
    <w:rsid w:val="00AC7C0B"/>
    <w:rsid w:val="00AD00C0"/>
    <w:rsid w:val="00AD026C"/>
    <w:rsid w:val="00AD03FD"/>
    <w:rsid w:val="00AD0A0F"/>
    <w:rsid w:val="00AD0C3C"/>
    <w:rsid w:val="00AD0C78"/>
    <w:rsid w:val="00AD0CA7"/>
    <w:rsid w:val="00AD0DBD"/>
    <w:rsid w:val="00AD10A4"/>
    <w:rsid w:val="00AD1136"/>
    <w:rsid w:val="00AD126A"/>
    <w:rsid w:val="00AD13AC"/>
    <w:rsid w:val="00AD13F9"/>
    <w:rsid w:val="00AD156A"/>
    <w:rsid w:val="00AD15E1"/>
    <w:rsid w:val="00AD18D8"/>
    <w:rsid w:val="00AD1A9A"/>
    <w:rsid w:val="00AD1C65"/>
    <w:rsid w:val="00AD1E06"/>
    <w:rsid w:val="00AD2523"/>
    <w:rsid w:val="00AD2972"/>
    <w:rsid w:val="00AD2BCE"/>
    <w:rsid w:val="00AD2CE4"/>
    <w:rsid w:val="00AD2E30"/>
    <w:rsid w:val="00AD2F6C"/>
    <w:rsid w:val="00AD2F8D"/>
    <w:rsid w:val="00AD2F9A"/>
    <w:rsid w:val="00AD30FE"/>
    <w:rsid w:val="00AD353B"/>
    <w:rsid w:val="00AD36A1"/>
    <w:rsid w:val="00AD3A04"/>
    <w:rsid w:val="00AD3A06"/>
    <w:rsid w:val="00AD3A69"/>
    <w:rsid w:val="00AD4083"/>
    <w:rsid w:val="00AD4190"/>
    <w:rsid w:val="00AD42C6"/>
    <w:rsid w:val="00AD4339"/>
    <w:rsid w:val="00AD44BD"/>
    <w:rsid w:val="00AD4B05"/>
    <w:rsid w:val="00AD4B4F"/>
    <w:rsid w:val="00AD4C85"/>
    <w:rsid w:val="00AD4ECF"/>
    <w:rsid w:val="00AD5081"/>
    <w:rsid w:val="00AD5263"/>
    <w:rsid w:val="00AD5328"/>
    <w:rsid w:val="00AD5564"/>
    <w:rsid w:val="00AD5832"/>
    <w:rsid w:val="00AD5B11"/>
    <w:rsid w:val="00AD5D1A"/>
    <w:rsid w:val="00AD5DBF"/>
    <w:rsid w:val="00AD5F3E"/>
    <w:rsid w:val="00AD5FDB"/>
    <w:rsid w:val="00AD608C"/>
    <w:rsid w:val="00AD6143"/>
    <w:rsid w:val="00AD62CC"/>
    <w:rsid w:val="00AD6799"/>
    <w:rsid w:val="00AD68B2"/>
    <w:rsid w:val="00AD695F"/>
    <w:rsid w:val="00AD6A3E"/>
    <w:rsid w:val="00AD6F0D"/>
    <w:rsid w:val="00AD713D"/>
    <w:rsid w:val="00AD7344"/>
    <w:rsid w:val="00AD7362"/>
    <w:rsid w:val="00AD750F"/>
    <w:rsid w:val="00AD7801"/>
    <w:rsid w:val="00AD78E8"/>
    <w:rsid w:val="00AD7AAB"/>
    <w:rsid w:val="00AD7D40"/>
    <w:rsid w:val="00AE00F3"/>
    <w:rsid w:val="00AE01B6"/>
    <w:rsid w:val="00AE06DF"/>
    <w:rsid w:val="00AE0927"/>
    <w:rsid w:val="00AE0ACD"/>
    <w:rsid w:val="00AE0ADA"/>
    <w:rsid w:val="00AE0CC5"/>
    <w:rsid w:val="00AE0CE6"/>
    <w:rsid w:val="00AE1013"/>
    <w:rsid w:val="00AE1052"/>
    <w:rsid w:val="00AE14AA"/>
    <w:rsid w:val="00AE14DF"/>
    <w:rsid w:val="00AE1577"/>
    <w:rsid w:val="00AE15E6"/>
    <w:rsid w:val="00AE17A9"/>
    <w:rsid w:val="00AE1DF8"/>
    <w:rsid w:val="00AE2039"/>
    <w:rsid w:val="00AE207B"/>
    <w:rsid w:val="00AE20BC"/>
    <w:rsid w:val="00AE23B7"/>
    <w:rsid w:val="00AE24E1"/>
    <w:rsid w:val="00AE28E8"/>
    <w:rsid w:val="00AE2B9C"/>
    <w:rsid w:val="00AE2C77"/>
    <w:rsid w:val="00AE305D"/>
    <w:rsid w:val="00AE31A4"/>
    <w:rsid w:val="00AE3221"/>
    <w:rsid w:val="00AE35A4"/>
    <w:rsid w:val="00AE3615"/>
    <w:rsid w:val="00AE3688"/>
    <w:rsid w:val="00AE38A0"/>
    <w:rsid w:val="00AE3B8C"/>
    <w:rsid w:val="00AE3B9A"/>
    <w:rsid w:val="00AE3BD5"/>
    <w:rsid w:val="00AE438D"/>
    <w:rsid w:val="00AE4742"/>
    <w:rsid w:val="00AE4B2A"/>
    <w:rsid w:val="00AE4C22"/>
    <w:rsid w:val="00AE55BE"/>
    <w:rsid w:val="00AE5AE9"/>
    <w:rsid w:val="00AE5BB1"/>
    <w:rsid w:val="00AE5D01"/>
    <w:rsid w:val="00AE62C8"/>
    <w:rsid w:val="00AE6346"/>
    <w:rsid w:val="00AE637E"/>
    <w:rsid w:val="00AE659D"/>
    <w:rsid w:val="00AE66BF"/>
    <w:rsid w:val="00AE6954"/>
    <w:rsid w:val="00AE6C54"/>
    <w:rsid w:val="00AE6D12"/>
    <w:rsid w:val="00AE6E1B"/>
    <w:rsid w:val="00AE7154"/>
    <w:rsid w:val="00AE74B2"/>
    <w:rsid w:val="00AE75A3"/>
    <w:rsid w:val="00AE768E"/>
    <w:rsid w:val="00AE76CE"/>
    <w:rsid w:val="00AE7BB5"/>
    <w:rsid w:val="00AE7BE9"/>
    <w:rsid w:val="00AE7BF1"/>
    <w:rsid w:val="00AE7C4D"/>
    <w:rsid w:val="00AE7EDC"/>
    <w:rsid w:val="00AF00E2"/>
    <w:rsid w:val="00AF044D"/>
    <w:rsid w:val="00AF057D"/>
    <w:rsid w:val="00AF0CCF"/>
    <w:rsid w:val="00AF0CFF"/>
    <w:rsid w:val="00AF0F28"/>
    <w:rsid w:val="00AF1035"/>
    <w:rsid w:val="00AF1071"/>
    <w:rsid w:val="00AF1206"/>
    <w:rsid w:val="00AF1263"/>
    <w:rsid w:val="00AF13B7"/>
    <w:rsid w:val="00AF13E8"/>
    <w:rsid w:val="00AF14DA"/>
    <w:rsid w:val="00AF190A"/>
    <w:rsid w:val="00AF1973"/>
    <w:rsid w:val="00AF1C25"/>
    <w:rsid w:val="00AF1DDE"/>
    <w:rsid w:val="00AF1F3D"/>
    <w:rsid w:val="00AF2619"/>
    <w:rsid w:val="00AF271F"/>
    <w:rsid w:val="00AF2BC3"/>
    <w:rsid w:val="00AF2BEC"/>
    <w:rsid w:val="00AF2D37"/>
    <w:rsid w:val="00AF2DB7"/>
    <w:rsid w:val="00AF2EBB"/>
    <w:rsid w:val="00AF3692"/>
    <w:rsid w:val="00AF3992"/>
    <w:rsid w:val="00AF3DA9"/>
    <w:rsid w:val="00AF3DCD"/>
    <w:rsid w:val="00AF3DF8"/>
    <w:rsid w:val="00AF40B1"/>
    <w:rsid w:val="00AF437F"/>
    <w:rsid w:val="00AF4528"/>
    <w:rsid w:val="00AF4685"/>
    <w:rsid w:val="00AF475C"/>
    <w:rsid w:val="00AF4984"/>
    <w:rsid w:val="00AF4CE6"/>
    <w:rsid w:val="00AF5388"/>
    <w:rsid w:val="00AF5831"/>
    <w:rsid w:val="00AF5DC2"/>
    <w:rsid w:val="00AF64EB"/>
    <w:rsid w:val="00AF6809"/>
    <w:rsid w:val="00AF6B65"/>
    <w:rsid w:val="00AF73B3"/>
    <w:rsid w:val="00AF7513"/>
    <w:rsid w:val="00AF7552"/>
    <w:rsid w:val="00AF79C0"/>
    <w:rsid w:val="00AF7A73"/>
    <w:rsid w:val="00AF7CCD"/>
    <w:rsid w:val="00AF7D47"/>
    <w:rsid w:val="00AF7EA2"/>
    <w:rsid w:val="00B0059A"/>
    <w:rsid w:val="00B005E7"/>
    <w:rsid w:val="00B00A84"/>
    <w:rsid w:val="00B012D9"/>
    <w:rsid w:val="00B013C7"/>
    <w:rsid w:val="00B01431"/>
    <w:rsid w:val="00B0151D"/>
    <w:rsid w:val="00B01527"/>
    <w:rsid w:val="00B01754"/>
    <w:rsid w:val="00B018FD"/>
    <w:rsid w:val="00B01A6B"/>
    <w:rsid w:val="00B01B98"/>
    <w:rsid w:val="00B01C5D"/>
    <w:rsid w:val="00B01D56"/>
    <w:rsid w:val="00B01E37"/>
    <w:rsid w:val="00B01E4B"/>
    <w:rsid w:val="00B01F17"/>
    <w:rsid w:val="00B0205B"/>
    <w:rsid w:val="00B0216A"/>
    <w:rsid w:val="00B02317"/>
    <w:rsid w:val="00B0235A"/>
    <w:rsid w:val="00B025A7"/>
    <w:rsid w:val="00B0278C"/>
    <w:rsid w:val="00B029D1"/>
    <w:rsid w:val="00B02A76"/>
    <w:rsid w:val="00B02A7D"/>
    <w:rsid w:val="00B02C31"/>
    <w:rsid w:val="00B02FAA"/>
    <w:rsid w:val="00B032BB"/>
    <w:rsid w:val="00B032F8"/>
    <w:rsid w:val="00B03482"/>
    <w:rsid w:val="00B03BC0"/>
    <w:rsid w:val="00B03C08"/>
    <w:rsid w:val="00B03C42"/>
    <w:rsid w:val="00B040D9"/>
    <w:rsid w:val="00B042B8"/>
    <w:rsid w:val="00B04636"/>
    <w:rsid w:val="00B04B0A"/>
    <w:rsid w:val="00B04DB1"/>
    <w:rsid w:val="00B04F8A"/>
    <w:rsid w:val="00B052E7"/>
    <w:rsid w:val="00B05481"/>
    <w:rsid w:val="00B0550C"/>
    <w:rsid w:val="00B05B23"/>
    <w:rsid w:val="00B05BD0"/>
    <w:rsid w:val="00B05CCD"/>
    <w:rsid w:val="00B05EB9"/>
    <w:rsid w:val="00B06026"/>
    <w:rsid w:val="00B06033"/>
    <w:rsid w:val="00B06CC8"/>
    <w:rsid w:val="00B06D56"/>
    <w:rsid w:val="00B06E55"/>
    <w:rsid w:val="00B0707D"/>
    <w:rsid w:val="00B070BF"/>
    <w:rsid w:val="00B07422"/>
    <w:rsid w:val="00B0751F"/>
    <w:rsid w:val="00B075A0"/>
    <w:rsid w:val="00B07636"/>
    <w:rsid w:val="00B07958"/>
    <w:rsid w:val="00B079EB"/>
    <w:rsid w:val="00B07A87"/>
    <w:rsid w:val="00B07CC8"/>
    <w:rsid w:val="00B07CDA"/>
    <w:rsid w:val="00B07CF9"/>
    <w:rsid w:val="00B07E14"/>
    <w:rsid w:val="00B07E41"/>
    <w:rsid w:val="00B102E4"/>
    <w:rsid w:val="00B10542"/>
    <w:rsid w:val="00B106CD"/>
    <w:rsid w:val="00B106F5"/>
    <w:rsid w:val="00B10D52"/>
    <w:rsid w:val="00B10E8F"/>
    <w:rsid w:val="00B1121E"/>
    <w:rsid w:val="00B11298"/>
    <w:rsid w:val="00B113E3"/>
    <w:rsid w:val="00B114EE"/>
    <w:rsid w:val="00B11898"/>
    <w:rsid w:val="00B119D1"/>
    <w:rsid w:val="00B11BA7"/>
    <w:rsid w:val="00B11D16"/>
    <w:rsid w:val="00B12280"/>
    <w:rsid w:val="00B12294"/>
    <w:rsid w:val="00B122F5"/>
    <w:rsid w:val="00B12304"/>
    <w:rsid w:val="00B1286D"/>
    <w:rsid w:val="00B129F5"/>
    <w:rsid w:val="00B12A8D"/>
    <w:rsid w:val="00B12FEF"/>
    <w:rsid w:val="00B1323A"/>
    <w:rsid w:val="00B13707"/>
    <w:rsid w:val="00B13BA2"/>
    <w:rsid w:val="00B13DF0"/>
    <w:rsid w:val="00B13FF5"/>
    <w:rsid w:val="00B1406F"/>
    <w:rsid w:val="00B14212"/>
    <w:rsid w:val="00B14577"/>
    <w:rsid w:val="00B14811"/>
    <w:rsid w:val="00B15007"/>
    <w:rsid w:val="00B1506E"/>
    <w:rsid w:val="00B152FB"/>
    <w:rsid w:val="00B15485"/>
    <w:rsid w:val="00B15601"/>
    <w:rsid w:val="00B15659"/>
    <w:rsid w:val="00B15706"/>
    <w:rsid w:val="00B15BAA"/>
    <w:rsid w:val="00B15BAF"/>
    <w:rsid w:val="00B15CA9"/>
    <w:rsid w:val="00B15CE1"/>
    <w:rsid w:val="00B15DAF"/>
    <w:rsid w:val="00B16482"/>
    <w:rsid w:val="00B1669C"/>
    <w:rsid w:val="00B16AC1"/>
    <w:rsid w:val="00B16E12"/>
    <w:rsid w:val="00B175A7"/>
    <w:rsid w:val="00B1778B"/>
    <w:rsid w:val="00B1779B"/>
    <w:rsid w:val="00B17929"/>
    <w:rsid w:val="00B17980"/>
    <w:rsid w:val="00B17BFA"/>
    <w:rsid w:val="00B20056"/>
    <w:rsid w:val="00B2013C"/>
    <w:rsid w:val="00B201FC"/>
    <w:rsid w:val="00B202F4"/>
    <w:rsid w:val="00B209F5"/>
    <w:rsid w:val="00B20A02"/>
    <w:rsid w:val="00B20CD5"/>
    <w:rsid w:val="00B20D64"/>
    <w:rsid w:val="00B210F0"/>
    <w:rsid w:val="00B216C1"/>
    <w:rsid w:val="00B21871"/>
    <w:rsid w:val="00B21D9A"/>
    <w:rsid w:val="00B21DDC"/>
    <w:rsid w:val="00B21E23"/>
    <w:rsid w:val="00B21F4A"/>
    <w:rsid w:val="00B220D4"/>
    <w:rsid w:val="00B221EB"/>
    <w:rsid w:val="00B2220F"/>
    <w:rsid w:val="00B22496"/>
    <w:rsid w:val="00B226BD"/>
    <w:rsid w:val="00B229D9"/>
    <w:rsid w:val="00B22A75"/>
    <w:rsid w:val="00B22AC7"/>
    <w:rsid w:val="00B22EA2"/>
    <w:rsid w:val="00B22F4B"/>
    <w:rsid w:val="00B2307C"/>
    <w:rsid w:val="00B23144"/>
    <w:rsid w:val="00B2331D"/>
    <w:rsid w:val="00B2337E"/>
    <w:rsid w:val="00B234A0"/>
    <w:rsid w:val="00B23984"/>
    <w:rsid w:val="00B23B4F"/>
    <w:rsid w:val="00B23D5F"/>
    <w:rsid w:val="00B23D78"/>
    <w:rsid w:val="00B241FB"/>
    <w:rsid w:val="00B243B2"/>
    <w:rsid w:val="00B24C39"/>
    <w:rsid w:val="00B24F19"/>
    <w:rsid w:val="00B25031"/>
    <w:rsid w:val="00B255CD"/>
    <w:rsid w:val="00B2584A"/>
    <w:rsid w:val="00B25AF2"/>
    <w:rsid w:val="00B25B85"/>
    <w:rsid w:val="00B25DCB"/>
    <w:rsid w:val="00B25EAB"/>
    <w:rsid w:val="00B261DD"/>
    <w:rsid w:val="00B26C68"/>
    <w:rsid w:val="00B26E19"/>
    <w:rsid w:val="00B2714F"/>
    <w:rsid w:val="00B27185"/>
    <w:rsid w:val="00B27346"/>
    <w:rsid w:val="00B273DF"/>
    <w:rsid w:val="00B274BB"/>
    <w:rsid w:val="00B275C5"/>
    <w:rsid w:val="00B27718"/>
    <w:rsid w:val="00B27739"/>
    <w:rsid w:val="00B2779E"/>
    <w:rsid w:val="00B2789A"/>
    <w:rsid w:val="00B279F8"/>
    <w:rsid w:val="00B27A1B"/>
    <w:rsid w:val="00B27B68"/>
    <w:rsid w:val="00B301FA"/>
    <w:rsid w:val="00B31879"/>
    <w:rsid w:val="00B318C2"/>
    <w:rsid w:val="00B31ABF"/>
    <w:rsid w:val="00B32018"/>
    <w:rsid w:val="00B32033"/>
    <w:rsid w:val="00B32B29"/>
    <w:rsid w:val="00B32B3B"/>
    <w:rsid w:val="00B32E32"/>
    <w:rsid w:val="00B32EFE"/>
    <w:rsid w:val="00B332E3"/>
    <w:rsid w:val="00B3336D"/>
    <w:rsid w:val="00B3343B"/>
    <w:rsid w:val="00B3373F"/>
    <w:rsid w:val="00B3382F"/>
    <w:rsid w:val="00B33B05"/>
    <w:rsid w:val="00B33BF7"/>
    <w:rsid w:val="00B33C74"/>
    <w:rsid w:val="00B33D6C"/>
    <w:rsid w:val="00B33FB7"/>
    <w:rsid w:val="00B34335"/>
    <w:rsid w:val="00B343BA"/>
    <w:rsid w:val="00B34812"/>
    <w:rsid w:val="00B34927"/>
    <w:rsid w:val="00B34EB3"/>
    <w:rsid w:val="00B34EC9"/>
    <w:rsid w:val="00B3510A"/>
    <w:rsid w:val="00B35154"/>
    <w:rsid w:val="00B3548B"/>
    <w:rsid w:val="00B3595D"/>
    <w:rsid w:val="00B35A12"/>
    <w:rsid w:val="00B367BC"/>
    <w:rsid w:val="00B3680A"/>
    <w:rsid w:val="00B36D9C"/>
    <w:rsid w:val="00B36E96"/>
    <w:rsid w:val="00B37075"/>
    <w:rsid w:val="00B372A2"/>
    <w:rsid w:val="00B373C6"/>
    <w:rsid w:val="00B37583"/>
    <w:rsid w:val="00B375F4"/>
    <w:rsid w:val="00B3764F"/>
    <w:rsid w:val="00B377C2"/>
    <w:rsid w:val="00B37862"/>
    <w:rsid w:val="00B37886"/>
    <w:rsid w:val="00B378BA"/>
    <w:rsid w:val="00B40078"/>
    <w:rsid w:val="00B402C1"/>
    <w:rsid w:val="00B4053D"/>
    <w:rsid w:val="00B40F83"/>
    <w:rsid w:val="00B4129A"/>
    <w:rsid w:val="00B4162A"/>
    <w:rsid w:val="00B4164E"/>
    <w:rsid w:val="00B417BD"/>
    <w:rsid w:val="00B41C23"/>
    <w:rsid w:val="00B41C31"/>
    <w:rsid w:val="00B41D3D"/>
    <w:rsid w:val="00B41F46"/>
    <w:rsid w:val="00B41F93"/>
    <w:rsid w:val="00B422FF"/>
    <w:rsid w:val="00B427FB"/>
    <w:rsid w:val="00B42804"/>
    <w:rsid w:val="00B42EB8"/>
    <w:rsid w:val="00B43258"/>
    <w:rsid w:val="00B432A3"/>
    <w:rsid w:val="00B432D1"/>
    <w:rsid w:val="00B436F9"/>
    <w:rsid w:val="00B43974"/>
    <w:rsid w:val="00B439AC"/>
    <w:rsid w:val="00B439D8"/>
    <w:rsid w:val="00B439F5"/>
    <w:rsid w:val="00B43C95"/>
    <w:rsid w:val="00B43CC4"/>
    <w:rsid w:val="00B43D97"/>
    <w:rsid w:val="00B43DDD"/>
    <w:rsid w:val="00B44580"/>
    <w:rsid w:val="00B448F8"/>
    <w:rsid w:val="00B44FA9"/>
    <w:rsid w:val="00B45702"/>
    <w:rsid w:val="00B457CB"/>
    <w:rsid w:val="00B4645E"/>
    <w:rsid w:val="00B46498"/>
    <w:rsid w:val="00B46588"/>
    <w:rsid w:val="00B468D8"/>
    <w:rsid w:val="00B46B71"/>
    <w:rsid w:val="00B46FD1"/>
    <w:rsid w:val="00B47012"/>
    <w:rsid w:val="00B476ED"/>
    <w:rsid w:val="00B478CF"/>
    <w:rsid w:val="00B47975"/>
    <w:rsid w:val="00B479CC"/>
    <w:rsid w:val="00B47AFE"/>
    <w:rsid w:val="00B47D32"/>
    <w:rsid w:val="00B501B4"/>
    <w:rsid w:val="00B501C4"/>
    <w:rsid w:val="00B501EA"/>
    <w:rsid w:val="00B5022D"/>
    <w:rsid w:val="00B502C4"/>
    <w:rsid w:val="00B5048D"/>
    <w:rsid w:val="00B5051D"/>
    <w:rsid w:val="00B507C9"/>
    <w:rsid w:val="00B508EF"/>
    <w:rsid w:val="00B51523"/>
    <w:rsid w:val="00B51B4E"/>
    <w:rsid w:val="00B51C17"/>
    <w:rsid w:val="00B51C8A"/>
    <w:rsid w:val="00B521F9"/>
    <w:rsid w:val="00B522C2"/>
    <w:rsid w:val="00B52827"/>
    <w:rsid w:val="00B529EB"/>
    <w:rsid w:val="00B52E1D"/>
    <w:rsid w:val="00B53245"/>
    <w:rsid w:val="00B53528"/>
    <w:rsid w:val="00B53A0E"/>
    <w:rsid w:val="00B53A37"/>
    <w:rsid w:val="00B53AE2"/>
    <w:rsid w:val="00B53CC5"/>
    <w:rsid w:val="00B54124"/>
    <w:rsid w:val="00B542EE"/>
    <w:rsid w:val="00B54457"/>
    <w:rsid w:val="00B544A1"/>
    <w:rsid w:val="00B54581"/>
    <w:rsid w:val="00B5484F"/>
    <w:rsid w:val="00B548FF"/>
    <w:rsid w:val="00B549CC"/>
    <w:rsid w:val="00B54DBB"/>
    <w:rsid w:val="00B54DDF"/>
    <w:rsid w:val="00B54F4C"/>
    <w:rsid w:val="00B54F6B"/>
    <w:rsid w:val="00B5501C"/>
    <w:rsid w:val="00B55310"/>
    <w:rsid w:val="00B555FC"/>
    <w:rsid w:val="00B556CF"/>
    <w:rsid w:val="00B55AC8"/>
    <w:rsid w:val="00B55C13"/>
    <w:rsid w:val="00B55CEE"/>
    <w:rsid w:val="00B55CFA"/>
    <w:rsid w:val="00B56070"/>
    <w:rsid w:val="00B56484"/>
    <w:rsid w:val="00B565E5"/>
    <w:rsid w:val="00B567F7"/>
    <w:rsid w:val="00B56928"/>
    <w:rsid w:val="00B56BEA"/>
    <w:rsid w:val="00B56D12"/>
    <w:rsid w:val="00B56D5D"/>
    <w:rsid w:val="00B570FA"/>
    <w:rsid w:val="00B571A1"/>
    <w:rsid w:val="00B5725E"/>
    <w:rsid w:val="00B57370"/>
    <w:rsid w:val="00B57542"/>
    <w:rsid w:val="00B5767E"/>
    <w:rsid w:val="00B57967"/>
    <w:rsid w:val="00B579C8"/>
    <w:rsid w:val="00B57F55"/>
    <w:rsid w:val="00B57F58"/>
    <w:rsid w:val="00B60719"/>
    <w:rsid w:val="00B607A0"/>
    <w:rsid w:val="00B60815"/>
    <w:rsid w:val="00B60D90"/>
    <w:rsid w:val="00B60E30"/>
    <w:rsid w:val="00B6103C"/>
    <w:rsid w:val="00B610FF"/>
    <w:rsid w:val="00B61499"/>
    <w:rsid w:val="00B614A0"/>
    <w:rsid w:val="00B617B5"/>
    <w:rsid w:val="00B61894"/>
    <w:rsid w:val="00B61C63"/>
    <w:rsid w:val="00B61E29"/>
    <w:rsid w:val="00B61E50"/>
    <w:rsid w:val="00B61F39"/>
    <w:rsid w:val="00B61FDE"/>
    <w:rsid w:val="00B623F7"/>
    <w:rsid w:val="00B62B7A"/>
    <w:rsid w:val="00B62BD6"/>
    <w:rsid w:val="00B62EEB"/>
    <w:rsid w:val="00B62F7B"/>
    <w:rsid w:val="00B62FF0"/>
    <w:rsid w:val="00B6332C"/>
    <w:rsid w:val="00B633D3"/>
    <w:rsid w:val="00B634DF"/>
    <w:rsid w:val="00B63750"/>
    <w:rsid w:val="00B64252"/>
    <w:rsid w:val="00B6478E"/>
    <w:rsid w:val="00B647E9"/>
    <w:rsid w:val="00B647F6"/>
    <w:rsid w:val="00B64D6B"/>
    <w:rsid w:val="00B65096"/>
    <w:rsid w:val="00B6513D"/>
    <w:rsid w:val="00B65218"/>
    <w:rsid w:val="00B652DD"/>
    <w:rsid w:val="00B654FF"/>
    <w:rsid w:val="00B65963"/>
    <w:rsid w:val="00B65D08"/>
    <w:rsid w:val="00B66435"/>
    <w:rsid w:val="00B664EB"/>
    <w:rsid w:val="00B666B4"/>
    <w:rsid w:val="00B6685E"/>
    <w:rsid w:val="00B66BD4"/>
    <w:rsid w:val="00B66E08"/>
    <w:rsid w:val="00B66E17"/>
    <w:rsid w:val="00B674FF"/>
    <w:rsid w:val="00B70182"/>
    <w:rsid w:val="00B70192"/>
    <w:rsid w:val="00B7049B"/>
    <w:rsid w:val="00B70682"/>
    <w:rsid w:val="00B70776"/>
    <w:rsid w:val="00B707B0"/>
    <w:rsid w:val="00B70B5F"/>
    <w:rsid w:val="00B70C9A"/>
    <w:rsid w:val="00B70CDB"/>
    <w:rsid w:val="00B70F6C"/>
    <w:rsid w:val="00B71059"/>
    <w:rsid w:val="00B712C9"/>
    <w:rsid w:val="00B71433"/>
    <w:rsid w:val="00B714B4"/>
    <w:rsid w:val="00B7153A"/>
    <w:rsid w:val="00B71B8D"/>
    <w:rsid w:val="00B71D14"/>
    <w:rsid w:val="00B71D94"/>
    <w:rsid w:val="00B721AE"/>
    <w:rsid w:val="00B72481"/>
    <w:rsid w:val="00B724CC"/>
    <w:rsid w:val="00B724E8"/>
    <w:rsid w:val="00B7291C"/>
    <w:rsid w:val="00B72DD6"/>
    <w:rsid w:val="00B72EBE"/>
    <w:rsid w:val="00B7307E"/>
    <w:rsid w:val="00B73123"/>
    <w:rsid w:val="00B73289"/>
    <w:rsid w:val="00B732E0"/>
    <w:rsid w:val="00B73523"/>
    <w:rsid w:val="00B73896"/>
    <w:rsid w:val="00B7389A"/>
    <w:rsid w:val="00B739E1"/>
    <w:rsid w:val="00B73A5B"/>
    <w:rsid w:val="00B73BEB"/>
    <w:rsid w:val="00B742F9"/>
    <w:rsid w:val="00B74520"/>
    <w:rsid w:val="00B745B0"/>
    <w:rsid w:val="00B747F1"/>
    <w:rsid w:val="00B74F58"/>
    <w:rsid w:val="00B7501A"/>
    <w:rsid w:val="00B750CB"/>
    <w:rsid w:val="00B750EC"/>
    <w:rsid w:val="00B7580E"/>
    <w:rsid w:val="00B75C61"/>
    <w:rsid w:val="00B75C85"/>
    <w:rsid w:val="00B75EE2"/>
    <w:rsid w:val="00B75F92"/>
    <w:rsid w:val="00B76335"/>
    <w:rsid w:val="00B76347"/>
    <w:rsid w:val="00B76436"/>
    <w:rsid w:val="00B7660C"/>
    <w:rsid w:val="00B767B1"/>
    <w:rsid w:val="00B7685D"/>
    <w:rsid w:val="00B7708C"/>
    <w:rsid w:val="00B773BB"/>
    <w:rsid w:val="00B774EF"/>
    <w:rsid w:val="00B77694"/>
    <w:rsid w:val="00B77759"/>
    <w:rsid w:val="00B77772"/>
    <w:rsid w:val="00B779FD"/>
    <w:rsid w:val="00B77EDF"/>
    <w:rsid w:val="00B77F98"/>
    <w:rsid w:val="00B8003F"/>
    <w:rsid w:val="00B805A6"/>
    <w:rsid w:val="00B8069E"/>
    <w:rsid w:val="00B80820"/>
    <w:rsid w:val="00B80977"/>
    <w:rsid w:val="00B809D9"/>
    <w:rsid w:val="00B80AD9"/>
    <w:rsid w:val="00B80D86"/>
    <w:rsid w:val="00B810C0"/>
    <w:rsid w:val="00B8183B"/>
    <w:rsid w:val="00B81934"/>
    <w:rsid w:val="00B8196A"/>
    <w:rsid w:val="00B8204E"/>
    <w:rsid w:val="00B820DF"/>
    <w:rsid w:val="00B82561"/>
    <w:rsid w:val="00B82BF0"/>
    <w:rsid w:val="00B82FEB"/>
    <w:rsid w:val="00B82FFA"/>
    <w:rsid w:val="00B83333"/>
    <w:rsid w:val="00B835F3"/>
    <w:rsid w:val="00B83A82"/>
    <w:rsid w:val="00B83D6E"/>
    <w:rsid w:val="00B83DE7"/>
    <w:rsid w:val="00B83DF2"/>
    <w:rsid w:val="00B84247"/>
    <w:rsid w:val="00B845E0"/>
    <w:rsid w:val="00B84698"/>
    <w:rsid w:val="00B8491B"/>
    <w:rsid w:val="00B84E8D"/>
    <w:rsid w:val="00B84F41"/>
    <w:rsid w:val="00B8504E"/>
    <w:rsid w:val="00B851F5"/>
    <w:rsid w:val="00B852DB"/>
    <w:rsid w:val="00B85462"/>
    <w:rsid w:val="00B85537"/>
    <w:rsid w:val="00B8562E"/>
    <w:rsid w:val="00B85754"/>
    <w:rsid w:val="00B8583A"/>
    <w:rsid w:val="00B85869"/>
    <w:rsid w:val="00B85BDD"/>
    <w:rsid w:val="00B860A9"/>
    <w:rsid w:val="00B86431"/>
    <w:rsid w:val="00B86AA7"/>
    <w:rsid w:val="00B86B80"/>
    <w:rsid w:val="00B8751A"/>
    <w:rsid w:val="00B87A4E"/>
    <w:rsid w:val="00B87A6E"/>
    <w:rsid w:val="00B87C56"/>
    <w:rsid w:val="00B87C98"/>
    <w:rsid w:val="00B87D10"/>
    <w:rsid w:val="00B87DAF"/>
    <w:rsid w:val="00B87E2E"/>
    <w:rsid w:val="00B87E6F"/>
    <w:rsid w:val="00B9006A"/>
    <w:rsid w:val="00B90097"/>
    <w:rsid w:val="00B90383"/>
    <w:rsid w:val="00B904B3"/>
    <w:rsid w:val="00B9056F"/>
    <w:rsid w:val="00B9065C"/>
    <w:rsid w:val="00B906EF"/>
    <w:rsid w:val="00B909F6"/>
    <w:rsid w:val="00B90B93"/>
    <w:rsid w:val="00B90F8C"/>
    <w:rsid w:val="00B911E9"/>
    <w:rsid w:val="00B9147B"/>
    <w:rsid w:val="00B91560"/>
    <w:rsid w:val="00B91669"/>
    <w:rsid w:val="00B916B9"/>
    <w:rsid w:val="00B918D7"/>
    <w:rsid w:val="00B91ECD"/>
    <w:rsid w:val="00B91F97"/>
    <w:rsid w:val="00B921EC"/>
    <w:rsid w:val="00B92245"/>
    <w:rsid w:val="00B92429"/>
    <w:rsid w:val="00B9270D"/>
    <w:rsid w:val="00B92ECE"/>
    <w:rsid w:val="00B930CB"/>
    <w:rsid w:val="00B931EC"/>
    <w:rsid w:val="00B932B3"/>
    <w:rsid w:val="00B932E5"/>
    <w:rsid w:val="00B9348F"/>
    <w:rsid w:val="00B93607"/>
    <w:rsid w:val="00B939D7"/>
    <w:rsid w:val="00B93A31"/>
    <w:rsid w:val="00B93BE1"/>
    <w:rsid w:val="00B93E6A"/>
    <w:rsid w:val="00B93F91"/>
    <w:rsid w:val="00B941AA"/>
    <w:rsid w:val="00B9460A"/>
    <w:rsid w:val="00B9475E"/>
    <w:rsid w:val="00B948D1"/>
    <w:rsid w:val="00B94CE3"/>
    <w:rsid w:val="00B94D50"/>
    <w:rsid w:val="00B94FB4"/>
    <w:rsid w:val="00B95158"/>
    <w:rsid w:val="00B95373"/>
    <w:rsid w:val="00B953FB"/>
    <w:rsid w:val="00B95433"/>
    <w:rsid w:val="00B95435"/>
    <w:rsid w:val="00B95521"/>
    <w:rsid w:val="00B957A5"/>
    <w:rsid w:val="00B961FA"/>
    <w:rsid w:val="00B96AAC"/>
    <w:rsid w:val="00B96E70"/>
    <w:rsid w:val="00B97646"/>
    <w:rsid w:val="00B9776D"/>
    <w:rsid w:val="00B9778E"/>
    <w:rsid w:val="00B979C6"/>
    <w:rsid w:val="00B97A15"/>
    <w:rsid w:val="00B97A25"/>
    <w:rsid w:val="00B97A9D"/>
    <w:rsid w:val="00B97E96"/>
    <w:rsid w:val="00B97EE4"/>
    <w:rsid w:val="00B97F1D"/>
    <w:rsid w:val="00BA025D"/>
    <w:rsid w:val="00BA041E"/>
    <w:rsid w:val="00BA0A2C"/>
    <w:rsid w:val="00BA0B4C"/>
    <w:rsid w:val="00BA0BEE"/>
    <w:rsid w:val="00BA134E"/>
    <w:rsid w:val="00BA1448"/>
    <w:rsid w:val="00BA15A2"/>
    <w:rsid w:val="00BA1626"/>
    <w:rsid w:val="00BA16C6"/>
    <w:rsid w:val="00BA18B8"/>
    <w:rsid w:val="00BA1982"/>
    <w:rsid w:val="00BA1CF4"/>
    <w:rsid w:val="00BA1E24"/>
    <w:rsid w:val="00BA1FA2"/>
    <w:rsid w:val="00BA2324"/>
    <w:rsid w:val="00BA25D2"/>
    <w:rsid w:val="00BA2914"/>
    <w:rsid w:val="00BA2955"/>
    <w:rsid w:val="00BA2BAE"/>
    <w:rsid w:val="00BA2C51"/>
    <w:rsid w:val="00BA2C66"/>
    <w:rsid w:val="00BA30FD"/>
    <w:rsid w:val="00BA38FC"/>
    <w:rsid w:val="00BA40D6"/>
    <w:rsid w:val="00BA4413"/>
    <w:rsid w:val="00BA4453"/>
    <w:rsid w:val="00BA47D0"/>
    <w:rsid w:val="00BA4A87"/>
    <w:rsid w:val="00BA4AFD"/>
    <w:rsid w:val="00BA4D98"/>
    <w:rsid w:val="00BA4F29"/>
    <w:rsid w:val="00BA5627"/>
    <w:rsid w:val="00BA5780"/>
    <w:rsid w:val="00BA59A8"/>
    <w:rsid w:val="00BA5A57"/>
    <w:rsid w:val="00BA5C61"/>
    <w:rsid w:val="00BA5D0B"/>
    <w:rsid w:val="00BA5FBF"/>
    <w:rsid w:val="00BA65EA"/>
    <w:rsid w:val="00BA7062"/>
    <w:rsid w:val="00BA70DC"/>
    <w:rsid w:val="00BA7178"/>
    <w:rsid w:val="00BA71E6"/>
    <w:rsid w:val="00BA7830"/>
    <w:rsid w:val="00BA7855"/>
    <w:rsid w:val="00BA7CA3"/>
    <w:rsid w:val="00BA7D7D"/>
    <w:rsid w:val="00BA7EAE"/>
    <w:rsid w:val="00BA7F48"/>
    <w:rsid w:val="00BA7F6A"/>
    <w:rsid w:val="00BB004C"/>
    <w:rsid w:val="00BB00D0"/>
    <w:rsid w:val="00BB0238"/>
    <w:rsid w:val="00BB03AC"/>
    <w:rsid w:val="00BB0456"/>
    <w:rsid w:val="00BB051F"/>
    <w:rsid w:val="00BB0659"/>
    <w:rsid w:val="00BB0FB0"/>
    <w:rsid w:val="00BB1217"/>
    <w:rsid w:val="00BB127A"/>
    <w:rsid w:val="00BB12BE"/>
    <w:rsid w:val="00BB1989"/>
    <w:rsid w:val="00BB1A5A"/>
    <w:rsid w:val="00BB1BBE"/>
    <w:rsid w:val="00BB26DA"/>
    <w:rsid w:val="00BB2733"/>
    <w:rsid w:val="00BB285A"/>
    <w:rsid w:val="00BB288A"/>
    <w:rsid w:val="00BB28F2"/>
    <w:rsid w:val="00BB2BD3"/>
    <w:rsid w:val="00BB2DCD"/>
    <w:rsid w:val="00BB352D"/>
    <w:rsid w:val="00BB38BA"/>
    <w:rsid w:val="00BB3EDD"/>
    <w:rsid w:val="00BB3F41"/>
    <w:rsid w:val="00BB405D"/>
    <w:rsid w:val="00BB40D8"/>
    <w:rsid w:val="00BB42AE"/>
    <w:rsid w:val="00BB44F1"/>
    <w:rsid w:val="00BB4D1C"/>
    <w:rsid w:val="00BB50BA"/>
    <w:rsid w:val="00BB5422"/>
    <w:rsid w:val="00BB550E"/>
    <w:rsid w:val="00BB57E6"/>
    <w:rsid w:val="00BB5BBB"/>
    <w:rsid w:val="00BB5E13"/>
    <w:rsid w:val="00BB5F08"/>
    <w:rsid w:val="00BB5F52"/>
    <w:rsid w:val="00BB6146"/>
    <w:rsid w:val="00BB614A"/>
    <w:rsid w:val="00BB6482"/>
    <w:rsid w:val="00BB64B4"/>
    <w:rsid w:val="00BB67AA"/>
    <w:rsid w:val="00BB6A76"/>
    <w:rsid w:val="00BB6C6F"/>
    <w:rsid w:val="00BB6D2C"/>
    <w:rsid w:val="00BB6D31"/>
    <w:rsid w:val="00BB710F"/>
    <w:rsid w:val="00BB731C"/>
    <w:rsid w:val="00BB794C"/>
    <w:rsid w:val="00BB7A3B"/>
    <w:rsid w:val="00BB7CDF"/>
    <w:rsid w:val="00BB7D8D"/>
    <w:rsid w:val="00BC010F"/>
    <w:rsid w:val="00BC04BB"/>
    <w:rsid w:val="00BC0513"/>
    <w:rsid w:val="00BC0871"/>
    <w:rsid w:val="00BC0B4E"/>
    <w:rsid w:val="00BC0D04"/>
    <w:rsid w:val="00BC0F4A"/>
    <w:rsid w:val="00BC0F7A"/>
    <w:rsid w:val="00BC108A"/>
    <w:rsid w:val="00BC1106"/>
    <w:rsid w:val="00BC1B98"/>
    <w:rsid w:val="00BC201E"/>
    <w:rsid w:val="00BC23A0"/>
    <w:rsid w:val="00BC2B5F"/>
    <w:rsid w:val="00BC2D80"/>
    <w:rsid w:val="00BC3036"/>
    <w:rsid w:val="00BC3043"/>
    <w:rsid w:val="00BC3407"/>
    <w:rsid w:val="00BC3DA1"/>
    <w:rsid w:val="00BC3F64"/>
    <w:rsid w:val="00BC3FC6"/>
    <w:rsid w:val="00BC41C3"/>
    <w:rsid w:val="00BC451D"/>
    <w:rsid w:val="00BC45C6"/>
    <w:rsid w:val="00BC475E"/>
    <w:rsid w:val="00BC49C7"/>
    <w:rsid w:val="00BC49FE"/>
    <w:rsid w:val="00BC4ABF"/>
    <w:rsid w:val="00BC4B71"/>
    <w:rsid w:val="00BC4B9B"/>
    <w:rsid w:val="00BC4C19"/>
    <w:rsid w:val="00BC4CDF"/>
    <w:rsid w:val="00BC5340"/>
    <w:rsid w:val="00BC537F"/>
    <w:rsid w:val="00BC541D"/>
    <w:rsid w:val="00BC5676"/>
    <w:rsid w:val="00BC5A0F"/>
    <w:rsid w:val="00BC5C09"/>
    <w:rsid w:val="00BC6037"/>
    <w:rsid w:val="00BC610F"/>
    <w:rsid w:val="00BC6167"/>
    <w:rsid w:val="00BC629F"/>
    <w:rsid w:val="00BC6953"/>
    <w:rsid w:val="00BC6B4B"/>
    <w:rsid w:val="00BC6B4E"/>
    <w:rsid w:val="00BC6B50"/>
    <w:rsid w:val="00BC73B0"/>
    <w:rsid w:val="00BC77A3"/>
    <w:rsid w:val="00BC7879"/>
    <w:rsid w:val="00BC794A"/>
    <w:rsid w:val="00BC79B0"/>
    <w:rsid w:val="00BC7FFE"/>
    <w:rsid w:val="00BD009C"/>
    <w:rsid w:val="00BD02A5"/>
    <w:rsid w:val="00BD03C9"/>
    <w:rsid w:val="00BD0924"/>
    <w:rsid w:val="00BD0CC8"/>
    <w:rsid w:val="00BD0E69"/>
    <w:rsid w:val="00BD0F76"/>
    <w:rsid w:val="00BD0FE2"/>
    <w:rsid w:val="00BD117A"/>
    <w:rsid w:val="00BD1260"/>
    <w:rsid w:val="00BD135F"/>
    <w:rsid w:val="00BD1887"/>
    <w:rsid w:val="00BD199A"/>
    <w:rsid w:val="00BD1D0D"/>
    <w:rsid w:val="00BD1DBA"/>
    <w:rsid w:val="00BD1FD2"/>
    <w:rsid w:val="00BD22BB"/>
    <w:rsid w:val="00BD2513"/>
    <w:rsid w:val="00BD2582"/>
    <w:rsid w:val="00BD25F6"/>
    <w:rsid w:val="00BD2C39"/>
    <w:rsid w:val="00BD31C6"/>
    <w:rsid w:val="00BD32DF"/>
    <w:rsid w:val="00BD3430"/>
    <w:rsid w:val="00BD3727"/>
    <w:rsid w:val="00BD37B8"/>
    <w:rsid w:val="00BD3B31"/>
    <w:rsid w:val="00BD40BA"/>
    <w:rsid w:val="00BD415F"/>
    <w:rsid w:val="00BD45EE"/>
    <w:rsid w:val="00BD536D"/>
    <w:rsid w:val="00BD53EE"/>
    <w:rsid w:val="00BD55A0"/>
    <w:rsid w:val="00BD5812"/>
    <w:rsid w:val="00BD5AB6"/>
    <w:rsid w:val="00BD5B49"/>
    <w:rsid w:val="00BD5E51"/>
    <w:rsid w:val="00BD5E6B"/>
    <w:rsid w:val="00BD5EE4"/>
    <w:rsid w:val="00BD62EA"/>
    <w:rsid w:val="00BD67A5"/>
    <w:rsid w:val="00BD68AE"/>
    <w:rsid w:val="00BD6A09"/>
    <w:rsid w:val="00BD6CEF"/>
    <w:rsid w:val="00BD6D6D"/>
    <w:rsid w:val="00BD6F52"/>
    <w:rsid w:val="00BD707F"/>
    <w:rsid w:val="00BD7206"/>
    <w:rsid w:val="00BD7484"/>
    <w:rsid w:val="00BD7B04"/>
    <w:rsid w:val="00BD7C6B"/>
    <w:rsid w:val="00BD7CE6"/>
    <w:rsid w:val="00BD7D02"/>
    <w:rsid w:val="00BE02BD"/>
    <w:rsid w:val="00BE03AF"/>
    <w:rsid w:val="00BE03DD"/>
    <w:rsid w:val="00BE05A7"/>
    <w:rsid w:val="00BE0854"/>
    <w:rsid w:val="00BE11F3"/>
    <w:rsid w:val="00BE121A"/>
    <w:rsid w:val="00BE13B2"/>
    <w:rsid w:val="00BE1554"/>
    <w:rsid w:val="00BE176A"/>
    <w:rsid w:val="00BE1B66"/>
    <w:rsid w:val="00BE1F08"/>
    <w:rsid w:val="00BE2174"/>
    <w:rsid w:val="00BE2483"/>
    <w:rsid w:val="00BE24A8"/>
    <w:rsid w:val="00BE24DA"/>
    <w:rsid w:val="00BE28F3"/>
    <w:rsid w:val="00BE2BEC"/>
    <w:rsid w:val="00BE2D0D"/>
    <w:rsid w:val="00BE2E4B"/>
    <w:rsid w:val="00BE30C0"/>
    <w:rsid w:val="00BE3556"/>
    <w:rsid w:val="00BE38BF"/>
    <w:rsid w:val="00BE3E6B"/>
    <w:rsid w:val="00BE40F6"/>
    <w:rsid w:val="00BE42A1"/>
    <w:rsid w:val="00BE43CA"/>
    <w:rsid w:val="00BE4500"/>
    <w:rsid w:val="00BE4528"/>
    <w:rsid w:val="00BE457B"/>
    <w:rsid w:val="00BE46FD"/>
    <w:rsid w:val="00BE4842"/>
    <w:rsid w:val="00BE4DD3"/>
    <w:rsid w:val="00BE4DDA"/>
    <w:rsid w:val="00BE4EA8"/>
    <w:rsid w:val="00BE5028"/>
    <w:rsid w:val="00BE517A"/>
    <w:rsid w:val="00BE5461"/>
    <w:rsid w:val="00BE5AAC"/>
    <w:rsid w:val="00BE5C5F"/>
    <w:rsid w:val="00BE6AAD"/>
    <w:rsid w:val="00BE6D86"/>
    <w:rsid w:val="00BE6EA9"/>
    <w:rsid w:val="00BE6F0E"/>
    <w:rsid w:val="00BE6F66"/>
    <w:rsid w:val="00BE74A2"/>
    <w:rsid w:val="00BE77DE"/>
    <w:rsid w:val="00BE7BCA"/>
    <w:rsid w:val="00BE7CD5"/>
    <w:rsid w:val="00BF00CC"/>
    <w:rsid w:val="00BF0398"/>
    <w:rsid w:val="00BF089B"/>
    <w:rsid w:val="00BF0C58"/>
    <w:rsid w:val="00BF0CF9"/>
    <w:rsid w:val="00BF10EB"/>
    <w:rsid w:val="00BF116F"/>
    <w:rsid w:val="00BF12E4"/>
    <w:rsid w:val="00BF1462"/>
    <w:rsid w:val="00BF1576"/>
    <w:rsid w:val="00BF16F1"/>
    <w:rsid w:val="00BF19AF"/>
    <w:rsid w:val="00BF1B42"/>
    <w:rsid w:val="00BF1CBE"/>
    <w:rsid w:val="00BF1D68"/>
    <w:rsid w:val="00BF1EC7"/>
    <w:rsid w:val="00BF1FF4"/>
    <w:rsid w:val="00BF205A"/>
    <w:rsid w:val="00BF2A09"/>
    <w:rsid w:val="00BF2A9B"/>
    <w:rsid w:val="00BF2ABA"/>
    <w:rsid w:val="00BF2AE3"/>
    <w:rsid w:val="00BF2F26"/>
    <w:rsid w:val="00BF3588"/>
    <w:rsid w:val="00BF3815"/>
    <w:rsid w:val="00BF3993"/>
    <w:rsid w:val="00BF3DF6"/>
    <w:rsid w:val="00BF3F40"/>
    <w:rsid w:val="00BF4156"/>
    <w:rsid w:val="00BF4202"/>
    <w:rsid w:val="00BF451D"/>
    <w:rsid w:val="00BF453E"/>
    <w:rsid w:val="00BF459D"/>
    <w:rsid w:val="00BF4685"/>
    <w:rsid w:val="00BF46FF"/>
    <w:rsid w:val="00BF4867"/>
    <w:rsid w:val="00BF48A0"/>
    <w:rsid w:val="00BF495F"/>
    <w:rsid w:val="00BF4AFC"/>
    <w:rsid w:val="00BF4CB1"/>
    <w:rsid w:val="00BF52DC"/>
    <w:rsid w:val="00BF531C"/>
    <w:rsid w:val="00BF56FB"/>
    <w:rsid w:val="00BF6068"/>
    <w:rsid w:val="00BF61E4"/>
    <w:rsid w:val="00BF665F"/>
    <w:rsid w:val="00BF66FB"/>
    <w:rsid w:val="00BF6C08"/>
    <w:rsid w:val="00BF6E61"/>
    <w:rsid w:val="00BF6E99"/>
    <w:rsid w:val="00BF6FB1"/>
    <w:rsid w:val="00BF70F0"/>
    <w:rsid w:val="00BF731E"/>
    <w:rsid w:val="00BF7435"/>
    <w:rsid w:val="00BF78D7"/>
    <w:rsid w:val="00BF7A91"/>
    <w:rsid w:val="00BF7B8A"/>
    <w:rsid w:val="00BF7F24"/>
    <w:rsid w:val="00C003DB"/>
    <w:rsid w:val="00C00573"/>
    <w:rsid w:val="00C007E4"/>
    <w:rsid w:val="00C010E5"/>
    <w:rsid w:val="00C014BE"/>
    <w:rsid w:val="00C01A92"/>
    <w:rsid w:val="00C025AC"/>
    <w:rsid w:val="00C0272F"/>
    <w:rsid w:val="00C02DF8"/>
    <w:rsid w:val="00C02F7D"/>
    <w:rsid w:val="00C03AFD"/>
    <w:rsid w:val="00C03CF4"/>
    <w:rsid w:val="00C03E04"/>
    <w:rsid w:val="00C03FE4"/>
    <w:rsid w:val="00C040D7"/>
    <w:rsid w:val="00C04362"/>
    <w:rsid w:val="00C043AE"/>
    <w:rsid w:val="00C043B3"/>
    <w:rsid w:val="00C04410"/>
    <w:rsid w:val="00C04439"/>
    <w:rsid w:val="00C0464B"/>
    <w:rsid w:val="00C0484F"/>
    <w:rsid w:val="00C04CB3"/>
    <w:rsid w:val="00C04EE6"/>
    <w:rsid w:val="00C04F11"/>
    <w:rsid w:val="00C060AA"/>
    <w:rsid w:val="00C06111"/>
    <w:rsid w:val="00C06374"/>
    <w:rsid w:val="00C063F6"/>
    <w:rsid w:val="00C064D1"/>
    <w:rsid w:val="00C065B3"/>
    <w:rsid w:val="00C06A8B"/>
    <w:rsid w:val="00C06B0A"/>
    <w:rsid w:val="00C06C72"/>
    <w:rsid w:val="00C06E3D"/>
    <w:rsid w:val="00C06EED"/>
    <w:rsid w:val="00C07355"/>
    <w:rsid w:val="00C0737B"/>
    <w:rsid w:val="00C0788A"/>
    <w:rsid w:val="00C079E7"/>
    <w:rsid w:val="00C07A94"/>
    <w:rsid w:val="00C07E33"/>
    <w:rsid w:val="00C07F8F"/>
    <w:rsid w:val="00C1019D"/>
    <w:rsid w:val="00C101B1"/>
    <w:rsid w:val="00C10503"/>
    <w:rsid w:val="00C1086E"/>
    <w:rsid w:val="00C10929"/>
    <w:rsid w:val="00C10B96"/>
    <w:rsid w:val="00C10C03"/>
    <w:rsid w:val="00C110AF"/>
    <w:rsid w:val="00C11289"/>
    <w:rsid w:val="00C1167D"/>
    <w:rsid w:val="00C116C2"/>
    <w:rsid w:val="00C11909"/>
    <w:rsid w:val="00C11912"/>
    <w:rsid w:val="00C11A7B"/>
    <w:rsid w:val="00C11C05"/>
    <w:rsid w:val="00C1214B"/>
    <w:rsid w:val="00C1226B"/>
    <w:rsid w:val="00C123EB"/>
    <w:rsid w:val="00C123EC"/>
    <w:rsid w:val="00C125FA"/>
    <w:rsid w:val="00C12943"/>
    <w:rsid w:val="00C12A5C"/>
    <w:rsid w:val="00C12C89"/>
    <w:rsid w:val="00C12EDD"/>
    <w:rsid w:val="00C12FF0"/>
    <w:rsid w:val="00C13072"/>
    <w:rsid w:val="00C13491"/>
    <w:rsid w:val="00C13B7C"/>
    <w:rsid w:val="00C13FB9"/>
    <w:rsid w:val="00C141E9"/>
    <w:rsid w:val="00C14777"/>
    <w:rsid w:val="00C14906"/>
    <w:rsid w:val="00C14B85"/>
    <w:rsid w:val="00C14D4D"/>
    <w:rsid w:val="00C14D7C"/>
    <w:rsid w:val="00C14EA2"/>
    <w:rsid w:val="00C14EA8"/>
    <w:rsid w:val="00C14F79"/>
    <w:rsid w:val="00C15026"/>
    <w:rsid w:val="00C151B4"/>
    <w:rsid w:val="00C154F5"/>
    <w:rsid w:val="00C15BAE"/>
    <w:rsid w:val="00C15BEF"/>
    <w:rsid w:val="00C15C0A"/>
    <w:rsid w:val="00C15F2C"/>
    <w:rsid w:val="00C16221"/>
    <w:rsid w:val="00C164EF"/>
    <w:rsid w:val="00C16605"/>
    <w:rsid w:val="00C16695"/>
    <w:rsid w:val="00C16894"/>
    <w:rsid w:val="00C16C6C"/>
    <w:rsid w:val="00C16CC0"/>
    <w:rsid w:val="00C16D80"/>
    <w:rsid w:val="00C1706B"/>
    <w:rsid w:val="00C17396"/>
    <w:rsid w:val="00C175D2"/>
    <w:rsid w:val="00C177EE"/>
    <w:rsid w:val="00C17F02"/>
    <w:rsid w:val="00C2006A"/>
    <w:rsid w:val="00C2040B"/>
    <w:rsid w:val="00C20612"/>
    <w:rsid w:val="00C2094A"/>
    <w:rsid w:val="00C20BA1"/>
    <w:rsid w:val="00C20C09"/>
    <w:rsid w:val="00C20C3E"/>
    <w:rsid w:val="00C211E9"/>
    <w:rsid w:val="00C21396"/>
    <w:rsid w:val="00C21940"/>
    <w:rsid w:val="00C21B0D"/>
    <w:rsid w:val="00C21FEA"/>
    <w:rsid w:val="00C22098"/>
    <w:rsid w:val="00C22926"/>
    <w:rsid w:val="00C229AF"/>
    <w:rsid w:val="00C22A0F"/>
    <w:rsid w:val="00C22C6F"/>
    <w:rsid w:val="00C22DBE"/>
    <w:rsid w:val="00C232F8"/>
    <w:rsid w:val="00C2349C"/>
    <w:rsid w:val="00C23508"/>
    <w:rsid w:val="00C23A7B"/>
    <w:rsid w:val="00C23B07"/>
    <w:rsid w:val="00C23C7B"/>
    <w:rsid w:val="00C24381"/>
    <w:rsid w:val="00C24FD6"/>
    <w:rsid w:val="00C25221"/>
    <w:rsid w:val="00C254D7"/>
    <w:rsid w:val="00C2554D"/>
    <w:rsid w:val="00C2562C"/>
    <w:rsid w:val="00C2563A"/>
    <w:rsid w:val="00C259F3"/>
    <w:rsid w:val="00C25A1B"/>
    <w:rsid w:val="00C25B5B"/>
    <w:rsid w:val="00C25FBC"/>
    <w:rsid w:val="00C261B1"/>
    <w:rsid w:val="00C26593"/>
    <w:rsid w:val="00C267A2"/>
    <w:rsid w:val="00C26D6C"/>
    <w:rsid w:val="00C26FC6"/>
    <w:rsid w:val="00C27031"/>
    <w:rsid w:val="00C272BE"/>
    <w:rsid w:val="00C27392"/>
    <w:rsid w:val="00C274FE"/>
    <w:rsid w:val="00C278E5"/>
    <w:rsid w:val="00C27B1C"/>
    <w:rsid w:val="00C27C55"/>
    <w:rsid w:val="00C30061"/>
    <w:rsid w:val="00C3007B"/>
    <w:rsid w:val="00C3018D"/>
    <w:rsid w:val="00C3056B"/>
    <w:rsid w:val="00C30603"/>
    <w:rsid w:val="00C306BF"/>
    <w:rsid w:val="00C3070A"/>
    <w:rsid w:val="00C308A2"/>
    <w:rsid w:val="00C30B51"/>
    <w:rsid w:val="00C30DA3"/>
    <w:rsid w:val="00C30EDE"/>
    <w:rsid w:val="00C30FB1"/>
    <w:rsid w:val="00C3148B"/>
    <w:rsid w:val="00C31691"/>
    <w:rsid w:val="00C31922"/>
    <w:rsid w:val="00C319E5"/>
    <w:rsid w:val="00C31ACF"/>
    <w:rsid w:val="00C31E01"/>
    <w:rsid w:val="00C3202C"/>
    <w:rsid w:val="00C32151"/>
    <w:rsid w:val="00C321A5"/>
    <w:rsid w:val="00C322DF"/>
    <w:rsid w:val="00C32737"/>
    <w:rsid w:val="00C32759"/>
    <w:rsid w:val="00C32975"/>
    <w:rsid w:val="00C32AD6"/>
    <w:rsid w:val="00C33038"/>
    <w:rsid w:val="00C330CF"/>
    <w:rsid w:val="00C332D6"/>
    <w:rsid w:val="00C33356"/>
    <w:rsid w:val="00C3348A"/>
    <w:rsid w:val="00C338FA"/>
    <w:rsid w:val="00C33AFE"/>
    <w:rsid w:val="00C33F8E"/>
    <w:rsid w:val="00C33FCF"/>
    <w:rsid w:val="00C3413E"/>
    <w:rsid w:val="00C34497"/>
    <w:rsid w:val="00C34532"/>
    <w:rsid w:val="00C348BD"/>
    <w:rsid w:val="00C34CF2"/>
    <w:rsid w:val="00C34D13"/>
    <w:rsid w:val="00C34DFC"/>
    <w:rsid w:val="00C34E23"/>
    <w:rsid w:val="00C34EC3"/>
    <w:rsid w:val="00C34EFB"/>
    <w:rsid w:val="00C35845"/>
    <w:rsid w:val="00C35B55"/>
    <w:rsid w:val="00C36306"/>
    <w:rsid w:val="00C3648B"/>
    <w:rsid w:val="00C36715"/>
    <w:rsid w:val="00C36961"/>
    <w:rsid w:val="00C36D5E"/>
    <w:rsid w:val="00C36D64"/>
    <w:rsid w:val="00C36FF8"/>
    <w:rsid w:val="00C372D2"/>
    <w:rsid w:val="00C376F4"/>
    <w:rsid w:val="00C37747"/>
    <w:rsid w:val="00C3789D"/>
    <w:rsid w:val="00C37C2B"/>
    <w:rsid w:val="00C37C8C"/>
    <w:rsid w:val="00C37EBE"/>
    <w:rsid w:val="00C40392"/>
    <w:rsid w:val="00C403C0"/>
    <w:rsid w:val="00C40BB9"/>
    <w:rsid w:val="00C40BE9"/>
    <w:rsid w:val="00C40CE2"/>
    <w:rsid w:val="00C40F28"/>
    <w:rsid w:val="00C40F33"/>
    <w:rsid w:val="00C4118C"/>
    <w:rsid w:val="00C41424"/>
    <w:rsid w:val="00C414F0"/>
    <w:rsid w:val="00C414FF"/>
    <w:rsid w:val="00C41725"/>
    <w:rsid w:val="00C41EB1"/>
    <w:rsid w:val="00C42080"/>
    <w:rsid w:val="00C42310"/>
    <w:rsid w:val="00C42577"/>
    <w:rsid w:val="00C42908"/>
    <w:rsid w:val="00C42AA3"/>
    <w:rsid w:val="00C42B63"/>
    <w:rsid w:val="00C42C78"/>
    <w:rsid w:val="00C42FB0"/>
    <w:rsid w:val="00C43603"/>
    <w:rsid w:val="00C43642"/>
    <w:rsid w:val="00C43763"/>
    <w:rsid w:val="00C4394B"/>
    <w:rsid w:val="00C43E45"/>
    <w:rsid w:val="00C44264"/>
    <w:rsid w:val="00C44910"/>
    <w:rsid w:val="00C44914"/>
    <w:rsid w:val="00C44A45"/>
    <w:rsid w:val="00C44AE0"/>
    <w:rsid w:val="00C44B25"/>
    <w:rsid w:val="00C44B81"/>
    <w:rsid w:val="00C44F2F"/>
    <w:rsid w:val="00C4583D"/>
    <w:rsid w:val="00C45967"/>
    <w:rsid w:val="00C45B53"/>
    <w:rsid w:val="00C465D9"/>
    <w:rsid w:val="00C4662E"/>
    <w:rsid w:val="00C466F7"/>
    <w:rsid w:val="00C467CB"/>
    <w:rsid w:val="00C46A37"/>
    <w:rsid w:val="00C46B00"/>
    <w:rsid w:val="00C46B65"/>
    <w:rsid w:val="00C46E8C"/>
    <w:rsid w:val="00C47257"/>
    <w:rsid w:val="00C474F4"/>
    <w:rsid w:val="00C47667"/>
    <w:rsid w:val="00C476D6"/>
    <w:rsid w:val="00C4791C"/>
    <w:rsid w:val="00C47B34"/>
    <w:rsid w:val="00C47D33"/>
    <w:rsid w:val="00C5005C"/>
    <w:rsid w:val="00C5026E"/>
    <w:rsid w:val="00C5033B"/>
    <w:rsid w:val="00C5044C"/>
    <w:rsid w:val="00C50586"/>
    <w:rsid w:val="00C506E0"/>
    <w:rsid w:val="00C50875"/>
    <w:rsid w:val="00C50897"/>
    <w:rsid w:val="00C50CF2"/>
    <w:rsid w:val="00C510C3"/>
    <w:rsid w:val="00C5119E"/>
    <w:rsid w:val="00C511B5"/>
    <w:rsid w:val="00C513C8"/>
    <w:rsid w:val="00C5186E"/>
    <w:rsid w:val="00C51ABF"/>
    <w:rsid w:val="00C51C55"/>
    <w:rsid w:val="00C51D16"/>
    <w:rsid w:val="00C5209B"/>
    <w:rsid w:val="00C52346"/>
    <w:rsid w:val="00C523ED"/>
    <w:rsid w:val="00C52674"/>
    <w:rsid w:val="00C526C2"/>
    <w:rsid w:val="00C52A2D"/>
    <w:rsid w:val="00C52A86"/>
    <w:rsid w:val="00C52C35"/>
    <w:rsid w:val="00C52E87"/>
    <w:rsid w:val="00C53203"/>
    <w:rsid w:val="00C53206"/>
    <w:rsid w:val="00C533D2"/>
    <w:rsid w:val="00C533EC"/>
    <w:rsid w:val="00C53825"/>
    <w:rsid w:val="00C5390C"/>
    <w:rsid w:val="00C53B12"/>
    <w:rsid w:val="00C53D50"/>
    <w:rsid w:val="00C541FC"/>
    <w:rsid w:val="00C5428E"/>
    <w:rsid w:val="00C545C8"/>
    <w:rsid w:val="00C54639"/>
    <w:rsid w:val="00C546B9"/>
    <w:rsid w:val="00C54715"/>
    <w:rsid w:val="00C548B2"/>
    <w:rsid w:val="00C54A96"/>
    <w:rsid w:val="00C550B1"/>
    <w:rsid w:val="00C552C0"/>
    <w:rsid w:val="00C559FD"/>
    <w:rsid w:val="00C560E4"/>
    <w:rsid w:val="00C563BF"/>
    <w:rsid w:val="00C56522"/>
    <w:rsid w:val="00C56632"/>
    <w:rsid w:val="00C56C63"/>
    <w:rsid w:val="00C56E55"/>
    <w:rsid w:val="00C56F04"/>
    <w:rsid w:val="00C57073"/>
    <w:rsid w:val="00C5747B"/>
    <w:rsid w:val="00C574B2"/>
    <w:rsid w:val="00C574CA"/>
    <w:rsid w:val="00C574F8"/>
    <w:rsid w:val="00C575C5"/>
    <w:rsid w:val="00C579B2"/>
    <w:rsid w:val="00C57AF4"/>
    <w:rsid w:val="00C57BEB"/>
    <w:rsid w:val="00C57C6A"/>
    <w:rsid w:val="00C57CE7"/>
    <w:rsid w:val="00C57DEA"/>
    <w:rsid w:val="00C602D9"/>
    <w:rsid w:val="00C604F3"/>
    <w:rsid w:val="00C607B5"/>
    <w:rsid w:val="00C60B93"/>
    <w:rsid w:val="00C60E46"/>
    <w:rsid w:val="00C60F77"/>
    <w:rsid w:val="00C6108D"/>
    <w:rsid w:val="00C6119E"/>
    <w:rsid w:val="00C612AB"/>
    <w:rsid w:val="00C612F4"/>
    <w:rsid w:val="00C6151A"/>
    <w:rsid w:val="00C6157C"/>
    <w:rsid w:val="00C617B3"/>
    <w:rsid w:val="00C6195F"/>
    <w:rsid w:val="00C62009"/>
    <w:rsid w:val="00C622BD"/>
    <w:rsid w:val="00C623B8"/>
    <w:rsid w:val="00C623EA"/>
    <w:rsid w:val="00C625EF"/>
    <w:rsid w:val="00C62665"/>
    <w:rsid w:val="00C6268F"/>
    <w:rsid w:val="00C62F18"/>
    <w:rsid w:val="00C62F50"/>
    <w:rsid w:val="00C62FFE"/>
    <w:rsid w:val="00C63021"/>
    <w:rsid w:val="00C6336D"/>
    <w:rsid w:val="00C6345B"/>
    <w:rsid w:val="00C634A6"/>
    <w:rsid w:val="00C6353A"/>
    <w:rsid w:val="00C63683"/>
    <w:rsid w:val="00C638C3"/>
    <w:rsid w:val="00C63F90"/>
    <w:rsid w:val="00C63FF8"/>
    <w:rsid w:val="00C64299"/>
    <w:rsid w:val="00C645C4"/>
    <w:rsid w:val="00C64629"/>
    <w:rsid w:val="00C649A6"/>
    <w:rsid w:val="00C64D50"/>
    <w:rsid w:val="00C64E1C"/>
    <w:rsid w:val="00C64FEA"/>
    <w:rsid w:val="00C65504"/>
    <w:rsid w:val="00C6594E"/>
    <w:rsid w:val="00C65D27"/>
    <w:rsid w:val="00C65E3A"/>
    <w:rsid w:val="00C65FC8"/>
    <w:rsid w:val="00C6634C"/>
    <w:rsid w:val="00C66368"/>
    <w:rsid w:val="00C6638F"/>
    <w:rsid w:val="00C66679"/>
    <w:rsid w:val="00C666C9"/>
    <w:rsid w:val="00C66702"/>
    <w:rsid w:val="00C66C8A"/>
    <w:rsid w:val="00C66DEE"/>
    <w:rsid w:val="00C66E3F"/>
    <w:rsid w:val="00C670E7"/>
    <w:rsid w:val="00C67331"/>
    <w:rsid w:val="00C67A2F"/>
    <w:rsid w:val="00C67CE5"/>
    <w:rsid w:val="00C67E4A"/>
    <w:rsid w:val="00C67EEF"/>
    <w:rsid w:val="00C7008B"/>
    <w:rsid w:val="00C702AC"/>
    <w:rsid w:val="00C703EA"/>
    <w:rsid w:val="00C70570"/>
    <w:rsid w:val="00C705ED"/>
    <w:rsid w:val="00C70632"/>
    <w:rsid w:val="00C7072D"/>
    <w:rsid w:val="00C707A2"/>
    <w:rsid w:val="00C7096B"/>
    <w:rsid w:val="00C7105A"/>
    <w:rsid w:val="00C71391"/>
    <w:rsid w:val="00C713F6"/>
    <w:rsid w:val="00C71480"/>
    <w:rsid w:val="00C715D6"/>
    <w:rsid w:val="00C71718"/>
    <w:rsid w:val="00C71909"/>
    <w:rsid w:val="00C719C0"/>
    <w:rsid w:val="00C719C4"/>
    <w:rsid w:val="00C71C56"/>
    <w:rsid w:val="00C71E09"/>
    <w:rsid w:val="00C71EEE"/>
    <w:rsid w:val="00C71F55"/>
    <w:rsid w:val="00C73183"/>
    <w:rsid w:val="00C7323B"/>
    <w:rsid w:val="00C734DC"/>
    <w:rsid w:val="00C73640"/>
    <w:rsid w:val="00C73766"/>
    <w:rsid w:val="00C738D4"/>
    <w:rsid w:val="00C73A9C"/>
    <w:rsid w:val="00C73FA4"/>
    <w:rsid w:val="00C74253"/>
    <w:rsid w:val="00C74548"/>
    <w:rsid w:val="00C74881"/>
    <w:rsid w:val="00C74951"/>
    <w:rsid w:val="00C74FC0"/>
    <w:rsid w:val="00C75007"/>
    <w:rsid w:val="00C755CD"/>
    <w:rsid w:val="00C75737"/>
    <w:rsid w:val="00C75862"/>
    <w:rsid w:val="00C758E4"/>
    <w:rsid w:val="00C759BE"/>
    <w:rsid w:val="00C75BCE"/>
    <w:rsid w:val="00C75EA7"/>
    <w:rsid w:val="00C7615E"/>
    <w:rsid w:val="00C76515"/>
    <w:rsid w:val="00C767F6"/>
    <w:rsid w:val="00C768AF"/>
    <w:rsid w:val="00C76DF0"/>
    <w:rsid w:val="00C770AF"/>
    <w:rsid w:val="00C7711F"/>
    <w:rsid w:val="00C77144"/>
    <w:rsid w:val="00C778C9"/>
    <w:rsid w:val="00C7795A"/>
    <w:rsid w:val="00C77E04"/>
    <w:rsid w:val="00C80298"/>
    <w:rsid w:val="00C80A76"/>
    <w:rsid w:val="00C80DBA"/>
    <w:rsid w:val="00C81557"/>
    <w:rsid w:val="00C81624"/>
    <w:rsid w:val="00C81A01"/>
    <w:rsid w:val="00C81A05"/>
    <w:rsid w:val="00C81A2B"/>
    <w:rsid w:val="00C81D45"/>
    <w:rsid w:val="00C81E6F"/>
    <w:rsid w:val="00C81EB2"/>
    <w:rsid w:val="00C822CB"/>
    <w:rsid w:val="00C824EE"/>
    <w:rsid w:val="00C82597"/>
    <w:rsid w:val="00C831BF"/>
    <w:rsid w:val="00C834AA"/>
    <w:rsid w:val="00C834E0"/>
    <w:rsid w:val="00C83724"/>
    <w:rsid w:val="00C83AD9"/>
    <w:rsid w:val="00C83C22"/>
    <w:rsid w:val="00C83EC9"/>
    <w:rsid w:val="00C84053"/>
    <w:rsid w:val="00C84122"/>
    <w:rsid w:val="00C84160"/>
    <w:rsid w:val="00C84443"/>
    <w:rsid w:val="00C84504"/>
    <w:rsid w:val="00C8457F"/>
    <w:rsid w:val="00C845BF"/>
    <w:rsid w:val="00C84A53"/>
    <w:rsid w:val="00C84BF6"/>
    <w:rsid w:val="00C84C1D"/>
    <w:rsid w:val="00C84CAF"/>
    <w:rsid w:val="00C84EDF"/>
    <w:rsid w:val="00C85014"/>
    <w:rsid w:val="00C85159"/>
    <w:rsid w:val="00C855AB"/>
    <w:rsid w:val="00C857AE"/>
    <w:rsid w:val="00C8586A"/>
    <w:rsid w:val="00C85BA4"/>
    <w:rsid w:val="00C85C21"/>
    <w:rsid w:val="00C85D08"/>
    <w:rsid w:val="00C85EF7"/>
    <w:rsid w:val="00C8621C"/>
    <w:rsid w:val="00C86354"/>
    <w:rsid w:val="00C8636F"/>
    <w:rsid w:val="00C86550"/>
    <w:rsid w:val="00C86789"/>
    <w:rsid w:val="00C868A4"/>
    <w:rsid w:val="00C86930"/>
    <w:rsid w:val="00C86C17"/>
    <w:rsid w:val="00C86CF3"/>
    <w:rsid w:val="00C86D38"/>
    <w:rsid w:val="00C86EDF"/>
    <w:rsid w:val="00C86F18"/>
    <w:rsid w:val="00C8718F"/>
    <w:rsid w:val="00C87444"/>
    <w:rsid w:val="00C87B47"/>
    <w:rsid w:val="00C87F5C"/>
    <w:rsid w:val="00C902D6"/>
    <w:rsid w:val="00C90433"/>
    <w:rsid w:val="00C90564"/>
    <w:rsid w:val="00C90A85"/>
    <w:rsid w:val="00C90F2F"/>
    <w:rsid w:val="00C91033"/>
    <w:rsid w:val="00C9104A"/>
    <w:rsid w:val="00C911B6"/>
    <w:rsid w:val="00C9147E"/>
    <w:rsid w:val="00C917D9"/>
    <w:rsid w:val="00C917FE"/>
    <w:rsid w:val="00C91A2E"/>
    <w:rsid w:val="00C91D34"/>
    <w:rsid w:val="00C921DB"/>
    <w:rsid w:val="00C92448"/>
    <w:rsid w:val="00C928A5"/>
    <w:rsid w:val="00C92B6B"/>
    <w:rsid w:val="00C92F26"/>
    <w:rsid w:val="00C930AB"/>
    <w:rsid w:val="00C93406"/>
    <w:rsid w:val="00C9373C"/>
    <w:rsid w:val="00C938AB"/>
    <w:rsid w:val="00C938E4"/>
    <w:rsid w:val="00C93904"/>
    <w:rsid w:val="00C93E70"/>
    <w:rsid w:val="00C94317"/>
    <w:rsid w:val="00C946D0"/>
    <w:rsid w:val="00C94828"/>
    <w:rsid w:val="00C94904"/>
    <w:rsid w:val="00C94BD4"/>
    <w:rsid w:val="00C954E8"/>
    <w:rsid w:val="00C955F5"/>
    <w:rsid w:val="00C95867"/>
    <w:rsid w:val="00C95905"/>
    <w:rsid w:val="00C95A10"/>
    <w:rsid w:val="00C95AE2"/>
    <w:rsid w:val="00C96398"/>
    <w:rsid w:val="00C9641B"/>
    <w:rsid w:val="00C965A2"/>
    <w:rsid w:val="00C96732"/>
    <w:rsid w:val="00C96819"/>
    <w:rsid w:val="00C9698C"/>
    <w:rsid w:val="00C96AD8"/>
    <w:rsid w:val="00C96DDD"/>
    <w:rsid w:val="00C96E83"/>
    <w:rsid w:val="00C97013"/>
    <w:rsid w:val="00C97236"/>
    <w:rsid w:val="00C97302"/>
    <w:rsid w:val="00C976DD"/>
    <w:rsid w:val="00C977A2"/>
    <w:rsid w:val="00C978C0"/>
    <w:rsid w:val="00C97943"/>
    <w:rsid w:val="00C97A9C"/>
    <w:rsid w:val="00C97BBC"/>
    <w:rsid w:val="00C97C90"/>
    <w:rsid w:val="00C97CB0"/>
    <w:rsid w:val="00C97EC6"/>
    <w:rsid w:val="00CA012E"/>
    <w:rsid w:val="00CA023C"/>
    <w:rsid w:val="00CA07C9"/>
    <w:rsid w:val="00CA0ADA"/>
    <w:rsid w:val="00CA0C76"/>
    <w:rsid w:val="00CA0CEE"/>
    <w:rsid w:val="00CA0E5B"/>
    <w:rsid w:val="00CA12E4"/>
    <w:rsid w:val="00CA196C"/>
    <w:rsid w:val="00CA1AEE"/>
    <w:rsid w:val="00CA1D6E"/>
    <w:rsid w:val="00CA1D94"/>
    <w:rsid w:val="00CA1E2A"/>
    <w:rsid w:val="00CA1F3B"/>
    <w:rsid w:val="00CA1FFC"/>
    <w:rsid w:val="00CA23A0"/>
    <w:rsid w:val="00CA244D"/>
    <w:rsid w:val="00CA2740"/>
    <w:rsid w:val="00CA2893"/>
    <w:rsid w:val="00CA28FF"/>
    <w:rsid w:val="00CA29FF"/>
    <w:rsid w:val="00CA2A19"/>
    <w:rsid w:val="00CA2BD2"/>
    <w:rsid w:val="00CA2D96"/>
    <w:rsid w:val="00CA2EAE"/>
    <w:rsid w:val="00CA2EF8"/>
    <w:rsid w:val="00CA3126"/>
    <w:rsid w:val="00CA3313"/>
    <w:rsid w:val="00CA33FC"/>
    <w:rsid w:val="00CA3E73"/>
    <w:rsid w:val="00CA3EF1"/>
    <w:rsid w:val="00CA421C"/>
    <w:rsid w:val="00CA4318"/>
    <w:rsid w:val="00CA4473"/>
    <w:rsid w:val="00CA44D0"/>
    <w:rsid w:val="00CA471D"/>
    <w:rsid w:val="00CA492F"/>
    <w:rsid w:val="00CA4B07"/>
    <w:rsid w:val="00CA4B9F"/>
    <w:rsid w:val="00CA4C1E"/>
    <w:rsid w:val="00CA4DF9"/>
    <w:rsid w:val="00CA4E02"/>
    <w:rsid w:val="00CA4F78"/>
    <w:rsid w:val="00CA5166"/>
    <w:rsid w:val="00CA5356"/>
    <w:rsid w:val="00CA54C1"/>
    <w:rsid w:val="00CA5536"/>
    <w:rsid w:val="00CA557A"/>
    <w:rsid w:val="00CA55B0"/>
    <w:rsid w:val="00CA584C"/>
    <w:rsid w:val="00CA58B1"/>
    <w:rsid w:val="00CA5B36"/>
    <w:rsid w:val="00CA5C30"/>
    <w:rsid w:val="00CA5D04"/>
    <w:rsid w:val="00CA6054"/>
    <w:rsid w:val="00CA6118"/>
    <w:rsid w:val="00CA61D6"/>
    <w:rsid w:val="00CA6295"/>
    <w:rsid w:val="00CA6608"/>
    <w:rsid w:val="00CA6722"/>
    <w:rsid w:val="00CA6A81"/>
    <w:rsid w:val="00CA6AFE"/>
    <w:rsid w:val="00CA6B26"/>
    <w:rsid w:val="00CA736E"/>
    <w:rsid w:val="00CA7474"/>
    <w:rsid w:val="00CA754D"/>
    <w:rsid w:val="00CA79D4"/>
    <w:rsid w:val="00CA7CD2"/>
    <w:rsid w:val="00CA7F8E"/>
    <w:rsid w:val="00CB0238"/>
    <w:rsid w:val="00CB03DB"/>
    <w:rsid w:val="00CB0441"/>
    <w:rsid w:val="00CB06EF"/>
    <w:rsid w:val="00CB0759"/>
    <w:rsid w:val="00CB08DD"/>
    <w:rsid w:val="00CB0C8D"/>
    <w:rsid w:val="00CB0CA8"/>
    <w:rsid w:val="00CB0D58"/>
    <w:rsid w:val="00CB0F6C"/>
    <w:rsid w:val="00CB123D"/>
    <w:rsid w:val="00CB1499"/>
    <w:rsid w:val="00CB1570"/>
    <w:rsid w:val="00CB15CC"/>
    <w:rsid w:val="00CB1818"/>
    <w:rsid w:val="00CB19E4"/>
    <w:rsid w:val="00CB1A2C"/>
    <w:rsid w:val="00CB1B3C"/>
    <w:rsid w:val="00CB1D4A"/>
    <w:rsid w:val="00CB1DA1"/>
    <w:rsid w:val="00CB1DBB"/>
    <w:rsid w:val="00CB1EA2"/>
    <w:rsid w:val="00CB1FA7"/>
    <w:rsid w:val="00CB20B5"/>
    <w:rsid w:val="00CB238B"/>
    <w:rsid w:val="00CB2686"/>
    <w:rsid w:val="00CB2690"/>
    <w:rsid w:val="00CB273B"/>
    <w:rsid w:val="00CB2990"/>
    <w:rsid w:val="00CB29FE"/>
    <w:rsid w:val="00CB2CD2"/>
    <w:rsid w:val="00CB2DB2"/>
    <w:rsid w:val="00CB2EBF"/>
    <w:rsid w:val="00CB326A"/>
    <w:rsid w:val="00CB3324"/>
    <w:rsid w:val="00CB3801"/>
    <w:rsid w:val="00CB3B07"/>
    <w:rsid w:val="00CB3EE5"/>
    <w:rsid w:val="00CB3F96"/>
    <w:rsid w:val="00CB4183"/>
    <w:rsid w:val="00CB41C7"/>
    <w:rsid w:val="00CB41D0"/>
    <w:rsid w:val="00CB4378"/>
    <w:rsid w:val="00CB47D2"/>
    <w:rsid w:val="00CB4BC9"/>
    <w:rsid w:val="00CB4FAB"/>
    <w:rsid w:val="00CB5152"/>
    <w:rsid w:val="00CB5436"/>
    <w:rsid w:val="00CB588C"/>
    <w:rsid w:val="00CB58DE"/>
    <w:rsid w:val="00CB5B34"/>
    <w:rsid w:val="00CB5CF9"/>
    <w:rsid w:val="00CB5E2B"/>
    <w:rsid w:val="00CB5ED5"/>
    <w:rsid w:val="00CB5FC0"/>
    <w:rsid w:val="00CB60ED"/>
    <w:rsid w:val="00CB6479"/>
    <w:rsid w:val="00CB6573"/>
    <w:rsid w:val="00CB65D8"/>
    <w:rsid w:val="00CB6602"/>
    <w:rsid w:val="00CB6855"/>
    <w:rsid w:val="00CB687E"/>
    <w:rsid w:val="00CB6964"/>
    <w:rsid w:val="00CB6AFD"/>
    <w:rsid w:val="00CB6C1E"/>
    <w:rsid w:val="00CB6DB7"/>
    <w:rsid w:val="00CB6FA6"/>
    <w:rsid w:val="00CB7730"/>
    <w:rsid w:val="00CB7906"/>
    <w:rsid w:val="00CB7D4F"/>
    <w:rsid w:val="00CB7EF5"/>
    <w:rsid w:val="00CC00C4"/>
    <w:rsid w:val="00CC015E"/>
    <w:rsid w:val="00CC0384"/>
    <w:rsid w:val="00CC03C8"/>
    <w:rsid w:val="00CC05C0"/>
    <w:rsid w:val="00CC07D7"/>
    <w:rsid w:val="00CC0969"/>
    <w:rsid w:val="00CC0BF4"/>
    <w:rsid w:val="00CC0F0D"/>
    <w:rsid w:val="00CC0F9B"/>
    <w:rsid w:val="00CC1413"/>
    <w:rsid w:val="00CC1669"/>
    <w:rsid w:val="00CC184A"/>
    <w:rsid w:val="00CC1B50"/>
    <w:rsid w:val="00CC1B77"/>
    <w:rsid w:val="00CC1CAC"/>
    <w:rsid w:val="00CC1CC7"/>
    <w:rsid w:val="00CC1E58"/>
    <w:rsid w:val="00CC20E4"/>
    <w:rsid w:val="00CC2172"/>
    <w:rsid w:val="00CC24A3"/>
    <w:rsid w:val="00CC28A7"/>
    <w:rsid w:val="00CC2AAD"/>
    <w:rsid w:val="00CC2F9C"/>
    <w:rsid w:val="00CC3153"/>
    <w:rsid w:val="00CC352A"/>
    <w:rsid w:val="00CC3796"/>
    <w:rsid w:val="00CC3BB3"/>
    <w:rsid w:val="00CC3F99"/>
    <w:rsid w:val="00CC4354"/>
    <w:rsid w:val="00CC482E"/>
    <w:rsid w:val="00CC49F6"/>
    <w:rsid w:val="00CC4DD7"/>
    <w:rsid w:val="00CC4E2F"/>
    <w:rsid w:val="00CC5037"/>
    <w:rsid w:val="00CC5120"/>
    <w:rsid w:val="00CC5347"/>
    <w:rsid w:val="00CC535A"/>
    <w:rsid w:val="00CC5440"/>
    <w:rsid w:val="00CC56AC"/>
    <w:rsid w:val="00CC582A"/>
    <w:rsid w:val="00CC58D4"/>
    <w:rsid w:val="00CC5954"/>
    <w:rsid w:val="00CC59C0"/>
    <w:rsid w:val="00CC5A6F"/>
    <w:rsid w:val="00CC5C60"/>
    <w:rsid w:val="00CC5D8C"/>
    <w:rsid w:val="00CC5F52"/>
    <w:rsid w:val="00CC60D5"/>
    <w:rsid w:val="00CC6212"/>
    <w:rsid w:val="00CC628F"/>
    <w:rsid w:val="00CC65A8"/>
    <w:rsid w:val="00CC65C6"/>
    <w:rsid w:val="00CC65EC"/>
    <w:rsid w:val="00CC6B41"/>
    <w:rsid w:val="00CC6BBF"/>
    <w:rsid w:val="00CC6BE6"/>
    <w:rsid w:val="00CC740F"/>
    <w:rsid w:val="00CC747B"/>
    <w:rsid w:val="00CC74E2"/>
    <w:rsid w:val="00CC7687"/>
    <w:rsid w:val="00CC7925"/>
    <w:rsid w:val="00CC79A1"/>
    <w:rsid w:val="00CC7F52"/>
    <w:rsid w:val="00CD024C"/>
    <w:rsid w:val="00CD0501"/>
    <w:rsid w:val="00CD0C0E"/>
    <w:rsid w:val="00CD0C89"/>
    <w:rsid w:val="00CD0D50"/>
    <w:rsid w:val="00CD0FEE"/>
    <w:rsid w:val="00CD10E2"/>
    <w:rsid w:val="00CD12B1"/>
    <w:rsid w:val="00CD1645"/>
    <w:rsid w:val="00CD16C9"/>
    <w:rsid w:val="00CD1708"/>
    <w:rsid w:val="00CD1731"/>
    <w:rsid w:val="00CD1847"/>
    <w:rsid w:val="00CD1977"/>
    <w:rsid w:val="00CD1A70"/>
    <w:rsid w:val="00CD1B15"/>
    <w:rsid w:val="00CD20EA"/>
    <w:rsid w:val="00CD2193"/>
    <w:rsid w:val="00CD2263"/>
    <w:rsid w:val="00CD2334"/>
    <w:rsid w:val="00CD2682"/>
    <w:rsid w:val="00CD28FD"/>
    <w:rsid w:val="00CD2F20"/>
    <w:rsid w:val="00CD2F48"/>
    <w:rsid w:val="00CD2FC7"/>
    <w:rsid w:val="00CD3053"/>
    <w:rsid w:val="00CD32E2"/>
    <w:rsid w:val="00CD347B"/>
    <w:rsid w:val="00CD354E"/>
    <w:rsid w:val="00CD381F"/>
    <w:rsid w:val="00CD3A03"/>
    <w:rsid w:val="00CD3D92"/>
    <w:rsid w:val="00CD3EAA"/>
    <w:rsid w:val="00CD4140"/>
    <w:rsid w:val="00CD4180"/>
    <w:rsid w:val="00CD48FA"/>
    <w:rsid w:val="00CD4B23"/>
    <w:rsid w:val="00CD4BE3"/>
    <w:rsid w:val="00CD4F3D"/>
    <w:rsid w:val="00CD50F4"/>
    <w:rsid w:val="00CD570D"/>
    <w:rsid w:val="00CD5768"/>
    <w:rsid w:val="00CD59FF"/>
    <w:rsid w:val="00CD5A49"/>
    <w:rsid w:val="00CD60D9"/>
    <w:rsid w:val="00CD62C9"/>
    <w:rsid w:val="00CD63D4"/>
    <w:rsid w:val="00CD64FC"/>
    <w:rsid w:val="00CD6866"/>
    <w:rsid w:val="00CD69FC"/>
    <w:rsid w:val="00CD6C61"/>
    <w:rsid w:val="00CD6CF0"/>
    <w:rsid w:val="00CD6D71"/>
    <w:rsid w:val="00CD6EC0"/>
    <w:rsid w:val="00CD75C1"/>
    <w:rsid w:val="00CD7A78"/>
    <w:rsid w:val="00CD7CB6"/>
    <w:rsid w:val="00CD7D1B"/>
    <w:rsid w:val="00CD7E99"/>
    <w:rsid w:val="00CD7EDE"/>
    <w:rsid w:val="00CE0039"/>
    <w:rsid w:val="00CE0131"/>
    <w:rsid w:val="00CE04B5"/>
    <w:rsid w:val="00CE052A"/>
    <w:rsid w:val="00CE05CC"/>
    <w:rsid w:val="00CE0673"/>
    <w:rsid w:val="00CE097D"/>
    <w:rsid w:val="00CE0F21"/>
    <w:rsid w:val="00CE17C2"/>
    <w:rsid w:val="00CE18E4"/>
    <w:rsid w:val="00CE2875"/>
    <w:rsid w:val="00CE2AFF"/>
    <w:rsid w:val="00CE2C06"/>
    <w:rsid w:val="00CE3158"/>
    <w:rsid w:val="00CE319A"/>
    <w:rsid w:val="00CE3516"/>
    <w:rsid w:val="00CE361E"/>
    <w:rsid w:val="00CE3703"/>
    <w:rsid w:val="00CE3753"/>
    <w:rsid w:val="00CE375F"/>
    <w:rsid w:val="00CE37F0"/>
    <w:rsid w:val="00CE4288"/>
    <w:rsid w:val="00CE46C3"/>
    <w:rsid w:val="00CE48B0"/>
    <w:rsid w:val="00CE4D1A"/>
    <w:rsid w:val="00CE4DAD"/>
    <w:rsid w:val="00CE4DB0"/>
    <w:rsid w:val="00CE4EA2"/>
    <w:rsid w:val="00CE5238"/>
    <w:rsid w:val="00CE5313"/>
    <w:rsid w:val="00CE54AF"/>
    <w:rsid w:val="00CE5694"/>
    <w:rsid w:val="00CE58F6"/>
    <w:rsid w:val="00CE5A2C"/>
    <w:rsid w:val="00CE5C89"/>
    <w:rsid w:val="00CE5D74"/>
    <w:rsid w:val="00CE5DAA"/>
    <w:rsid w:val="00CE61F7"/>
    <w:rsid w:val="00CE6544"/>
    <w:rsid w:val="00CE66EC"/>
    <w:rsid w:val="00CE6983"/>
    <w:rsid w:val="00CE6FAD"/>
    <w:rsid w:val="00CE77A0"/>
    <w:rsid w:val="00CE795C"/>
    <w:rsid w:val="00CE7A1D"/>
    <w:rsid w:val="00CE7E40"/>
    <w:rsid w:val="00CE7E46"/>
    <w:rsid w:val="00CE7FDF"/>
    <w:rsid w:val="00CF00E5"/>
    <w:rsid w:val="00CF01B0"/>
    <w:rsid w:val="00CF03D1"/>
    <w:rsid w:val="00CF0454"/>
    <w:rsid w:val="00CF0620"/>
    <w:rsid w:val="00CF06AB"/>
    <w:rsid w:val="00CF07DD"/>
    <w:rsid w:val="00CF0871"/>
    <w:rsid w:val="00CF113E"/>
    <w:rsid w:val="00CF1215"/>
    <w:rsid w:val="00CF1288"/>
    <w:rsid w:val="00CF15E0"/>
    <w:rsid w:val="00CF161B"/>
    <w:rsid w:val="00CF164B"/>
    <w:rsid w:val="00CF1808"/>
    <w:rsid w:val="00CF1AEB"/>
    <w:rsid w:val="00CF1D3A"/>
    <w:rsid w:val="00CF2649"/>
    <w:rsid w:val="00CF26C1"/>
    <w:rsid w:val="00CF28BA"/>
    <w:rsid w:val="00CF2A4E"/>
    <w:rsid w:val="00CF2DE8"/>
    <w:rsid w:val="00CF30F3"/>
    <w:rsid w:val="00CF35CE"/>
    <w:rsid w:val="00CF392A"/>
    <w:rsid w:val="00CF3AD3"/>
    <w:rsid w:val="00CF4400"/>
    <w:rsid w:val="00CF4410"/>
    <w:rsid w:val="00CF44C6"/>
    <w:rsid w:val="00CF44EE"/>
    <w:rsid w:val="00CF4573"/>
    <w:rsid w:val="00CF4ED5"/>
    <w:rsid w:val="00CF5214"/>
    <w:rsid w:val="00CF534A"/>
    <w:rsid w:val="00CF549C"/>
    <w:rsid w:val="00CF569E"/>
    <w:rsid w:val="00CF5746"/>
    <w:rsid w:val="00CF5759"/>
    <w:rsid w:val="00CF5EE9"/>
    <w:rsid w:val="00CF6425"/>
    <w:rsid w:val="00CF64FC"/>
    <w:rsid w:val="00CF66C5"/>
    <w:rsid w:val="00CF67A3"/>
    <w:rsid w:val="00CF681F"/>
    <w:rsid w:val="00CF6A97"/>
    <w:rsid w:val="00CF6D65"/>
    <w:rsid w:val="00CF70A0"/>
    <w:rsid w:val="00CF7360"/>
    <w:rsid w:val="00CF7461"/>
    <w:rsid w:val="00CF7506"/>
    <w:rsid w:val="00CF755A"/>
    <w:rsid w:val="00CF7A0E"/>
    <w:rsid w:val="00CF7A22"/>
    <w:rsid w:val="00CF7DB7"/>
    <w:rsid w:val="00CF7E0A"/>
    <w:rsid w:val="00D009BB"/>
    <w:rsid w:val="00D00C02"/>
    <w:rsid w:val="00D00E76"/>
    <w:rsid w:val="00D0106E"/>
    <w:rsid w:val="00D0108E"/>
    <w:rsid w:val="00D01484"/>
    <w:rsid w:val="00D016D2"/>
    <w:rsid w:val="00D01869"/>
    <w:rsid w:val="00D01B31"/>
    <w:rsid w:val="00D01CEB"/>
    <w:rsid w:val="00D01D25"/>
    <w:rsid w:val="00D01E21"/>
    <w:rsid w:val="00D01F01"/>
    <w:rsid w:val="00D01F86"/>
    <w:rsid w:val="00D02100"/>
    <w:rsid w:val="00D024DC"/>
    <w:rsid w:val="00D024F6"/>
    <w:rsid w:val="00D02682"/>
    <w:rsid w:val="00D028C6"/>
    <w:rsid w:val="00D028D3"/>
    <w:rsid w:val="00D02C65"/>
    <w:rsid w:val="00D02D6A"/>
    <w:rsid w:val="00D03533"/>
    <w:rsid w:val="00D03F2B"/>
    <w:rsid w:val="00D03FF3"/>
    <w:rsid w:val="00D042B1"/>
    <w:rsid w:val="00D045C9"/>
    <w:rsid w:val="00D04E0B"/>
    <w:rsid w:val="00D05173"/>
    <w:rsid w:val="00D0533C"/>
    <w:rsid w:val="00D05500"/>
    <w:rsid w:val="00D055D1"/>
    <w:rsid w:val="00D05624"/>
    <w:rsid w:val="00D05970"/>
    <w:rsid w:val="00D059D3"/>
    <w:rsid w:val="00D05C4A"/>
    <w:rsid w:val="00D05DB1"/>
    <w:rsid w:val="00D05E96"/>
    <w:rsid w:val="00D0603A"/>
    <w:rsid w:val="00D060D9"/>
    <w:rsid w:val="00D06561"/>
    <w:rsid w:val="00D066F8"/>
    <w:rsid w:val="00D06727"/>
    <w:rsid w:val="00D06E50"/>
    <w:rsid w:val="00D07488"/>
    <w:rsid w:val="00D07875"/>
    <w:rsid w:val="00D07DEA"/>
    <w:rsid w:val="00D10326"/>
    <w:rsid w:val="00D10355"/>
    <w:rsid w:val="00D103D2"/>
    <w:rsid w:val="00D1046B"/>
    <w:rsid w:val="00D10E2B"/>
    <w:rsid w:val="00D114E4"/>
    <w:rsid w:val="00D1154A"/>
    <w:rsid w:val="00D118CA"/>
    <w:rsid w:val="00D11A3B"/>
    <w:rsid w:val="00D120B1"/>
    <w:rsid w:val="00D121A9"/>
    <w:rsid w:val="00D12BDC"/>
    <w:rsid w:val="00D12BFF"/>
    <w:rsid w:val="00D12C3D"/>
    <w:rsid w:val="00D12DCB"/>
    <w:rsid w:val="00D12E2E"/>
    <w:rsid w:val="00D12E80"/>
    <w:rsid w:val="00D1307A"/>
    <w:rsid w:val="00D13816"/>
    <w:rsid w:val="00D13DB9"/>
    <w:rsid w:val="00D13E14"/>
    <w:rsid w:val="00D13EBA"/>
    <w:rsid w:val="00D1414A"/>
    <w:rsid w:val="00D14414"/>
    <w:rsid w:val="00D145D4"/>
    <w:rsid w:val="00D1467E"/>
    <w:rsid w:val="00D149DE"/>
    <w:rsid w:val="00D14B6A"/>
    <w:rsid w:val="00D150AB"/>
    <w:rsid w:val="00D15116"/>
    <w:rsid w:val="00D1520C"/>
    <w:rsid w:val="00D15631"/>
    <w:rsid w:val="00D15714"/>
    <w:rsid w:val="00D159FA"/>
    <w:rsid w:val="00D15A13"/>
    <w:rsid w:val="00D161DC"/>
    <w:rsid w:val="00D16641"/>
    <w:rsid w:val="00D16970"/>
    <w:rsid w:val="00D16B4C"/>
    <w:rsid w:val="00D16DBF"/>
    <w:rsid w:val="00D17138"/>
    <w:rsid w:val="00D17266"/>
    <w:rsid w:val="00D173FF"/>
    <w:rsid w:val="00D17440"/>
    <w:rsid w:val="00D174EE"/>
    <w:rsid w:val="00D1766E"/>
    <w:rsid w:val="00D177D0"/>
    <w:rsid w:val="00D17888"/>
    <w:rsid w:val="00D17C2D"/>
    <w:rsid w:val="00D17D4E"/>
    <w:rsid w:val="00D17EE4"/>
    <w:rsid w:val="00D20022"/>
    <w:rsid w:val="00D20051"/>
    <w:rsid w:val="00D2008E"/>
    <w:rsid w:val="00D2017E"/>
    <w:rsid w:val="00D204C3"/>
    <w:rsid w:val="00D20A2C"/>
    <w:rsid w:val="00D20CF8"/>
    <w:rsid w:val="00D20D71"/>
    <w:rsid w:val="00D20F17"/>
    <w:rsid w:val="00D21323"/>
    <w:rsid w:val="00D217AF"/>
    <w:rsid w:val="00D218E9"/>
    <w:rsid w:val="00D21EE3"/>
    <w:rsid w:val="00D22069"/>
    <w:rsid w:val="00D22190"/>
    <w:rsid w:val="00D22544"/>
    <w:rsid w:val="00D225F5"/>
    <w:rsid w:val="00D2263B"/>
    <w:rsid w:val="00D226FA"/>
    <w:rsid w:val="00D2290D"/>
    <w:rsid w:val="00D22AEF"/>
    <w:rsid w:val="00D22D53"/>
    <w:rsid w:val="00D22F2B"/>
    <w:rsid w:val="00D22FE9"/>
    <w:rsid w:val="00D23582"/>
    <w:rsid w:val="00D23884"/>
    <w:rsid w:val="00D23A65"/>
    <w:rsid w:val="00D23B99"/>
    <w:rsid w:val="00D24515"/>
    <w:rsid w:val="00D2456B"/>
    <w:rsid w:val="00D247AA"/>
    <w:rsid w:val="00D24D9C"/>
    <w:rsid w:val="00D24DDF"/>
    <w:rsid w:val="00D2523A"/>
    <w:rsid w:val="00D25582"/>
    <w:rsid w:val="00D25592"/>
    <w:rsid w:val="00D258DB"/>
    <w:rsid w:val="00D25B83"/>
    <w:rsid w:val="00D25D99"/>
    <w:rsid w:val="00D265B4"/>
    <w:rsid w:val="00D269DD"/>
    <w:rsid w:val="00D26A2E"/>
    <w:rsid w:val="00D26DB1"/>
    <w:rsid w:val="00D27494"/>
    <w:rsid w:val="00D275EE"/>
    <w:rsid w:val="00D27622"/>
    <w:rsid w:val="00D276DF"/>
    <w:rsid w:val="00D2788F"/>
    <w:rsid w:val="00D27A40"/>
    <w:rsid w:val="00D3020C"/>
    <w:rsid w:val="00D30DB3"/>
    <w:rsid w:val="00D3113A"/>
    <w:rsid w:val="00D313AA"/>
    <w:rsid w:val="00D31668"/>
    <w:rsid w:val="00D3168E"/>
    <w:rsid w:val="00D317AE"/>
    <w:rsid w:val="00D3194E"/>
    <w:rsid w:val="00D3195F"/>
    <w:rsid w:val="00D31A3C"/>
    <w:rsid w:val="00D31B99"/>
    <w:rsid w:val="00D31BFF"/>
    <w:rsid w:val="00D31C9C"/>
    <w:rsid w:val="00D31D3E"/>
    <w:rsid w:val="00D31F37"/>
    <w:rsid w:val="00D31FC1"/>
    <w:rsid w:val="00D323BC"/>
    <w:rsid w:val="00D32703"/>
    <w:rsid w:val="00D3281E"/>
    <w:rsid w:val="00D32863"/>
    <w:rsid w:val="00D32864"/>
    <w:rsid w:val="00D32992"/>
    <w:rsid w:val="00D32D66"/>
    <w:rsid w:val="00D32DFB"/>
    <w:rsid w:val="00D33105"/>
    <w:rsid w:val="00D332E3"/>
    <w:rsid w:val="00D3333D"/>
    <w:rsid w:val="00D333FB"/>
    <w:rsid w:val="00D33546"/>
    <w:rsid w:val="00D3355B"/>
    <w:rsid w:val="00D33854"/>
    <w:rsid w:val="00D33E5B"/>
    <w:rsid w:val="00D34E7B"/>
    <w:rsid w:val="00D34ED3"/>
    <w:rsid w:val="00D34EF0"/>
    <w:rsid w:val="00D35003"/>
    <w:rsid w:val="00D35022"/>
    <w:rsid w:val="00D3515B"/>
    <w:rsid w:val="00D3520F"/>
    <w:rsid w:val="00D352CE"/>
    <w:rsid w:val="00D3565A"/>
    <w:rsid w:val="00D3586A"/>
    <w:rsid w:val="00D35871"/>
    <w:rsid w:val="00D3592F"/>
    <w:rsid w:val="00D35AD5"/>
    <w:rsid w:val="00D35C37"/>
    <w:rsid w:val="00D35D33"/>
    <w:rsid w:val="00D35FF7"/>
    <w:rsid w:val="00D36080"/>
    <w:rsid w:val="00D3624A"/>
    <w:rsid w:val="00D36283"/>
    <w:rsid w:val="00D36315"/>
    <w:rsid w:val="00D363DB"/>
    <w:rsid w:val="00D36B77"/>
    <w:rsid w:val="00D36BB7"/>
    <w:rsid w:val="00D36CEA"/>
    <w:rsid w:val="00D36F1D"/>
    <w:rsid w:val="00D36F6A"/>
    <w:rsid w:val="00D3705D"/>
    <w:rsid w:val="00D37344"/>
    <w:rsid w:val="00D37556"/>
    <w:rsid w:val="00D37786"/>
    <w:rsid w:val="00D377D1"/>
    <w:rsid w:val="00D37BB8"/>
    <w:rsid w:val="00D37C3B"/>
    <w:rsid w:val="00D37D46"/>
    <w:rsid w:val="00D40158"/>
    <w:rsid w:val="00D4016A"/>
    <w:rsid w:val="00D401E1"/>
    <w:rsid w:val="00D405CA"/>
    <w:rsid w:val="00D40864"/>
    <w:rsid w:val="00D40B0C"/>
    <w:rsid w:val="00D40D21"/>
    <w:rsid w:val="00D40E1B"/>
    <w:rsid w:val="00D40EF1"/>
    <w:rsid w:val="00D40F18"/>
    <w:rsid w:val="00D410A5"/>
    <w:rsid w:val="00D41128"/>
    <w:rsid w:val="00D4154C"/>
    <w:rsid w:val="00D41577"/>
    <w:rsid w:val="00D416B9"/>
    <w:rsid w:val="00D41889"/>
    <w:rsid w:val="00D418B1"/>
    <w:rsid w:val="00D41AE1"/>
    <w:rsid w:val="00D41B11"/>
    <w:rsid w:val="00D41B55"/>
    <w:rsid w:val="00D41B91"/>
    <w:rsid w:val="00D420C8"/>
    <w:rsid w:val="00D427EE"/>
    <w:rsid w:val="00D42A19"/>
    <w:rsid w:val="00D430BD"/>
    <w:rsid w:val="00D4312F"/>
    <w:rsid w:val="00D431CD"/>
    <w:rsid w:val="00D4355A"/>
    <w:rsid w:val="00D43658"/>
    <w:rsid w:val="00D436DB"/>
    <w:rsid w:val="00D43AAE"/>
    <w:rsid w:val="00D43D18"/>
    <w:rsid w:val="00D43DF2"/>
    <w:rsid w:val="00D43E65"/>
    <w:rsid w:val="00D44904"/>
    <w:rsid w:val="00D44A2D"/>
    <w:rsid w:val="00D44A5F"/>
    <w:rsid w:val="00D44F58"/>
    <w:rsid w:val="00D4545D"/>
    <w:rsid w:val="00D455CF"/>
    <w:rsid w:val="00D45FD0"/>
    <w:rsid w:val="00D46290"/>
    <w:rsid w:val="00D46454"/>
    <w:rsid w:val="00D46638"/>
    <w:rsid w:val="00D468A9"/>
    <w:rsid w:val="00D46D32"/>
    <w:rsid w:val="00D47343"/>
    <w:rsid w:val="00D473CB"/>
    <w:rsid w:val="00D4743C"/>
    <w:rsid w:val="00D47653"/>
    <w:rsid w:val="00D476F0"/>
    <w:rsid w:val="00D477B3"/>
    <w:rsid w:val="00D4795B"/>
    <w:rsid w:val="00D479C1"/>
    <w:rsid w:val="00D47ACF"/>
    <w:rsid w:val="00D47BC5"/>
    <w:rsid w:val="00D47D74"/>
    <w:rsid w:val="00D47ECC"/>
    <w:rsid w:val="00D50019"/>
    <w:rsid w:val="00D5007B"/>
    <w:rsid w:val="00D506CE"/>
    <w:rsid w:val="00D50811"/>
    <w:rsid w:val="00D50841"/>
    <w:rsid w:val="00D508BE"/>
    <w:rsid w:val="00D50B59"/>
    <w:rsid w:val="00D50CD3"/>
    <w:rsid w:val="00D50EC5"/>
    <w:rsid w:val="00D5152A"/>
    <w:rsid w:val="00D51C6F"/>
    <w:rsid w:val="00D51EE6"/>
    <w:rsid w:val="00D520D6"/>
    <w:rsid w:val="00D52618"/>
    <w:rsid w:val="00D52744"/>
    <w:rsid w:val="00D52BEC"/>
    <w:rsid w:val="00D53162"/>
    <w:rsid w:val="00D53330"/>
    <w:rsid w:val="00D5377B"/>
    <w:rsid w:val="00D539D7"/>
    <w:rsid w:val="00D53C0B"/>
    <w:rsid w:val="00D53E17"/>
    <w:rsid w:val="00D54272"/>
    <w:rsid w:val="00D542CA"/>
    <w:rsid w:val="00D54348"/>
    <w:rsid w:val="00D5464A"/>
    <w:rsid w:val="00D54764"/>
    <w:rsid w:val="00D5491E"/>
    <w:rsid w:val="00D54AC0"/>
    <w:rsid w:val="00D54DB3"/>
    <w:rsid w:val="00D54DF3"/>
    <w:rsid w:val="00D55009"/>
    <w:rsid w:val="00D550B4"/>
    <w:rsid w:val="00D5511D"/>
    <w:rsid w:val="00D55157"/>
    <w:rsid w:val="00D552CB"/>
    <w:rsid w:val="00D5576A"/>
    <w:rsid w:val="00D557AE"/>
    <w:rsid w:val="00D55897"/>
    <w:rsid w:val="00D559A4"/>
    <w:rsid w:val="00D55A52"/>
    <w:rsid w:val="00D55C85"/>
    <w:rsid w:val="00D55CEF"/>
    <w:rsid w:val="00D55D7C"/>
    <w:rsid w:val="00D55EB0"/>
    <w:rsid w:val="00D562C3"/>
    <w:rsid w:val="00D563FA"/>
    <w:rsid w:val="00D564B2"/>
    <w:rsid w:val="00D56533"/>
    <w:rsid w:val="00D5656A"/>
    <w:rsid w:val="00D56B08"/>
    <w:rsid w:val="00D56CB0"/>
    <w:rsid w:val="00D56EDB"/>
    <w:rsid w:val="00D570CA"/>
    <w:rsid w:val="00D570D8"/>
    <w:rsid w:val="00D57575"/>
    <w:rsid w:val="00D5758B"/>
    <w:rsid w:val="00D577B2"/>
    <w:rsid w:val="00D577D6"/>
    <w:rsid w:val="00D57C91"/>
    <w:rsid w:val="00D57CC3"/>
    <w:rsid w:val="00D6022D"/>
    <w:rsid w:val="00D60290"/>
    <w:rsid w:val="00D6029E"/>
    <w:rsid w:val="00D6037E"/>
    <w:rsid w:val="00D60615"/>
    <w:rsid w:val="00D6072B"/>
    <w:rsid w:val="00D6081A"/>
    <w:rsid w:val="00D611DF"/>
    <w:rsid w:val="00D61209"/>
    <w:rsid w:val="00D612B5"/>
    <w:rsid w:val="00D613EC"/>
    <w:rsid w:val="00D6158B"/>
    <w:rsid w:val="00D617DF"/>
    <w:rsid w:val="00D619E4"/>
    <w:rsid w:val="00D61BBB"/>
    <w:rsid w:val="00D61E3A"/>
    <w:rsid w:val="00D62245"/>
    <w:rsid w:val="00D6234E"/>
    <w:rsid w:val="00D62921"/>
    <w:rsid w:val="00D62991"/>
    <w:rsid w:val="00D629D9"/>
    <w:rsid w:val="00D62B2D"/>
    <w:rsid w:val="00D62C1F"/>
    <w:rsid w:val="00D6308B"/>
    <w:rsid w:val="00D633C9"/>
    <w:rsid w:val="00D636EB"/>
    <w:rsid w:val="00D63791"/>
    <w:rsid w:val="00D63A43"/>
    <w:rsid w:val="00D63A88"/>
    <w:rsid w:val="00D63A9A"/>
    <w:rsid w:val="00D63AFE"/>
    <w:rsid w:val="00D63B93"/>
    <w:rsid w:val="00D63C32"/>
    <w:rsid w:val="00D63D1B"/>
    <w:rsid w:val="00D6408C"/>
    <w:rsid w:val="00D642D5"/>
    <w:rsid w:val="00D64694"/>
    <w:rsid w:val="00D6487C"/>
    <w:rsid w:val="00D64CA0"/>
    <w:rsid w:val="00D65068"/>
    <w:rsid w:val="00D65210"/>
    <w:rsid w:val="00D6549D"/>
    <w:rsid w:val="00D6562B"/>
    <w:rsid w:val="00D65698"/>
    <w:rsid w:val="00D65917"/>
    <w:rsid w:val="00D6598C"/>
    <w:rsid w:val="00D65B8C"/>
    <w:rsid w:val="00D65DFF"/>
    <w:rsid w:val="00D65E24"/>
    <w:rsid w:val="00D65F5A"/>
    <w:rsid w:val="00D66248"/>
    <w:rsid w:val="00D666E4"/>
    <w:rsid w:val="00D6696E"/>
    <w:rsid w:val="00D669E8"/>
    <w:rsid w:val="00D66A03"/>
    <w:rsid w:val="00D66AD1"/>
    <w:rsid w:val="00D66C96"/>
    <w:rsid w:val="00D66D89"/>
    <w:rsid w:val="00D67023"/>
    <w:rsid w:val="00D6707B"/>
    <w:rsid w:val="00D67141"/>
    <w:rsid w:val="00D671CB"/>
    <w:rsid w:val="00D67391"/>
    <w:rsid w:val="00D67895"/>
    <w:rsid w:val="00D678EE"/>
    <w:rsid w:val="00D703FD"/>
    <w:rsid w:val="00D704FE"/>
    <w:rsid w:val="00D705ED"/>
    <w:rsid w:val="00D705F3"/>
    <w:rsid w:val="00D709C4"/>
    <w:rsid w:val="00D70BC6"/>
    <w:rsid w:val="00D70CB3"/>
    <w:rsid w:val="00D70E97"/>
    <w:rsid w:val="00D70F56"/>
    <w:rsid w:val="00D71887"/>
    <w:rsid w:val="00D718A6"/>
    <w:rsid w:val="00D71C85"/>
    <w:rsid w:val="00D72057"/>
    <w:rsid w:val="00D72195"/>
    <w:rsid w:val="00D7246E"/>
    <w:rsid w:val="00D7253F"/>
    <w:rsid w:val="00D725C2"/>
    <w:rsid w:val="00D726F3"/>
    <w:rsid w:val="00D72A2F"/>
    <w:rsid w:val="00D72AF9"/>
    <w:rsid w:val="00D72D58"/>
    <w:rsid w:val="00D72DBA"/>
    <w:rsid w:val="00D72E88"/>
    <w:rsid w:val="00D7312D"/>
    <w:rsid w:val="00D73138"/>
    <w:rsid w:val="00D73685"/>
    <w:rsid w:val="00D73B21"/>
    <w:rsid w:val="00D73B58"/>
    <w:rsid w:val="00D73E51"/>
    <w:rsid w:val="00D73F12"/>
    <w:rsid w:val="00D74307"/>
    <w:rsid w:val="00D74352"/>
    <w:rsid w:val="00D743AE"/>
    <w:rsid w:val="00D743D9"/>
    <w:rsid w:val="00D744FC"/>
    <w:rsid w:val="00D74503"/>
    <w:rsid w:val="00D745CB"/>
    <w:rsid w:val="00D74A83"/>
    <w:rsid w:val="00D74F15"/>
    <w:rsid w:val="00D74F70"/>
    <w:rsid w:val="00D75166"/>
    <w:rsid w:val="00D7535E"/>
    <w:rsid w:val="00D75514"/>
    <w:rsid w:val="00D75564"/>
    <w:rsid w:val="00D75888"/>
    <w:rsid w:val="00D75E06"/>
    <w:rsid w:val="00D760FC"/>
    <w:rsid w:val="00D76591"/>
    <w:rsid w:val="00D76D04"/>
    <w:rsid w:val="00D76D85"/>
    <w:rsid w:val="00D76E06"/>
    <w:rsid w:val="00D77305"/>
    <w:rsid w:val="00D77396"/>
    <w:rsid w:val="00D77469"/>
    <w:rsid w:val="00D77659"/>
    <w:rsid w:val="00D77C75"/>
    <w:rsid w:val="00D77D9F"/>
    <w:rsid w:val="00D8041C"/>
    <w:rsid w:val="00D8049A"/>
    <w:rsid w:val="00D805A4"/>
    <w:rsid w:val="00D80A29"/>
    <w:rsid w:val="00D80BD7"/>
    <w:rsid w:val="00D80F6F"/>
    <w:rsid w:val="00D80F94"/>
    <w:rsid w:val="00D80FC2"/>
    <w:rsid w:val="00D819D8"/>
    <w:rsid w:val="00D81AF6"/>
    <w:rsid w:val="00D81BF6"/>
    <w:rsid w:val="00D81E2D"/>
    <w:rsid w:val="00D81EDC"/>
    <w:rsid w:val="00D81EF0"/>
    <w:rsid w:val="00D81F8D"/>
    <w:rsid w:val="00D8225C"/>
    <w:rsid w:val="00D823F6"/>
    <w:rsid w:val="00D824E0"/>
    <w:rsid w:val="00D8250A"/>
    <w:rsid w:val="00D8251D"/>
    <w:rsid w:val="00D827DA"/>
    <w:rsid w:val="00D82894"/>
    <w:rsid w:val="00D82A25"/>
    <w:rsid w:val="00D82B9F"/>
    <w:rsid w:val="00D82EB4"/>
    <w:rsid w:val="00D83057"/>
    <w:rsid w:val="00D830A9"/>
    <w:rsid w:val="00D83268"/>
    <w:rsid w:val="00D83287"/>
    <w:rsid w:val="00D83392"/>
    <w:rsid w:val="00D83517"/>
    <w:rsid w:val="00D83725"/>
    <w:rsid w:val="00D83951"/>
    <w:rsid w:val="00D83BE6"/>
    <w:rsid w:val="00D83C30"/>
    <w:rsid w:val="00D83D3B"/>
    <w:rsid w:val="00D83EBD"/>
    <w:rsid w:val="00D83FF1"/>
    <w:rsid w:val="00D84359"/>
    <w:rsid w:val="00D843A7"/>
    <w:rsid w:val="00D8442A"/>
    <w:rsid w:val="00D8455D"/>
    <w:rsid w:val="00D8481E"/>
    <w:rsid w:val="00D84897"/>
    <w:rsid w:val="00D8495A"/>
    <w:rsid w:val="00D84D24"/>
    <w:rsid w:val="00D84F6E"/>
    <w:rsid w:val="00D8508F"/>
    <w:rsid w:val="00D8520C"/>
    <w:rsid w:val="00D853DA"/>
    <w:rsid w:val="00D856E7"/>
    <w:rsid w:val="00D85774"/>
    <w:rsid w:val="00D8581D"/>
    <w:rsid w:val="00D85A5A"/>
    <w:rsid w:val="00D85C55"/>
    <w:rsid w:val="00D85E12"/>
    <w:rsid w:val="00D86003"/>
    <w:rsid w:val="00D860B1"/>
    <w:rsid w:val="00D8658C"/>
    <w:rsid w:val="00D86AB4"/>
    <w:rsid w:val="00D86D12"/>
    <w:rsid w:val="00D86D53"/>
    <w:rsid w:val="00D86D7C"/>
    <w:rsid w:val="00D86FB0"/>
    <w:rsid w:val="00D87154"/>
    <w:rsid w:val="00D87244"/>
    <w:rsid w:val="00D872EC"/>
    <w:rsid w:val="00D878BD"/>
    <w:rsid w:val="00D878FE"/>
    <w:rsid w:val="00D87C02"/>
    <w:rsid w:val="00D87C51"/>
    <w:rsid w:val="00D87CFC"/>
    <w:rsid w:val="00D87F03"/>
    <w:rsid w:val="00D90156"/>
    <w:rsid w:val="00D90262"/>
    <w:rsid w:val="00D903DE"/>
    <w:rsid w:val="00D9058F"/>
    <w:rsid w:val="00D90B0D"/>
    <w:rsid w:val="00D90D73"/>
    <w:rsid w:val="00D90F0C"/>
    <w:rsid w:val="00D9119C"/>
    <w:rsid w:val="00D914BD"/>
    <w:rsid w:val="00D918BD"/>
    <w:rsid w:val="00D918DC"/>
    <w:rsid w:val="00D91CD0"/>
    <w:rsid w:val="00D920A9"/>
    <w:rsid w:val="00D9223D"/>
    <w:rsid w:val="00D92573"/>
    <w:rsid w:val="00D92868"/>
    <w:rsid w:val="00D9287C"/>
    <w:rsid w:val="00D928D0"/>
    <w:rsid w:val="00D92A90"/>
    <w:rsid w:val="00D92D05"/>
    <w:rsid w:val="00D92EEC"/>
    <w:rsid w:val="00D931C6"/>
    <w:rsid w:val="00D932DF"/>
    <w:rsid w:val="00D934C9"/>
    <w:rsid w:val="00D935B6"/>
    <w:rsid w:val="00D93697"/>
    <w:rsid w:val="00D93963"/>
    <w:rsid w:val="00D93F50"/>
    <w:rsid w:val="00D93FA5"/>
    <w:rsid w:val="00D94116"/>
    <w:rsid w:val="00D94171"/>
    <w:rsid w:val="00D94354"/>
    <w:rsid w:val="00D944C7"/>
    <w:rsid w:val="00D94959"/>
    <w:rsid w:val="00D94B00"/>
    <w:rsid w:val="00D94E71"/>
    <w:rsid w:val="00D951D2"/>
    <w:rsid w:val="00D95244"/>
    <w:rsid w:val="00D9548A"/>
    <w:rsid w:val="00D95504"/>
    <w:rsid w:val="00D95602"/>
    <w:rsid w:val="00D95D04"/>
    <w:rsid w:val="00D95DDB"/>
    <w:rsid w:val="00D95EC6"/>
    <w:rsid w:val="00D95EF7"/>
    <w:rsid w:val="00D96229"/>
    <w:rsid w:val="00D962BB"/>
    <w:rsid w:val="00D96301"/>
    <w:rsid w:val="00D964BD"/>
    <w:rsid w:val="00D96A8F"/>
    <w:rsid w:val="00D96F68"/>
    <w:rsid w:val="00D97095"/>
    <w:rsid w:val="00D972BD"/>
    <w:rsid w:val="00D974AE"/>
    <w:rsid w:val="00D976E1"/>
    <w:rsid w:val="00D97DD9"/>
    <w:rsid w:val="00D97EA2"/>
    <w:rsid w:val="00DA001C"/>
    <w:rsid w:val="00DA002B"/>
    <w:rsid w:val="00DA01BC"/>
    <w:rsid w:val="00DA0347"/>
    <w:rsid w:val="00DA06B0"/>
    <w:rsid w:val="00DA0984"/>
    <w:rsid w:val="00DA0BAC"/>
    <w:rsid w:val="00DA0C73"/>
    <w:rsid w:val="00DA0D68"/>
    <w:rsid w:val="00DA0DAD"/>
    <w:rsid w:val="00DA0E49"/>
    <w:rsid w:val="00DA1014"/>
    <w:rsid w:val="00DA16D7"/>
    <w:rsid w:val="00DA173E"/>
    <w:rsid w:val="00DA1759"/>
    <w:rsid w:val="00DA17D3"/>
    <w:rsid w:val="00DA1CF9"/>
    <w:rsid w:val="00DA1F01"/>
    <w:rsid w:val="00DA21DE"/>
    <w:rsid w:val="00DA22ED"/>
    <w:rsid w:val="00DA23D0"/>
    <w:rsid w:val="00DA293A"/>
    <w:rsid w:val="00DA297A"/>
    <w:rsid w:val="00DA29A5"/>
    <w:rsid w:val="00DA2A01"/>
    <w:rsid w:val="00DA2B63"/>
    <w:rsid w:val="00DA2D27"/>
    <w:rsid w:val="00DA2EC3"/>
    <w:rsid w:val="00DA312D"/>
    <w:rsid w:val="00DA3236"/>
    <w:rsid w:val="00DA3766"/>
    <w:rsid w:val="00DA37E1"/>
    <w:rsid w:val="00DA38D7"/>
    <w:rsid w:val="00DA4444"/>
    <w:rsid w:val="00DA4A0D"/>
    <w:rsid w:val="00DA4A33"/>
    <w:rsid w:val="00DA4A39"/>
    <w:rsid w:val="00DA4B2C"/>
    <w:rsid w:val="00DA4FBB"/>
    <w:rsid w:val="00DA5161"/>
    <w:rsid w:val="00DA51D3"/>
    <w:rsid w:val="00DA524E"/>
    <w:rsid w:val="00DA5745"/>
    <w:rsid w:val="00DA5889"/>
    <w:rsid w:val="00DA59EE"/>
    <w:rsid w:val="00DA5B64"/>
    <w:rsid w:val="00DA5C8F"/>
    <w:rsid w:val="00DA5E9D"/>
    <w:rsid w:val="00DA6263"/>
    <w:rsid w:val="00DA62A2"/>
    <w:rsid w:val="00DA6312"/>
    <w:rsid w:val="00DA6353"/>
    <w:rsid w:val="00DA6485"/>
    <w:rsid w:val="00DA66CC"/>
    <w:rsid w:val="00DA6913"/>
    <w:rsid w:val="00DA6ED4"/>
    <w:rsid w:val="00DA6FA4"/>
    <w:rsid w:val="00DA7119"/>
    <w:rsid w:val="00DA717D"/>
    <w:rsid w:val="00DA7366"/>
    <w:rsid w:val="00DA746F"/>
    <w:rsid w:val="00DA74C7"/>
    <w:rsid w:val="00DA76CA"/>
    <w:rsid w:val="00DA774D"/>
    <w:rsid w:val="00DA78E3"/>
    <w:rsid w:val="00DA7DAC"/>
    <w:rsid w:val="00DB018F"/>
    <w:rsid w:val="00DB059E"/>
    <w:rsid w:val="00DB0CFA"/>
    <w:rsid w:val="00DB0EA6"/>
    <w:rsid w:val="00DB1161"/>
    <w:rsid w:val="00DB126E"/>
    <w:rsid w:val="00DB129C"/>
    <w:rsid w:val="00DB17DA"/>
    <w:rsid w:val="00DB17EA"/>
    <w:rsid w:val="00DB1835"/>
    <w:rsid w:val="00DB1D42"/>
    <w:rsid w:val="00DB1E58"/>
    <w:rsid w:val="00DB2045"/>
    <w:rsid w:val="00DB2049"/>
    <w:rsid w:val="00DB2704"/>
    <w:rsid w:val="00DB2BE5"/>
    <w:rsid w:val="00DB2D48"/>
    <w:rsid w:val="00DB2E82"/>
    <w:rsid w:val="00DB32E7"/>
    <w:rsid w:val="00DB341B"/>
    <w:rsid w:val="00DB355D"/>
    <w:rsid w:val="00DB35C6"/>
    <w:rsid w:val="00DB37D6"/>
    <w:rsid w:val="00DB3F6F"/>
    <w:rsid w:val="00DB4268"/>
    <w:rsid w:val="00DB42CC"/>
    <w:rsid w:val="00DB43FC"/>
    <w:rsid w:val="00DB4487"/>
    <w:rsid w:val="00DB44CA"/>
    <w:rsid w:val="00DB451D"/>
    <w:rsid w:val="00DB491C"/>
    <w:rsid w:val="00DB4B28"/>
    <w:rsid w:val="00DB4BB2"/>
    <w:rsid w:val="00DB4D67"/>
    <w:rsid w:val="00DB5168"/>
    <w:rsid w:val="00DB51D8"/>
    <w:rsid w:val="00DB5619"/>
    <w:rsid w:val="00DB56A5"/>
    <w:rsid w:val="00DB56C8"/>
    <w:rsid w:val="00DB5719"/>
    <w:rsid w:val="00DB576F"/>
    <w:rsid w:val="00DB57C4"/>
    <w:rsid w:val="00DB5ACF"/>
    <w:rsid w:val="00DB5C08"/>
    <w:rsid w:val="00DB5D71"/>
    <w:rsid w:val="00DB5F0B"/>
    <w:rsid w:val="00DB62C7"/>
    <w:rsid w:val="00DB6571"/>
    <w:rsid w:val="00DB694D"/>
    <w:rsid w:val="00DB6AC3"/>
    <w:rsid w:val="00DB6D1A"/>
    <w:rsid w:val="00DB6F08"/>
    <w:rsid w:val="00DB70A2"/>
    <w:rsid w:val="00DB71B3"/>
    <w:rsid w:val="00DB7924"/>
    <w:rsid w:val="00DB7A91"/>
    <w:rsid w:val="00DC0225"/>
    <w:rsid w:val="00DC04C6"/>
    <w:rsid w:val="00DC0797"/>
    <w:rsid w:val="00DC0799"/>
    <w:rsid w:val="00DC0F95"/>
    <w:rsid w:val="00DC0FA3"/>
    <w:rsid w:val="00DC0FE9"/>
    <w:rsid w:val="00DC1123"/>
    <w:rsid w:val="00DC1AC7"/>
    <w:rsid w:val="00DC1CBE"/>
    <w:rsid w:val="00DC1EEC"/>
    <w:rsid w:val="00DC247F"/>
    <w:rsid w:val="00DC2613"/>
    <w:rsid w:val="00DC2D29"/>
    <w:rsid w:val="00DC2EAF"/>
    <w:rsid w:val="00DC2FCA"/>
    <w:rsid w:val="00DC300E"/>
    <w:rsid w:val="00DC3221"/>
    <w:rsid w:val="00DC32B2"/>
    <w:rsid w:val="00DC3337"/>
    <w:rsid w:val="00DC3430"/>
    <w:rsid w:val="00DC3472"/>
    <w:rsid w:val="00DC3AE7"/>
    <w:rsid w:val="00DC3B38"/>
    <w:rsid w:val="00DC3E5B"/>
    <w:rsid w:val="00DC40C5"/>
    <w:rsid w:val="00DC4120"/>
    <w:rsid w:val="00DC41B0"/>
    <w:rsid w:val="00DC4230"/>
    <w:rsid w:val="00DC4420"/>
    <w:rsid w:val="00DC4455"/>
    <w:rsid w:val="00DC4533"/>
    <w:rsid w:val="00DC4B5D"/>
    <w:rsid w:val="00DC4B87"/>
    <w:rsid w:val="00DC4DA9"/>
    <w:rsid w:val="00DC4DCC"/>
    <w:rsid w:val="00DC4FA3"/>
    <w:rsid w:val="00DC522E"/>
    <w:rsid w:val="00DC5747"/>
    <w:rsid w:val="00DC5816"/>
    <w:rsid w:val="00DC5B70"/>
    <w:rsid w:val="00DC5BF1"/>
    <w:rsid w:val="00DC6103"/>
    <w:rsid w:val="00DC64F7"/>
    <w:rsid w:val="00DC6744"/>
    <w:rsid w:val="00DC674B"/>
    <w:rsid w:val="00DC67B4"/>
    <w:rsid w:val="00DC69AD"/>
    <w:rsid w:val="00DC6A76"/>
    <w:rsid w:val="00DC6C75"/>
    <w:rsid w:val="00DC71B8"/>
    <w:rsid w:val="00DC7431"/>
    <w:rsid w:val="00DC75E5"/>
    <w:rsid w:val="00DC7889"/>
    <w:rsid w:val="00DC7CF6"/>
    <w:rsid w:val="00DC7E64"/>
    <w:rsid w:val="00DC7F85"/>
    <w:rsid w:val="00DD0279"/>
    <w:rsid w:val="00DD04D1"/>
    <w:rsid w:val="00DD04FB"/>
    <w:rsid w:val="00DD0597"/>
    <w:rsid w:val="00DD0624"/>
    <w:rsid w:val="00DD080C"/>
    <w:rsid w:val="00DD09B8"/>
    <w:rsid w:val="00DD0D9B"/>
    <w:rsid w:val="00DD0F8F"/>
    <w:rsid w:val="00DD1219"/>
    <w:rsid w:val="00DD182F"/>
    <w:rsid w:val="00DD1A24"/>
    <w:rsid w:val="00DD1A7D"/>
    <w:rsid w:val="00DD1AD9"/>
    <w:rsid w:val="00DD1DD1"/>
    <w:rsid w:val="00DD21AD"/>
    <w:rsid w:val="00DD230C"/>
    <w:rsid w:val="00DD2591"/>
    <w:rsid w:val="00DD25B0"/>
    <w:rsid w:val="00DD265C"/>
    <w:rsid w:val="00DD3222"/>
    <w:rsid w:val="00DD333C"/>
    <w:rsid w:val="00DD381D"/>
    <w:rsid w:val="00DD3AD1"/>
    <w:rsid w:val="00DD3AD3"/>
    <w:rsid w:val="00DD3CED"/>
    <w:rsid w:val="00DD42A8"/>
    <w:rsid w:val="00DD43C1"/>
    <w:rsid w:val="00DD4641"/>
    <w:rsid w:val="00DD4718"/>
    <w:rsid w:val="00DD47E6"/>
    <w:rsid w:val="00DD491A"/>
    <w:rsid w:val="00DD4A68"/>
    <w:rsid w:val="00DD4D01"/>
    <w:rsid w:val="00DD4FCA"/>
    <w:rsid w:val="00DD5118"/>
    <w:rsid w:val="00DD5122"/>
    <w:rsid w:val="00DD515D"/>
    <w:rsid w:val="00DD5584"/>
    <w:rsid w:val="00DD5A3F"/>
    <w:rsid w:val="00DD6130"/>
    <w:rsid w:val="00DD6180"/>
    <w:rsid w:val="00DD6488"/>
    <w:rsid w:val="00DD6B02"/>
    <w:rsid w:val="00DD6D56"/>
    <w:rsid w:val="00DD72B7"/>
    <w:rsid w:val="00DD7306"/>
    <w:rsid w:val="00DD750C"/>
    <w:rsid w:val="00DE038C"/>
    <w:rsid w:val="00DE05DB"/>
    <w:rsid w:val="00DE094D"/>
    <w:rsid w:val="00DE0A3C"/>
    <w:rsid w:val="00DE0C4D"/>
    <w:rsid w:val="00DE16EA"/>
    <w:rsid w:val="00DE17EA"/>
    <w:rsid w:val="00DE2428"/>
    <w:rsid w:val="00DE255D"/>
    <w:rsid w:val="00DE2692"/>
    <w:rsid w:val="00DE2942"/>
    <w:rsid w:val="00DE2EB0"/>
    <w:rsid w:val="00DE3386"/>
    <w:rsid w:val="00DE33E4"/>
    <w:rsid w:val="00DE357D"/>
    <w:rsid w:val="00DE38FB"/>
    <w:rsid w:val="00DE39C5"/>
    <w:rsid w:val="00DE3F25"/>
    <w:rsid w:val="00DE44EC"/>
    <w:rsid w:val="00DE49B7"/>
    <w:rsid w:val="00DE4FD2"/>
    <w:rsid w:val="00DE5764"/>
    <w:rsid w:val="00DE583A"/>
    <w:rsid w:val="00DE5A69"/>
    <w:rsid w:val="00DE5D29"/>
    <w:rsid w:val="00DE60AE"/>
    <w:rsid w:val="00DE6218"/>
    <w:rsid w:val="00DE66BA"/>
    <w:rsid w:val="00DE67C5"/>
    <w:rsid w:val="00DE67F7"/>
    <w:rsid w:val="00DE6CC0"/>
    <w:rsid w:val="00DE6E66"/>
    <w:rsid w:val="00DE6F65"/>
    <w:rsid w:val="00DE70D9"/>
    <w:rsid w:val="00DE71C9"/>
    <w:rsid w:val="00DE7536"/>
    <w:rsid w:val="00DE7693"/>
    <w:rsid w:val="00DE798E"/>
    <w:rsid w:val="00DF059E"/>
    <w:rsid w:val="00DF06EA"/>
    <w:rsid w:val="00DF0A29"/>
    <w:rsid w:val="00DF0A39"/>
    <w:rsid w:val="00DF0BB1"/>
    <w:rsid w:val="00DF0D6A"/>
    <w:rsid w:val="00DF15B1"/>
    <w:rsid w:val="00DF1E95"/>
    <w:rsid w:val="00DF227D"/>
    <w:rsid w:val="00DF2A2E"/>
    <w:rsid w:val="00DF2A88"/>
    <w:rsid w:val="00DF2BEB"/>
    <w:rsid w:val="00DF2D2E"/>
    <w:rsid w:val="00DF2DDB"/>
    <w:rsid w:val="00DF30AD"/>
    <w:rsid w:val="00DF33C2"/>
    <w:rsid w:val="00DF3540"/>
    <w:rsid w:val="00DF35C5"/>
    <w:rsid w:val="00DF3737"/>
    <w:rsid w:val="00DF3916"/>
    <w:rsid w:val="00DF394D"/>
    <w:rsid w:val="00DF3A88"/>
    <w:rsid w:val="00DF3B0C"/>
    <w:rsid w:val="00DF3EEF"/>
    <w:rsid w:val="00DF4001"/>
    <w:rsid w:val="00DF44D1"/>
    <w:rsid w:val="00DF4696"/>
    <w:rsid w:val="00DF4B62"/>
    <w:rsid w:val="00DF4DA1"/>
    <w:rsid w:val="00DF4E6A"/>
    <w:rsid w:val="00DF50F2"/>
    <w:rsid w:val="00DF5566"/>
    <w:rsid w:val="00DF5738"/>
    <w:rsid w:val="00DF5AA3"/>
    <w:rsid w:val="00DF5C86"/>
    <w:rsid w:val="00DF638C"/>
    <w:rsid w:val="00DF6758"/>
    <w:rsid w:val="00DF687A"/>
    <w:rsid w:val="00DF6B6E"/>
    <w:rsid w:val="00DF6F23"/>
    <w:rsid w:val="00DF7070"/>
    <w:rsid w:val="00DF70A0"/>
    <w:rsid w:val="00DF718C"/>
    <w:rsid w:val="00DF7206"/>
    <w:rsid w:val="00DF7235"/>
    <w:rsid w:val="00DF7404"/>
    <w:rsid w:val="00DF76E9"/>
    <w:rsid w:val="00DF79F3"/>
    <w:rsid w:val="00DF7D0F"/>
    <w:rsid w:val="00DF7FE8"/>
    <w:rsid w:val="00E00079"/>
    <w:rsid w:val="00E000A2"/>
    <w:rsid w:val="00E007CF"/>
    <w:rsid w:val="00E0080C"/>
    <w:rsid w:val="00E0088B"/>
    <w:rsid w:val="00E00B68"/>
    <w:rsid w:val="00E00F2F"/>
    <w:rsid w:val="00E01166"/>
    <w:rsid w:val="00E013B5"/>
    <w:rsid w:val="00E0162F"/>
    <w:rsid w:val="00E017D8"/>
    <w:rsid w:val="00E01821"/>
    <w:rsid w:val="00E019DE"/>
    <w:rsid w:val="00E01C00"/>
    <w:rsid w:val="00E01E0C"/>
    <w:rsid w:val="00E01E14"/>
    <w:rsid w:val="00E0234F"/>
    <w:rsid w:val="00E02479"/>
    <w:rsid w:val="00E024EC"/>
    <w:rsid w:val="00E02562"/>
    <w:rsid w:val="00E02585"/>
    <w:rsid w:val="00E025FB"/>
    <w:rsid w:val="00E0263C"/>
    <w:rsid w:val="00E02958"/>
    <w:rsid w:val="00E02BE1"/>
    <w:rsid w:val="00E02D22"/>
    <w:rsid w:val="00E02DD9"/>
    <w:rsid w:val="00E0319C"/>
    <w:rsid w:val="00E0320A"/>
    <w:rsid w:val="00E0320F"/>
    <w:rsid w:val="00E03305"/>
    <w:rsid w:val="00E0374B"/>
    <w:rsid w:val="00E037C3"/>
    <w:rsid w:val="00E037D6"/>
    <w:rsid w:val="00E0398B"/>
    <w:rsid w:val="00E03DB4"/>
    <w:rsid w:val="00E043F5"/>
    <w:rsid w:val="00E0461E"/>
    <w:rsid w:val="00E04862"/>
    <w:rsid w:val="00E0501C"/>
    <w:rsid w:val="00E05053"/>
    <w:rsid w:val="00E050DE"/>
    <w:rsid w:val="00E05124"/>
    <w:rsid w:val="00E05309"/>
    <w:rsid w:val="00E053EE"/>
    <w:rsid w:val="00E0572D"/>
    <w:rsid w:val="00E05E0A"/>
    <w:rsid w:val="00E06098"/>
    <w:rsid w:val="00E06142"/>
    <w:rsid w:val="00E0624C"/>
    <w:rsid w:val="00E062D7"/>
    <w:rsid w:val="00E063DF"/>
    <w:rsid w:val="00E06842"/>
    <w:rsid w:val="00E06860"/>
    <w:rsid w:val="00E0688F"/>
    <w:rsid w:val="00E06B87"/>
    <w:rsid w:val="00E06E53"/>
    <w:rsid w:val="00E06FA7"/>
    <w:rsid w:val="00E075D6"/>
    <w:rsid w:val="00E07792"/>
    <w:rsid w:val="00E077CC"/>
    <w:rsid w:val="00E077F4"/>
    <w:rsid w:val="00E0780E"/>
    <w:rsid w:val="00E078C8"/>
    <w:rsid w:val="00E0792E"/>
    <w:rsid w:val="00E07A9B"/>
    <w:rsid w:val="00E07BC3"/>
    <w:rsid w:val="00E07C57"/>
    <w:rsid w:val="00E07CAF"/>
    <w:rsid w:val="00E07CC1"/>
    <w:rsid w:val="00E07DBE"/>
    <w:rsid w:val="00E07E0F"/>
    <w:rsid w:val="00E07EEA"/>
    <w:rsid w:val="00E100FB"/>
    <w:rsid w:val="00E103C6"/>
    <w:rsid w:val="00E10B99"/>
    <w:rsid w:val="00E11526"/>
    <w:rsid w:val="00E117D4"/>
    <w:rsid w:val="00E11B70"/>
    <w:rsid w:val="00E11D8F"/>
    <w:rsid w:val="00E11E17"/>
    <w:rsid w:val="00E11EF6"/>
    <w:rsid w:val="00E121C4"/>
    <w:rsid w:val="00E122CD"/>
    <w:rsid w:val="00E127EA"/>
    <w:rsid w:val="00E12EB1"/>
    <w:rsid w:val="00E12F5F"/>
    <w:rsid w:val="00E12F73"/>
    <w:rsid w:val="00E130F8"/>
    <w:rsid w:val="00E1314C"/>
    <w:rsid w:val="00E135AC"/>
    <w:rsid w:val="00E137B7"/>
    <w:rsid w:val="00E1380E"/>
    <w:rsid w:val="00E13D47"/>
    <w:rsid w:val="00E13EA8"/>
    <w:rsid w:val="00E1434F"/>
    <w:rsid w:val="00E1448C"/>
    <w:rsid w:val="00E1483C"/>
    <w:rsid w:val="00E148AB"/>
    <w:rsid w:val="00E14D0C"/>
    <w:rsid w:val="00E15208"/>
    <w:rsid w:val="00E153A1"/>
    <w:rsid w:val="00E153AE"/>
    <w:rsid w:val="00E155DE"/>
    <w:rsid w:val="00E15BC1"/>
    <w:rsid w:val="00E15D2C"/>
    <w:rsid w:val="00E15E3B"/>
    <w:rsid w:val="00E15F2F"/>
    <w:rsid w:val="00E15FF2"/>
    <w:rsid w:val="00E161CC"/>
    <w:rsid w:val="00E1682F"/>
    <w:rsid w:val="00E168A2"/>
    <w:rsid w:val="00E168BB"/>
    <w:rsid w:val="00E16A2B"/>
    <w:rsid w:val="00E16DAE"/>
    <w:rsid w:val="00E16EA1"/>
    <w:rsid w:val="00E17117"/>
    <w:rsid w:val="00E17137"/>
    <w:rsid w:val="00E17244"/>
    <w:rsid w:val="00E17401"/>
    <w:rsid w:val="00E1760B"/>
    <w:rsid w:val="00E17C5C"/>
    <w:rsid w:val="00E17D6B"/>
    <w:rsid w:val="00E17EC5"/>
    <w:rsid w:val="00E201C9"/>
    <w:rsid w:val="00E2053C"/>
    <w:rsid w:val="00E20661"/>
    <w:rsid w:val="00E20743"/>
    <w:rsid w:val="00E207B0"/>
    <w:rsid w:val="00E2081B"/>
    <w:rsid w:val="00E208A8"/>
    <w:rsid w:val="00E20A69"/>
    <w:rsid w:val="00E20D73"/>
    <w:rsid w:val="00E215DC"/>
    <w:rsid w:val="00E21700"/>
    <w:rsid w:val="00E21A9A"/>
    <w:rsid w:val="00E21BBB"/>
    <w:rsid w:val="00E21D50"/>
    <w:rsid w:val="00E21EF6"/>
    <w:rsid w:val="00E2207C"/>
    <w:rsid w:val="00E22335"/>
    <w:rsid w:val="00E2273A"/>
    <w:rsid w:val="00E227EA"/>
    <w:rsid w:val="00E229EF"/>
    <w:rsid w:val="00E22AF1"/>
    <w:rsid w:val="00E23543"/>
    <w:rsid w:val="00E238BC"/>
    <w:rsid w:val="00E23955"/>
    <w:rsid w:val="00E23A52"/>
    <w:rsid w:val="00E23B1F"/>
    <w:rsid w:val="00E23CE8"/>
    <w:rsid w:val="00E23D3E"/>
    <w:rsid w:val="00E23E67"/>
    <w:rsid w:val="00E23EE9"/>
    <w:rsid w:val="00E24618"/>
    <w:rsid w:val="00E2464F"/>
    <w:rsid w:val="00E24690"/>
    <w:rsid w:val="00E247FE"/>
    <w:rsid w:val="00E24A84"/>
    <w:rsid w:val="00E24FD1"/>
    <w:rsid w:val="00E25014"/>
    <w:rsid w:val="00E25060"/>
    <w:rsid w:val="00E254F4"/>
    <w:rsid w:val="00E256CC"/>
    <w:rsid w:val="00E2597C"/>
    <w:rsid w:val="00E25B25"/>
    <w:rsid w:val="00E25B8A"/>
    <w:rsid w:val="00E25CD6"/>
    <w:rsid w:val="00E25EE8"/>
    <w:rsid w:val="00E261B5"/>
    <w:rsid w:val="00E2631D"/>
    <w:rsid w:val="00E26367"/>
    <w:rsid w:val="00E26734"/>
    <w:rsid w:val="00E268B9"/>
    <w:rsid w:val="00E26D62"/>
    <w:rsid w:val="00E26DF0"/>
    <w:rsid w:val="00E26E83"/>
    <w:rsid w:val="00E26FC6"/>
    <w:rsid w:val="00E2706B"/>
    <w:rsid w:val="00E272B9"/>
    <w:rsid w:val="00E27593"/>
    <w:rsid w:val="00E277DA"/>
    <w:rsid w:val="00E27DDE"/>
    <w:rsid w:val="00E3000D"/>
    <w:rsid w:val="00E300CB"/>
    <w:rsid w:val="00E3011F"/>
    <w:rsid w:val="00E301BE"/>
    <w:rsid w:val="00E303E6"/>
    <w:rsid w:val="00E30573"/>
    <w:rsid w:val="00E306F1"/>
    <w:rsid w:val="00E30742"/>
    <w:rsid w:val="00E30A62"/>
    <w:rsid w:val="00E31047"/>
    <w:rsid w:val="00E31194"/>
    <w:rsid w:val="00E313CE"/>
    <w:rsid w:val="00E314EE"/>
    <w:rsid w:val="00E31843"/>
    <w:rsid w:val="00E31D10"/>
    <w:rsid w:val="00E31D99"/>
    <w:rsid w:val="00E321F4"/>
    <w:rsid w:val="00E325B5"/>
    <w:rsid w:val="00E32AA8"/>
    <w:rsid w:val="00E32AFB"/>
    <w:rsid w:val="00E32BF2"/>
    <w:rsid w:val="00E32DC8"/>
    <w:rsid w:val="00E32FE1"/>
    <w:rsid w:val="00E33503"/>
    <w:rsid w:val="00E336D0"/>
    <w:rsid w:val="00E337F4"/>
    <w:rsid w:val="00E33A42"/>
    <w:rsid w:val="00E33AA5"/>
    <w:rsid w:val="00E33B52"/>
    <w:rsid w:val="00E33C20"/>
    <w:rsid w:val="00E340D4"/>
    <w:rsid w:val="00E34216"/>
    <w:rsid w:val="00E34276"/>
    <w:rsid w:val="00E34994"/>
    <w:rsid w:val="00E34E4F"/>
    <w:rsid w:val="00E34F0B"/>
    <w:rsid w:val="00E3516B"/>
    <w:rsid w:val="00E35197"/>
    <w:rsid w:val="00E3521E"/>
    <w:rsid w:val="00E35531"/>
    <w:rsid w:val="00E3559D"/>
    <w:rsid w:val="00E35BAB"/>
    <w:rsid w:val="00E35EA7"/>
    <w:rsid w:val="00E35F13"/>
    <w:rsid w:val="00E35F5B"/>
    <w:rsid w:val="00E35FC9"/>
    <w:rsid w:val="00E36359"/>
    <w:rsid w:val="00E36645"/>
    <w:rsid w:val="00E366DF"/>
    <w:rsid w:val="00E36715"/>
    <w:rsid w:val="00E36769"/>
    <w:rsid w:val="00E367D5"/>
    <w:rsid w:val="00E368F8"/>
    <w:rsid w:val="00E37454"/>
    <w:rsid w:val="00E374CF"/>
    <w:rsid w:val="00E37501"/>
    <w:rsid w:val="00E37531"/>
    <w:rsid w:val="00E37842"/>
    <w:rsid w:val="00E37DE2"/>
    <w:rsid w:val="00E37E28"/>
    <w:rsid w:val="00E37EA3"/>
    <w:rsid w:val="00E403E6"/>
    <w:rsid w:val="00E404F8"/>
    <w:rsid w:val="00E40583"/>
    <w:rsid w:val="00E40922"/>
    <w:rsid w:val="00E40D26"/>
    <w:rsid w:val="00E40F79"/>
    <w:rsid w:val="00E41066"/>
    <w:rsid w:val="00E414A8"/>
    <w:rsid w:val="00E415EB"/>
    <w:rsid w:val="00E41A7E"/>
    <w:rsid w:val="00E41AB2"/>
    <w:rsid w:val="00E41B01"/>
    <w:rsid w:val="00E41D4D"/>
    <w:rsid w:val="00E41F1F"/>
    <w:rsid w:val="00E42001"/>
    <w:rsid w:val="00E42019"/>
    <w:rsid w:val="00E42134"/>
    <w:rsid w:val="00E423AD"/>
    <w:rsid w:val="00E42DB9"/>
    <w:rsid w:val="00E42DBE"/>
    <w:rsid w:val="00E4329E"/>
    <w:rsid w:val="00E432B9"/>
    <w:rsid w:val="00E4366C"/>
    <w:rsid w:val="00E43798"/>
    <w:rsid w:val="00E43840"/>
    <w:rsid w:val="00E438D3"/>
    <w:rsid w:val="00E43DCC"/>
    <w:rsid w:val="00E43F45"/>
    <w:rsid w:val="00E43F84"/>
    <w:rsid w:val="00E43FD8"/>
    <w:rsid w:val="00E44089"/>
    <w:rsid w:val="00E44F8D"/>
    <w:rsid w:val="00E4524C"/>
    <w:rsid w:val="00E4529A"/>
    <w:rsid w:val="00E454AA"/>
    <w:rsid w:val="00E45578"/>
    <w:rsid w:val="00E455D8"/>
    <w:rsid w:val="00E45713"/>
    <w:rsid w:val="00E45CAF"/>
    <w:rsid w:val="00E45E52"/>
    <w:rsid w:val="00E45E72"/>
    <w:rsid w:val="00E462A8"/>
    <w:rsid w:val="00E4649F"/>
    <w:rsid w:val="00E468EE"/>
    <w:rsid w:val="00E46D22"/>
    <w:rsid w:val="00E46FBD"/>
    <w:rsid w:val="00E47116"/>
    <w:rsid w:val="00E471BD"/>
    <w:rsid w:val="00E47244"/>
    <w:rsid w:val="00E47460"/>
    <w:rsid w:val="00E47937"/>
    <w:rsid w:val="00E47F5C"/>
    <w:rsid w:val="00E50047"/>
    <w:rsid w:val="00E50097"/>
    <w:rsid w:val="00E502BE"/>
    <w:rsid w:val="00E506DA"/>
    <w:rsid w:val="00E50703"/>
    <w:rsid w:val="00E507BE"/>
    <w:rsid w:val="00E50803"/>
    <w:rsid w:val="00E50BD8"/>
    <w:rsid w:val="00E515ED"/>
    <w:rsid w:val="00E51C47"/>
    <w:rsid w:val="00E520AD"/>
    <w:rsid w:val="00E52197"/>
    <w:rsid w:val="00E524C4"/>
    <w:rsid w:val="00E52760"/>
    <w:rsid w:val="00E52A67"/>
    <w:rsid w:val="00E52B4D"/>
    <w:rsid w:val="00E52C44"/>
    <w:rsid w:val="00E52CAE"/>
    <w:rsid w:val="00E52F88"/>
    <w:rsid w:val="00E53264"/>
    <w:rsid w:val="00E5347C"/>
    <w:rsid w:val="00E53537"/>
    <w:rsid w:val="00E538DE"/>
    <w:rsid w:val="00E53A2D"/>
    <w:rsid w:val="00E53BDC"/>
    <w:rsid w:val="00E53CA7"/>
    <w:rsid w:val="00E547AC"/>
    <w:rsid w:val="00E549CB"/>
    <w:rsid w:val="00E54C9B"/>
    <w:rsid w:val="00E54D81"/>
    <w:rsid w:val="00E5514A"/>
    <w:rsid w:val="00E5521A"/>
    <w:rsid w:val="00E5527D"/>
    <w:rsid w:val="00E5534C"/>
    <w:rsid w:val="00E55403"/>
    <w:rsid w:val="00E55579"/>
    <w:rsid w:val="00E557C9"/>
    <w:rsid w:val="00E5586F"/>
    <w:rsid w:val="00E56179"/>
    <w:rsid w:val="00E5636B"/>
    <w:rsid w:val="00E5647B"/>
    <w:rsid w:val="00E565AC"/>
    <w:rsid w:val="00E5663D"/>
    <w:rsid w:val="00E566AE"/>
    <w:rsid w:val="00E566E7"/>
    <w:rsid w:val="00E56A22"/>
    <w:rsid w:val="00E56DD2"/>
    <w:rsid w:val="00E56F71"/>
    <w:rsid w:val="00E572B4"/>
    <w:rsid w:val="00E574E5"/>
    <w:rsid w:val="00E57536"/>
    <w:rsid w:val="00E575E7"/>
    <w:rsid w:val="00E577BD"/>
    <w:rsid w:val="00E577E2"/>
    <w:rsid w:val="00E57AC4"/>
    <w:rsid w:val="00E57CAB"/>
    <w:rsid w:val="00E57DFD"/>
    <w:rsid w:val="00E6011B"/>
    <w:rsid w:val="00E6017B"/>
    <w:rsid w:val="00E601D2"/>
    <w:rsid w:val="00E604C7"/>
    <w:rsid w:val="00E60520"/>
    <w:rsid w:val="00E605EA"/>
    <w:rsid w:val="00E6063A"/>
    <w:rsid w:val="00E60692"/>
    <w:rsid w:val="00E607AB"/>
    <w:rsid w:val="00E608E7"/>
    <w:rsid w:val="00E60D3E"/>
    <w:rsid w:val="00E60F78"/>
    <w:rsid w:val="00E61112"/>
    <w:rsid w:val="00E61132"/>
    <w:rsid w:val="00E612A8"/>
    <w:rsid w:val="00E613FB"/>
    <w:rsid w:val="00E61438"/>
    <w:rsid w:val="00E614C0"/>
    <w:rsid w:val="00E6154A"/>
    <w:rsid w:val="00E61691"/>
    <w:rsid w:val="00E61753"/>
    <w:rsid w:val="00E61BEC"/>
    <w:rsid w:val="00E61DC3"/>
    <w:rsid w:val="00E61F0F"/>
    <w:rsid w:val="00E61F8D"/>
    <w:rsid w:val="00E6205E"/>
    <w:rsid w:val="00E620C0"/>
    <w:rsid w:val="00E62193"/>
    <w:rsid w:val="00E62619"/>
    <w:rsid w:val="00E627CB"/>
    <w:rsid w:val="00E629A5"/>
    <w:rsid w:val="00E62C87"/>
    <w:rsid w:val="00E62D55"/>
    <w:rsid w:val="00E62F56"/>
    <w:rsid w:val="00E62FA8"/>
    <w:rsid w:val="00E631DD"/>
    <w:rsid w:val="00E63324"/>
    <w:rsid w:val="00E63607"/>
    <w:rsid w:val="00E63742"/>
    <w:rsid w:val="00E637F4"/>
    <w:rsid w:val="00E63809"/>
    <w:rsid w:val="00E63857"/>
    <w:rsid w:val="00E638F3"/>
    <w:rsid w:val="00E63D85"/>
    <w:rsid w:val="00E63F6C"/>
    <w:rsid w:val="00E63F8E"/>
    <w:rsid w:val="00E640AF"/>
    <w:rsid w:val="00E640D5"/>
    <w:rsid w:val="00E641BE"/>
    <w:rsid w:val="00E6421C"/>
    <w:rsid w:val="00E643CE"/>
    <w:rsid w:val="00E6445F"/>
    <w:rsid w:val="00E6456C"/>
    <w:rsid w:val="00E647A7"/>
    <w:rsid w:val="00E6486F"/>
    <w:rsid w:val="00E64B40"/>
    <w:rsid w:val="00E64CA5"/>
    <w:rsid w:val="00E650AC"/>
    <w:rsid w:val="00E653FB"/>
    <w:rsid w:val="00E656B8"/>
    <w:rsid w:val="00E658ED"/>
    <w:rsid w:val="00E65B64"/>
    <w:rsid w:val="00E65C33"/>
    <w:rsid w:val="00E65DB6"/>
    <w:rsid w:val="00E65E6C"/>
    <w:rsid w:val="00E662ED"/>
    <w:rsid w:val="00E66408"/>
    <w:rsid w:val="00E6666B"/>
    <w:rsid w:val="00E66897"/>
    <w:rsid w:val="00E669D2"/>
    <w:rsid w:val="00E66B20"/>
    <w:rsid w:val="00E66E2A"/>
    <w:rsid w:val="00E66F45"/>
    <w:rsid w:val="00E6704C"/>
    <w:rsid w:val="00E6707C"/>
    <w:rsid w:val="00E670C4"/>
    <w:rsid w:val="00E671A5"/>
    <w:rsid w:val="00E6752E"/>
    <w:rsid w:val="00E67667"/>
    <w:rsid w:val="00E67748"/>
    <w:rsid w:val="00E6780A"/>
    <w:rsid w:val="00E67DCC"/>
    <w:rsid w:val="00E67E1A"/>
    <w:rsid w:val="00E67EF1"/>
    <w:rsid w:val="00E67EF6"/>
    <w:rsid w:val="00E7041E"/>
    <w:rsid w:val="00E70487"/>
    <w:rsid w:val="00E70660"/>
    <w:rsid w:val="00E70EBF"/>
    <w:rsid w:val="00E7109C"/>
    <w:rsid w:val="00E715CC"/>
    <w:rsid w:val="00E71705"/>
    <w:rsid w:val="00E71909"/>
    <w:rsid w:val="00E71993"/>
    <w:rsid w:val="00E71F4B"/>
    <w:rsid w:val="00E720D1"/>
    <w:rsid w:val="00E72170"/>
    <w:rsid w:val="00E721BE"/>
    <w:rsid w:val="00E72577"/>
    <w:rsid w:val="00E7264A"/>
    <w:rsid w:val="00E7299D"/>
    <w:rsid w:val="00E72DF8"/>
    <w:rsid w:val="00E7320B"/>
    <w:rsid w:val="00E73DF6"/>
    <w:rsid w:val="00E7460A"/>
    <w:rsid w:val="00E7467A"/>
    <w:rsid w:val="00E74AED"/>
    <w:rsid w:val="00E74DA1"/>
    <w:rsid w:val="00E74FFE"/>
    <w:rsid w:val="00E7518F"/>
    <w:rsid w:val="00E751BE"/>
    <w:rsid w:val="00E751E7"/>
    <w:rsid w:val="00E754F9"/>
    <w:rsid w:val="00E75558"/>
    <w:rsid w:val="00E758AE"/>
    <w:rsid w:val="00E758CE"/>
    <w:rsid w:val="00E75C12"/>
    <w:rsid w:val="00E75C54"/>
    <w:rsid w:val="00E75D66"/>
    <w:rsid w:val="00E76291"/>
    <w:rsid w:val="00E76456"/>
    <w:rsid w:val="00E764EE"/>
    <w:rsid w:val="00E7669E"/>
    <w:rsid w:val="00E766C0"/>
    <w:rsid w:val="00E7685A"/>
    <w:rsid w:val="00E76C15"/>
    <w:rsid w:val="00E76CD0"/>
    <w:rsid w:val="00E76D9B"/>
    <w:rsid w:val="00E76DCA"/>
    <w:rsid w:val="00E76E67"/>
    <w:rsid w:val="00E76E7D"/>
    <w:rsid w:val="00E77829"/>
    <w:rsid w:val="00E80403"/>
    <w:rsid w:val="00E8048B"/>
    <w:rsid w:val="00E810E2"/>
    <w:rsid w:val="00E81111"/>
    <w:rsid w:val="00E81171"/>
    <w:rsid w:val="00E8139A"/>
    <w:rsid w:val="00E815EC"/>
    <w:rsid w:val="00E8179C"/>
    <w:rsid w:val="00E817F9"/>
    <w:rsid w:val="00E81B85"/>
    <w:rsid w:val="00E81D6F"/>
    <w:rsid w:val="00E81DC5"/>
    <w:rsid w:val="00E820D2"/>
    <w:rsid w:val="00E824D7"/>
    <w:rsid w:val="00E82828"/>
    <w:rsid w:val="00E82A85"/>
    <w:rsid w:val="00E82CEE"/>
    <w:rsid w:val="00E82DA8"/>
    <w:rsid w:val="00E82E37"/>
    <w:rsid w:val="00E82E40"/>
    <w:rsid w:val="00E832E3"/>
    <w:rsid w:val="00E83368"/>
    <w:rsid w:val="00E833E2"/>
    <w:rsid w:val="00E83926"/>
    <w:rsid w:val="00E839EF"/>
    <w:rsid w:val="00E83CC2"/>
    <w:rsid w:val="00E841AF"/>
    <w:rsid w:val="00E8468F"/>
    <w:rsid w:val="00E848CB"/>
    <w:rsid w:val="00E84D3A"/>
    <w:rsid w:val="00E84EAA"/>
    <w:rsid w:val="00E84F26"/>
    <w:rsid w:val="00E851B1"/>
    <w:rsid w:val="00E851B4"/>
    <w:rsid w:val="00E8552F"/>
    <w:rsid w:val="00E856D4"/>
    <w:rsid w:val="00E858A4"/>
    <w:rsid w:val="00E860A5"/>
    <w:rsid w:val="00E860EC"/>
    <w:rsid w:val="00E86198"/>
    <w:rsid w:val="00E86268"/>
    <w:rsid w:val="00E864C3"/>
    <w:rsid w:val="00E865A3"/>
    <w:rsid w:val="00E8662E"/>
    <w:rsid w:val="00E866AF"/>
    <w:rsid w:val="00E8686F"/>
    <w:rsid w:val="00E86C4D"/>
    <w:rsid w:val="00E86E00"/>
    <w:rsid w:val="00E86EC5"/>
    <w:rsid w:val="00E86F32"/>
    <w:rsid w:val="00E8747B"/>
    <w:rsid w:val="00E87A67"/>
    <w:rsid w:val="00E87B48"/>
    <w:rsid w:val="00E87E08"/>
    <w:rsid w:val="00E87E18"/>
    <w:rsid w:val="00E9011C"/>
    <w:rsid w:val="00E902A6"/>
    <w:rsid w:val="00E9056B"/>
    <w:rsid w:val="00E908E0"/>
    <w:rsid w:val="00E909CA"/>
    <w:rsid w:val="00E90A34"/>
    <w:rsid w:val="00E90EE6"/>
    <w:rsid w:val="00E91C8C"/>
    <w:rsid w:val="00E91C9E"/>
    <w:rsid w:val="00E91CA6"/>
    <w:rsid w:val="00E91CD1"/>
    <w:rsid w:val="00E9203B"/>
    <w:rsid w:val="00E9239F"/>
    <w:rsid w:val="00E9257C"/>
    <w:rsid w:val="00E92646"/>
    <w:rsid w:val="00E92652"/>
    <w:rsid w:val="00E929D8"/>
    <w:rsid w:val="00E92BF8"/>
    <w:rsid w:val="00E92CFE"/>
    <w:rsid w:val="00E933E4"/>
    <w:rsid w:val="00E9361C"/>
    <w:rsid w:val="00E9373B"/>
    <w:rsid w:val="00E93ED0"/>
    <w:rsid w:val="00E94143"/>
    <w:rsid w:val="00E9462E"/>
    <w:rsid w:val="00E94671"/>
    <w:rsid w:val="00E9467E"/>
    <w:rsid w:val="00E9475D"/>
    <w:rsid w:val="00E9484C"/>
    <w:rsid w:val="00E948C1"/>
    <w:rsid w:val="00E94A4F"/>
    <w:rsid w:val="00E94D56"/>
    <w:rsid w:val="00E94E24"/>
    <w:rsid w:val="00E94E40"/>
    <w:rsid w:val="00E94EC2"/>
    <w:rsid w:val="00E94F77"/>
    <w:rsid w:val="00E95128"/>
    <w:rsid w:val="00E952A3"/>
    <w:rsid w:val="00E9565C"/>
    <w:rsid w:val="00E959FF"/>
    <w:rsid w:val="00E95B02"/>
    <w:rsid w:val="00E95F58"/>
    <w:rsid w:val="00E96283"/>
    <w:rsid w:val="00E9677F"/>
    <w:rsid w:val="00E96DBC"/>
    <w:rsid w:val="00E96FB8"/>
    <w:rsid w:val="00E96FC2"/>
    <w:rsid w:val="00E9711E"/>
    <w:rsid w:val="00E971D8"/>
    <w:rsid w:val="00E973C2"/>
    <w:rsid w:val="00E97A0D"/>
    <w:rsid w:val="00E97C4C"/>
    <w:rsid w:val="00E97FC7"/>
    <w:rsid w:val="00EA0056"/>
    <w:rsid w:val="00EA0332"/>
    <w:rsid w:val="00EA033C"/>
    <w:rsid w:val="00EA060E"/>
    <w:rsid w:val="00EA0907"/>
    <w:rsid w:val="00EA0AD4"/>
    <w:rsid w:val="00EA179A"/>
    <w:rsid w:val="00EA1845"/>
    <w:rsid w:val="00EA1D6B"/>
    <w:rsid w:val="00EA1ED3"/>
    <w:rsid w:val="00EA21DB"/>
    <w:rsid w:val="00EA2258"/>
    <w:rsid w:val="00EA2328"/>
    <w:rsid w:val="00EA24AD"/>
    <w:rsid w:val="00EA25A2"/>
    <w:rsid w:val="00EA263A"/>
    <w:rsid w:val="00EA2C5D"/>
    <w:rsid w:val="00EA2CF7"/>
    <w:rsid w:val="00EA2FCB"/>
    <w:rsid w:val="00EA3139"/>
    <w:rsid w:val="00EA33B1"/>
    <w:rsid w:val="00EA3B92"/>
    <w:rsid w:val="00EA3C34"/>
    <w:rsid w:val="00EA40DF"/>
    <w:rsid w:val="00EA4280"/>
    <w:rsid w:val="00EA4478"/>
    <w:rsid w:val="00EA47EB"/>
    <w:rsid w:val="00EA4997"/>
    <w:rsid w:val="00EA4A8F"/>
    <w:rsid w:val="00EA53FB"/>
    <w:rsid w:val="00EA5485"/>
    <w:rsid w:val="00EA54BD"/>
    <w:rsid w:val="00EA5978"/>
    <w:rsid w:val="00EA59E7"/>
    <w:rsid w:val="00EA632C"/>
    <w:rsid w:val="00EA6356"/>
    <w:rsid w:val="00EA6377"/>
    <w:rsid w:val="00EA6502"/>
    <w:rsid w:val="00EA6549"/>
    <w:rsid w:val="00EA6839"/>
    <w:rsid w:val="00EA6A76"/>
    <w:rsid w:val="00EA6BD0"/>
    <w:rsid w:val="00EA6BF7"/>
    <w:rsid w:val="00EA6CA0"/>
    <w:rsid w:val="00EA6D53"/>
    <w:rsid w:val="00EA6E0D"/>
    <w:rsid w:val="00EA7374"/>
    <w:rsid w:val="00EA752D"/>
    <w:rsid w:val="00EA768D"/>
    <w:rsid w:val="00EA76AF"/>
    <w:rsid w:val="00EA7BC7"/>
    <w:rsid w:val="00EA7C13"/>
    <w:rsid w:val="00EA7C59"/>
    <w:rsid w:val="00EA7D58"/>
    <w:rsid w:val="00EA7E09"/>
    <w:rsid w:val="00EA7F7A"/>
    <w:rsid w:val="00EB0069"/>
    <w:rsid w:val="00EB00DD"/>
    <w:rsid w:val="00EB0103"/>
    <w:rsid w:val="00EB02C8"/>
    <w:rsid w:val="00EB035D"/>
    <w:rsid w:val="00EB0501"/>
    <w:rsid w:val="00EB05F9"/>
    <w:rsid w:val="00EB0618"/>
    <w:rsid w:val="00EB0804"/>
    <w:rsid w:val="00EB0C28"/>
    <w:rsid w:val="00EB0EB7"/>
    <w:rsid w:val="00EB0EEF"/>
    <w:rsid w:val="00EB0F1E"/>
    <w:rsid w:val="00EB0FFF"/>
    <w:rsid w:val="00EB11C9"/>
    <w:rsid w:val="00EB1625"/>
    <w:rsid w:val="00EB1719"/>
    <w:rsid w:val="00EB1911"/>
    <w:rsid w:val="00EB197B"/>
    <w:rsid w:val="00EB19CC"/>
    <w:rsid w:val="00EB1A3B"/>
    <w:rsid w:val="00EB1E3A"/>
    <w:rsid w:val="00EB25E2"/>
    <w:rsid w:val="00EB25E3"/>
    <w:rsid w:val="00EB27BD"/>
    <w:rsid w:val="00EB29FB"/>
    <w:rsid w:val="00EB2B6D"/>
    <w:rsid w:val="00EB2CA1"/>
    <w:rsid w:val="00EB2E4D"/>
    <w:rsid w:val="00EB30A0"/>
    <w:rsid w:val="00EB3191"/>
    <w:rsid w:val="00EB31CE"/>
    <w:rsid w:val="00EB3291"/>
    <w:rsid w:val="00EB32E8"/>
    <w:rsid w:val="00EB3380"/>
    <w:rsid w:val="00EB36D7"/>
    <w:rsid w:val="00EB38C5"/>
    <w:rsid w:val="00EB3A72"/>
    <w:rsid w:val="00EB43C0"/>
    <w:rsid w:val="00EB442E"/>
    <w:rsid w:val="00EB44AC"/>
    <w:rsid w:val="00EB45F7"/>
    <w:rsid w:val="00EB485E"/>
    <w:rsid w:val="00EB4CD0"/>
    <w:rsid w:val="00EB4CD2"/>
    <w:rsid w:val="00EB4E1B"/>
    <w:rsid w:val="00EB4E57"/>
    <w:rsid w:val="00EB4FCF"/>
    <w:rsid w:val="00EB50DC"/>
    <w:rsid w:val="00EB51DF"/>
    <w:rsid w:val="00EB5312"/>
    <w:rsid w:val="00EB59D8"/>
    <w:rsid w:val="00EB5C67"/>
    <w:rsid w:val="00EB5FF2"/>
    <w:rsid w:val="00EB6652"/>
    <w:rsid w:val="00EB66E3"/>
    <w:rsid w:val="00EB68F7"/>
    <w:rsid w:val="00EB6E3C"/>
    <w:rsid w:val="00EB6F59"/>
    <w:rsid w:val="00EB6FCD"/>
    <w:rsid w:val="00EB701B"/>
    <w:rsid w:val="00EB7125"/>
    <w:rsid w:val="00EB723A"/>
    <w:rsid w:val="00EB743F"/>
    <w:rsid w:val="00EB760A"/>
    <w:rsid w:val="00EB7C79"/>
    <w:rsid w:val="00EB7ED9"/>
    <w:rsid w:val="00EB7FA1"/>
    <w:rsid w:val="00EC009E"/>
    <w:rsid w:val="00EC0353"/>
    <w:rsid w:val="00EC0866"/>
    <w:rsid w:val="00EC08D8"/>
    <w:rsid w:val="00EC0B70"/>
    <w:rsid w:val="00EC0D09"/>
    <w:rsid w:val="00EC0FA2"/>
    <w:rsid w:val="00EC11D1"/>
    <w:rsid w:val="00EC1304"/>
    <w:rsid w:val="00EC1336"/>
    <w:rsid w:val="00EC18CD"/>
    <w:rsid w:val="00EC18D2"/>
    <w:rsid w:val="00EC1BDD"/>
    <w:rsid w:val="00EC1C0D"/>
    <w:rsid w:val="00EC1FEB"/>
    <w:rsid w:val="00EC22E0"/>
    <w:rsid w:val="00EC23C4"/>
    <w:rsid w:val="00EC2417"/>
    <w:rsid w:val="00EC249A"/>
    <w:rsid w:val="00EC2587"/>
    <w:rsid w:val="00EC260C"/>
    <w:rsid w:val="00EC27DE"/>
    <w:rsid w:val="00EC2D22"/>
    <w:rsid w:val="00EC332C"/>
    <w:rsid w:val="00EC3530"/>
    <w:rsid w:val="00EC3779"/>
    <w:rsid w:val="00EC3A35"/>
    <w:rsid w:val="00EC3AFE"/>
    <w:rsid w:val="00EC3C16"/>
    <w:rsid w:val="00EC3E67"/>
    <w:rsid w:val="00EC4469"/>
    <w:rsid w:val="00EC4533"/>
    <w:rsid w:val="00EC493E"/>
    <w:rsid w:val="00EC494B"/>
    <w:rsid w:val="00EC496E"/>
    <w:rsid w:val="00EC49DB"/>
    <w:rsid w:val="00EC4FAA"/>
    <w:rsid w:val="00EC50FB"/>
    <w:rsid w:val="00EC5322"/>
    <w:rsid w:val="00EC553D"/>
    <w:rsid w:val="00EC55E3"/>
    <w:rsid w:val="00EC58F7"/>
    <w:rsid w:val="00EC5A37"/>
    <w:rsid w:val="00EC5AC6"/>
    <w:rsid w:val="00EC5C94"/>
    <w:rsid w:val="00EC5CB2"/>
    <w:rsid w:val="00EC5CDC"/>
    <w:rsid w:val="00EC5EAF"/>
    <w:rsid w:val="00EC631A"/>
    <w:rsid w:val="00EC66A1"/>
    <w:rsid w:val="00EC6786"/>
    <w:rsid w:val="00EC6950"/>
    <w:rsid w:val="00EC6BF0"/>
    <w:rsid w:val="00EC6C60"/>
    <w:rsid w:val="00EC6F79"/>
    <w:rsid w:val="00EC709B"/>
    <w:rsid w:val="00EC76E3"/>
    <w:rsid w:val="00EC7CFB"/>
    <w:rsid w:val="00EC7D2B"/>
    <w:rsid w:val="00EC7DAB"/>
    <w:rsid w:val="00ED040D"/>
    <w:rsid w:val="00ED0979"/>
    <w:rsid w:val="00ED0A3E"/>
    <w:rsid w:val="00ED116D"/>
    <w:rsid w:val="00ED11CD"/>
    <w:rsid w:val="00ED12B0"/>
    <w:rsid w:val="00ED12DD"/>
    <w:rsid w:val="00ED1317"/>
    <w:rsid w:val="00ED16C0"/>
    <w:rsid w:val="00ED177B"/>
    <w:rsid w:val="00ED185F"/>
    <w:rsid w:val="00ED1CA8"/>
    <w:rsid w:val="00ED1FE5"/>
    <w:rsid w:val="00ED2187"/>
    <w:rsid w:val="00ED23A1"/>
    <w:rsid w:val="00ED2707"/>
    <w:rsid w:val="00ED2AA8"/>
    <w:rsid w:val="00ED2BCE"/>
    <w:rsid w:val="00ED2CD9"/>
    <w:rsid w:val="00ED2D4F"/>
    <w:rsid w:val="00ED30BC"/>
    <w:rsid w:val="00ED3258"/>
    <w:rsid w:val="00ED326A"/>
    <w:rsid w:val="00ED32AC"/>
    <w:rsid w:val="00ED32B7"/>
    <w:rsid w:val="00ED32E5"/>
    <w:rsid w:val="00ED398B"/>
    <w:rsid w:val="00ED3A95"/>
    <w:rsid w:val="00ED3CF8"/>
    <w:rsid w:val="00ED42A3"/>
    <w:rsid w:val="00ED4536"/>
    <w:rsid w:val="00ED48ED"/>
    <w:rsid w:val="00ED4B70"/>
    <w:rsid w:val="00ED4CAF"/>
    <w:rsid w:val="00ED4DFD"/>
    <w:rsid w:val="00ED4F86"/>
    <w:rsid w:val="00ED4FB9"/>
    <w:rsid w:val="00ED538B"/>
    <w:rsid w:val="00ED55B1"/>
    <w:rsid w:val="00ED5703"/>
    <w:rsid w:val="00ED5EFD"/>
    <w:rsid w:val="00ED5F0A"/>
    <w:rsid w:val="00ED5FF0"/>
    <w:rsid w:val="00ED6030"/>
    <w:rsid w:val="00ED6106"/>
    <w:rsid w:val="00ED61AC"/>
    <w:rsid w:val="00ED6370"/>
    <w:rsid w:val="00ED642E"/>
    <w:rsid w:val="00ED685D"/>
    <w:rsid w:val="00ED6ADE"/>
    <w:rsid w:val="00ED6AE0"/>
    <w:rsid w:val="00ED6F0B"/>
    <w:rsid w:val="00ED6F1C"/>
    <w:rsid w:val="00ED6F4B"/>
    <w:rsid w:val="00ED703C"/>
    <w:rsid w:val="00ED7045"/>
    <w:rsid w:val="00ED70AE"/>
    <w:rsid w:val="00ED70EA"/>
    <w:rsid w:val="00ED7115"/>
    <w:rsid w:val="00ED718E"/>
    <w:rsid w:val="00ED72BD"/>
    <w:rsid w:val="00ED759A"/>
    <w:rsid w:val="00ED76AC"/>
    <w:rsid w:val="00ED7777"/>
    <w:rsid w:val="00ED7C4F"/>
    <w:rsid w:val="00ED7C65"/>
    <w:rsid w:val="00ED7D14"/>
    <w:rsid w:val="00ED7D39"/>
    <w:rsid w:val="00ED7D97"/>
    <w:rsid w:val="00EE04F8"/>
    <w:rsid w:val="00EE0BBA"/>
    <w:rsid w:val="00EE0DBB"/>
    <w:rsid w:val="00EE16C9"/>
    <w:rsid w:val="00EE1741"/>
    <w:rsid w:val="00EE17ED"/>
    <w:rsid w:val="00EE1872"/>
    <w:rsid w:val="00EE1BCF"/>
    <w:rsid w:val="00EE1D50"/>
    <w:rsid w:val="00EE1F55"/>
    <w:rsid w:val="00EE1F5A"/>
    <w:rsid w:val="00EE22E4"/>
    <w:rsid w:val="00EE2304"/>
    <w:rsid w:val="00EE2448"/>
    <w:rsid w:val="00EE261C"/>
    <w:rsid w:val="00EE26D2"/>
    <w:rsid w:val="00EE26F5"/>
    <w:rsid w:val="00EE2F44"/>
    <w:rsid w:val="00EE312A"/>
    <w:rsid w:val="00EE3372"/>
    <w:rsid w:val="00EE33CC"/>
    <w:rsid w:val="00EE33E6"/>
    <w:rsid w:val="00EE3750"/>
    <w:rsid w:val="00EE385C"/>
    <w:rsid w:val="00EE3C66"/>
    <w:rsid w:val="00EE3CC5"/>
    <w:rsid w:val="00EE3F95"/>
    <w:rsid w:val="00EE4224"/>
    <w:rsid w:val="00EE45E3"/>
    <w:rsid w:val="00EE486E"/>
    <w:rsid w:val="00EE48D9"/>
    <w:rsid w:val="00EE4A29"/>
    <w:rsid w:val="00EE4CEF"/>
    <w:rsid w:val="00EE4F45"/>
    <w:rsid w:val="00EE5002"/>
    <w:rsid w:val="00EE5119"/>
    <w:rsid w:val="00EE52EF"/>
    <w:rsid w:val="00EE5301"/>
    <w:rsid w:val="00EE53A0"/>
    <w:rsid w:val="00EE54F9"/>
    <w:rsid w:val="00EE589B"/>
    <w:rsid w:val="00EE59FF"/>
    <w:rsid w:val="00EE5BC0"/>
    <w:rsid w:val="00EE5C1A"/>
    <w:rsid w:val="00EE5C75"/>
    <w:rsid w:val="00EE5D8F"/>
    <w:rsid w:val="00EE6057"/>
    <w:rsid w:val="00EE649D"/>
    <w:rsid w:val="00EE65C6"/>
    <w:rsid w:val="00EE6647"/>
    <w:rsid w:val="00EE68B5"/>
    <w:rsid w:val="00EE6E47"/>
    <w:rsid w:val="00EE726A"/>
    <w:rsid w:val="00EE737A"/>
    <w:rsid w:val="00EE7917"/>
    <w:rsid w:val="00EE7AE8"/>
    <w:rsid w:val="00EE7EC4"/>
    <w:rsid w:val="00EF014A"/>
    <w:rsid w:val="00EF019F"/>
    <w:rsid w:val="00EF03B8"/>
    <w:rsid w:val="00EF071C"/>
    <w:rsid w:val="00EF07ED"/>
    <w:rsid w:val="00EF087B"/>
    <w:rsid w:val="00EF0CA7"/>
    <w:rsid w:val="00EF0F1D"/>
    <w:rsid w:val="00EF0FE2"/>
    <w:rsid w:val="00EF1113"/>
    <w:rsid w:val="00EF1460"/>
    <w:rsid w:val="00EF1580"/>
    <w:rsid w:val="00EF15A0"/>
    <w:rsid w:val="00EF1638"/>
    <w:rsid w:val="00EF1708"/>
    <w:rsid w:val="00EF1D13"/>
    <w:rsid w:val="00EF1DB7"/>
    <w:rsid w:val="00EF2107"/>
    <w:rsid w:val="00EF21B1"/>
    <w:rsid w:val="00EF24B3"/>
    <w:rsid w:val="00EF24EB"/>
    <w:rsid w:val="00EF26EB"/>
    <w:rsid w:val="00EF2FF2"/>
    <w:rsid w:val="00EF34C1"/>
    <w:rsid w:val="00EF353C"/>
    <w:rsid w:val="00EF3AF4"/>
    <w:rsid w:val="00EF3C7B"/>
    <w:rsid w:val="00EF3CAD"/>
    <w:rsid w:val="00EF3FBC"/>
    <w:rsid w:val="00EF3FD5"/>
    <w:rsid w:val="00EF417B"/>
    <w:rsid w:val="00EF457F"/>
    <w:rsid w:val="00EF4FC0"/>
    <w:rsid w:val="00EF5391"/>
    <w:rsid w:val="00EF53BA"/>
    <w:rsid w:val="00EF5592"/>
    <w:rsid w:val="00EF56A4"/>
    <w:rsid w:val="00EF5C27"/>
    <w:rsid w:val="00EF5CB5"/>
    <w:rsid w:val="00EF5EAE"/>
    <w:rsid w:val="00EF603F"/>
    <w:rsid w:val="00EF6531"/>
    <w:rsid w:val="00EF658B"/>
    <w:rsid w:val="00EF6700"/>
    <w:rsid w:val="00EF69F6"/>
    <w:rsid w:val="00EF6D79"/>
    <w:rsid w:val="00EF7018"/>
    <w:rsid w:val="00EF718C"/>
    <w:rsid w:val="00EF71CA"/>
    <w:rsid w:val="00EF74C5"/>
    <w:rsid w:val="00EF7709"/>
    <w:rsid w:val="00EF7757"/>
    <w:rsid w:val="00EF7840"/>
    <w:rsid w:val="00EF7A1D"/>
    <w:rsid w:val="00EF7B40"/>
    <w:rsid w:val="00EF7C07"/>
    <w:rsid w:val="00EF7CE8"/>
    <w:rsid w:val="00EF7FA4"/>
    <w:rsid w:val="00F000D2"/>
    <w:rsid w:val="00F00126"/>
    <w:rsid w:val="00F0030B"/>
    <w:rsid w:val="00F003EE"/>
    <w:rsid w:val="00F003F2"/>
    <w:rsid w:val="00F0058E"/>
    <w:rsid w:val="00F00690"/>
    <w:rsid w:val="00F006AA"/>
    <w:rsid w:val="00F00703"/>
    <w:rsid w:val="00F00782"/>
    <w:rsid w:val="00F012F5"/>
    <w:rsid w:val="00F014DE"/>
    <w:rsid w:val="00F019E4"/>
    <w:rsid w:val="00F01AED"/>
    <w:rsid w:val="00F01C89"/>
    <w:rsid w:val="00F02531"/>
    <w:rsid w:val="00F02631"/>
    <w:rsid w:val="00F0267D"/>
    <w:rsid w:val="00F028D0"/>
    <w:rsid w:val="00F02C73"/>
    <w:rsid w:val="00F02D57"/>
    <w:rsid w:val="00F02F1F"/>
    <w:rsid w:val="00F03057"/>
    <w:rsid w:val="00F031B9"/>
    <w:rsid w:val="00F03250"/>
    <w:rsid w:val="00F03842"/>
    <w:rsid w:val="00F03D78"/>
    <w:rsid w:val="00F03FCE"/>
    <w:rsid w:val="00F04140"/>
    <w:rsid w:val="00F04BA3"/>
    <w:rsid w:val="00F04DA5"/>
    <w:rsid w:val="00F04F63"/>
    <w:rsid w:val="00F04F67"/>
    <w:rsid w:val="00F052C5"/>
    <w:rsid w:val="00F05342"/>
    <w:rsid w:val="00F05602"/>
    <w:rsid w:val="00F05825"/>
    <w:rsid w:val="00F058E7"/>
    <w:rsid w:val="00F05E27"/>
    <w:rsid w:val="00F0606E"/>
    <w:rsid w:val="00F0612A"/>
    <w:rsid w:val="00F06877"/>
    <w:rsid w:val="00F06ACA"/>
    <w:rsid w:val="00F06DE9"/>
    <w:rsid w:val="00F072EE"/>
    <w:rsid w:val="00F07373"/>
    <w:rsid w:val="00F0768B"/>
    <w:rsid w:val="00F076B1"/>
    <w:rsid w:val="00F076C9"/>
    <w:rsid w:val="00F077B8"/>
    <w:rsid w:val="00F07B08"/>
    <w:rsid w:val="00F07C60"/>
    <w:rsid w:val="00F07FB7"/>
    <w:rsid w:val="00F07FE4"/>
    <w:rsid w:val="00F10131"/>
    <w:rsid w:val="00F10446"/>
    <w:rsid w:val="00F106E2"/>
    <w:rsid w:val="00F107BE"/>
    <w:rsid w:val="00F10890"/>
    <w:rsid w:val="00F108D8"/>
    <w:rsid w:val="00F108E9"/>
    <w:rsid w:val="00F10B82"/>
    <w:rsid w:val="00F10C0E"/>
    <w:rsid w:val="00F10DDF"/>
    <w:rsid w:val="00F10E3E"/>
    <w:rsid w:val="00F10F74"/>
    <w:rsid w:val="00F112FC"/>
    <w:rsid w:val="00F11363"/>
    <w:rsid w:val="00F115B8"/>
    <w:rsid w:val="00F11819"/>
    <w:rsid w:val="00F119BA"/>
    <w:rsid w:val="00F11B58"/>
    <w:rsid w:val="00F11D95"/>
    <w:rsid w:val="00F122F6"/>
    <w:rsid w:val="00F12629"/>
    <w:rsid w:val="00F1277C"/>
    <w:rsid w:val="00F1279D"/>
    <w:rsid w:val="00F127AD"/>
    <w:rsid w:val="00F12867"/>
    <w:rsid w:val="00F12A4D"/>
    <w:rsid w:val="00F12B78"/>
    <w:rsid w:val="00F137F4"/>
    <w:rsid w:val="00F13A02"/>
    <w:rsid w:val="00F13BDF"/>
    <w:rsid w:val="00F1430D"/>
    <w:rsid w:val="00F14392"/>
    <w:rsid w:val="00F1440B"/>
    <w:rsid w:val="00F14433"/>
    <w:rsid w:val="00F144B7"/>
    <w:rsid w:val="00F14714"/>
    <w:rsid w:val="00F149D1"/>
    <w:rsid w:val="00F14DE7"/>
    <w:rsid w:val="00F14E43"/>
    <w:rsid w:val="00F15928"/>
    <w:rsid w:val="00F159C8"/>
    <w:rsid w:val="00F15B00"/>
    <w:rsid w:val="00F15B1A"/>
    <w:rsid w:val="00F16336"/>
    <w:rsid w:val="00F16383"/>
    <w:rsid w:val="00F164C8"/>
    <w:rsid w:val="00F16ABD"/>
    <w:rsid w:val="00F170D0"/>
    <w:rsid w:val="00F17179"/>
    <w:rsid w:val="00F17B1F"/>
    <w:rsid w:val="00F17BFE"/>
    <w:rsid w:val="00F17CB6"/>
    <w:rsid w:val="00F200CA"/>
    <w:rsid w:val="00F202D8"/>
    <w:rsid w:val="00F205C7"/>
    <w:rsid w:val="00F20675"/>
    <w:rsid w:val="00F20933"/>
    <w:rsid w:val="00F20BCC"/>
    <w:rsid w:val="00F20C12"/>
    <w:rsid w:val="00F20D2E"/>
    <w:rsid w:val="00F20E6C"/>
    <w:rsid w:val="00F20E74"/>
    <w:rsid w:val="00F20E9A"/>
    <w:rsid w:val="00F20F53"/>
    <w:rsid w:val="00F211A0"/>
    <w:rsid w:val="00F21272"/>
    <w:rsid w:val="00F212C9"/>
    <w:rsid w:val="00F213BE"/>
    <w:rsid w:val="00F213C5"/>
    <w:rsid w:val="00F21593"/>
    <w:rsid w:val="00F216B5"/>
    <w:rsid w:val="00F21859"/>
    <w:rsid w:val="00F21950"/>
    <w:rsid w:val="00F21A26"/>
    <w:rsid w:val="00F21DFB"/>
    <w:rsid w:val="00F21E3D"/>
    <w:rsid w:val="00F21FF6"/>
    <w:rsid w:val="00F22802"/>
    <w:rsid w:val="00F22B0F"/>
    <w:rsid w:val="00F22DE4"/>
    <w:rsid w:val="00F22DF3"/>
    <w:rsid w:val="00F22FD5"/>
    <w:rsid w:val="00F23135"/>
    <w:rsid w:val="00F234E7"/>
    <w:rsid w:val="00F23672"/>
    <w:rsid w:val="00F23775"/>
    <w:rsid w:val="00F238AD"/>
    <w:rsid w:val="00F23D8B"/>
    <w:rsid w:val="00F23FC3"/>
    <w:rsid w:val="00F2446C"/>
    <w:rsid w:val="00F244AD"/>
    <w:rsid w:val="00F246FA"/>
    <w:rsid w:val="00F2472A"/>
    <w:rsid w:val="00F24BA1"/>
    <w:rsid w:val="00F24D5F"/>
    <w:rsid w:val="00F24ECA"/>
    <w:rsid w:val="00F25256"/>
    <w:rsid w:val="00F25725"/>
    <w:rsid w:val="00F258E0"/>
    <w:rsid w:val="00F25A2A"/>
    <w:rsid w:val="00F25E49"/>
    <w:rsid w:val="00F2611E"/>
    <w:rsid w:val="00F26153"/>
    <w:rsid w:val="00F2619A"/>
    <w:rsid w:val="00F2625F"/>
    <w:rsid w:val="00F262D0"/>
    <w:rsid w:val="00F266EF"/>
    <w:rsid w:val="00F2691B"/>
    <w:rsid w:val="00F269D7"/>
    <w:rsid w:val="00F26BB9"/>
    <w:rsid w:val="00F26E73"/>
    <w:rsid w:val="00F26E9D"/>
    <w:rsid w:val="00F26F57"/>
    <w:rsid w:val="00F270BB"/>
    <w:rsid w:val="00F272B8"/>
    <w:rsid w:val="00F275F0"/>
    <w:rsid w:val="00F27934"/>
    <w:rsid w:val="00F27B35"/>
    <w:rsid w:val="00F27D95"/>
    <w:rsid w:val="00F3002E"/>
    <w:rsid w:val="00F30499"/>
    <w:rsid w:val="00F30D97"/>
    <w:rsid w:val="00F31238"/>
    <w:rsid w:val="00F313F8"/>
    <w:rsid w:val="00F31597"/>
    <w:rsid w:val="00F31B91"/>
    <w:rsid w:val="00F32482"/>
    <w:rsid w:val="00F32701"/>
    <w:rsid w:val="00F3275C"/>
    <w:rsid w:val="00F3282A"/>
    <w:rsid w:val="00F32E58"/>
    <w:rsid w:val="00F32F05"/>
    <w:rsid w:val="00F33101"/>
    <w:rsid w:val="00F33140"/>
    <w:rsid w:val="00F332D0"/>
    <w:rsid w:val="00F33439"/>
    <w:rsid w:val="00F335E6"/>
    <w:rsid w:val="00F33808"/>
    <w:rsid w:val="00F33A0F"/>
    <w:rsid w:val="00F33A55"/>
    <w:rsid w:val="00F33DA6"/>
    <w:rsid w:val="00F33EF5"/>
    <w:rsid w:val="00F3436B"/>
    <w:rsid w:val="00F34424"/>
    <w:rsid w:val="00F3454A"/>
    <w:rsid w:val="00F3493D"/>
    <w:rsid w:val="00F34947"/>
    <w:rsid w:val="00F349DD"/>
    <w:rsid w:val="00F34BF0"/>
    <w:rsid w:val="00F35201"/>
    <w:rsid w:val="00F355F0"/>
    <w:rsid w:val="00F35728"/>
    <w:rsid w:val="00F359A8"/>
    <w:rsid w:val="00F359D9"/>
    <w:rsid w:val="00F35AAB"/>
    <w:rsid w:val="00F35BB3"/>
    <w:rsid w:val="00F35EF4"/>
    <w:rsid w:val="00F35F4D"/>
    <w:rsid w:val="00F3670D"/>
    <w:rsid w:val="00F368A8"/>
    <w:rsid w:val="00F36A02"/>
    <w:rsid w:val="00F373BD"/>
    <w:rsid w:val="00F3758E"/>
    <w:rsid w:val="00F376A8"/>
    <w:rsid w:val="00F4025A"/>
    <w:rsid w:val="00F403EA"/>
    <w:rsid w:val="00F404A1"/>
    <w:rsid w:val="00F404A8"/>
    <w:rsid w:val="00F40534"/>
    <w:rsid w:val="00F405A8"/>
    <w:rsid w:val="00F40734"/>
    <w:rsid w:val="00F40C3B"/>
    <w:rsid w:val="00F4138D"/>
    <w:rsid w:val="00F4140B"/>
    <w:rsid w:val="00F414C1"/>
    <w:rsid w:val="00F4158C"/>
    <w:rsid w:val="00F4167C"/>
    <w:rsid w:val="00F416A3"/>
    <w:rsid w:val="00F41797"/>
    <w:rsid w:val="00F4182F"/>
    <w:rsid w:val="00F41A13"/>
    <w:rsid w:val="00F41BCE"/>
    <w:rsid w:val="00F41C36"/>
    <w:rsid w:val="00F41DE6"/>
    <w:rsid w:val="00F41F28"/>
    <w:rsid w:val="00F420B2"/>
    <w:rsid w:val="00F421E8"/>
    <w:rsid w:val="00F42272"/>
    <w:rsid w:val="00F4253F"/>
    <w:rsid w:val="00F426F8"/>
    <w:rsid w:val="00F42876"/>
    <w:rsid w:val="00F42924"/>
    <w:rsid w:val="00F42A33"/>
    <w:rsid w:val="00F42AD0"/>
    <w:rsid w:val="00F42C07"/>
    <w:rsid w:val="00F42E10"/>
    <w:rsid w:val="00F43181"/>
    <w:rsid w:val="00F431C3"/>
    <w:rsid w:val="00F432A4"/>
    <w:rsid w:val="00F432AF"/>
    <w:rsid w:val="00F43827"/>
    <w:rsid w:val="00F438E7"/>
    <w:rsid w:val="00F43B2E"/>
    <w:rsid w:val="00F443D3"/>
    <w:rsid w:val="00F44471"/>
    <w:rsid w:val="00F4447D"/>
    <w:rsid w:val="00F448AB"/>
    <w:rsid w:val="00F44A7A"/>
    <w:rsid w:val="00F44BC8"/>
    <w:rsid w:val="00F44CF9"/>
    <w:rsid w:val="00F45507"/>
    <w:rsid w:val="00F45965"/>
    <w:rsid w:val="00F459E2"/>
    <w:rsid w:val="00F4661E"/>
    <w:rsid w:val="00F468AA"/>
    <w:rsid w:val="00F46EB7"/>
    <w:rsid w:val="00F4730B"/>
    <w:rsid w:val="00F47887"/>
    <w:rsid w:val="00F47902"/>
    <w:rsid w:val="00F47967"/>
    <w:rsid w:val="00F47ABA"/>
    <w:rsid w:val="00F47B2F"/>
    <w:rsid w:val="00F47E0B"/>
    <w:rsid w:val="00F50163"/>
    <w:rsid w:val="00F503CA"/>
    <w:rsid w:val="00F503DB"/>
    <w:rsid w:val="00F508DC"/>
    <w:rsid w:val="00F5097B"/>
    <w:rsid w:val="00F50BE1"/>
    <w:rsid w:val="00F50DEB"/>
    <w:rsid w:val="00F50EA9"/>
    <w:rsid w:val="00F50EC2"/>
    <w:rsid w:val="00F50F0D"/>
    <w:rsid w:val="00F51173"/>
    <w:rsid w:val="00F51280"/>
    <w:rsid w:val="00F5144F"/>
    <w:rsid w:val="00F51502"/>
    <w:rsid w:val="00F51947"/>
    <w:rsid w:val="00F51AB8"/>
    <w:rsid w:val="00F51B69"/>
    <w:rsid w:val="00F51BAF"/>
    <w:rsid w:val="00F51E1B"/>
    <w:rsid w:val="00F51E48"/>
    <w:rsid w:val="00F51EC3"/>
    <w:rsid w:val="00F520D4"/>
    <w:rsid w:val="00F523A7"/>
    <w:rsid w:val="00F52526"/>
    <w:rsid w:val="00F52778"/>
    <w:rsid w:val="00F533A5"/>
    <w:rsid w:val="00F53465"/>
    <w:rsid w:val="00F5357D"/>
    <w:rsid w:val="00F5396F"/>
    <w:rsid w:val="00F53BD9"/>
    <w:rsid w:val="00F53FD5"/>
    <w:rsid w:val="00F54315"/>
    <w:rsid w:val="00F54829"/>
    <w:rsid w:val="00F54F65"/>
    <w:rsid w:val="00F55073"/>
    <w:rsid w:val="00F551C2"/>
    <w:rsid w:val="00F552D8"/>
    <w:rsid w:val="00F555F1"/>
    <w:rsid w:val="00F5561A"/>
    <w:rsid w:val="00F5590F"/>
    <w:rsid w:val="00F55989"/>
    <w:rsid w:val="00F55A38"/>
    <w:rsid w:val="00F55BA7"/>
    <w:rsid w:val="00F55BF6"/>
    <w:rsid w:val="00F55ED4"/>
    <w:rsid w:val="00F56281"/>
    <w:rsid w:val="00F56617"/>
    <w:rsid w:val="00F567D4"/>
    <w:rsid w:val="00F56B41"/>
    <w:rsid w:val="00F56DD7"/>
    <w:rsid w:val="00F57172"/>
    <w:rsid w:val="00F5792B"/>
    <w:rsid w:val="00F5793B"/>
    <w:rsid w:val="00F57C0A"/>
    <w:rsid w:val="00F57E59"/>
    <w:rsid w:val="00F604BB"/>
    <w:rsid w:val="00F60609"/>
    <w:rsid w:val="00F60C09"/>
    <w:rsid w:val="00F60C30"/>
    <w:rsid w:val="00F60ED7"/>
    <w:rsid w:val="00F61061"/>
    <w:rsid w:val="00F6108D"/>
    <w:rsid w:val="00F610F4"/>
    <w:rsid w:val="00F61208"/>
    <w:rsid w:val="00F61300"/>
    <w:rsid w:val="00F6139E"/>
    <w:rsid w:val="00F61798"/>
    <w:rsid w:val="00F617A5"/>
    <w:rsid w:val="00F619E7"/>
    <w:rsid w:val="00F61AF3"/>
    <w:rsid w:val="00F61D01"/>
    <w:rsid w:val="00F61EC0"/>
    <w:rsid w:val="00F62158"/>
    <w:rsid w:val="00F621F5"/>
    <w:rsid w:val="00F622D3"/>
    <w:rsid w:val="00F6241F"/>
    <w:rsid w:val="00F626BE"/>
    <w:rsid w:val="00F6278F"/>
    <w:rsid w:val="00F6292B"/>
    <w:rsid w:val="00F62F63"/>
    <w:rsid w:val="00F631E9"/>
    <w:rsid w:val="00F63526"/>
    <w:rsid w:val="00F63678"/>
    <w:rsid w:val="00F636C3"/>
    <w:rsid w:val="00F636D3"/>
    <w:rsid w:val="00F6373A"/>
    <w:rsid w:val="00F639D8"/>
    <w:rsid w:val="00F63E53"/>
    <w:rsid w:val="00F6404A"/>
    <w:rsid w:val="00F64287"/>
    <w:rsid w:val="00F64382"/>
    <w:rsid w:val="00F643ED"/>
    <w:rsid w:val="00F64533"/>
    <w:rsid w:val="00F6463E"/>
    <w:rsid w:val="00F646D7"/>
    <w:rsid w:val="00F6507D"/>
    <w:rsid w:val="00F652EF"/>
    <w:rsid w:val="00F65583"/>
    <w:rsid w:val="00F65896"/>
    <w:rsid w:val="00F65A17"/>
    <w:rsid w:val="00F65C24"/>
    <w:rsid w:val="00F65D83"/>
    <w:rsid w:val="00F65E40"/>
    <w:rsid w:val="00F65E47"/>
    <w:rsid w:val="00F65EAB"/>
    <w:rsid w:val="00F66286"/>
    <w:rsid w:val="00F663C1"/>
    <w:rsid w:val="00F664AA"/>
    <w:rsid w:val="00F66772"/>
    <w:rsid w:val="00F66AD3"/>
    <w:rsid w:val="00F672A5"/>
    <w:rsid w:val="00F678B1"/>
    <w:rsid w:val="00F678E9"/>
    <w:rsid w:val="00F67A28"/>
    <w:rsid w:val="00F67DA0"/>
    <w:rsid w:val="00F703A0"/>
    <w:rsid w:val="00F70482"/>
    <w:rsid w:val="00F7049C"/>
    <w:rsid w:val="00F7053E"/>
    <w:rsid w:val="00F705DF"/>
    <w:rsid w:val="00F70B32"/>
    <w:rsid w:val="00F71250"/>
    <w:rsid w:val="00F712CF"/>
    <w:rsid w:val="00F712E4"/>
    <w:rsid w:val="00F7197F"/>
    <w:rsid w:val="00F71AB3"/>
    <w:rsid w:val="00F71BB3"/>
    <w:rsid w:val="00F71BF9"/>
    <w:rsid w:val="00F71C64"/>
    <w:rsid w:val="00F71CAE"/>
    <w:rsid w:val="00F71D6E"/>
    <w:rsid w:val="00F7205B"/>
    <w:rsid w:val="00F724CD"/>
    <w:rsid w:val="00F725E6"/>
    <w:rsid w:val="00F726E9"/>
    <w:rsid w:val="00F72701"/>
    <w:rsid w:val="00F7274F"/>
    <w:rsid w:val="00F72843"/>
    <w:rsid w:val="00F72903"/>
    <w:rsid w:val="00F72924"/>
    <w:rsid w:val="00F72999"/>
    <w:rsid w:val="00F729AB"/>
    <w:rsid w:val="00F72CCD"/>
    <w:rsid w:val="00F737B0"/>
    <w:rsid w:val="00F737C2"/>
    <w:rsid w:val="00F7387B"/>
    <w:rsid w:val="00F739B2"/>
    <w:rsid w:val="00F745F8"/>
    <w:rsid w:val="00F7499A"/>
    <w:rsid w:val="00F74A12"/>
    <w:rsid w:val="00F74BFD"/>
    <w:rsid w:val="00F74C3D"/>
    <w:rsid w:val="00F74D03"/>
    <w:rsid w:val="00F75160"/>
    <w:rsid w:val="00F7530F"/>
    <w:rsid w:val="00F7540E"/>
    <w:rsid w:val="00F757DD"/>
    <w:rsid w:val="00F75B78"/>
    <w:rsid w:val="00F75ED3"/>
    <w:rsid w:val="00F75EE4"/>
    <w:rsid w:val="00F762FB"/>
    <w:rsid w:val="00F76A31"/>
    <w:rsid w:val="00F76BD8"/>
    <w:rsid w:val="00F77508"/>
    <w:rsid w:val="00F77890"/>
    <w:rsid w:val="00F778F9"/>
    <w:rsid w:val="00F7790A"/>
    <w:rsid w:val="00F779DB"/>
    <w:rsid w:val="00F77DE8"/>
    <w:rsid w:val="00F77EA7"/>
    <w:rsid w:val="00F8004E"/>
    <w:rsid w:val="00F80054"/>
    <w:rsid w:val="00F801D8"/>
    <w:rsid w:val="00F8085F"/>
    <w:rsid w:val="00F80AF4"/>
    <w:rsid w:val="00F80E1D"/>
    <w:rsid w:val="00F8114C"/>
    <w:rsid w:val="00F812FC"/>
    <w:rsid w:val="00F81485"/>
    <w:rsid w:val="00F8168F"/>
    <w:rsid w:val="00F81C0D"/>
    <w:rsid w:val="00F82294"/>
    <w:rsid w:val="00F8267D"/>
    <w:rsid w:val="00F82C44"/>
    <w:rsid w:val="00F82C6B"/>
    <w:rsid w:val="00F82D01"/>
    <w:rsid w:val="00F8300E"/>
    <w:rsid w:val="00F83462"/>
    <w:rsid w:val="00F83552"/>
    <w:rsid w:val="00F8367F"/>
    <w:rsid w:val="00F83761"/>
    <w:rsid w:val="00F83793"/>
    <w:rsid w:val="00F83891"/>
    <w:rsid w:val="00F83B94"/>
    <w:rsid w:val="00F83F5C"/>
    <w:rsid w:val="00F84656"/>
    <w:rsid w:val="00F84691"/>
    <w:rsid w:val="00F84B20"/>
    <w:rsid w:val="00F84B74"/>
    <w:rsid w:val="00F84BB7"/>
    <w:rsid w:val="00F84CC2"/>
    <w:rsid w:val="00F84CD6"/>
    <w:rsid w:val="00F84CFF"/>
    <w:rsid w:val="00F84D69"/>
    <w:rsid w:val="00F85059"/>
    <w:rsid w:val="00F8515F"/>
    <w:rsid w:val="00F8521E"/>
    <w:rsid w:val="00F852EB"/>
    <w:rsid w:val="00F85AB5"/>
    <w:rsid w:val="00F85DBF"/>
    <w:rsid w:val="00F862D4"/>
    <w:rsid w:val="00F86492"/>
    <w:rsid w:val="00F86B54"/>
    <w:rsid w:val="00F86CBA"/>
    <w:rsid w:val="00F8717F"/>
    <w:rsid w:val="00F872FD"/>
    <w:rsid w:val="00F8737A"/>
    <w:rsid w:val="00F87581"/>
    <w:rsid w:val="00F8782B"/>
    <w:rsid w:val="00F878EF"/>
    <w:rsid w:val="00F87AB4"/>
    <w:rsid w:val="00F87C59"/>
    <w:rsid w:val="00F87D2E"/>
    <w:rsid w:val="00F87E70"/>
    <w:rsid w:val="00F900A0"/>
    <w:rsid w:val="00F901F7"/>
    <w:rsid w:val="00F903FE"/>
    <w:rsid w:val="00F90457"/>
    <w:rsid w:val="00F906D6"/>
    <w:rsid w:val="00F90B36"/>
    <w:rsid w:val="00F910F6"/>
    <w:rsid w:val="00F9145C"/>
    <w:rsid w:val="00F91972"/>
    <w:rsid w:val="00F91B39"/>
    <w:rsid w:val="00F91BD6"/>
    <w:rsid w:val="00F91BF5"/>
    <w:rsid w:val="00F91CF8"/>
    <w:rsid w:val="00F91ED4"/>
    <w:rsid w:val="00F91F31"/>
    <w:rsid w:val="00F9204E"/>
    <w:rsid w:val="00F9210B"/>
    <w:rsid w:val="00F9255B"/>
    <w:rsid w:val="00F925AD"/>
    <w:rsid w:val="00F925FC"/>
    <w:rsid w:val="00F928E6"/>
    <w:rsid w:val="00F929B6"/>
    <w:rsid w:val="00F92EFC"/>
    <w:rsid w:val="00F9318B"/>
    <w:rsid w:val="00F93AE0"/>
    <w:rsid w:val="00F93BC1"/>
    <w:rsid w:val="00F93E9B"/>
    <w:rsid w:val="00F9419F"/>
    <w:rsid w:val="00F94451"/>
    <w:rsid w:val="00F944D2"/>
    <w:rsid w:val="00F94A4D"/>
    <w:rsid w:val="00F94D63"/>
    <w:rsid w:val="00F94FF7"/>
    <w:rsid w:val="00F95114"/>
    <w:rsid w:val="00F953B9"/>
    <w:rsid w:val="00F95830"/>
    <w:rsid w:val="00F95D0E"/>
    <w:rsid w:val="00F95EDF"/>
    <w:rsid w:val="00F9602A"/>
    <w:rsid w:val="00F96434"/>
    <w:rsid w:val="00F96755"/>
    <w:rsid w:val="00F96AD3"/>
    <w:rsid w:val="00F96D24"/>
    <w:rsid w:val="00F96E88"/>
    <w:rsid w:val="00F973C6"/>
    <w:rsid w:val="00F97711"/>
    <w:rsid w:val="00F97721"/>
    <w:rsid w:val="00F97918"/>
    <w:rsid w:val="00F979A2"/>
    <w:rsid w:val="00F979ED"/>
    <w:rsid w:val="00F97CE0"/>
    <w:rsid w:val="00F97FAF"/>
    <w:rsid w:val="00F97FD6"/>
    <w:rsid w:val="00FA036C"/>
    <w:rsid w:val="00FA04FC"/>
    <w:rsid w:val="00FA0AFC"/>
    <w:rsid w:val="00FA0B13"/>
    <w:rsid w:val="00FA0BAB"/>
    <w:rsid w:val="00FA0BFD"/>
    <w:rsid w:val="00FA0C84"/>
    <w:rsid w:val="00FA0E89"/>
    <w:rsid w:val="00FA10C4"/>
    <w:rsid w:val="00FA16C5"/>
    <w:rsid w:val="00FA19FC"/>
    <w:rsid w:val="00FA21FC"/>
    <w:rsid w:val="00FA2358"/>
    <w:rsid w:val="00FA238A"/>
    <w:rsid w:val="00FA2592"/>
    <w:rsid w:val="00FA25DA"/>
    <w:rsid w:val="00FA2646"/>
    <w:rsid w:val="00FA290D"/>
    <w:rsid w:val="00FA2E6B"/>
    <w:rsid w:val="00FA2F19"/>
    <w:rsid w:val="00FA38C7"/>
    <w:rsid w:val="00FA390D"/>
    <w:rsid w:val="00FA399F"/>
    <w:rsid w:val="00FA3B7D"/>
    <w:rsid w:val="00FA3CD4"/>
    <w:rsid w:val="00FA42FC"/>
    <w:rsid w:val="00FA442E"/>
    <w:rsid w:val="00FA46E5"/>
    <w:rsid w:val="00FA471C"/>
    <w:rsid w:val="00FA4928"/>
    <w:rsid w:val="00FA4A47"/>
    <w:rsid w:val="00FA4A85"/>
    <w:rsid w:val="00FA4AFC"/>
    <w:rsid w:val="00FA4B31"/>
    <w:rsid w:val="00FA4FAF"/>
    <w:rsid w:val="00FA510D"/>
    <w:rsid w:val="00FA57D9"/>
    <w:rsid w:val="00FA5939"/>
    <w:rsid w:val="00FA5ACF"/>
    <w:rsid w:val="00FA5D96"/>
    <w:rsid w:val="00FA5E37"/>
    <w:rsid w:val="00FA618F"/>
    <w:rsid w:val="00FA640D"/>
    <w:rsid w:val="00FA651D"/>
    <w:rsid w:val="00FA65D8"/>
    <w:rsid w:val="00FA6657"/>
    <w:rsid w:val="00FA6A44"/>
    <w:rsid w:val="00FA6A76"/>
    <w:rsid w:val="00FA6DED"/>
    <w:rsid w:val="00FA6E21"/>
    <w:rsid w:val="00FA6E3D"/>
    <w:rsid w:val="00FA6F01"/>
    <w:rsid w:val="00FA7336"/>
    <w:rsid w:val="00FA735B"/>
    <w:rsid w:val="00FA737C"/>
    <w:rsid w:val="00FA7B17"/>
    <w:rsid w:val="00FA7DC1"/>
    <w:rsid w:val="00FA7E5D"/>
    <w:rsid w:val="00FA7E60"/>
    <w:rsid w:val="00FA7F3E"/>
    <w:rsid w:val="00FB017C"/>
    <w:rsid w:val="00FB01DC"/>
    <w:rsid w:val="00FB0516"/>
    <w:rsid w:val="00FB05ED"/>
    <w:rsid w:val="00FB0AC1"/>
    <w:rsid w:val="00FB0B89"/>
    <w:rsid w:val="00FB119F"/>
    <w:rsid w:val="00FB126C"/>
    <w:rsid w:val="00FB17DC"/>
    <w:rsid w:val="00FB1913"/>
    <w:rsid w:val="00FB1A46"/>
    <w:rsid w:val="00FB1E68"/>
    <w:rsid w:val="00FB1F92"/>
    <w:rsid w:val="00FB2330"/>
    <w:rsid w:val="00FB28D8"/>
    <w:rsid w:val="00FB28DF"/>
    <w:rsid w:val="00FB2CD8"/>
    <w:rsid w:val="00FB2CF2"/>
    <w:rsid w:val="00FB2E85"/>
    <w:rsid w:val="00FB2E96"/>
    <w:rsid w:val="00FB331A"/>
    <w:rsid w:val="00FB34B1"/>
    <w:rsid w:val="00FB3891"/>
    <w:rsid w:val="00FB38A4"/>
    <w:rsid w:val="00FB3AF0"/>
    <w:rsid w:val="00FB3C4D"/>
    <w:rsid w:val="00FB3CB3"/>
    <w:rsid w:val="00FB42D1"/>
    <w:rsid w:val="00FB4506"/>
    <w:rsid w:val="00FB450B"/>
    <w:rsid w:val="00FB46F1"/>
    <w:rsid w:val="00FB506C"/>
    <w:rsid w:val="00FB5B22"/>
    <w:rsid w:val="00FB5E4D"/>
    <w:rsid w:val="00FB5E6F"/>
    <w:rsid w:val="00FB6292"/>
    <w:rsid w:val="00FB6B5A"/>
    <w:rsid w:val="00FB6DF5"/>
    <w:rsid w:val="00FB71CA"/>
    <w:rsid w:val="00FB7276"/>
    <w:rsid w:val="00FB7903"/>
    <w:rsid w:val="00FB79B6"/>
    <w:rsid w:val="00FB7A13"/>
    <w:rsid w:val="00FB7A22"/>
    <w:rsid w:val="00FB7CC9"/>
    <w:rsid w:val="00FB7E39"/>
    <w:rsid w:val="00FC0B7F"/>
    <w:rsid w:val="00FC0BBB"/>
    <w:rsid w:val="00FC0D71"/>
    <w:rsid w:val="00FC0E9A"/>
    <w:rsid w:val="00FC1352"/>
    <w:rsid w:val="00FC1DE6"/>
    <w:rsid w:val="00FC2307"/>
    <w:rsid w:val="00FC27A2"/>
    <w:rsid w:val="00FC2941"/>
    <w:rsid w:val="00FC29F2"/>
    <w:rsid w:val="00FC2E72"/>
    <w:rsid w:val="00FC309B"/>
    <w:rsid w:val="00FC30A1"/>
    <w:rsid w:val="00FC321D"/>
    <w:rsid w:val="00FC32B4"/>
    <w:rsid w:val="00FC33AC"/>
    <w:rsid w:val="00FC34D7"/>
    <w:rsid w:val="00FC3752"/>
    <w:rsid w:val="00FC38AD"/>
    <w:rsid w:val="00FC392C"/>
    <w:rsid w:val="00FC3A4A"/>
    <w:rsid w:val="00FC3BDF"/>
    <w:rsid w:val="00FC3FBB"/>
    <w:rsid w:val="00FC456E"/>
    <w:rsid w:val="00FC4F79"/>
    <w:rsid w:val="00FC4FA1"/>
    <w:rsid w:val="00FC5028"/>
    <w:rsid w:val="00FC5050"/>
    <w:rsid w:val="00FC55AB"/>
    <w:rsid w:val="00FC597A"/>
    <w:rsid w:val="00FC5C80"/>
    <w:rsid w:val="00FC615E"/>
    <w:rsid w:val="00FC6339"/>
    <w:rsid w:val="00FC6522"/>
    <w:rsid w:val="00FC668F"/>
    <w:rsid w:val="00FC678B"/>
    <w:rsid w:val="00FC6A86"/>
    <w:rsid w:val="00FC6C30"/>
    <w:rsid w:val="00FC6C4A"/>
    <w:rsid w:val="00FC6E08"/>
    <w:rsid w:val="00FC6F73"/>
    <w:rsid w:val="00FC72B2"/>
    <w:rsid w:val="00FC72B9"/>
    <w:rsid w:val="00FC7438"/>
    <w:rsid w:val="00FC7575"/>
    <w:rsid w:val="00FC75E5"/>
    <w:rsid w:val="00FC78AA"/>
    <w:rsid w:val="00FC7900"/>
    <w:rsid w:val="00FC7956"/>
    <w:rsid w:val="00FC7A56"/>
    <w:rsid w:val="00FC7AD3"/>
    <w:rsid w:val="00FC7BA2"/>
    <w:rsid w:val="00FC7E32"/>
    <w:rsid w:val="00FD008A"/>
    <w:rsid w:val="00FD008C"/>
    <w:rsid w:val="00FD0103"/>
    <w:rsid w:val="00FD0159"/>
    <w:rsid w:val="00FD061B"/>
    <w:rsid w:val="00FD0C9B"/>
    <w:rsid w:val="00FD0D08"/>
    <w:rsid w:val="00FD1083"/>
    <w:rsid w:val="00FD157D"/>
    <w:rsid w:val="00FD165E"/>
    <w:rsid w:val="00FD19AD"/>
    <w:rsid w:val="00FD1A53"/>
    <w:rsid w:val="00FD1A5D"/>
    <w:rsid w:val="00FD1C34"/>
    <w:rsid w:val="00FD1F8F"/>
    <w:rsid w:val="00FD21D0"/>
    <w:rsid w:val="00FD22D3"/>
    <w:rsid w:val="00FD251A"/>
    <w:rsid w:val="00FD25C9"/>
    <w:rsid w:val="00FD263D"/>
    <w:rsid w:val="00FD2771"/>
    <w:rsid w:val="00FD27C9"/>
    <w:rsid w:val="00FD2A1C"/>
    <w:rsid w:val="00FD2A65"/>
    <w:rsid w:val="00FD2AD0"/>
    <w:rsid w:val="00FD2C83"/>
    <w:rsid w:val="00FD2CDC"/>
    <w:rsid w:val="00FD2DAE"/>
    <w:rsid w:val="00FD2DCE"/>
    <w:rsid w:val="00FD2EFD"/>
    <w:rsid w:val="00FD3447"/>
    <w:rsid w:val="00FD36FA"/>
    <w:rsid w:val="00FD4012"/>
    <w:rsid w:val="00FD432E"/>
    <w:rsid w:val="00FD441A"/>
    <w:rsid w:val="00FD4560"/>
    <w:rsid w:val="00FD462C"/>
    <w:rsid w:val="00FD4688"/>
    <w:rsid w:val="00FD474A"/>
    <w:rsid w:val="00FD4F5C"/>
    <w:rsid w:val="00FD5196"/>
    <w:rsid w:val="00FD5398"/>
    <w:rsid w:val="00FD5B4E"/>
    <w:rsid w:val="00FD5E68"/>
    <w:rsid w:val="00FD61F3"/>
    <w:rsid w:val="00FD62BB"/>
    <w:rsid w:val="00FD62E1"/>
    <w:rsid w:val="00FD62E6"/>
    <w:rsid w:val="00FD63ED"/>
    <w:rsid w:val="00FD6428"/>
    <w:rsid w:val="00FD6595"/>
    <w:rsid w:val="00FD6793"/>
    <w:rsid w:val="00FD6D32"/>
    <w:rsid w:val="00FD6F8A"/>
    <w:rsid w:val="00FD78E2"/>
    <w:rsid w:val="00FD7945"/>
    <w:rsid w:val="00FD7B94"/>
    <w:rsid w:val="00FD7D72"/>
    <w:rsid w:val="00FD7EAF"/>
    <w:rsid w:val="00FE02D5"/>
    <w:rsid w:val="00FE0336"/>
    <w:rsid w:val="00FE055D"/>
    <w:rsid w:val="00FE0B1B"/>
    <w:rsid w:val="00FE0E89"/>
    <w:rsid w:val="00FE0F07"/>
    <w:rsid w:val="00FE0F2D"/>
    <w:rsid w:val="00FE0F3F"/>
    <w:rsid w:val="00FE1064"/>
    <w:rsid w:val="00FE1283"/>
    <w:rsid w:val="00FE17EE"/>
    <w:rsid w:val="00FE1913"/>
    <w:rsid w:val="00FE1AB5"/>
    <w:rsid w:val="00FE1B24"/>
    <w:rsid w:val="00FE1D93"/>
    <w:rsid w:val="00FE200C"/>
    <w:rsid w:val="00FE2361"/>
    <w:rsid w:val="00FE29BA"/>
    <w:rsid w:val="00FE2E65"/>
    <w:rsid w:val="00FE306E"/>
    <w:rsid w:val="00FE3216"/>
    <w:rsid w:val="00FE3226"/>
    <w:rsid w:val="00FE34CF"/>
    <w:rsid w:val="00FE3A82"/>
    <w:rsid w:val="00FE3BA8"/>
    <w:rsid w:val="00FE43A8"/>
    <w:rsid w:val="00FE4489"/>
    <w:rsid w:val="00FE4734"/>
    <w:rsid w:val="00FE4C5E"/>
    <w:rsid w:val="00FE4DD5"/>
    <w:rsid w:val="00FE4ED9"/>
    <w:rsid w:val="00FE52CF"/>
    <w:rsid w:val="00FE5481"/>
    <w:rsid w:val="00FE5678"/>
    <w:rsid w:val="00FE5874"/>
    <w:rsid w:val="00FE5D4D"/>
    <w:rsid w:val="00FE5ED6"/>
    <w:rsid w:val="00FE629C"/>
    <w:rsid w:val="00FE6460"/>
    <w:rsid w:val="00FE64A1"/>
    <w:rsid w:val="00FE64D7"/>
    <w:rsid w:val="00FE67E1"/>
    <w:rsid w:val="00FE6A2F"/>
    <w:rsid w:val="00FE6C30"/>
    <w:rsid w:val="00FE6DB7"/>
    <w:rsid w:val="00FE6ED7"/>
    <w:rsid w:val="00FE73BD"/>
    <w:rsid w:val="00FE7579"/>
    <w:rsid w:val="00FE786F"/>
    <w:rsid w:val="00FE7B25"/>
    <w:rsid w:val="00FE7C0E"/>
    <w:rsid w:val="00FE7C4A"/>
    <w:rsid w:val="00FE7D1E"/>
    <w:rsid w:val="00FE7E27"/>
    <w:rsid w:val="00FF006E"/>
    <w:rsid w:val="00FF07B6"/>
    <w:rsid w:val="00FF086A"/>
    <w:rsid w:val="00FF09E8"/>
    <w:rsid w:val="00FF0CDF"/>
    <w:rsid w:val="00FF0EAE"/>
    <w:rsid w:val="00FF1188"/>
    <w:rsid w:val="00FF133F"/>
    <w:rsid w:val="00FF1847"/>
    <w:rsid w:val="00FF190D"/>
    <w:rsid w:val="00FF1939"/>
    <w:rsid w:val="00FF1A73"/>
    <w:rsid w:val="00FF1F53"/>
    <w:rsid w:val="00FF245B"/>
    <w:rsid w:val="00FF262C"/>
    <w:rsid w:val="00FF2638"/>
    <w:rsid w:val="00FF27EF"/>
    <w:rsid w:val="00FF280A"/>
    <w:rsid w:val="00FF30B9"/>
    <w:rsid w:val="00FF3306"/>
    <w:rsid w:val="00FF330D"/>
    <w:rsid w:val="00FF36BF"/>
    <w:rsid w:val="00FF3787"/>
    <w:rsid w:val="00FF39BF"/>
    <w:rsid w:val="00FF3C0B"/>
    <w:rsid w:val="00FF3C73"/>
    <w:rsid w:val="00FF3F69"/>
    <w:rsid w:val="00FF3F6F"/>
    <w:rsid w:val="00FF4060"/>
    <w:rsid w:val="00FF4AFA"/>
    <w:rsid w:val="00FF4F42"/>
    <w:rsid w:val="00FF5085"/>
    <w:rsid w:val="00FF555E"/>
    <w:rsid w:val="00FF55BB"/>
    <w:rsid w:val="00FF56D2"/>
    <w:rsid w:val="00FF574E"/>
    <w:rsid w:val="00FF57BE"/>
    <w:rsid w:val="00FF58D9"/>
    <w:rsid w:val="00FF59CC"/>
    <w:rsid w:val="00FF5A0B"/>
    <w:rsid w:val="00FF5BD8"/>
    <w:rsid w:val="00FF5D55"/>
    <w:rsid w:val="00FF61BE"/>
    <w:rsid w:val="00FF6520"/>
    <w:rsid w:val="00FF65EC"/>
    <w:rsid w:val="00FF6664"/>
    <w:rsid w:val="00FF6702"/>
    <w:rsid w:val="00FF6747"/>
    <w:rsid w:val="00FF68CD"/>
    <w:rsid w:val="00FF6B50"/>
    <w:rsid w:val="00FF6BD0"/>
    <w:rsid w:val="00FF6C03"/>
    <w:rsid w:val="00FF6C2C"/>
    <w:rsid w:val="00FF6C5F"/>
    <w:rsid w:val="00FF6D7E"/>
    <w:rsid w:val="00FF6DA0"/>
    <w:rsid w:val="00FF6EB8"/>
    <w:rsid w:val="00FF72A2"/>
    <w:rsid w:val="00FF74D3"/>
    <w:rsid w:val="00FF75E1"/>
    <w:rsid w:val="00FF7643"/>
    <w:rsid w:val="00FF7724"/>
    <w:rsid w:val="00FF7900"/>
    <w:rsid w:val="00FF793B"/>
    <w:rsid w:val="00FF7AE3"/>
    <w:rsid w:val="02658F7C"/>
    <w:rsid w:val="107C58A1"/>
    <w:rsid w:val="1D9B7F56"/>
    <w:rsid w:val="21BC18F0"/>
    <w:rsid w:val="28C36F47"/>
    <w:rsid w:val="2D26F1CE"/>
    <w:rsid w:val="30C8D10E"/>
    <w:rsid w:val="343E3D0E"/>
    <w:rsid w:val="3D367AD0"/>
    <w:rsid w:val="41411F1C"/>
    <w:rsid w:val="47F7DBA6"/>
    <w:rsid w:val="56A64C7F"/>
    <w:rsid w:val="6AAF9767"/>
    <w:rsid w:val="6F32FBC2"/>
    <w:rsid w:val="7A31C99A"/>
    <w:rsid w:val="7CE1BD4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E6B3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lsdException w:name="footer" w:locked="0"/>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C42FB0"/>
  </w:style>
  <w:style w:type="paragraph" w:styleId="Heading1">
    <w:name w:val="heading 1"/>
    <w:basedOn w:val="Normal"/>
    <w:next w:val="Normal"/>
    <w:link w:val="Heading1Char"/>
    <w:uiPriority w:val="9"/>
    <w:qFormat/>
    <w:rsid w:val="002849C1"/>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360A3E"/>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F8004E"/>
    <w:pPr>
      <w:keepNext/>
      <w:keepLines/>
      <w:spacing w:before="240"/>
      <w:outlineLvl w:val="2"/>
    </w:pPr>
    <w:rPr>
      <w:rFonts w:asciiTheme="majorHAnsi" w:eastAsiaTheme="majorEastAsia" w:hAnsiTheme="majorHAnsi" w:cstheme="majorBidi"/>
      <w:b/>
      <w:color w:val="36383D" w:themeColor="accent6"/>
      <w:szCs w:val="35"/>
    </w:rPr>
  </w:style>
  <w:style w:type="paragraph" w:styleId="Heading4">
    <w:name w:val="heading 4"/>
    <w:basedOn w:val="Normal"/>
    <w:next w:val="Normal"/>
    <w:link w:val="Heading4Char"/>
    <w:uiPriority w:val="9"/>
    <w:qFormat/>
    <w:rsid w:val="00360A3E"/>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qFormat/>
    <w:rsid w:val="00360A3E"/>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360A3E"/>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360A3E"/>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893B98"/>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893B98"/>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after="0"/>
    </w:pPr>
  </w:style>
  <w:style w:type="character" w:customStyle="1" w:styleId="Heading1Char">
    <w:name w:val="Heading 1 Char"/>
    <w:basedOn w:val="DefaultParagraphFont"/>
    <w:link w:val="Heading1"/>
    <w:uiPriority w:val="9"/>
    <w:rsid w:val="002849C1"/>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AC2BC6"/>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F8004E"/>
    <w:rPr>
      <w:rFonts w:asciiTheme="majorHAnsi" w:eastAsiaTheme="majorEastAsia" w:hAnsiTheme="majorHAnsi" w:cstheme="majorBidi"/>
      <w:b/>
      <w:color w:val="36383D" w:themeColor="accent6"/>
      <w:szCs w:val="35"/>
    </w:rPr>
  </w:style>
  <w:style w:type="character" w:customStyle="1" w:styleId="Heading4Char">
    <w:name w:val="Heading 4 Char"/>
    <w:basedOn w:val="DefaultParagraphFont"/>
    <w:link w:val="Heading4"/>
    <w:uiPriority w:val="9"/>
    <w:rsid w:val="002B518C"/>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A54A7A"/>
    <w:rPr>
      <w:rFonts w:eastAsiaTheme="majorEastAsia" w:cstheme="majorBidi"/>
      <w:b/>
    </w:rPr>
  </w:style>
  <w:style w:type="character" w:customStyle="1" w:styleId="Heading6Char">
    <w:name w:val="Heading 6 Char"/>
    <w:basedOn w:val="DefaultParagraphFont"/>
    <w:link w:val="Heading6"/>
    <w:uiPriority w:val="9"/>
    <w:semiHidden/>
    <w:rsid w:val="00A54A7A"/>
    <w:rPr>
      <w:rFonts w:eastAsiaTheme="majorEastAsia" w:cstheme="majorBidi"/>
      <w:b/>
      <w:iCs/>
    </w:rPr>
  </w:style>
  <w:style w:type="character" w:customStyle="1" w:styleId="Heading7Char">
    <w:name w:val="Heading 7 Char"/>
    <w:basedOn w:val="DefaultParagraphFont"/>
    <w:link w:val="Heading7"/>
    <w:uiPriority w:val="9"/>
    <w:semiHidden/>
    <w:rsid w:val="00A54A7A"/>
    <w:rPr>
      <w:rFonts w:eastAsiaTheme="majorEastAsia" w:cstheme="majorBidi"/>
      <w:b/>
    </w:rPr>
  </w:style>
  <w:style w:type="character" w:customStyle="1" w:styleId="Heading8Char">
    <w:name w:val="Heading 8 Char"/>
    <w:basedOn w:val="DefaultParagraphFont"/>
    <w:link w:val="Heading8"/>
    <w:uiPriority w:val="9"/>
    <w:semiHidden/>
    <w:rsid w:val="00893B98"/>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93B98"/>
    <w:rPr>
      <w:rFonts w:eastAsiaTheme="majorEastAsia" w:cstheme="majorBidi"/>
      <w:i/>
      <w:color w:val="272727" w:themeColor="text1" w:themeTint="D8"/>
      <w:sz w:val="24"/>
    </w:rPr>
  </w:style>
  <w:style w:type="paragraph" w:styleId="ListBullet">
    <w:name w:val="List Bullet"/>
    <w:basedOn w:val="Normal"/>
    <w:uiPriority w:val="17"/>
    <w:rsid w:val="00B52E1D"/>
    <w:pPr>
      <w:ind w:left="284" w:hanging="284"/>
      <w:contextualSpacing/>
    </w:pPr>
  </w:style>
  <w:style w:type="numbering" w:customStyle="1" w:styleId="BulletList">
    <w:name w:val="Bullet List"/>
    <w:basedOn w:val="NoList"/>
    <w:uiPriority w:val="99"/>
    <w:rsid w:val="00B52E1D"/>
    <w:pPr>
      <w:numPr>
        <w:numId w:val="2"/>
      </w:numPr>
    </w:pPr>
  </w:style>
  <w:style w:type="paragraph" w:styleId="ListParagraph">
    <w:name w:val="List Paragraph"/>
    <w:basedOn w:val="Normal"/>
    <w:uiPriority w:val="34"/>
    <w:qFormat/>
    <w:rsid w:val="00110C87"/>
    <w:pPr>
      <w:ind w:left="284"/>
      <w:contextualSpacing/>
    </w:pPr>
  </w:style>
  <w:style w:type="paragraph" w:styleId="ListBullet2">
    <w:name w:val="List Bullet 2"/>
    <w:basedOn w:val="Normal"/>
    <w:uiPriority w:val="17"/>
    <w:rsid w:val="00B52E1D"/>
    <w:pPr>
      <w:numPr>
        <w:ilvl w:val="1"/>
        <w:numId w:val="2"/>
      </w:numPr>
      <w:contextualSpacing/>
    </w:pPr>
  </w:style>
  <w:style w:type="character" w:styleId="FollowedHyperlink">
    <w:name w:val="FollowedHyperlink"/>
    <w:basedOn w:val="DefaultParagraphFont"/>
    <w:uiPriority w:val="44"/>
    <w:rsid w:val="00303BA5"/>
    <w:rPr>
      <w:color w:val="075D5F" w:themeColor="accent1"/>
      <w:u w:val="single"/>
    </w:rPr>
  </w:style>
  <w:style w:type="paragraph" w:styleId="ListBullet4">
    <w:name w:val="List Bullet 4"/>
    <w:basedOn w:val="Normal"/>
    <w:uiPriority w:val="17"/>
    <w:rsid w:val="00B52E1D"/>
    <w:pPr>
      <w:numPr>
        <w:ilvl w:val="3"/>
        <w:numId w:val="2"/>
      </w:numPr>
      <w:contextualSpacing/>
    </w:pPr>
  </w:style>
  <w:style w:type="paragraph" w:styleId="FootnoteText">
    <w:name w:val="footnote text"/>
    <w:aliases w:val="GTA Footnote,fn,FT,ft,SD Footnote Text,Footnote Text AG,Footnote Text Char Char Char Char,Footnote Text Char Char Char Char Char Char,Footnote Text1,Footnote Text Char Char Char Char Char Char1,Footnote Text1 Char Char Char"/>
    <w:basedOn w:val="Normal"/>
    <w:link w:val="FootnoteTextChar"/>
    <w:uiPriority w:val="99"/>
    <w:rsid w:val="00D149DE"/>
    <w:pPr>
      <w:tabs>
        <w:tab w:val="left" w:pos="227"/>
      </w:tabs>
      <w:spacing w:after="0"/>
      <w:ind w:left="227" w:hanging="227"/>
    </w:pPr>
    <w:rPr>
      <w:sz w:val="16"/>
    </w:rPr>
  </w:style>
  <w:style w:type="paragraph" w:styleId="ListBullet5">
    <w:name w:val="List Bullet 5"/>
    <w:basedOn w:val="Normal"/>
    <w:uiPriority w:val="17"/>
    <w:rsid w:val="00B52E1D"/>
    <w:pPr>
      <w:numPr>
        <w:ilvl w:val="4"/>
        <w:numId w:val="2"/>
      </w:numPr>
      <w:contextualSpacing/>
    </w:pPr>
  </w:style>
  <w:style w:type="numbering" w:styleId="111111">
    <w:name w:val="Outline List 2"/>
    <w:basedOn w:val="NoList"/>
    <w:uiPriority w:val="99"/>
    <w:semiHidden/>
    <w:unhideWhenUsed/>
    <w:rsid w:val="00360A3E"/>
    <w:pPr>
      <w:numPr>
        <w:numId w:val="28"/>
      </w:numPr>
    </w:pPr>
  </w:style>
  <w:style w:type="numbering" w:styleId="1ai">
    <w:name w:val="Outline List 1"/>
    <w:basedOn w:val="NoList"/>
    <w:uiPriority w:val="99"/>
    <w:semiHidden/>
    <w:unhideWhenUsed/>
    <w:rsid w:val="004748BA"/>
    <w:pPr>
      <w:numPr>
        <w:numId w:val="1"/>
      </w:numPr>
    </w:pPr>
  </w:style>
  <w:style w:type="paragraph" w:styleId="ListNumber">
    <w:name w:val="List Number"/>
    <w:basedOn w:val="Normal"/>
    <w:uiPriority w:val="17"/>
    <w:rsid w:val="00110C87"/>
    <w:pPr>
      <w:numPr>
        <w:numId w:val="7"/>
      </w:numPr>
      <w:contextualSpacing/>
    </w:pPr>
  </w:style>
  <w:style w:type="paragraph" w:styleId="ListNumber2">
    <w:name w:val="List Number 2"/>
    <w:basedOn w:val="Normal"/>
    <w:uiPriority w:val="17"/>
    <w:rsid w:val="00110C87"/>
    <w:pPr>
      <w:numPr>
        <w:ilvl w:val="1"/>
        <w:numId w:val="7"/>
      </w:numPr>
      <w:contextualSpacing/>
    </w:pPr>
  </w:style>
  <w:style w:type="paragraph" w:styleId="ListNumber3">
    <w:name w:val="List Number 3"/>
    <w:basedOn w:val="Normal"/>
    <w:uiPriority w:val="17"/>
    <w:rsid w:val="00110C87"/>
    <w:pPr>
      <w:numPr>
        <w:ilvl w:val="2"/>
        <w:numId w:val="7"/>
      </w:numPr>
      <w:contextualSpacing/>
    </w:pPr>
  </w:style>
  <w:style w:type="paragraph" w:styleId="ListNumber4">
    <w:name w:val="List Number 4"/>
    <w:basedOn w:val="Normal"/>
    <w:uiPriority w:val="17"/>
    <w:semiHidden/>
    <w:rsid w:val="00110C87"/>
    <w:pPr>
      <w:numPr>
        <w:ilvl w:val="3"/>
        <w:numId w:val="7"/>
      </w:numPr>
      <w:contextualSpacing/>
    </w:pPr>
  </w:style>
  <w:style w:type="paragraph" w:styleId="ListNumber5">
    <w:name w:val="List Number 5"/>
    <w:basedOn w:val="Normal"/>
    <w:uiPriority w:val="17"/>
    <w:semiHidden/>
    <w:rsid w:val="00110C87"/>
    <w:pPr>
      <w:numPr>
        <w:ilvl w:val="4"/>
        <w:numId w:val="7"/>
      </w:numPr>
      <w:contextualSpacing/>
    </w:pPr>
  </w:style>
  <w:style w:type="character" w:customStyle="1" w:styleId="FootnoteTextChar">
    <w:name w:val="Footnote Text Char"/>
    <w:aliases w:val="GTA Footnote Char,fn Char,FT Char,ft Char,SD Footnote Text Char,Footnote Text AG Char,Footnote Text Char Char Char Char Char,Footnote Text Char Char Char Char Char Char Char,Footnote Text1 Char,Footnote Text1 Char Char Char Char"/>
    <w:basedOn w:val="DefaultParagraphFont"/>
    <w:link w:val="FootnoteText"/>
    <w:uiPriority w:val="99"/>
    <w:rsid w:val="00D149DE"/>
    <w:rPr>
      <w:sz w:val="16"/>
    </w:rPr>
  </w:style>
  <w:style w:type="character" w:styleId="FootnoteReference">
    <w:name w:val="footnote reference"/>
    <w:aliases w:val="GTA Footnote Reference"/>
    <w:basedOn w:val="DefaultParagraphFont"/>
    <w:uiPriority w:val="99"/>
    <w:rsid w:val="005C306E"/>
    <w:rPr>
      <w:vertAlign w:val="superscript"/>
    </w:rPr>
  </w:style>
  <w:style w:type="paragraph" w:styleId="Caption">
    <w:name w:val="caption"/>
    <w:aliases w:val="Table Caption,Caption Tables"/>
    <w:basedOn w:val="Normal"/>
    <w:next w:val="Normal"/>
    <w:link w:val="CaptionChar"/>
    <w:uiPriority w:val="20"/>
    <w:qFormat/>
    <w:rsid w:val="007D2402"/>
    <w:pPr>
      <w:spacing w:before="180" w:after="60"/>
    </w:pPr>
    <w:rPr>
      <w:i/>
      <w:iCs/>
      <w:color w:val="36383D" w:themeColor="accent6"/>
      <w:sz w:val="18"/>
      <w:szCs w:val="18"/>
    </w:rPr>
  </w:style>
  <w:style w:type="paragraph" w:customStyle="1" w:styleId="Statement">
    <w:name w:val="Statement"/>
    <w:basedOn w:val="Normal"/>
    <w:link w:val="StatementChar"/>
    <w:uiPriority w:val="23"/>
    <w:qFormat/>
    <w:rsid w:val="00DB5619"/>
    <w:pPr>
      <w:spacing w:before="60"/>
    </w:pPr>
    <w:rPr>
      <w:i/>
    </w:rPr>
  </w:style>
  <w:style w:type="character" w:customStyle="1" w:styleId="StatementChar">
    <w:name w:val="Statement Char"/>
    <w:basedOn w:val="DefaultParagraphFont"/>
    <w:link w:val="Statement"/>
    <w:uiPriority w:val="23"/>
    <w:rsid w:val="00061E09"/>
    <w:rPr>
      <w:i/>
    </w:rPr>
  </w:style>
  <w:style w:type="paragraph" w:styleId="IntenseQuote">
    <w:name w:val="Intense Quote"/>
    <w:basedOn w:val="Normal"/>
    <w:next w:val="Normal"/>
    <w:link w:val="IntenseQuoteChar"/>
    <w:uiPriority w:val="30"/>
    <w:semiHidden/>
    <w:rsid w:val="005C306E"/>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5761C3"/>
    <w:rPr>
      <w:b/>
      <w:iCs/>
      <w:color w:val="075D5F" w:themeColor="accent1"/>
      <w:sz w:val="26"/>
    </w:rPr>
  </w:style>
  <w:style w:type="paragraph" w:styleId="Salutation">
    <w:name w:val="Salutation"/>
    <w:basedOn w:val="Normal"/>
    <w:next w:val="Normal"/>
    <w:link w:val="SalutationChar"/>
    <w:uiPriority w:val="34"/>
    <w:semiHidden/>
    <w:rsid w:val="005C306E"/>
    <w:pPr>
      <w:spacing w:after="0"/>
    </w:pPr>
    <w:rPr>
      <w:b/>
    </w:rPr>
  </w:style>
  <w:style w:type="character" w:customStyle="1" w:styleId="SalutationChar">
    <w:name w:val="Salutation Char"/>
    <w:basedOn w:val="DefaultParagraphFont"/>
    <w:link w:val="Salutation"/>
    <w:uiPriority w:val="34"/>
    <w:semiHidden/>
    <w:rsid w:val="00061E09"/>
    <w:rPr>
      <w:b/>
    </w:rPr>
  </w:style>
  <w:style w:type="paragraph" w:styleId="Signature">
    <w:name w:val="Signature"/>
    <w:basedOn w:val="Normal"/>
    <w:link w:val="SignatureChar"/>
    <w:uiPriority w:val="34"/>
    <w:semiHidden/>
    <w:rsid w:val="005C306E"/>
    <w:pPr>
      <w:spacing w:before="720" w:after="0"/>
      <w:contextualSpacing/>
    </w:pPr>
  </w:style>
  <w:style w:type="character" w:customStyle="1" w:styleId="SignatureChar">
    <w:name w:val="Signature Char"/>
    <w:basedOn w:val="DefaultParagraphFont"/>
    <w:link w:val="Signature"/>
    <w:uiPriority w:val="34"/>
    <w:semiHidden/>
    <w:rsid w:val="00061E09"/>
  </w:style>
  <w:style w:type="paragraph" w:styleId="Date">
    <w:name w:val="Date"/>
    <w:basedOn w:val="Normal"/>
    <w:next w:val="Normal"/>
    <w:link w:val="DateChar"/>
    <w:uiPriority w:val="34"/>
    <w:semiHidden/>
    <w:rsid w:val="007D0873"/>
  </w:style>
  <w:style w:type="character" w:customStyle="1" w:styleId="DateChar">
    <w:name w:val="Date Char"/>
    <w:basedOn w:val="DefaultParagraphFont"/>
    <w:link w:val="Date"/>
    <w:uiPriority w:val="34"/>
    <w:semiHidden/>
    <w:rsid w:val="00061E09"/>
  </w:style>
  <w:style w:type="paragraph" w:styleId="EnvelopeAddress">
    <w:name w:val="envelope address"/>
    <w:basedOn w:val="Normal"/>
    <w:uiPriority w:val="34"/>
    <w:semiHidden/>
    <w:rsid w:val="005C306E"/>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6215B6"/>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6215B6"/>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C703EA"/>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2D7DF6"/>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996E4F"/>
    <w:rPr>
      <w:rFonts w:eastAsiaTheme="minorEastAsia" w:cstheme="majorBidi"/>
      <w:color w:val="075D5F" w:themeColor="accent1"/>
    </w:rPr>
  </w:style>
  <w:style w:type="table" w:styleId="TableGrid">
    <w:name w:val="Table Grid"/>
    <w:basedOn w:val="TableNormal"/>
    <w:uiPriority w:val="59"/>
    <w:rsid w:val="009120A0"/>
    <w:tblPr>
      <w:tblStyleRowBandSize w:val="1"/>
      <w:tblBorders>
        <w:top w:val="single" w:sz="8" w:space="0" w:color="C2CCCC" w:themeColor="background2"/>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533BAE"/>
    <w:rPr>
      <w:color w:val="212429" w:themeColor="text2"/>
    </w:rPr>
  </w:style>
  <w:style w:type="table" w:styleId="ListTable1Light">
    <w:name w:val="List Table 1 Light"/>
    <w:basedOn w:val="TableNormal"/>
    <w:uiPriority w:val="46"/>
    <w:locked/>
    <w:rsid w:val="00D3592F"/>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21646D"/>
    <w:pPr>
      <w:numPr>
        <w:numId w:val="3"/>
      </w:numPr>
    </w:pPr>
  </w:style>
  <w:style w:type="paragraph" w:styleId="Quote">
    <w:name w:val="Quote"/>
    <w:basedOn w:val="Normal"/>
    <w:next w:val="Normal"/>
    <w:link w:val="QuoteChar"/>
    <w:uiPriority w:val="29"/>
    <w:semiHidden/>
    <w:qFormat/>
    <w:rsid w:val="00BB50B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61E09"/>
    <w:rPr>
      <w:i/>
      <w:iCs/>
      <w:color w:val="404040" w:themeColor="text1" w:themeTint="BF"/>
    </w:rPr>
  </w:style>
  <w:style w:type="paragraph" w:styleId="TOCHeading">
    <w:name w:val="TOC Heading"/>
    <w:basedOn w:val="Heading1"/>
    <w:next w:val="Normal"/>
    <w:uiPriority w:val="39"/>
    <w:rsid w:val="002849C1"/>
    <w:pPr>
      <w:spacing w:after="0"/>
      <w:outlineLvl w:val="9"/>
    </w:pPr>
  </w:style>
  <w:style w:type="paragraph" w:styleId="TOC1">
    <w:name w:val="toc 1"/>
    <w:basedOn w:val="Normal"/>
    <w:next w:val="Normal"/>
    <w:autoRedefine/>
    <w:uiPriority w:val="39"/>
    <w:rsid w:val="00384433"/>
    <w:pPr>
      <w:tabs>
        <w:tab w:val="right" w:leader="underscore" w:pos="10773"/>
      </w:tabs>
      <w:spacing w:before="240" w:after="100"/>
    </w:pPr>
    <w:rPr>
      <w:b/>
    </w:rPr>
  </w:style>
  <w:style w:type="paragraph" w:styleId="TOC2">
    <w:name w:val="toc 2"/>
    <w:basedOn w:val="Normal"/>
    <w:next w:val="Normal"/>
    <w:autoRedefine/>
    <w:uiPriority w:val="39"/>
    <w:rsid w:val="003B15A1"/>
    <w:pPr>
      <w:tabs>
        <w:tab w:val="right" w:leader="underscore" w:pos="10773"/>
      </w:tabs>
      <w:spacing w:after="100"/>
    </w:pPr>
  </w:style>
  <w:style w:type="character" w:styleId="Hyperlink">
    <w:name w:val="Hyperlink"/>
    <w:basedOn w:val="DefaultParagraphFont"/>
    <w:uiPriority w:val="99"/>
    <w:unhideWhenUsed/>
    <w:rsid w:val="00F8004E"/>
    <w:rPr>
      <w:color w:val="36383D" w:themeColor="accent6"/>
      <w:u w:val="single"/>
    </w:rPr>
  </w:style>
  <w:style w:type="paragraph" w:customStyle="1" w:styleId="Heading1-Numbered">
    <w:name w:val="Heading 1 - Numbered"/>
    <w:basedOn w:val="Heading1"/>
    <w:next w:val="Normal"/>
    <w:uiPriority w:val="9"/>
    <w:qFormat/>
    <w:rsid w:val="005A32EA"/>
    <w:pPr>
      <w:numPr>
        <w:numId w:val="30"/>
      </w:numPr>
    </w:pPr>
  </w:style>
  <w:style w:type="paragraph" w:customStyle="1" w:styleId="Heading3-Numbered">
    <w:name w:val="Heading 3 - Numbered"/>
    <w:basedOn w:val="Heading3"/>
    <w:next w:val="Normal"/>
    <w:uiPriority w:val="9"/>
    <w:qFormat/>
    <w:rsid w:val="00FC2941"/>
    <w:pPr>
      <w:numPr>
        <w:ilvl w:val="2"/>
        <w:numId w:val="30"/>
      </w:numPr>
    </w:pPr>
    <w:rPr>
      <w:color w:val="515965" w:themeColor="text2" w:themeTint="BF"/>
    </w:rPr>
  </w:style>
  <w:style w:type="paragraph" w:customStyle="1" w:styleId="Heading2-Numbered">
    <w:name w:val="Heading 2 - Numbered"/>
    <w:basedOn w:val="Heading2"/>
    <w:next w:val="Normal"/>
    <w:link w:val="Heading2-NumberedChar"/>
    <w:uiPriority w:val="9"/>
    <w:qFormat/>
    <w:rsid w:val="005A32EA"/>
    <w:pPr>
      <w:numPr>
        <w:ilvl w:val="1"/>
        <w:numId w:val="30"/>
      </w:numPr>
    </w:pPr>
  </w:style>
  <w:style w:type="character" w:customStyle="1" w:styleId="Heading2-NumberedChar">
    <w:name w:val="Heading 2 - Numbered Char"/>
    <w:basedOn w:val="Heading2Char"/>
    <w:link w:val="Heading2-Numbered"/>
    <w:uiPriority w:val="9"/>
    <w:rsid w:val="0021733F"/>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F83793"/>
    <w:pPr>
      <w:numPr>
        <w:ilvl w:val="3"/>
        <w:numId w:val="30"/>
      </w:numPr>
      <w:spacing w:before="120"/>
    </w:pPr>
    <w:rPr>
      <w:bCs/>
      <w:color w:val="212429" w:themeColor="text2"/>
      <w:szCs w:val="22"/>
      <w14:textFill>
        <w14:solidFill>
          <w14:schemeClr w14:val="tx2">
            <w14:lumMod w14:val="75000"/>
            <w14:lumOff w14:val="25000"/>
            <w14:lumMod w14:val="75000"/>
            <w14:lumOff w14:val="25000"/>
          </w14:schemeClr>
        </w14:solidFill>
      </w14:textFill>
    </w:rPr>
  </w:style>
  <w:style w:type="paragraph" w:customStyle="1" w:styleId="Introduction">
    <w:name w:val="Introduction"/>
    <w:basedOn w:val="Normal"/>
    <w:next w:val="Normal"/>
    <w:uiPriority w:val="10"/>
    <w:semiHidden/>
    <w:qFormat/>
    <w:rsid w:val="00A61DAA"/>
    <w:pPr>
      <w:keepLines/>
      <w:spacing w:before="240" w:after="240"/>
    </w:pPr>
    <w:rPr>
      <w:b/>
      <w:color w:val="212429" w:themeColor="text2"/>
    </w:rPr>
  </w:style>
  <w:style w:type="paragraph" w:styleId="Header">
    <w:name w:val="header"/>
    <w:basedOn w:val="Normal"/>
    <w:link w:val="HeaderChar"/>
    <w:uiPriority w:val="99"/>
    <w:rsid w:val="00F8004E"/>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99"/>
    <w:rsid w:val="00F8004E"/>
    <w:rPr>
      <w:color w:val="36383D" w:themeColor="accent6"/>
      <w:sz w:val="14"/>
    </w:rPr>
  </w:style>
  <w:style w:type="paragraph" w:styleId="Footer">
    <w:name w:val="footer"/>
    <w:basedOn w:val="Normal"/>
    <w:link w:val="FooterChar"/>
    <w:uiPriority w:val="99"/>
    <w:rsid w:val="00F8004E"/>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99"/>
    <w:rsid w:val="00F8004E"/>
    <w:rPr>
      <w:color w:val="36383D" w:themeColor="accent6"/>
      <w:sz w:val="14"/>
    </w:rPr>
  </w:style>
  <w:style w:type="paragraph" w:styleId="TableofFigures">
    <w:name w:val="table of figures"/>
    <w:basedOn w:val="Normal"/>
    <w:next w:val="Normal"/>
    <w:uiPriority w:val="99"/>
    <w:rsid w:val="00EB2B6D"/>
    <w:pPr>
      <w:tabs>
        <w:tab w:val="right" w:leader="underscore" w:pos="10773"/>
      </w:tabs>
      <w:spacing w:after="100"/>
    </w:pPr>
  </w:style>
  <w:style w:type="paragraph" w:styleId="ListContinue">
    <w:name w:val="List Continue"/>
    <w:basedOn w:val="Normal"/>
    <w:uiPriority w:val="17"/>
    <w:rsid w:val="00D73F12"/>
    <w:pPr>
      <w:numPr>
        <w:numId w:val="9"/>
      </w:numPr>
      <w:contextualSpacing/>
    </w:pPr>
  </w:style>
  <w:style w:type="paragraph" w:styleId="ListContinue2">
    <w:name w:val="List Continue 2"/>
    <w:basedOn w:val="Normal"/>
    <w:uiPriority w:val="17"/>
    <w:rsid w:val="00D73F12"/>
    <w:pPr>
      <w:numPr>
        <w:ilvl w:val="1"/>
        <w:numId w:val="9"/>
      </w:numPr>
      <w:contextualSpacing/>
    </w:pPr>
  </w:style>
  <w:style w:type="paragraph" w:styleId="ListContinue3">
    <w:name w:val="List Continue 3"/>
    <w:basedOn w:val="Normal"/>
    <w:uiPriority w:val="17"/>
    <w:rsid w:val="00D73F12"/>
    <w:pPr>
      <w:numPr>
        <w:ilvl w:val="2"/>
        <w:numId w:val="9"/>
      </w:numPr>
      <w:contextualSpacing/>
    </w:pPr>
  </w:style>
  <w:style w:type="paragraph" w:styleId="ListContinue4">
    <w:name w:val="List Continue 4"/>
    <w:basedOn w:val="Normal"/>
    <w:uiPriority w:val="17"/>
    <w:rsid w:val="00D73F12"/>
    <w:pPr>
      <w:numPr>
        <w:ilvl w:val="3"/>
        <w:numId w:val="9"/>
      </w:numPr>
      <w:contextualSpacing/>
    </w:pPr>
  </w:style>
  <w:style w:type="paragraph" w:styleId="ListContinue5">
    <w:name w:val="List Continue 5"/>
    <w:basedOn w:val="Normal"/>
    <w:uiPriority w:val="17"/>
    <w:rsid w:val="00D73F12"/>
    <w:pPr>
      <w:numPr>
        <w:ilvl w:val="4"/>
        <w:numId w:val="9"/>
      </w:numPr>
      <w:contextualSpacing/>
    </w:pPr>
  </w:style>
  <w:style w:type="paragraph" w:styleId="ListBullet3">
    <w:name w:val="List Bullet 3"/>
    <w:basedOn w:val="Normal"/>
    <w:uiPriority w:val="17"/>
    <w:rsid w:val="00B52E1D"/>
    <w:pPr>
      <w:numPr>
        <w:ilvl w:val="2"/>
        <w:numId w:val="2"/>
      </w:numPr>
      <w:contextualSpacing/>
    </w:pPr>
  </w:style>
  <w:style w:type="paragraph" w:styleId="TOC3">
    <w:name w:val="toc 3"/>
    <w:basedOn w:val="Normal"/>
    <w:next w:val="Normal"/>
    <w:autoRedefine/>
    <w:uiPriority w:val="39"/>
    <w:rsid w:val="001A17D8"/>
    <w:pPr>
      <w:tabs>
        <w:tab w:val="right" w:leader="underscore" w:pos="10773"/>
      </w:tabs>
      <w:spacing w:after="100"/>
      <w:ind w:left="284"/>
    </w:pPr>
  </w:style>
  <w:style w:type="paragraph" w:styleId="TOC4">
    <w:name w:val="toc 4"/>
    <w:basedOn w:val="Normal"/>
    <w:next w:val="Normal"/>
    <w:autoRedefine/>
    <w:uiPriority w:val="39"/>
    <w:rsid w:val="003114CB"/>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D73F12"/>
    <w:pPr>
      <w:numPr>
        <w:numId w:val="4"/>
      </w:numPr>
    </w:pPr>
  </w:style>
  <w:style w:type="paragraph" w:styleId="List">
    <w:name w:val="List"/>
    <w:basedOn w:val="Normal"/>
    <w:uiPriority w:val="17"/>
    <w:rsid w:val="0021646D"/>
    <w:pPr>
      <w:numPr>
        <w:numId w:val="8"/>
      </w:numPr>
      <w:contextualSpacing/>
    </w:pPr>
  </w:style>
  <w:style w:type="paragraph" w:styleId="List2">
    <w:name w:val="List 2"/>
    <w:basedOn w:val="Normal"/>
    <w:uiPriority w:val="17"/>
    <w:rsid w:val="0021646D"/>
    <w:pPr>
      <w:numPr>
        <w:ilvl w:val="1"/>
        <w:numId w:val="8"/>
      </w:numPr>
      <w:contextualSpacing/>
    </w:pPr>
  </w:style>
  <w:style w:type="paragraph" w:styleId="List3">
    <w:name w:val="List 3"/>
    <w:basedOn w:val="Normal"/>
    <w:uiPriority w:val="17"/>
    <w:rsid w:val="0021646D"/>
    <w:pPr>
      <w:numPr>
        <w:ilvl w:val="2"/>
        <w:numId w:val="8"/>
      </w:numPr>
      <w:contextualSpacing/>
    </w:pPr>
  </w:style>
  <w:style w:type="paragraph" w:styleId="List4">
    <w:name w:val="List 4"/>
    <w:basedOn w:val="Normal"/>
    <w:uiPriority w:val="17"/>
    <w:rsid w:val="0021646D"/>
    <w:pPr>
      <w:numPr>
        <w:ilvl w:val="3"/>
        <w:numId w:val="8"/>
      </w:numPr>
      <w:contextualSpacing/>
    </w:pPr>
  </w:style>
  <w:style w:type="paragraph" w:styleId="List5">
    <w:name w:val="List 5"/>
    <w:basedOn w:val="Normal"/>
    <w:uiPriority w:val="17"/>
    <w:rsid w:val="0021646D"/>
    <w:pPr>
      <w:numPr>
        <w:ilvl w:val="4"/>
        <w:numId w:val="8"/>
      </w:numPr>
      <w:contextualSpacing/>
    </w:pPr>
  </w:style>
  <w:style w:type="paragraph" w:customStyle="1" w:styleId="TableListContinue2">
    <w:name w:val="Table List Continue 2"/>
    <w:basedOn w:val="Normal"/>
    <w:uiPriority w:val="18"/>
    <w:rsid w:val="00631E9B"/>
    <w:pPr>
      <w:numPr>
        <w:ilvl w:val="1"/>
        <w:numId w:val="11"/>
      </w:numPr>
      <w:contextualSpacing/>
    </w:pPr>
  </w:style>
  <w:style w:type="paragraph" w:customStyle="1" w:styleId="TableListContinue">
    <w:name w:val="Table List Continue"/>
    <w:basedOn w:val="Normal"/>
    <w:uiPriority w:val="18"/>
    <w:rsid w:val="00631E9B"/>
    <w:pPr>
      <w:numPr>
        <w:numId w:val="11"/>
      </w:numPr>
      <w:contextualSpacing/>
    </w:pPr>
  </w:style>
  <w:style w:type="paragraph" w:customStyle="1" w:styleId="TableListContinue3">
    <w:name w:val="Table List Continue 3"/>
    <w:basedOn w:val="Normal"/>
    <w:uiPriority w:val="18"/>
    <w:rsid w:val="00631E9B"/>
    <w:pPr>
      <w:numPr>
        <w:ilvl w:val="2"/>
        <w:numId w:val="11"/>
      </w:numPr>
      <w:contextualSpacing/>
    </w:pPr>
  </w:style>
  <w:style w:type="paragraph" w:customStyle="1" w:styleId="TableListContinue4">
    <w:name w:val="Table List Continue 4"/>
    <w:basedOn w:val="Normal"/>
    <w:uiPriority w:val="18"/>
    <w:semiHidden/>
    <w:rsid w:val="00631E9B"/>
    <w:pPr>
      <w:numPr>
        <w:ilvl w:val="3"/>
        <w:numId w:val="11"/>
      </w:numPr>
      <w:contextualSpacing/>
    </w:pPr>
  </w:style>
  <w:style w:type="paragraph" w:customStyle="1" w:styleId="TableListContinue5">
    <w:name w:val="Table List Continue 5"/>
    <w:basedOn w:val="Normal"/>
    <w:uiPriority w:val="18"/>
    <w:semiHidden/>
    <w:rsid w:val="00631E9B"/>
    <w:pPr>
      <w:numPr>
        <w:ilvl w:val="4"/>
        <w:numId w:val="11"/>
      </w:numPr>
      <w:contextualSpacing/>
    </w:pPr>
  </w:style>
  <w:style w:type="numbering" w:customStyle="1" w:styleId="TableCellLists">
    <w:name w:val="Table Cell Lists"/>
    <w:basedOn w:val="NoList"/>
    <w:uiPriority w:val="99"/>
    <w:rsid w:val="00631E9B"/>
    <w:pPr>
      <w:numPr>
        <w:numId w:val="5"/>
      </w:numPr>
    </w:pPr>
  </w:style>
  <w:style w:type="paragraph" w:customStyle="1" w:styleId="TableCellList">
    <w:name w:val="Table Cell List"/>
    <w:basedOn w:val="Normal"/>
    <w:uiPriority w:val="17"/>
    <w:rsid w:val="00631E9B"/>
    <w:pPr>
      <w:numPr>
        <w:numId w:val="10"/>
      </w:numPr>
      <w:contextualSpacing/>
    </w:pPr>
  </w:style>
  <w:style w:type="paragraph" w:customStyle="1" w:styleId="TableCellList2">
    <w:name w:val="Table Cell List 2"/>
    <w:basedOn w:val="Normal"/>
    <w:uiPriority w:val="17"/>
    <w:rsid w:val="00631E9B"/>
    <w:pPr>
      <w:numPr>
        <w:ilvl w:val="1"/>
        <w:numId w:val="10"/>
      </w:numPr>
      <w:contextualSpacing/>
    </w:pPr>
  </w:style>
  <w:style w:type="paragraph" w:customStyle="1" w:styleId="TableCellList3">
    <w:name w:val="Table Cell List 3"/>
    <w:basedOn w:val="Normal"/>
    <w:uiPriority w:val="17"/>
    <w:rsid w:val="00631E9B"/>
    <w:pPr>
      <w:numPr>
        <w:ilvl w:val="2"/>
        <w:numId w:val="10"/>
      </w:numPr>
      <w:contextualSpacing/>
    </w:pPr>
  </w:style>
  <w:style w:type="paragraph" w:customStyle="1" w:styleId="TableCellList4">
    <w:name w:val="Table Cell List 4"/>
    <w:basedOn w:val="Normal"/>
    <w:uiPriority w:val="17"/>
    <w:semiHidden/>
    <w:rsid w:val="00631E9B"/>
    <w:pPr>
      <w:numPr>
        <w:ilvl w:val="3"/>
        <w:numId w:val="10"/>
      </w:numPr>
      <w:contextualSpacing/>
    </w:pPr>
  </w:style>
  <w:style w:type="paragraph" w:customStyle="1" w:styleId="TableCellList5">
    <w:name w:val="Table Cell List 5"/>
    <w:basedOn w:val="Normal"/>
    <w:uiPriority w:val="17"/>
    <w:semiHidden/>
    <w:rsid w:val="00631E9B"/>
    <w:pPr>
      <w:numPr>
        <w:ilvl w:val="4"/>
        <w:numId w:val="10"/>
      </w:numPr>
      <w:contextualSpacing/>
    </w:pPr>
  </w:style>
  <w:style w:type="numbering" w:customStyle="1" w:styleId="TableListContinueSet">
    <w:name w:val="Table List Continue Set"/>
    <w:basedOn w:val="NoList"/>
    <w:uiPriority w:val="99"/>
    <w:rsid w:val="00631E9B"/>
    <w:pPr>
      <w:numPr>
        <w:numId w:val="6"/>
      </w:numPr>
    </w:pPr>
  </w:style>
  <w:style w:type="paragraph" w:customStyle="1" w:styleId="ListParagraph2">
    <w:name w:val="List Paragraph 2"/>
    <w:basedOn w:val="Normal"/>
    <w:uiPriority w:val="34"/>
    <w:rsid w:val="005A163D"/>
    <w:pPr>
      <w:ind w:left="567"/>
      <w:contextualSpacing/>
    </w:pPr>
  </w:style>
  <w:style w:type="paragraph" w:customStyle="1" w:styleId="ListParagraph3">
    <w:name w:val="List Paragraph 3"/>
    <w:basedOn w:val="Normal"/>
    <w:uiPriority w:val="34"/>
    <w:rsid w:val="005A163D"/>
    <w:pPr>
      <w:ind w:left="851"/>
      <w:contextualSpacing/>
    </w:pPr>
  </w:style>
  <w:style w:type="paragraph" w:customStyle="1" w:styleId="ListParagraph4">
    <w:name w:val="List Paragraph 4"/>
    <w:basedOn w:val="Normal"/>
    <w:uiPriority w:val="34"/>
    <w:rsid w:val="005A163D"/>
    <w:pPr>
      <w:ind w:left="1134"/>
      <w:contextualSpacing/>
    </w:pPr>
  </w:style>
  <w:style w:type="paragraph" w:customStyle="1" w:styleId="ListParagraph5">
    <w:name w:val="List Paragraph 5"/>
    <w:basedOn w:val="Normal"/>
    <w:uiPriority w:val="34"/>
    <w:rsid w:val="005A163D"/>
    <w:pPr>
      <w:ind w:left="1418"/>
      <w:contextualSpacing/>
    </w:pPr>
  </w:style>
  <w:style w:type="character" w:customStyle="1" w:styleId="Bold">
    <w:name w:val="Bold"/>
    <w:basedOn w:val="DefaultParagraphFont"/>
    <w:uiPriority w:val="23"/>
    <w:qFormat/>
    <w:rsid w:val="00C93904"/>
    <w:rPr>
      <w:b/>
      <w:color w:val="auto"/>
    </w:rPr>
  </w:style>
  <w:style w:type="paragraph" w:customStyle="1" w:styleId="GreyText">
    <w:name w:val="Grey Text"/>
    <w:basedOn w:val="Normal"/>
    <w:link w:val="GreyTextChar"/>
    <w:uiPriority w:val="23"/>
    <w:qFormat/>
    <w:rsid w:val="004A0FD1"/>
    <w:rPr>
      <w:color w:val="36383D" w:themeColor="accent6"/>
    </w:rPr>
  </w:style>
  <w:style w:type="character" w:customStyle="1" w:styleId="GreyTextChar">
    <w:name w:val="Grey Text Char"/>
    <w:basedOn w:val="DefaultParagraphFont"/>
    <w:link w:val="GreyText"/>
    <w:uiPriority w:val="23"/>
    <w:rsid w:val="00061E09"/>
    <w:rPr>
      <w:color w:val="36383D" w:themeColor="accent6"/>
    </w:rPr>
  </w:style>
  <w:style w:type="paragraph" w:customStyle="1" w:styleId="Instructional">
    <w:name w:val="Instructional"/>
    <w:basedOn w:val="Normal"/>
    <w:link w:val="InstructionalChar"/>
    <w:uiPriority w:val="23"/>
    <w:qFormat/>
    <w:rsid w:val="00A61DAA"/>
    <w:pPr>
      <w:spacing w:after="0"/>
    </w:pPr>
    <w:rPr>
      <w:i/>
      <w:color w:val="0000FF"/>
    </w:rPr>
  </w:style>
  <w:style w:type="character" w:customStyle="1" w:styleId="InstructionalChar">
    <w:name w:val="Instructional Char"/>
    <w:basedOn w:val="DefaultParagraphFont"/>
    <w:link w:val="Instructional"/>
    <w:uiPriority w:val="23"/>
    <w:rsid w:val="00061E09"/>
    <w:rPr>
      <w:i/>
      <w:color w:val="0000FF"/>
    </w:rPr>
  </w:style>
  <w:style w:type="paragraph" w:styleId="TOC5">
    <w:name w:val="toc 5"/>
    <w:basedOn w:val="Normal"/>
    <w:next w:val="Normal"/>
    <w:autoRedefine/>
    <w:uiPriority w:val="39"/>
    <w:rsid w:val="003114CB"/>
    <w:pPr>
      <w:tabs>
        <w:tab w:val="right" w:leader="underscore" w:pos="10773"/>
      </w:tabs>
      <w:spacing w:after="100"/>
      <w:ind w:left="720" w:hanging="720"/>
    </w:pPr>
  </w:style>
  <w:style w:type="paragraph" w:styleId="TOC6">
    <w:name w:val="toc 6"/>
    <w:basedOn w:val="Normal"/>
    <w:next w:val="Normal"/>
    <w:autoRedefine/>
    <w:uiPriority w:val="39"/>
    <w:rsid w:val="0034657A"/>
    <w:pPr>
      <w:tabs>
        <w:tab w:val="right" w:leader="underscore" w:pos="10773"/>
      </w:tabs>
      <w:spacing w:after="100"/>
      <w:ind w:left="1203" w:hanging="919"/>
    </w:pPr>
    <w:rPr>
      <w:noProof/>
      <w:color w:val="auto"/>
    </w:rPr>
  </w:style>
  <w:style w:type="paragraph" w:customStyle="1" w:styleId="Pull-outQuote">
    <w:name w:val="Pull-out Quote"/>
    <w:basedOn w:val="Normal"/>
    <w:uiPriority w:val="30"/>
    <w:qFormat/>
    <w:rsid w:val="00AB4351"/>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AB4351"/>
    <w:rPr>
      <w:b/>
    </w:rPr>
  </w:style>
  <w:style w:type="paragraph" w:customStyle="1" w:styleId="FooterPageNumber">
    <w:name w:val="Footer Page Number"/>
    <w:basedOn w:val="Footer"/>
    <w:uiPriority w:val="99"/>
    <w:rsid w:val="00E61438"/>
    <w:pPr>
      <w:framePr w:wrap="around" w:vAnchor="text" w:hAnchor="margin" w:xAlign="right" w:y="1"/>
      <w:ind w:right="0"/>
    </w:pPr>
    <w:rPr>
      <w:rFonts w:ascii="VIC Medium" w:hAnsi="VIC Medium"/>
    </w:rPr>
  </w:style>
  <w:style w:type="paragraph" w:customStyle="1" w:styleId="FooterLight">
    <w:name w:val="Footer Light"/>
    <w:basedOn w:val="Footer"/>
    <w:uiPriority w:val="99"/>
    <w:rsid w:val="00E61438"/>
    <w:rPr>
      <w:rFonts w:ascii="VIC Light" w:hAnsi="VIC Light"/>
    </w:rPr>
  </w:style>
  <w:style w:type="paragraph" w:customStyle="1" w:styleId="DarkReportTitle">
    <w:name w:val="Dark Report Title"/>
    <w:basedOn w:val="Normal"/>
    <w:next w:val="DarkReportSubtitle"/>
    <w:uiPriority w:val="36"/>
    <w:semiHidden/>
    <w:unhideWhenUsed/>
    <w:rsid w:val="00C703EA"/>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semiHidden/>
    <w:unhideWhenUsed/>
    <w:rsid w:val="00F8004E"/>
    <w:rPr>
      <w:color w:val="36383D" w:themeColor="accent6"/>
    </w:rPr>
  </w:style>
  <w:style w:type="paragraph" w:customStyle="1" w:styleId="LightReportSubtitle">
    <w:name w:val="Light Report Subtitle"/>
    <w:basedOn w:val="DarkReportSubtitle"/>
    <w:next w:val="LightVersion"/>
    <w:uiPriority w:val="36"/>
    <w:semiHidden/>
    <w:unhideWhenUsed/>
    <w:rsid w:val="00F8004E"/>
    <w:rPr>
      <w:color w:val="36383D" w:themeColor="accent6"/>
    </w:rPr>
  </w:style>
  <w:style w:type="paragraph" w:customStyle="1" w:styleId="DarkTextualReportSubtitle">
    <w:name w:val="Dark Textual Report Subtitle"/>
    <w:basedOn w:val="DarkReportSubtitle"/>
    <w:uiPriority w:val="36"/>
    <w:semiHidden/>
    <w:unhideWhenUsed/>
    <w:rsid w:val="00C703EA"/>
    <w:pPr>
      <w:framePr w:wrap="around" w:vAnchor="page" w:hAnchor="page" w:x="557" w:y="12690"/>
    </w:pPr>
  </w:style>
  <w:style w:type="paragraph" w:styleId="NormalWeb">
    <w:name w:val="Normal (Web)"/>
    <w:basedOn w:val="Normal"/>
    <w:uiPriority w:val="99"/>
    <w:semiHidden/>
    <w:rsid w:val="00112D43"/>
    <w:rPr>
      <w:rFonts w:cs="Times New Roman"/>
      <w:szCs w:val="24"/>
    </w:rPr>
  </w:style>
  <w:style w:type="table" w:customStyle="1" w:styleId="TablePlain">
    <w:name w:val="Table Plain"/>
    <w:basedOn w:val="TableNormal"/>
    <w:uiPriority w:val="99"/>
    <w:rsid w:val="00912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D81AF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D81AF6"/>
    <w:pPr>
      <w:numPr>
        <w:numId w:val="12"/>
      </w:numPr>
    </w:pPr>
  </w:style>
  <w:style w:type="paragraph" w:styleId="BalloonText">
    <w:name w:val="Balloon Text"/>
    <w:basedOn w:val="Normal"/>
    <w:link w:val="BalloonTextChar"/>
    <w:uiPriority w:val="99"/>
    <w:semiHidden/>
    <w:locked/>
    <w:rsid w:val="00D81AF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AF6"/>
    <w:rPr>
      <w:rFonts w:ascii="Segoe UI" w:hAnsi="Segoe UI" w:cs="Segoe UI"/>
      <w:sz w:val="18"/>
      <w:szCs w:val="18"/>
    </w:rPr>
  </w:style>
  <w:style w:type="paragraph" w:styleId="Bibliography">
    <w:name w:val="Bibliography"/>
    <w:basedOn w:val="Normal"/>
    <w:next w:val="Normal"/>
    <w:uiPriority w:val="37"/>
    <w:semiHidden/>
    <w:locked/>
    <w:rsid w:val="00D81AF6"/>
  </w:style>
  <w:style w:type="paragraph" w:styleId="BlockText">
    <w:name w:val="Block Text"/>
    <w:basedOn w:val="Normal"/>
    <w:uiPriority w:val="99"/>
    <w:semiHidden/>
    <w:locked/>
    <w:rsid w:val="00D81AF6"/>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D81AF6"/>
  </w:style>
  <w:style w:type="character" w:customStyle="1" w:styleId="BodyTextChar">
    <w:name w:val="Body Text Char"/>
    <w:basedOn w:val="DefaultParagraphFont"/>
    <w:link w:val="BodyText"/>
    <w:uiPriority w:val="99"/>
    <w:semiHidden/>
    <w:rsid w:val="00D81AF6"/>
  </w:style>
  <w:style w:type="paragraph" w:styleId="BodyText2">
    <w:name w:val="Body Text 2"/>
    <w:basedOn w:val="Normal"/>
    <w:link w:val="BodyText2Char"/>
    <w:uiPriority w:val="99"/>
    <w:semiHidden/>
    <w:rsid w:val="00D81AF6"/>
    <w:pPr>
      <w:spacing w:line="480" w:lineRule="auto"/>
    </w:pPr>
  </w:style>
  <w:style w:type="character" w:customStyle="1" w:styleId="BodyText2Char">
    <w:name w:val="Body Text 2 Char"/>
    <w:basedOn w:val="DefaultParagraphFont"/>
    <w:link w:val="BodyText2"/>
    <w:uiPriority w:val="99"/>
    <w:semiHidden/>
    <w:rsid w:val="00D81AF6"/>
  </w:style>
  <w:style w:type="paragraph" w:styleId="BodyText3">
    <w:name w:val="Body Text 3"/>
    <w:basedOn w:val="Normal"/>
    <w:link w:val="BodyText3Char"/>
    <w:uiPriority w:val="99"/>
    <w:semiHidden/>
    <w:locked/>
    <w:rsid w:val="00D81AF6"/>
    <w:rPr>
      <w:sz w:val="16"/>
      <w:szCs w:val="16"/>
    </w:rPr>
  </w:style>
  <w:style w:type="character" w:customStyle="1" w:styleId="BodyText3Char">
    <w:name w:val="Body Text 3 Char"/>
    <w:basedOn w:val="DefaultParagraphFont"/>
    <w:link w:val="BodyText3"/>
    <w:uiPriority w:val="99"/>
    <w:semiHidden/>
    <w:rsid w:val="00D81AF6"/>
    <w:rPr>
      <w:sz w:val="16"/>
      <w:szCs w:val="16"/>
    </w:rPr>
  </w:style>
  <w:style w:type="paragraph" w:styleId="BodyTextFirstIndent">
    <w:name w:val="Body Text First Indent"/>
    <w:basedOn w:val="BodyText"/>
    <w:link w:val="BodyTextFirstIndentChar"/>
    <w:uiPriority w:val="99"/>
    <w:semiHidden/>
    <w:rsid w:val="00D81AF6"/>
    <w:pPr>
      <w:ind w:firstLine="360"/>
    </w:pPr>
  </w:style>
  <w:style w:type="character" w:customStyle="1" w:styleId="BodyTextFirstIndentChar">
    <w:name w:val="Body Text First Indent Char"/>
    <w:basedOn w:val="BodyTextChar"/>
    <w:link w:val="BodyTextFirstIndent"/>
    <w:uiPriority w:val="99"/>
    <w:semiHidden/>
    <w:rsid w:val="00D81AF6"/>
  </w:style>
  <w:style w:type="paragraph" w:styleId="BodyTextIndent">
    <w:name w:val="Body Text Indent"/>
    <w:basedOn w:val="Normal"/>
    <w:link w:val="BodyTextIndentChar"/>
    <w:uiPriority w:val="99"/>
    <w:semiHidden/>
    <w:rsid w:val="00D81AF6"/>
    <w:pPr>
      <w:ind w:left="283"/>
    </w:pPr>
  </w:style>
  <w:style w:type="character" w:customStyle="1" w:styleId="BodyTextIndentChar">
    <w:name w:val="Body Text Indent Char"/>
    <w:basedOn w:val="DefaultParagraphFont"/>
    <w:link w:val="BodyTextIndent"/>
    <w:uiPriority w:val="99"/>
    <w:semiHidden/>
    <w:rsid w:val="00D81AF6"/>
  </w:style>
  <w:style w:type="paragraph" w:styleId="BodyTextFirstIndent2">
    <w:name w:val="Body Text First Indent 2"/>
    <w:basedOn w:val="BodyTextIndent"/>
    <w:link w:val="BodyTextFirstIndent2Char"/>
    <w:uiPriority w:val="99"/>
    <w:semiHidden/>
    <w:rsid w:val="00D81AF6"/>
    <w:pPr>
      <w:ind w:left="360" w:firstLine="360"/>
    </w:pPr>
  </w:style>
  <w:style w:type="character" w:customStyle="1" w:styleId="BodyTextFirstIndent2Char">
    <w:name w:val="Body Text First Indent 2 Char"/>
    <w:basedOn w:val="BodyTextIndentChar"/>
    <w:link w:val="BodyTextFirstIndent2"/>
    <w:uiPriority w:val="99"/>
    <w:semiHidden/>
    <w:rsid w:val="00D81AF6"/>
  </w:style>
  <w:style w:type="paragraph" w:styleId="BodyTextIndent2">
    <w:name w:val="Body Text Indent 2"/>
    <w:basedOn w:val="Normal"/>
    <w:link w:val="BodyTextIndent2Char"/>
    <w:uiPriority w:val="99"/>
    <w:semiHidden/>
    <w:rsid w:val="00D81AF6"/>
    <w:pPr>
      <w:spacing w:line="480" w:lineRule="auto"/>
      <w:ind w:left="283"/>
    </w:pPr>
  </w:style>
  <w:style w:type="character" w:customStyle="1" w:styleId="BodyTextIndent2Char">
    <w:name w:val="Body Text Indent 2 Char"/>
    <w:basedOn w:val="DefaultParagraphFont"/>
    <w:link w:val="BodyTextIndent2"/>
    <w:uiPriority w:val="99"/>
    <w:semiHidden/>
    <w:rsid w:val="00D81AF6"/>
  </w:style>
  <w:style w:type="paragraph" w:styleId="BodyTextIndent3">
    <w:name w:val="Body Text Indent 3"/>
    <w:basedOn w:val="Normal"/>
    <w:link w:val="BodyTextIndent3Char"/>
    <w:uiPriority w:val="99"/>
    <w:semiHidden/>
    <w:rsid w:val="00D81AF6"/>
    <w:pPr>
      <w:ind w:left="283"/>
    </w:pPr>
    <w:rPr>
      <w:sz w:val="16"/>
      <w:szCs w:val="16"/>
    </w:rPr>
  </w:style>
  <w:style w:type="character" w:customStyle="1" w:styleId="BodyTextIndent3Char">
    <w:name w:val="Body Text Indent 3 Char"/>
    <w:basedOn w:val="DefaultParagraphFont"/>
    <w:link w:val="BodyTextIndent3"/>
    <w:uiPriority w:val="99"/>
    <w:semiHidden/>
    <w:rsid w:val="00D81AF6"/>
    <w:rPr>
      <w:sz w:val="16"/>
      <w:szCs w:val="16"/>
    </w:rPr>
  </w:style>
  <w:style w:type="character" w:styleId="BookTitle">
    <w:name w:val="Book Title"/>
    <w:basedOn w:val="DefaultParagraphFont"/>
    <w:uiPriority w:val="33"/>
    <w:semiHidden/>
    <w:qFormat/>
    <w:locked/>
    <w:rsid w:val="00D81AF6"/>
    <w:rPr>
      <w:b/>
      <w:bCs/>
      <w:i/>
      <w:iCs/>
      <w:spacing w:val="5"/>
    </w:rPr>
  </w:style>
  <w:style w:type="paragraph" w:styleId="Closing">
    <w:name w:val="Closing"/>
    <w:basedOn w:val="Normal"/>
    <w:link w:val="ClosingChar"/>
    <w:uiPriority w:val="99"/>
    <w:semiHidden/>
    <w:locked/>
    <w:rsid w:val="00D81AF6"/>
    <w:pPr>
      <w:spacing w:before="0" w:after="0"/>
      <w:ind w:left="4252"/>
    </w:pPr>
  </w:style>
  <w:style w:type="character" w:customStyle="1" w:styleId="ClosingChar">
    <w:name w:val="Closing Char"/>
    <w:basedOn w:val="DefaultParagraphFont"/>
    <w:link w:val="Closing"/>
    <w:uiPriority w:val="99"/>
    <w:semiHidden/>
    <w:rsid w:val="00D81AF6"/>
  </w:style>
  <w:style w:type="character" w:styleId="CommentReference">
    <w:name w:val="annotation reference"/>
    <w:basedOn w:val="DefaultParagraphFont"/>
    <w:uiPriority w:val="99"/>
    <w:semiHidden/>
    <w:locked/>
    <w:rsid w:val="00D81AF6"/>
    <w:rPr>
      <w:sz w:val="16"/>
      <w:szCs w:val="16"/>
    </w:rPr>
  </w:style>
  <w:style w:type="paragraph" w:styleId="CommentText">
    <w:name w:val="annotation text"/>
    <w:basedOn w:val="Normal"/>
    <w:link w:val="CommentTextChar"/>
    <w:uiPriority w:val="99"/>
    <w:locked/>
    <w:rsid w:val="00D81AF6"/>
  </w:style>
  <w:style w:type="character" w:customStyle="1" w:styleId="CommentTextChar">
    <w:name w:val="Comment Text Char"/>
    <w:basedOn w:val="DefaultParagraphFont"/>
    <w:link w:val="CommentText"/>
    <w:uiPriority w:val="99"/>
    <w:rsid w:val="00D81AF6"/>
  </w:style>
  <w:style w:type="paragraph" w:styleId="CommentSubject">
    <w:name w:val="annotation subject"/>
    <w:basedOn w:val="CommentText"/>
    <w:next w:val="CommentText"/>
    <w:link w:val="CommentSubjectChar"/>
    <w:uiPriority w:val="99"/>
    <w:semiHidden/>
    <w:locked/>
    <w:rsid w:val="00D81AF6"/>
    <w:rPr>
      <w:b/>
      <w:bCs/>
    </w:rPr>
  </w:style>
  <w:style w:type="character" w:customStyle="1" w:styleId="CommentSubjectChar">
    <w:name w:val="Comment Subject Char"/>
    <w:basedOn w:val="CommentTextChar"/>
    <w:link w:val="CommentSubject"/>
    <w:uiPriority w:val="99"/>
    <w:semiHidden/>
    <w:rsid w:val="00D81AF6"/>
    <w:rPr>
      <w:b/>
      <w:bCs/>
    </w:rPr>
  </w:style>
  <w:style w:type="paragraph" w:styleId="DocumentMap">
    <w:name w:val="Document Map"/>
    <w:basedOn w:val="Normal"/>
    <w:link w:val="DocumentMapChar"/>
    <w:uiPriority w:val="99"/>
    <w:semiHidden/>
    <w:locked/>
    <w:rsid w:val="00D81AF6"/>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81AF6"/>
    <w:rPr>
      <w:rFonts w:ascii="Segoe UI" w:hAnsi="Segoe UI" w:cs="Segoe UI"/>
      <w:sz w:val="16"/>
      <w:szCs w:val="16"/>
    </w:rPr>
  </w:style>
  <w:style w:type="paragraph" w:styleId="E-mailSignature">
    <w:name w:val="E-mail Signature"/>
    <w:basedOn w:val="Normal"/>
    <w:link w:val="E-mailSignatureChar"/>
    <w:uiPriority w:val="99"/>
    <w:semiHidden/>
    <w:locked/>
    <w:rsid w:val="00D81AF6"/>
    <w:pPr>
      <w:spacing w:before="0" w:after="0"/>
    </w:pPr>
  </w:style>
  <w:style w:type="character" w:customStyle="1" w:styleId="E-mailSignatureChar">
    <w:name w:val="E-mail Signature Char"/>
    <w:basedOn w:val="DefaultParagraphFont"/>
    <w:link w:val="E-mailSignature"/>
    <w:uiPriority w:val="99"/>
    <w:semiHidden/>
    <w:rsid w:val="00D81AF6"/>
  </w:style>
  <w:style w:type="character" w:styleId="Emphasis">
    <w:name w:val="Emphasis"/>
    <w:basedOn w:val="DefaultParagraphFont"/>
    <w:uiPriority w:val="20"/>
    <w:semiHidden/>
    <w:qFormat/>
    <w:locked/>
    <w:rsid w:val="00D81AF6"/>
    <w:rPr>
      <w:i/>
      <w:iCs/>
    </w:rPr>
  </w:style>
  <w:style w:type="character" w:styleId="EndnoteReference">
    <w:name w:val="endnote reference"/>
    <w:basedOn w:val="DefaultParagraphFont"/>
    <w:uiPriority w:val="99"/>
    <w:semiHidden/>
    <w:locked/>
    <w:rsid w:val="00D81AF6"/>
    <w:rPr>
      <w:vertAlign w:val="superscript"/>
    </w:rPr>
  </w:style>
  <w:style w:type="paragraph" w:styleId="EndnoteText">
    <w:name w:val="endnote text"/>
    <w:basedOn w:val="Normal"/>
    <w:link w:val="EndnoteTextChar"/>
    <w:uiPriority w:val="99"/>
    <w:semiHidden/>
    <w:locked/>
    <w:rsid w:val="00D81AF6"/>
    <w:pPr>
      <w:spacing w:before="0" w:after="0"/>
    </w:pPr>
  </w:style>
  <w:style w:type="character" w:customStyle="1" w:styleId="EndnoteTextChar">
    <w:name w:val="Endnote Text Char"/>
    <w:basedOn w:val="DefaultParagraphFont"/>
    <w:link w:val="EndnoteText"/>
    <w:uiPriority w:val="99"/>
    <w:semiHidden/>
    <w:rsid w:val="00D81AF6"/>
  </w:style>
  <w:style w:type="paragraph" w:styleId="EnvelopeReturn">
    <w:name w:val="envelope return"/>
    <w:basedOn w:val="Normal"/>
    <w:uiPriority w:val="99"/>
    <w:semiHidden/>
    <w:rsid w:val="00D81AF6"/>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D81AF6"/>
    <w:rPr>
      <w:color w:val="2B579A"/>
      <w:shd w:val="clear" w:color="auto" w:fill="E1DFDD"/>
    </w:rPr>
  </w:style>
  <w:style w:type="character" w:styleId="HTMLAcronym">
    <w:name w:val="HTML Acronym"/>
    <w:basedOn w:val="DefaultParagraphFont"/>
    <w:uiPriority w:val="99"/>
    <w:semiHidden/>
    <w:locked/>
    <w:rsid w:val="00D81AF6"/>
  </w:style>
  <w:style w:type="paragraph" w:styleId="HTMLAddress">
    <w:name w:val="HTML Address"/>
    <w:basedOn w:val="Normal"/>
    <w:link w:val="HTMLAddressChar"/>
    <w:uiPriority w:val="99"/>
    <w:semiHidden/>
    <w:locked/>
    <w:rsid w:val="00D81AF6"/>
    <w:pPr>
      <w:spacing w:before="0" w:after="0"/>
    </w:pPr>
    <w:rPr>
      <w:i/>
      <w:iCs/>
    </w:rPr>
  </w:style>
  <w:style w:type="character" w:customStyle="1" w:styleId="HTMLAddressChar">
    <w:name w:val="HTML Address Char"/>
    <w:basedOn w:val="DefaultParagraphFont"/>
    <w:link w:val="HTMLAddress"/>
    <w:uiPriority w:val="99"/>
    <w:semiHidden/>
    <w:rsid w:val="00D81AF6"/>
    <w:rPr>
      <w:i/>
      <w:iCs/>
    </w:rPr>
  </w:style>
  <w:style w:type="character" w:styleId="HTMLCite">
    <w:name w:val="HTML Cite"/>
    <w:basedOn w:val="DefaultParagraphFont"/>
    <w:uiPriority w:val="99"/>
    <w:semiHidden/>
    <w:locked/>
    <w:rsid w:val="00D81AF6"/>
    <w:rPr>
      <w:i/>
      <w:iCs/>
    </w:rPr>
  </w:style>
  <w:style w:type="character" w:styleId="HTMLCode">
    <w:name w:val="HTML Code"/>
    <w:basedOn w:val="DefaultParagraphFont"/>
    <w:uiPriority w:val="99"/>
    <w:semiHidden/>
    <w:locked/>
    <w:rsid w:val="00D81AF6"/>
    <w:rPr>
      <w:rFonts w:ascii="Consolas" w:hAnsi="Consolas"/>
      <w:sz w:val="20"/>
      <w:szCs w:val="20"/>
    </w:rPr>
  </w:style>
  <w:style w:type="character" w:styleId="HTMLDefinition">
    <w:name w:val="HTML Definition"/>
    <w:basedOn w:val="DefaultParagraphFont"/>
    <w:uiPriority w:val="99"/>
    <w:semiHidden/>
    <w:locked/>
    <w:rsid w:val="00D81AF6"/>
    <w:rPr>
      <w:i/>
      <w:iCs/>
    </w:rPr>
  </w:style>
  <w:style w:type="character" w:styleId="HTMLKeyboard">
    <w:name w:val="HTML Keyboard"/>
    <w:basedOn w:val="DefaultParagraphFont"/>
    <w:uiPriority w:val="99"/>
    <w:semiHidden/>
    <w:locked/>
    <w:rsid w:val="00D81AF6"/>
    <w:rPr>
      <w:rFonts w:ascii="Consolas" w:hAnsi="Consolas"/>
      <w:sz w:val="20"/>
      <w:szCs w:val="20"/>
    </w:rPr>
  </w:style>
  <w:style w:type="paragraph" w:styleId="HTMLPreformatted">
    <w:name w:val="HTML Preformatted"/>
    <w:basedOn w:val="Normal"/>
    <w:link w:val="HTMLPreformattedChar"/>
    <w:uiPriority w:val="99"/>
    <w:semiHidden/>
    <w:locked/>
    <w:rsid w:val="00D81AF6"/>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D81AF6"/>
    <w:rPr>
      <w:rFonts w:ascii="Consolas" w:hAnsi="Consolas"/>
    </w:rPr>
  </w:style>
  <w:style w:type="character" w:styleId="HTMLSample">
    <w:name w:val="HTML Sample"/>
    <w:basedOn w:val="DefaultParagraphFont"/>
    <w:uiPriority w:val="99"/>
    <w:semiHidden/>
    <w:locked/>
    <w:rsid w:val="00D81AF6"/>
    <w:rPr>
      <w:rFonts w:ascii="Consolas" w:hAnsi="Consolas"/>
      <w:sz w:val="24"/>
      <w:szCs w:val="24"/>
    </w:rPr>
  </w:style>
  <w:style w:type="character" w:styleId="HTMLTypewriter">
    <w:name w:val="HTML Typewriter"/>
    <w:basedOn w:val="DefaultParagraphFont"/>
    <w:uiPriority w:val="99"/>
    <w:semiHidden/>
    <w:locked/>
    <w:rsid w:val="00D81AF6"/>
    <w:rPr>
      <w:rFonts w:ascii="Consolas" w:hAnsi="Consolas"/>
      <w:sz w:val="20"/>
      <w:szCs w:val="20"/>
    </w:rPr>
  </w:style>
  <w:style w:type="character" w:styleId="HTMLVariable">
    <w:name w:val="HTML Variable"/>
    <w:basedOn w:val="DefaultParagraphFont"/>
    <w:uiPriority w:val="99"/>
    <w:semiHidden/>
    <w:locked/>
    <w:rsid w:val="00D81AF6"/>
    <w:rPr>
      <w:i/>
      <w:iCs/>
    </w:rPr>
  </w:style>
  <w:style w:type="paragraph" w:styleId="Index1">
    <w:name w:val="index 1"/>
    <w:basedOn w:val="Normal"/>
    <w:next w:val="Normal"/>
    <w:autoRedefine/>
    <w:uiPriority w:val="99"/>
    <w:semiHidden/>
    <w:locked/>
    <w:rsid w:val="00D81AF6"/>
    <w:pPr>
      <w:spacing w:before="0" w:after="0"/>
      <w:ind w:left="200" w:hanging="200"/>
    </w:pPr>
  </w:style>
  <w:style w:type="paragraph" w:styleId="Index2">
    <w:name w:val="index 2"/>
    <w:basedOn w:val="Normal"/>
    <w:next w:val="Normal"/>
    <w:autoRedefine/>
    <w:uiPriority w:val="99"/>
    <w:semiHidden/>
    <w:locked/>
    <w:rsid w:val="00D81AF6"/>
    <w:pPr>
      <w:spacing w:before="0" w:after="0"/>
      <w:ind w:left="400" w:hanging="200"/>
    </w:pPr>
  </w:style>
  <w:style w:type="paragraph" w:styleId="Index3">
    <w:name w:val="index 3"/>
    <w:basedOn w:val="Normal"/>
    <w:next w:val="Normal"/>
    <w:autoRedefine/>
    <w:uiPriority w:val="99"/>
    <w:semiHidden/>
    <w:locked/>
    <w:rsid w:val="00D81AF6"/>
    <w:pPr>
      <w:spacing w:before="0" w:after="0"/>
      <w:ind w:left="600" w:hanging="200"/>
    </w:pPr>
  </w:style>
  <w:style w:type="paragraph" w:styleId="Index4">
    <w:name w:val="index 4"/>
    <w:basedOn w:val="Normal"/>
    <w:next w:val="Normal"/>
    <w:autoRedefine/>
    <w:uiPriority w:val="99"/>
    <w:semiHidden/>
    <w:locked/>
    <w:rsid w:val="00D81AF6"/>
    <w:pPr>
      <w:spacing w:before="0" w:after="0"/>
      <w:ind w:left="800" w:hanging="200"/>
    </w:pPr>
  </w:style>
  <w:style w:type="paragraph" w:styleId="Index5">
    <w:name w:val="index 5"/>
    <w:basedOn w:val="Normal"/>
    <w:next w:val="Normal"/>
    <w:autoRedefine/>
    <w:uiPriority w:val="99"/>
    <w:semiHidden/>
    <w:locked/>
    <w:rsid w:val="00D81AF6"/>
    <w:pPr>
      <w:spacing w:before="0" w:after="0"/>
      <w:ind w:left="1000" w:hanging="200"/>
    </w:pPr>
  </w:style>
  <w:style w:type="paragraph" w:styleId="Index6">
    <w:name w:val="index 6"/>
    <w:basedOn w:val="Normal"/>
    <w:next w:val="Normal"/>
    <w:autoRedefine/>
    <w:uiPriority w:val="99"/>
    <w:semiHidden/>
    <w:locked/>
    <w:rsid w:val="00D81AF6"/>
    <w:pPr>
      <w:spacing w:before="0" w:after="0"/>
      <w:ind w:left="1200" w:hanging="200"/>
    </w:pPr>
  </w:style>
  <w:style w:type="paragraph" w:styleId="Index7">
    <w:name w:val="index 7"/>
    <w:basedOn w:val="Normal"/>
    <w:next w:val="Normal"/>
    <w:autoRedefine/>
    <w:uiPriority w:val="99"/>
    <w:semiHidden/>
    <w:locked/>
    <w:rsid w:val="00D81AF6"/>
    <w:pPr>
      <w:spacing w:before="0" w:after="0"/>
      <w:ind w:left="1400" w:hanging="200"/>
    </w:pPr>
  </w:style>
  <w:style w:type="paragraph" w:styleId="Index8">
    <w:name w:val="index 8"/>
    <w:basedOn w:val="Normal"/>
    <w:next w:val="Normal"/>
    <w:autoRedefine/>
    <w:uiPriority w:val="99"/>
    <w:semiHidden/>
    <w:locked/>
    <w:rsid w:val="00D81AF6"/>
    <w:pPr>
      <w:spacing w:before="0" w:after="0"/>
      <w:ind w:left="1600" w:hanging="200"/>
    </w:pPr>
  </w:style>
  <w:style w:type="paragraph" w:styleId="Index9">
    <w:name w:val="index 9"/>
    <w:basedOn w:val="Normal"/>
    <w:next w:val="Normal"/>
    <w:autoRedefine/>
    <w:uiPriority w:val="99"/>
    <w:semiHidden/>
    <w:locked/>
    <w:rsid w:val="00D81AF6"/>
    <w:pPr>
      <w:spacing w:before="0" w:after="0"/>
      <w:ind w:left="1800" w:hanging="200"/>
    </w:pPr>
  </w:style>
  <w:style w:type="paragraph" w:styleId="IndexHeading">
    <w:name w:val="index heading"/>
    <w:basedOn w:val="Normal"/>
    <w:next w:val="Index1"/>
    <w:uiPriority w:val="99"/>
    <w:semiHidden/>
    <w:locked/>
    <w:rsid w:val="00D81AF6"/>
    <w:rPr>
      <w:rFonts w:asciiTheme="majorHAnsi" w:eastAsiaTheme="majorEastAsia" w:hAnsiTheme="majorHAnsi" w:cstheme="majorBidi"/>
      <w:b/>
      <w:bCs/>
    </w:rPr>
  </w:style>
  <w:style w:type="character" w:styleId="IntenseEmphasis">
    <w:name w:val="Intense Emphasis"/>
    <w:basedOn w:val="DefaultParagraphFont"/>
    <w:uiPriority w:val="21"/>
    <w:semiHidden/>
    <w:rsid w:val="00D81AF6"/>
    <w:rPr>
      <w:i/>
      <w:iCs/>
      <w:color w:val="075D5F" w:themeColor="accent1"/>
    </w:rPr>
  </w:style>
  <w:style w:type="character" w:styleId="IntenseReference">
    <w:name w:val="Intense Reference"/>
    <w:basedOn w:val="DefaultParagraphFont"/>
    <w:uiPriority w:val="32"/>
    <w:semiHidden/>
    <w:rsid w:val="00D81AF6"/>
    <w:rPr>
      <w:b/>
      <w:bCs/>
      <w:smallCaps/>
      <w:color w:val="075D5F" w:themeColor="accent1"/>
      <w:spacing w:val="5"/>
    </w:rPr>
  </w:style>
  <w:style w:type="character" w:styleId="LineNumber">
    <w:name w:val="line number"/>
    <w:basedOn w:val="DefaultParagraphFont"/>
    <w:uiPriority w:val="99"/>
    <w:semiHidden/>
    <w:locked/>
    <w:rsid w:val="00D81AF6"/>
  </w:style>
  <w:style w:type="paragraph" w:styleId="MacroText">
    <w:name w:val="macro"/>
    <w:link w:val="MacroTextChar"/>
    <w:uiPriority w:val="99"/>
    <w:semiHidden/>
    <w:locked/>
    <w:rsid w:val="00D81AF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D81AF6"/>
    <w:rPr>
      <w:rFonts w:ascii="Consolas" w:hAnsi="Consolas"/>
    </w:rPr>
  </w:style>
  <w:style w:type="character" w:styleId="Mention">
    <w:name w:val="Mention"/>
    <w:basedOn w:val="DefaultParagraphFont"/>
    <w:uiPriority w:val="99"/>
    <w:semiHidden/>
    <w:locked/>
    <w:rsid w:val="00D81AF6"/>
    <w:rPr>
      <w:color w:val="2B579A"/>
      <w:shd w:val="clear" w:color="auto" w:fill="E1DFDD"/>
    </w:rPr>
  </w:style>
  <w:style w:type="paragraph" w:styleId="MessageHeader">
    <w:name w:val="Message Header"/>
    <w:basedOn w:val="Normal"/>
    <w:link w:val="MessageHeaderChar"/>
    <w:uiPriority w:val="99"/>
    <w:semiHidden/>
    <w:locked/>
    <w:rsid w:val="00D81AF6"/>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81AF6"/>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D81AF6"/>
    <w:pPr>
      <w:ind w:left="720"/>
    </w:pPr>
  </w:style>
  <w:style w:type="paragraph" w:styleId="NoteHeading">
    <w:name w:val="Note Heading"/>
    <w:basedOn w:val="Normal"/>
    <w:next w:val="Normal"/>
    <w:link w:val="NoteHeadingChar"/>
    <w:uiPriority w:val="37"/>
    <w:semiHidden/>
    <w:rsid w:val="00D81AF6"/>
    <w:pPr>
      <w:spacing w:before="0" w:after="0"/>
    </w:pPr>
  </w:style>
  <w:style w:type="character" w:customStyle="1" w:styleId="NoteHeadingChar">
    <w:name w:val="Note Heading Char"/>
    <w:basedOn w:val="DefaultParagraphFont"/>
    <w:link w:val="NoteHeading"/>
    <w:uiPriority w:val="37"/>
    <w:semiHidden/>
    <w:rsid w:val="00D81AF6"/>
  </w:style>
  <w:style w:type="character" w:styleId="PageNumber">
    <w:name w:val="page number"/>
    <w:basedOn w:val="DefaultParagraphFont"/>
    <w:uiPriority w:val="99"/>
    <w:semiHidden/>
    <w:locked/>
    <w:rsid w:val="00D81AF6"/>
  </w:style>
  <w:style w:type="paragraph" w:styleId="PlainText">
    <w:name w:val="Plain Text"/>
    <w:basedOn w:val="Normal"/>
    <w:link w:val="PlainTextChar"/>
    <w:uiPriority w:val="99"/>
    <w:semiHidden/>
    <w:rsid w:val="00D81AF6"/>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D81AF6"/>
    <w:rPr>
      <w:rFonts w:ascii="Consolas" w:hAnsi="Consolas"/>
      <w:sz w:val="21"/>
      <w:szCs w:val="21"/>
    </w:rPr>
  </w:style>
  <w:style w:type="character" w:styleId="SmartHyperlink">
    <w:name w:val="Smart Hyperlink"/>
    <w:basedOn w:val="DefaultParagraphFont"/>
    <w:uiPriority w:val="99"/>
    <w:semiHidden/>
    <w:locked/>
    <w:rsid w:val="00D81AF6"/>
    <w:rPr>
      <w:u w:val="dotted"/>
    </w:rPr>
  </w:style>
  <w:style w:type="character" w:styleId="SmartLink">
    <w:name w:val="Smart Link"/>
    <w:basedOn w:val="DefaultParagraphFont"/>
    <w:uiPriority w:val="99"/>
    <w:semiHidden/>
    <w:locked/>
    <w:rsid w:val="00D81AF6"/>
    <w:rPr>
      <w:color w:val="0000FF"/>
      <w:u w:val="single"/>
      <w:shd w:val="clear" w:color="auto" w:fill="F3F2F1"/>
    </w:rPr>
  </w:style>
  <w:style w:type="character" w:styleId="Strong">
    <w:name w:val="Strong"/>
    <w:basedOn w:val="DefaultParagraphFont"/>
    <w:uiPriority w:val="22"/>
    <w:qFormat/>
    <w:rsid w:val="00492F84"/>
    <w:rPr>
      <w:rFonts w:asciiTheme="minorHAnsi" w:hAnsiTheme="minorHAnsi"/>
      <w:b/>
      <w:bCs/>
      <w:sz w:val="24"/>
    </w:rPr>
  </w:style>
  <w:style w:type="character" w:styleId="SubtleEmphasis">
    <w:name w:val="Subtle Emphasis"/>
    <w:basedOn w:val="DefaultParagraphFont"/>
    <w:uiPriority w:val="19"/>
    <w:semiHidden/>
    <w:rsid w:val="00D81AF6"/>
    <w:rPr>
      <w:i/>
      <w:iCs/>
      <w:color w:val="404040" w:themeColor="text1" w:themeTint="BF"/>
    </w:rPr>
  </w:style>
  <w:style w:type="character" w:styleId="SubtleReference">
    <w:name w:val="Subtle Reference"/>
    <w:basedOn w:val="DefaultParagraphFont"/>
    <w:uiPriority w:val="31"/>
    <w:semiHidden/>
    <w:rsid w:val="00D81AF6"/>
    <w:rPr>
      <w:smallCaps/>
      <w:color w:val="5A5A5A" w:themeColor="text1" w:themeTint="A5"/>
    </w:rPr>
  </w:style>
  <w:style w:type="paragraph" w:styleId="TableofAuthorities">
    <w:name w:val="table of authorities"/>
    <w:basedOn w:val="Normal"/>
    <w:next w:val="Normal"/>
    <w:uiPriority w:val="99"/>
    <w:semiHidden/>
    <w:rsid w:val="00D81AF6"/>
    <w:pPr>
      <w:spacing w:after="0"/>
      <w:ind w:left="200" w:hanging="200"/>
    </w:pPr>
  </w:style>
  <w:style w:type="paragraph" w:styleId="TOAHeading">
    <w:name w:val="toa heading"/>
    <w:basedOn w:val="Normal"/>
    <w:next w:val="Normal"/>
    <w:uiPriority w:val="99"/>
    <w:semiHidden/>
    <w:rsid w:val="00D81AF6"/>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rsid w:val="00D81AF6"/>
    <w:pPr>
      <w:spacing w:after="100"/>
      <w:ind w:left="1200"/>
    </w:pPr>
  </w:style>
  <w:style w:type="paragraph" w:styleId="TOC8">
    <w:name w:val="toc 8"/>
    <w:basedOn w:val="Normal"/>
    <w:next w:val="Normal"/>
    <w:autoRedefine/>
    <w:uiPriority w:val="39"/>
    <w:rsid w:val="00D81AF6"/>
    <w:pPr>
      <w:spacing w:after="100"/>
      <w:ind w:left="1400"/>
    </w:pPr>
  </w:style>
  <w:style w:type="paragraph" w:styleId="TOC9">
    <w:name w:val="toc 9"/>
    <w:basedOn w:val="Normal"/>
    <w:next w:val="Normal"/>
    <w:autoRedefine/>
    <w:uiPriority w:val="39"/>
    <w:rsid w:val="00D81AF6"/>
    <w:pPr>
      <w:spacing w:after="100"/>
      <w:ind w:left="1600"/>
    </w:pPr>
  </w:style>
  <w:style w:type="character" w:styleId="UnresolvedMention">
    <w:name w:val="Unresolved Mention"/>
    <w:basedOn w:val="DefaultParagraphFont"/>
    <w:uiPriority w:val="99"/>
    <w:semiHidden/>
    <w:locked/>
    <w:rsid w:val="00D81AF6"/>
    <w:rPr>
      <w:color w:val="605E5C"/>
      <w:shd w:val="clear" w:color="auto" w:fill="E1DFDD"/>
    </w:rPr>
  </w:style>
  <w:style w:type="table" w:customStyle="1" w:styleId="TablePlainNoSpacing">
    <w:name w:val="Table Plain No Spacing"/>
    <w:basedOn w:val="TablePlain"/>
    <w:uiPriority w:val="99"/>
    <w:rsid w:val="00A658AD"/>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C703EA"/>
    <w:rPr>
      <w:color w:val="FFFFFF" w:themeColor="background1"/>
    </w:rPr>
  </w:style>
  <w:style w:type="paragraph" w:customStyle="1" w:styleId="DarkVersion">
    <w:name w:val="Dark Version"/>
    <w:basedOn w:val="LightVersion"/>
    <w:uiPriority w:val="36"/>
    <w:semiHidden/>
    <w:unhideWhenUsed/>
    <w:rsid w:val="00C703EA"/>
    <w:rPr>
      <w:color w:val="FFFFFF" w:themeColor="background1"/>
    </w:rPr>
  </w:style>
  <w:style w:type="paragraph" w:customStyle="1" w:styleId="LightDocumentType">
    <w:name w:val="Light Document Type"/>
    <w:basedOn w:val="Normal"/>
    <w:uiPriority w:val="36"/>
    <w:semiHidden/>
    <w:unhideWhenUsed/>
    <w:rsid w:val="00F8004E"/>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semiHidden/>
    <w:unhideWhenUsed/>
    <w:rsid w:val="00F8004E"/>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C703EA"/>
    <w:pPr>
      <w:framePr w:wrap="around" w:vAnchor="page" w:hAnchor="page" w:x="557" w:y="12690"/>
    </w:pPr>
  </w:style>
  <w:style w:type="paragraph" w:customStyle="1" w:styleId="DarkBackCoverText">
    <w:name w:val="Dark Back Cover Text"/>
    <w:basedOn w:val="Normal"/>
    <w:uiPriority w:val="36"/>
    <w:semiHidden/>
    <w:unhideWhenUsed/>
    <w:rsid w:val="00C703EA"/>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C703EA"/>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F8004E"/>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C703EA"/>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6B69FB"/>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6B69FB"/>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6B69FB"/>
    <w:pPr>
      <w:spacing w:before="480"/>
      <w:ind w:left="1021"/>
    </w:pPr>
  </w:style>
  <w:style w:type="paragraph" w:customStyle="1" w:styleId="ProjectPlanCoverSubtitle">
    <w:name w:val="Project Plan Cover Subtitle"/>
    <w:basedOn w:val="DarkReportSubtitle"/>
    <w:uiPriority w:val="36"/>
    <w:semiHidden/>
    <w:unhideWhenUsed/>
    <w:rsid w:val="006B69FB"/>
    <w:pPr>
      <w:spacing w:after="5500"/>
      <w:contextualSpacing/>
    </w:pPr>
  </w:style>
  <w:style w:type="paragraph" w:customStyle="1" w:styleId="BannerTitle">
    <w:name w:val="Banner Title"/>
    <w:basedOn w:val="Header"/>
    <w:next w:val="BannerSubtitle"/>
    <w:uiPriority w:val="99"/>
    <w:rsid w:val="00AF1035"/>
    <w:rPr>
      <w:rFonts w:ascii="VIC Light" w:hAnsi="VIC Light"/>
      <w:sz w:val="48"/>
    </w:rPr>
  </w:style>
  <w:style w:type="paragraph" w:customStyle="1" w:styleId="BannerSubtitle">
    <w:name w:val="Banner Subtitle"/>
    <w:basedOn w:val="BannerTitle"/>
    <w:uiPriority w:val="99"/>
    <w:rsid w:val="0018323C"/>
    <w:pPr>
      <w:spacing w:after="300"/>
      <w:contextualSpacing/>
    </w:pPr>
    <w:rPr>
      <w:sz w:val="22"/>
    </w:rPr>
  </w:style>
  <w:style w:type="numbering" w:customStyle="1" w:styleId="BulletList1">
    <w:name w:val="Bullet List1"/>
    <w:basedOn w:val="NoList"/>
    <w:uiPriority w:val="99"/>
    <w:rsid w:val="00EF56A4"/>
  </w:style>
  <w:style w:type="numbering" w:customStyle="1" w:styleId="1ai1">
    <w:name w:val="1 / a / i1"/>
    <w:basedOn w:val="NoList"/>
    <w:next w:val="1ai"/>
    <w:uiPriority w:val="99"/>
    <w:semiHidden/>
    <w:unhideWhenUsed/>
    <w:rsid w:val="00EF56A4"/>
  </w:style>
  <w:style w:type="table" w:customStyle="1" w:styleId="TablePlainNoSpacing1">
    <w:name w:val="Table Plain No Spacing1"/>
    <w:basedOn w:val="TablePlain"/>
    <w:uiPriority w:val="99"/>
    <w:rsid w:val="00EF56A4"/>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Accent3">
    <w:name w:val="Grid Table 1 Light Accent 3"/>
    <w:basedOn w:val="TableNormal"/>
    <w:uiPriority w:val="46"/>
    <w:locked/>
    <w:rsid w:val="00C34CF2"/>
    <w:pPr>
      <w:spacing w:after="0"/>
    </w:pPr>
    <w:tblPr>
      <w:tblStyleRowBandSize w:val="1"/>
      <w:tblStyleColBandSize w:val="1"/>
      <w:tblBorders>
        <w:top w:val="single" w:sz="4" w:space="0" w:color="B3E9E5" w:themeColor="accent3" w:themeTint="66"/>
        <w:left w:val="single" w:sz="4" w:space="0" w:color="B3E9E5" w:themeColor="accent3" w:themeTint="66"/>
        <w:bottom w:val="single" w:sz="4" w:space="0" w:color="B3E9E5" w:themeColor="accent3" w:themeTint="66"/>
        <w:right w:val="single" w:sz="4" w:space="0" w:color="B3E9E5" w:themeColor="accent3" w:themeTint="66"/>
        <w:insideH w:val="single" w:sz="4" w:space="0" w:color="B3E9E5" w:themeColor="accent3" w:themeTint="66"/>
        <w:insideV w:val="single" w:sz="4" w:space="0" w:color="B3E9E5" w:themeColor="accent3" w:themeTint="66"/>
      </w:tblBorders>
    </w:tblPr>
    <w:tblStylePr w:type="firstRow">
      <w:rPr>
        <w:b/>
        <w:bCs/>
      </w:rPr>
      <w:tblPr/>
      <w:tcPr>
        <w:tcBorders>
          <w:bottom w:val="single" w:sz="12" w:space="0" w:color="8DDED8" w:themeColor="accent3" w:themeTint="99"/>
        </w:tcBorders>
      </w:tcPr>
    </w:tblStylePr>
    <w:tblStylePr w:type="lastRow">
      <w:rPr>
        <w:b/>
        <w:bCs/>
      </w:rPr>
      <w:tblPr/>
      <w:tcPr>
        <w:tcBorders>
          <w:top w:val="double" w:sz="2" w:space="0" w:color="8DDED8" w:themeColor="accent3"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C34CF2"/>
  </w:style>
  <w:style w:type="character" w:customStyle="1" w:styleId="eop">
    <w:name w:val="eop"/>
    <w:basedOn w:val="DefaultParagraphFont"/>
    <w:rsid w:val="00C34CF2"/>
  </w:style>
  <w:style w:type="paragraph" w:styleId="Revision">
    <w:name w:val="Revision"/>
    <w:hidden/>
    <w:uiPriority w:val="99"/>
    <w:semiHidden/>
    <w:rsid w:val="00C34CF2"/>
    <w:pPr>
      <w:spacing w:before="0" w:after="0"/>
    </w:pPr>
  </w:style>
  <w:style w:type="character" w:customStyle="1" w:styleId="cf01">
    <w:name w:val="cf01"/>
    <w:basedOn w:val="DefaultParagraphFont"/>
    <w:rsid w:val="00C34CF2"/>
    <w:rPr>
      <w:rFonts w:ascii="Segoe UI" w:hAnsi="Segoe UI" w:cs="Segoe UI" w:hint="default"/>
      <w:sz w:val="18"/>
      <w:szCs w:val="18"/>
    </w:rPr>
  </w:style>
  <w:style w:type="table" w:styleId="TableGridLight">
    <w:name w:val="Grid Table Light"/>
    <w:basedOn w:val="TableNormal"/>
    <w:uiPriority w:val="40"/>
    <w:locked/>
    <w:rsid w:val="00C34CF2"/>
    <w:pPr>
      <w:spacing w:before="0" w:after="0"/>
    </w:pPr>
    <w:rPr>
      <w:rFonts w:eastAsiaTheme="minorEastAsia"/>
      <w:color w:val="auto"/>
      <w:sz w:val="24"/>
      <w:szCs w:val="24"/>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OTtable">
    <w:name w:val="DOT table"/>
    <w:basedOn w:val="TableNormal"/>
    <w:uiPriority w:val="99"/>
    <w:rsid w:val="00C34CF2"/>
    <w:pPr>
      <w:spacing w:before="0" w:after="0"/>
    </w:pPr>
    <w:rPr>
      <w:color w:val="auto"/>
      <w:sz w:val="18"/>
      <w:szCs w:val="24"/>
    </w:rPr>
    <w:tblPr>
      <w:tblStyleRowBandSize w:val="1"/>
      <w:tblBorders>
        <w:top w:val="single" w:sz="4" w:space="0" w:color="808080" w:themeColor="background1" w:themeShade="80"/>
        <w:bottom w:val="single" w:sz="4" w:space="0" w:color="808080" w:themeColor="background1" w:themeShade="80"/>
      </w:tblBorders>
    </w:tblPr>
    <w:tcPr>
      <w:shd w:val="clear" w:color="auto" w:fill="auto"/>
      <w:vAlign w:val="center"/>
    </w:tcPr>
    <w:tblStylePr w:type="firstRow">
      <w:pPr>
        <w:jc w:val="left"/>
      </w:pPr>
      <w:rPr>
        <w:rFonts w:asciiTheme="majorHAnsi" w:hAnsiTheme="majorHAnsi"/>
        <w:b/>
        <w:color w:val="000000" w:themeColor="text1"/>
        <w:sz w:val="18"/>
      </w:rPr>
      <w:tblPr/>
      <w:tcPr>
        <w:tcBorders>
          <w:bottom w:val="single" w:sz="4" w:space="0" w:color="808080" w:themeColor="background1" w:themeShade="80"/>
        </w:tcBorders>
        <w:shd w:val="clear" w:color="auto" w:fill="D6ECED"/>
      </w:tcPr>
    </w:tblStylePr>
    <w:tblStylePr w:type="band1Horz">
      <w:tblPr/>
      <w:tcPr>
        <w:tcBorders>
          <w:top w:val="single" w:sz="4" w:space="0" w:color="808080" w:themeColor="background1" w:themeShade="80"/>
        </w:tcBorders>
        <w:shd w:val="clear" w:color="auto" w:fill="auto"/>
      </w:tcPr>
    </w:tblStylePr>
    <w:tblStylePr w:type="band2Horz">
      <w:tblPr/>
      <w:tcPr>
        <w:tcBorders>
          <w:top w:val="single" w:sz="4" w:space="0" w:color="808080" w:themeColor="background1" w:themeShade="80"/>
        </w:tcBorders>
        <w:shd w:val="clear" w:color="auto" w:fill="auto"/>
      </w:tcPr>
    </w:tblStylePr>
  </w:style>
  <w:style w:type="character" w:customStyle="1" w:styleId="CaptionChar">
    <w:name w:val="Caption Char"/>
    <w:aliases w:val="Table Caption Char,Caption Tables Char"/>
    <w:basedOn w:val="DefaultParagraphFont"/>
    <w:link w:val="Caption"/>
    <w:uiPriority w:val="20"/>
    <w:rsid w:val="007D2402"/>
    <w:rPr>
      <w:i/>
      <w:iCs/>
      <w:color w:val="36383D" w:themeColor="accent6"/>
      <w:sz w:val="18"/>
      <w:szCs w:val="18"/>
    </w:rPr>
  </w:style>
  <w:style w:type="table" w:styleId="GridTable1Light-Accent2">
    <w:name w:val="Grid Table 1 Light Accent 2"/>
    <w:basedOn w:val="TableNormal"/>
    <w:uiPriority w:val="46"/>
    <w:locked/>
    <w:rsid w:val="00BD32DF"/>
    <w:pPr>
      <w:spacing w:after="0"/>
    </w:pPr>
    <w:tblPr>
      <w:tblStyleRowBandSize w:val="1"/>
      <w:tblStyleColBandSize w:val="1"/>
      <w:tblBorders>
        <w:top w:val="single" w:sz="4" w:space="0" w:color="78FCF5" w:themeColor="accent2" w:themeTint="66"/>
        <w:left w:val="single" w:sz="4" w:space="0" w:color="78FCF5" w:themeColor="accent2" w:themeTint="66"/>
        <w:bottom w:val="single" w:sz="4" w:space="0" w:color="78FCF5" w:themeColor="accent2" w:themeTint="66"/>
        <w:right w:val="single" w:sz="4" w:space="0" w:color="78FCF5" w:themeColor="accent2" w:themeTint="66"/>
        <w:insideH w:val="single" w:sz="4" w:space="0" w:color="78FCF5" w:themeColor="accent2" w:themeTint="66"/>
        <w:insideV w:val="single" w:sz="4" w:space="0" w:color="78FCF5" w:themeColor="accent2" w:themeTint="66"/>
      </w:tblBorders>
    </w:tblPr>
    <w:tblStylePr w:type="firstRow">
      <w:rPr>
        <w:b/>
        <w:bCs/>
      </w:rPr>
      <w:tblPr/>
      <w:tcPr>
        <w:tcBorders>
          <w:bottom w:val="single" w:sz="12" w:space="0" w:color="35FBF1" w:themeColor="accent2" w:themeTint="99"/>
        </w:tcBorders>
      </w:tcPr>
    </w:tblStylePr>
    <w:tblStylePr w:type="lastRow">
      <w:rPr>
        <w:b/>
        <w:bCs/>
      </w:rPr>
      <w:tblPr/>
      <w:tcPr>
        <w:tcBorders>
          <w:top w:val="double" w:sz="2" w:space="0" w:color="35FBF1" w:themeColor="accent2" w:themeTint="99"/>
        </w:tcBorders>
      </w:tcPr>
    </w:tblStylePr>
    <w:tblStylePr w:type="firstCol">
      <w:rPr>
        <w:b/>
        <w:bCs/>
      </w:rPr>
    </w:tblStylePr>
    <w:tblStylePr w:type="lastCol">
      <w:rPr>
        <w:b/>
        <w:bCs/>
      </w:rPr>
    </w:tblStylePr>
  </w:style>
  <w:style w:type="paragraph" w:customStyle="1" w:styleId="Bulletpoint">
    <w:name w:val="Bullet point"/>
    <w:basedOn w:val="ListBullet"/>
    <w:next w:val="Normal"/>
    <w:link w:val="BulletpointChar"/>
    <w:qFormat/>
    <w:rsid w:val="00E229EF"/>
  </w:style>
  <w:style w:type="character" w:customStyle="1" w:styleId="BulletpointChar">
    <w:name w:val="Bullet point Char"/>
    <w:basedOn w:val="DefaultParagraphFont"/>
    <w:link w:val="Bulletpoint"/>
    <w:rsid w:val="00E229EF"/>
  </w:style>
  <w:style w:type="table" w:styleId="ListTable3-Accent4">
    <w:name w:val="List Table 3 Accent 4"/>
    <w:basedOn w:val="TableNormal"/>
    <w:uiPriority w:val="48"/>
    <w:locked/>
    <w:rsid w:val="00AE20BC"/>
    <w:pPr>
      <w:spacing w:after="0"/>
    </w:pPr>
    <w:tblPr>
      <w:tblStyleRowBandSize w:val="1"/>
      <w:tblStyleColBandSize w:val="1"/>
      <w:tblBorders>
        <w:top w:val="single" w:sz="4" w:space="0" w:color="96EDD6" w:themeColor="accent4"/>
        <w:left w:val="single" w:sz="4" w:space="0" w:color="96EDD6" w:themeColor="accent4"/>
        <w:bottom w:val="single" w:sz="4" w:space="0" w:color="96EDD6" w:themeColor="accent4"/>
        <w:right w:val="single" w:sz="4" w:space="0" w:color="96EDD6" w:themeColor="accent4"/>
      </w:tblBorders>
    </w:tblPr>
    <w:tblStylePr w:type="firstRow">
      <w:rPr>
        <w:b/>
        <w:bCs/>
        <w:color w:val="FFFFFF" w:themeColor="background1"/>
      </w:rPr>
      <w:tblPr/>
      <w:tcPr>
        <w:shd w:val="clear" w:color="auto" w:fill="96EDD6" w:themeFill="accent4"/>
      </w:tcPr>
    </w:tblStylePr>
    <w:tblStylePr w:type="lastRow">
      <w:rPr>
        <w:b/>
        <w:bCs/>
      </w:rPr>
      <w:tblPr/>
      <w:tcPr>
        <w:tcBorders>
          <w:top w:val="double" w:sz="4" w:space="0" w:color="96EDD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EDD6" w:themeColor="accent4"/>
          <w:right w:val="single" w:sz="4" w:space="0" w:color="96EDD6" w:themeColor="accent4"/>
        </w:tcBorders>
      </w:tcPr>
    </w:tblStylePr>
    <w:tblStylePr w:type="band1Horz">
      <w:tblPr/>
      <w:tcPr>
        <w:tcBorders>
          <w:top w:val="single" w:sz="4" w:space="0" w:color="96EDD6" w:themeColor="accent4"/>
          <w:bottom w:val="single" w:sz="4" w:space="0" w:color="96EDD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EDD6" w:themeColor="accent4"/>
          <w:left w:val="nil"/>
        </w:tcBorders>
      </w:tcPr>
    </w:tblStylePr>
    <w:tblStylePr w:type="swCell">
      <w:tblPr/>
      <w:tcPr>
        <w:tcBorders>
          <w:top w:val="double" w:sz="4" w:space="0" w:color="96EDD6" w:themeColor="accent4"/>
          <w:right w:val="nil"/>
        </w:tcBorders>
      </w:tcPr>
    </w:tblStylePr>
  </w:style>
  <w:style w:type="paragraph" w:customStyle="1" w:styleId="Style1">
    <w:name w:val="Style1"/>
    <w:basedOn w:val="ListBullet"/>
    <w:next w:val="ListBullet"/>
    <w:link w:val="Style1Char"/>
    <w:qFormat/>
    <w:rsid w:val="00AE20BC"/>
  </w:style>
  <w:style w:type="character" w:customStyle="1" w:styleId="Style1Char">
    <w:name w:val="Style1 Char"/>
    <w:basedOn w:val="DefaultParagraphFont"/>
    <w:link w:val="Style1"/>
    <w:rsid w:val="00AE20BC"/>
  </w:style>
  <w:style w:type="numbering" w:customStyle="1" w:styleId="Style2">
    <w:name w:val="Style2"/>
    <w:basedOn w:val="NoList"/>
    <w:uiPriority w:val="99"/>
    <w:rsid w:val="00AE20BC"/>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footer" Target="footer1.xml"/><Relationship Id="rId26" Type="http://schemas.openxmlformats.org/officeDocument/2006/relationships/customXml" Target="../customXml/item5.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QuickStyle" Target="diagrams/quickStyle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bitre.gov.au/publications/2015/is_074" TargetMode="External"/><Relationship Id="rId3" Type="http://schemas.openxmlformats.org/officeDocument/2006/relationships/hyperlink" Target="https://www.vic.gov.au/register-public-roads" TargetMode="External"/><Relationship Id="rId7" Type="http://schemas.openxmlformats.org/officeDocument/2006/relationships/hyperlink" Target="https://www.bitre.gov.au/publications/2022/social-cost-road-crashes" TargetMode="External"/><Relationship Id="rId2" Type="http://schemas.openxmlformats.org/officeDocument/2006/relationships/hyperlink" Target="https://www.vic.gov.au/freight-victoria" TargetMode="External"/><Relationship Id="rId1" Type="http://schemas.openxmlformats.org/officeDocument/2006/relationships/hyperlink" Target="https://transport.vic.gov.au/road-and-active-transport/business/road-and-traffic-management/road-types-and-responsible-authorities" TargetMode="External"/><Relationship Id="rId6" Type="http://schemas.openxmlformats.org/officeDocument/2006/relationships/hyperlink" Target="https://www.bitre.gov.au/publications/2015/is_074" TargetMode="External"/><Relationship Id="rId5" Type="http://schemas.openxmlformats.org/officeDocument/2006/relationships/hyperlink" Target="https://www.monash.edu/muarc/research/mental-health,-impairment-and-injury/enhanced-crash-investigation-study/ecis-reports" TargetMode="External"/><Relationship Id="rId10" Type="http://schemas.openxmlformats.org/officeDocument/2006/relationships/hyperlink" Target="https://www.land.vic.gov.au/valuations/resources-and-reports/property-sales-statistics" TargetMode="External"/><Relationship Id="rId4" Type="http://schemas.openxmlformats.org/officeDocument/2006/relationships/hyperlink" Target="https://www.vic.gov.au/codes-practice-under-road-management-act" TargetMode="External"/><Relationship Id="rId9" Type="http://schemas.openxmlformats.org/officeDocument/2006/relationships/hyperlink" Target="https://www.vic.gov.au/victorian-guide-regul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C0256E-582C-463A-84FA-0725B61C8610}" type="doc">
      <dgm:prSet loTypeId="urn:microsoft.com/office/officeart/2005/8/layout/hChevron3" loCatId="process" qsTypeId="urn:microsoft.com/office/officeart/2005/8/quickstyle/simple1" qsCatId="simple" csTypeId="urn:microsoft.com/office/officeart/2005/8/colors/colorful3" csCatId="colorful" phldr="1"/>
      <dgm:spPr/>
    </dgm:pt>
    <dgm:pt modelId="{BF6280F8-790D-4315-BECE-BB99A693CF59}">
      <dgm:prSet phldrT="[Text]"/>
      <dgm:spPr/>
      <dgm:t>
        <a:bodyPr/>
        <a:lstStyle/>
        <a:p>
          <a:r>
            <a:rPr lang="en-AU">
              <a:ln>
                <a:noFill/>
              </a:ln>
              <a:solidFill>
                <a:sysClr val="windowText" lastClr="000000"/>
              </a:solidFill>
            </a:rPr>
            <a:t>Preliminary consultation to inform development of proposed Regulations</a:t>
          </a:r>
        </a:p>
      </dgm:t>
    </dgm:pt>
    <dgm:pt modelId="{AC0C46DC-559F-4E06-8B02-3D8FA1D63DA3}" type="parTrans" cxnId="{6CB52D3A-9989-48FB-97D7-CA48ED2921E6}">
      <dgm:prSet/>
      <dgm:spPr/>
      <dgm:t>
        <a:bodyPr/>
        <a:lstStyle/>
        <a:p>
          <a:endParaRPr lang="en-AU">
            <a:ln>
              <a:noFill/>
            </a:ln>
            <a:solidFill>
              <a:sysClr val="windowText" lastClr="000000"/>
            </a:solidFill>
          </a:endParaRPr>
        </a:p>
      </dgm:t>
    </dgm:pt>
    <dgm:pt modelId="{F9E32D6C-C5B8-4F6F-BE2C-55CE79DEC2BF}" type="sibTrans" cxnId="{6CB52D3A-9989-48FB-97D7-CA48ED2921E6}">
      <dgm:prSet/>
      <dgm:spPr/>
      <dgm:t>
        <a:bodyPr/>
        <a:lstStyle/>
        <a:p>
          <a:endParaRPr lang="en-AU">
            <a:ln>
              <a:noFill/>
            </a:ln>
            <a:solidFill>
              <a:sysClr val="windowText" lastClr="000000"/>
            </a:solidFill>
          </a:endParaRPr>
        </a:p>
      </dgm:t>
    </dgm:pt>
    <dgm:pt modelId="{EFD3ED36-FF2A-4061-AAD2-1436BB575EC8}">
      <dgm:prSet phldrT="[Text]"/>
      <dgm:spPr/>
      <dgm:t>
        <a:bodyPr/>
        <a:lstStyle/>
        <a:p>
          <a:r>
            <a:rPr lang="en-AU">
              <a:ln>
                <a:noFill/>
              </a:ln>
              <a:solidFill>
                <a:sysClr val="windowText" lastClr="000000"/>
              </a:solidFill>
            </a:rPr>
            <a:t>Public consultation on the proposed Regulations</a:t>
          </a:r>
        </a:p>
      </dgm:t>
    </dgm:pt>
    <dgm:pt modelId="{65D6FBC5-9618-4B7B-8852-845045711FA9}" type="parTrans" cxnId="{0C413295-CD4E-4CA8-888F-574211341892}">
      <dgm:prSet/>
      <dgm:spPr/>
      <dgm:t>
        <a:bodyPr/>
        <a:lstStyle/>
        <a:p>
          <a:endParaRPr lang="en-AU">
            <a:ln>
              <a:noFill/>
            </a:ln>
            <a:solidFill>
              <a:sysClr val="windowText" lastClr="000000"/>
            </a:solidFill>
          </a:endParaRPr>
        </a:p>
      </dgm:t>
    </dgm:pt>
    <dgm:pt modelId="{7F843CFF-61A5-413D-B309-4B7F6690E487}" type="sibTrans" cxnId="{0C413295-CD4E-4CA8-888F-574211341892}">
      <dgm:prSet/>
      <dgm:spPr/>
      <dgm:t>
        <a:bodyPr/>
        <a:lstStyle/>
        <a:p>
          <a:endParaRPr lang="en-AU">
            <a:ln>
              <a:noFill/>
            </a:ln>
            <a:solidFill>
              <a:sysClr val="windowText" lastClr="000000"/>
            </a:solidFill>
          </a:endParaRPr>
        </a:p>
      </dgm:t>
    </dgm:pt>
    <dgm:pt modelId="{39B38A57-28B3-4088-BD50-8D489837E291}">
      <dgm:prSet phldrT="[Text]"/>
      <dgm:spPr/>
      <dgm:t>
        <a:bodyPr/>
        <a:lstStyle/>
        <a:p>
          <a:r>
            <a:rPr lang="en-AU">
              <a:ln>
                <a:noFill/>
              </a:ln>
              <a:solidFill>
                <a:sysClr val="windowText" lastClr="000000"/>
              </a:solidFill>
            </a:rPr>
            <a:t>Consideration of all submissions on the proposed Regulations</a:t>
          </a:r>
        </a:p>
      </dgm:t>
    </dgm:pt>
    <dgm:pt modelId="{DF21F337-5D18-48FB-A6DE-9B86119DFA98}" type="parTrans" cxnId="{07E1B84F-7E44-4DF3-BD09-6C120A8D3613}">
      <dgm:prSet/>
      <dgm:spPr/>
      <dgm:t>
        <a:bodyPr/>
        <a:lstStyle/>
        <a:p>
          <a:endParaRPr lang="en-AU">
            <a:ln>
              <a:noFill/>
            </a:ln>
            <a:solidFill>
              <a:sysClr val="windowText" lastClr="000000"/>
            </a:solidFill>
          </a:endParaRPr>
        </a:p>
      </dgm:t>
    </dgm:pt>
    <dgm:pt modelId="{C0501B30-C547-4798-BE5C-82DBC0C61389}" type="sibTrans" cxnId="{07E1B84F-7E44-4DF3-BD09-6C120A8D3613}">
      <dgm:prSet/>
      <dgm:spPr/>
      <dgm:t>
        <a:bodyPr/>
        <a:lstStyle/>
        <a:p>
          <a:endParaRPr lang="en-AU">
            <a:ln>
              <a:noFill/>
            </a:ln>
            <a:solidFill>
              <a:sysClr val="windowText" lastClr="000000"/>
            </a:solidFill>
          </a:endParaRPr>
        </a:p>
      </dgm:t>
    </dgm:pt>
    <dgm:pt modelId="{B66387BF-7C5F-4EC8-8128-E3B64141FD41}">
      <dgm:prSet phldrT="[Text]"/>
      <dgm:spPr/>
      <dgm:t>
        <a:bodyPr/>
        <a:lstStyle/>
        <a:p>
          <a:r>
            <a:rPr lang="en-AU">
              <a:ln>
                <a:noFill/>
              </a:ln>
              <a:solidFill>
                <a:sysClr val="windowText" lastClr="000000"/>
              </a:solidFill>
            </a:rPr>
            <a:t>Final decision on whether to make Regulations as proposed</a:t>
          </a:r>
        </a:p>
      </dgm:t>
    </dgm:pt>
    <dgm:pt modelId="{547A287A-E9A3-4F3F-9A6A-DED1EC96CBAD}" type="parTrans" cxnId="{C69E1DF6-E8C2-4958-8E60-BA852FF61D2C}">
      <dgm:prSet/>
      <dgm:spPr/>
      <dgm:t>
        <a:bodyPr/>
        <a:lstStyle/>
        <a:p>
          <a:endParaRPr lang="en-AU">
            <a:ln>
              <a:noFill/>
            </a:ln>
            <a:solidFill>
              <a:sysClr val="windowText" lastClr="000000"/>
            </a:solidFill>
          </a:endParaRPr>
        </a:p>
      </dgm:t>
    </dgm:pt>
    <dgm:pt modelId="{3C82B01C-F990-4660-B04D-F6C0A09271FB}" type="sibTrans" cxnId="{C69E1DF6-E8C2-4958-8E60-BA852FF61D2C}">
      <dgm:prSet/>
      <dgm:spPr/>
      <dgm:t>
        <a:bodyPr/>
        <a:lstStyle/>
        <a:p>
          <a:endParaRPr lang="en-AU">
            <a:ln>
              <a:noFill/>
            </a:ln>
            <a:solidFill>
              <a:sysClr val="windowText" lastClr="000000"/>
            </a:solidFill>
          </a:endParaRPr>
        </a:p>
      </dgm:t>
    </dgm:pt>
    <dgm:pt modelId="{C1928CD4-73C9-4779-AA05-479398FD0CF4}" type="pres">
      <dgm:prSet presAssocID="{53C0256E-582C-463A-84FA-0725B61C8610}" presName="Name0" presStyleCnt="0">
        <dgm:presLayoutVars>
          <dgm:dir/>
          <dgm:resizeHandles val="exact"/>
        </dgm:presLayoutVars>
      </dgm:prSet>
      <dgm:spPr/>
    </dgm:pt>
    <dgm:pt modelId="{16E31DAC-0812-4235-BE66-A71E8A4C392D}" type="pres">
      <dgm:prSet presAssocID="{BF6280F8-790D-4315-BECE-BB99A693CF59}" presName="parTxOnly" presStyleLbl="node1" presStyleIdx="0" presStyleCnt="4">
        <dgm:presLayoutVars>
          <dgm:bulletEnabled val="1"/>
        </dgm:presLayoutVars>
      </dgm:prSet>
      <dgm:spPr/>
    </dgm:pt>
    <dgm:pt modelId="{6775245C-9A5C-4501-9EDD-E2F8B2D1CA31}" type="pres">
      <dgm:prSet presAssocID="{F9E32D6C-C5B8-4F6F-BE2C-55CE79DEC2BF}" presName="parSpace" presStyleCnt="0"/>
      <dgm:spPr/>
    </dgm:pt>
    <dgm:pt modelId="{D5A8A233-FE55-479E-A670-2D3A17F51465}" type="pres">
      <dgm:prSet presAssocID="{EFD3ED36-FF2A-4061-AAD2-1436BB575EC8}" presName="parTxOnly" presStyleLbl="node1" presStyleIdx="1" presStyleCnt="4">
        <dgm:presLayoutVars>
          <dgm:bulletEnabled val="1"/>
        </dgm:presLayoutVars>
      </dgm:prSet>
      <dgm:spPr/>
    </dgm:pt>
    <dgm:pt modelId="{8022568E-D906-4C48-BFFF-A63B42B5B25C}" type="pres">
      <dgm:prSet presAssocID="{7F843CFF-61A5-413D-B309-4B7F6690E487}" presName="parSpace" presStyleCnt="0"/>
      <dgm:spPr/>
    </dgm:pt>
    <dgm:pt modelId="{51529B97-17E2-45A2-9215-2044587EB121}" type="pres">
      <dgm:prSet presAssocID="{39B38A57-28B3-4088-BD50-8D489837E291}" presName="parTxOnly" presStyleLbl="node1" presStyleIdx="2" presStyleCnt="4">
        <dgm:presLayoutVars>
          <dgm:bulletEnabled val="1"/>
        </dgm:presLayoutVars>
      </dgm:prSet>
      <dgm:spPr/>
    </dgm:pt>
    <dgm:pt modelId="{DACBEFB5-6602-4FAA-88AA-0344D3640EC9}" type="pres">
      <dgm:prSet presAssocID="{C0501B30-C547-4798-BE5C-82DBC0C61389}" presName="parSpace" presStyleCnt="0"/>
      <dgm:spPr/>
    </dgm:pt>
    <dgm:pt modelId="{7B7511CA-4726-482F-B277-BC4003BE5DAA}" type="pres">
      <dgm:prSet presAssocID="{B66387BF-7C5F-4EC8-8128-E3B64141FD41}" presName="parTxOnly" presStyleLbl="node1" presStyleIdx="3" presStyleCnt="4">
        <dgm:presLayoutVars>
          <dgm:bulletEnabled val="1"/>
        </dgm:presLayoutVars>
      </dgm:prSet>
      <dgm:spPr/>
    </dgm:pt>
  </dgm:ptLst>
  <dgm:cxnLst>
    <dgm:cxn modelId="{BF87922A-2DB1-4F26-9F07-9D3E4DBF0775}" type="presOf" srcId="{BF6280F8-790D-4315-BECE-BB99A693CF59}" destId="{16E31DAC-0812-4235-BE66-A71E8A4C392D}" srcOrd="0" destOrd="0" presId="urn:microsoft.com/office/officeart/2005/8/layout/hChevron3"/>
    <dgm:cxn modelId="{8808A730-D51E-4AE1-BB01-5B9B69617282}" type="presOf" srcId="{EFD3ED36-FF2A-4061-AAD2-1436BB575EC8}" destId="{D5A8A233-FE55-479E-A670-2D3A17F51465}" srcOrd="0" destOrd="0" presId="urn:microsoft.com/office/officeart/2005/8/layout/hChevron3"/>
    <dgm:cxn modelId="{6CB52D3A-9989-48FB-97D7-CA48ED2921E6}" srcId="{53C0256E-582C-463A-84FA-0725B61C8610}" destId="{BF6280F8-790D-4315-BECE-BB99A693CF59}" srcOrd="0" destOrd="0" parTransId="{AC0C46DC-559F-4E06-8B02-3D8FA1D63DA3}" sibTransId="{F9E32D6C-C5B8-4F6F-BE2C-55CE79DEC2BF}"/>
    <dgm:cxn modelId="{07E1B84F-7E44-4DF3-BD09-6C120A8D3613}" srcId="{53C0256E-582C-463A-84FA-0725B61C8610}" destId="{39B38A57-28B3-4088-BD50-8D489837E291}" srcOrd="2" destOrd="0" parTransId="{DF21F337-5D18-48FB-A6DE-9B86119DFA98}" sibTransId="{C0501B30-C547-4798-BE5C-82DBC0C61389}"/>
    <dgm:cxn modelId="{29E04B58-E0C9-4BF7-84F1-BA8AB4D60524}" type="presOf" srcId="{B66387BF-7C5F-4EC8-8128-E3B64141FD41}" destId="{7B7511CA-4726-482F-B277-BC4003BE5DAA}" srcOrd="0" destOrd="0" presId="urn:microsoft.com/office/officeart/2005/8/layout/hChevron3"/>
    <dgm:cxn modelId="{0C413295-CD4E-4CA8-888F-574211341892}" srcId="{53C0256E-582C-463A-84FA-0725B61C8610}" destId="{EFD3ED36-FF2A-4061-AAD2-1436BB575EC8}" srcOrd="1" destOrd="0" parTransId="{65D6FBC5-9618-4B7B-8852-845045711FA9}" sibTransId="{7F843CFF-61A5-413D-B309-4B7F6690E487}"/>
    <dgm:cxn modelId="{76AAD896-2BF9-4553-A47D-ED5EAAA99EAB}" type="presOf" srcId="{53C0256E-582C-463A-84FA-0725B61C8610}" destId="{C1928CD4-73C9-4779-AA05-479398FD0CF4}" srcOrd="0" destOrd="0" presId="urn:microsoft.com/office/officeart/2005/8/layout/hChevron3"/>
    <dgm:cxn modelId="{1BF4C7F2-CA32-4F6B-B7CA-1FA256E56C6B}" type="presOf" srcId="{39B38A57-28B3-4088-BD50-8D489837E291}" destId="{51529B97-17E2-45A2-9215-2044587EB121}" srcOrd="0" destOrd="0" presId="urn:microsoft.com/office/officeart/2005/8/layout/hChevron3"/>
    <dgm:cxn modelId="{C69E1DF6-E8C2-4958-8E60-BA852FF61D2C}" srcId="{53C0256E-582C-463A-84FA-0725B61C8610}" destId="{B66387BF-7C5F-4EC8-8128-E3B64141FD41}" srcOrd="3" destOrd="0" parTransId="{547A287A-E9A3-4F3F-9A6A-DED1EC96CBAD}" sibTransId="{3C82B01C-F990-4660-B04D-F6C0A09271FB}"/>
    <dgm:cxn modelId="{64E43794-30EB-42AA-BAED-9CCFFAB553ED}" type="presParOf" srcId="{C1928CD4-73C9-4779-AA05-479398FD0CF4}" destId="{16E31DAC-0812-4235-BE66-A71E8A4C392D}" srcOrd="0" destOrd="0" presId="urn:microsoft.com/office/officeart/2005/8/layout/hChevron3"/>
    <dgm:cxn modelId="{AE686E91-91ED-4523-9B8D-8A29D233F05D}" type="presParOf" srcId="{C1928CD4-73C9-4779-AA05-479398FD0CF4}" destId="{6775245C-9A5C-4501-9EDD-E2F8B2D1CA31}" srcOrd="1" destOrd="0" presId="urn:microsoft.com/office/officeart/2005/8/layout/hChevron3"/>
    <dgm:cxn modelId="{D93AD9EA-4953-48AD-9534-DC98E3FF302E}" type="presParOf" srcId="{C1928CD4-73C9-4779-AA05-479398FD0CF4}" destId="{D5A8A233-FE55-479E-A670-2D3A17F51465}" srcOrd="2" destOrd="0" presId="urn:microsoft.com/office/officeart/2005/8/layout/hChevron3"/>
    <dgm:cxn modelId="{C5AA83CD-AA6F-4CFC-89FD-04CD752B5C45}" type="presParOf" srcId="{C1928CD4-73C9-4779-AA05-479398FD0CF4}" destId="{8022568E-D906-4C48-BFFF-A63B42B5B25C}" srcOrd="3" destOrd="0" presId="urn:microsoft.com/office/officeart/2005/8/layout/hChevron3"/>
    <dgm:cxn modelId="{B813F762-5F68-4A27-AB91-C6F8295F3AF3}" type="presParOf" srcId="{C1928CD4-73C9-4779-AA05-479398FD0CF4}" destId="{51529B97-17E2-45A2-9215-2044587EB121}" srcOrd="4" destOrd="0" presId="urn:microsoft.com/office/officeart/2005/8/layout/hChevron3"/>
    <dgm:cxn modelId="{79C30B57-7F63-4219-8D99-3688D9E5BCDF}" type="presParOf" srcId="{C1928CD4-73C9-4779-AA05-479398FD0CF4}" destId="{DACBEFB5-6602-4FAA-88AA-0344D3640EC9}" srcOrd="5" destOrd="0" presId="urn:microsoft.com/office/officeart/2005/8/layout/hChevron3"/>
    <dgm:cxn modelId="{1678838E-4481-4497-9CE7-757DD58E5BA7}" type="presParOf" srcId="{C1928CD4-73C9-4779-AA05-479398FD0CF4}" destId="{7B7511CA-4726-482F-B277-BC4003BE5DAA}" srcOrd="6" destOrd="0" presId="urn:microsoft.com/office/officeart/2005/8/layout/hChevron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E31DAC-0812-4235-BE66-A71E8A4C392D}">
      <dsp:nvSpPr>
        <dsp:cNvPr id="0" name=""/>
        <dsp:cNvSpPr/>
      </dsp:nvSpPr>
      <dsp:spPr>
        <a:xfrm>
          <a:off x="1937" y="61297"/>
          <a:ext cx="1943512" cy="777404"/>
        </a:xfrm>
        <a:prstGeom prst="homePlat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marL="0" lvl="0" indent="0" algn="ctr" defTabSz="444500">
            <a:lnSpc>
              <a:spcPct val="90000"/>
            </a:lnSpc>
            <a:spcBef>
              <a:spcPct val="0"/>
            </a:spcBef>
            <a:spcAft>
              <a:spcPct val="35000"/>
            </a:spcAft>
            <a:buNone/>
          </a:pPr>
          <a:r>
            <a:rPr lang="en-AU" sz="1000" kern="1200">
              <a:ln>
                <a:noFill/>
              </a:ln>
              <a:solidFill>
                <a:sysClr val="windowText" lastClr="000000"/>
              </a:solidFill>
            </a:rPr>
            <a:t>Preliminary consultation to inform development of proposed Regulations</a:t>
          </a:r>
        </a:p>
      </dsp:txBody>
      <dsp:txXfrm>
        <a:off x="1937" y="61297"/>
        <a:ext cx="1749161" cy="777404"/>
      </dsp:txXfrm>
    </dsp:sp>
    <dsp:sp modelId="{D5A8A233-FE55-479E-A670-2D3A17F51465}">
      <dsp:nvSpPr>
        <dsp:cNvPr id="0" name=""/>
        <dsp:cNvSpPr/>
      </dsp:nvSpPr>
      <dsp:spPr>
        <a:xfrm>
          <a:off x="1556746" y="61297"/>
          <a:ext cx="1943512" cy="777404"/>
        </a:xfrm>
        <a:prstGeom prst="chevron">
          <a:avLst/>
        </a:prstGeom>
        <a:solidFill>
          <a:schemeClr val="accent3">
            <a:hueOff val="-228362"/>
            <a:satOff val="5058"/>
            <a:lumOff val="7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AU" sz="1000" kern="1200">
              <a:ln>
                <a:noFill/>
              </a:ln>
              <a:solidFill>
                <a:sysClr val="windowText" lastClr="000000"/>
              </a:solidFill>
            </a:rPr>
            <a:t>Public consultation on the proposed Regulations</a:t>
          </a:r>
        </a:p>
      </dsp:txBody>
      <dsp:txXfrm>
        <a:off x="1945448" y="61297"/>
        <a:ext cx="1166108" cy="777404"/>
      </dsp:txXfrm>
    </dsp:sp>
    <dsp:sp modelId="{51529B97-17E2-45A2-9215-2044587EB121}">
      <dsp:nvSpPr>
        <dsp:cNvPr id="0" name=""/>
        <dsp:cNvSpPr/>
      </dsp:nvSpPr>
      <dsp:spPr>
        <a:xfrm>
          <a:off x="3111556" y="61297"/>
          <a:ext cx="1943512" cy="777404"/>
        </a:xfrm>
        <a:prstGeom prst="chevron">
          <a:avLst/>
        </a:prstGeom>
        <a:solidFill>
          <a:schemeClr val="accent3">
            <a:hueOff val="-456723"/>
            <a:satOff val="10117"/>
            <a:lumOff val="1568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AU" sz="1000" kern="1200">
              <a:ln>
                <a:noFill/>
              </a:ln>
              <a:solidFill>
                <a:sysClr val="windowText" lastClr="000000"/>
              </a:solidFill>
            </a:rPr>
            <a:t>Consideration of all submissions on the proposed Regulations</a:t>
          </a:r>
        </a:p>
      </dsp:txBody>
      <dsp:txXfrm>
        <a:off x="3500258" y="61297"/>
        <a:ext cx="1166108" cy="777404"/>
      </dsp:txXfrm>
    </dsp:sp>
    <dsp:sp modelId="{7B7511CA-4726-482F-B277-BC4003BE5DAA}">
      <dsp:nvSpPr>
        <dsp:cNvPr id="0" name=""/>
        <dsp:cNvSpPr/>
      </dsp:nvSpPr>
      <dsp:spPr>
        <a:xfrm>
          <a:off x="4666365" y="61297"/>
          <a:ext cx="1943512" cy="777404"/>
        </a:xfrm>
        <a:prstGeom prst="chevron">
          <a:avLst/>
        </a:prstGeom>
        <a:solidFill>
          <a:schemeClr val="accent3">
            <a:hueOff val="-685085"/>
            <a:satOff val="15175"/>
            <a:lumOff val="2352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AU" sz="1000" kern="1200">
              <a:ln>
                <a:noFill/>
              </a:ln>
              <a:solidFill>
                <a:sysClr val="windowText" lastClr="000000"/>
              </a:solidFill>
            </a:rPr>
            <a:t>Final decision on whether to make Regulations as proposed</a:t>
          </a:r>
        </a:p>
      </dsp:txBody>
      <dsp:txXfrm>
        <a:off x="5055067" y="61297"/>
        <a:ext cx="1166108" cy="777404"/>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AF1AD5AF15524C920CB3BE3D72725D" ma:contentTypeVersion="29" ma:contentTypeDescription="Create a new document." ma:contentTypeScope="" ma:versionID="eb5c28d0db03a5540a9e78b3e7650d01">
  <xsd:schema xmlns:xsd="http://www.w3.org/2001/XMLSchema" xmlns:xs="http://www.w3.org/2001/XMLSchema" xmlns:p="http://schemas.microsoft.com/office/2006/metadata/properties" xmlns:ns2="c5048082-e052-44c2-9313-1529a8e2ac53" xmlns:ns3="97580cac-1a46-464e-a749-263d0beaf9ec" targetNamespace="http://schemas.microsoft.com/office/2006/metadata/properties" ma:root="true" ma:fieldsID="753db6dcfa5c632afa162c97aafa6bdb" ns2:_="" ns3:_="">
    <xsd:import namespace="c5048082-e052-44c2-9313-1529a8e2ac53"/>
    <xsd:import namespace="97580cac-1a46-464e-a749-263d0beaf9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WorkCategory" minOccurs="0"/>
                <xsd:element ref="ns2:DocumentType" minOccurs="0"/>
                <xsd:element ref="ns2:Status" minOccurs="0"/>
                <xsd:element ref="ns2:Assignedto" minOccurs="0"/>
                <xsd:element ref="ns2:Requiredbydate" minOccurs="0"/>
                <xsd:element ref="ns2:MediaServiceObjectDetectorVersions" minOccurs="0"/>
                <xsd:element ref="ns2:Department" minOccurs="0"/>
                <xsd:element ref="ns2:Requester" minOccurs="0"/>
                <xsd:element ref="ns2:HasaRIS_x002f_LIAdrafted_x003f_" minOccurs="0"/>
                <xsd:element ref="ns2:Exemptionground" minOccurs="0"/>
                <xsd:element ref="ns2:MediaServiceSearchProperties" minOccurs="0"/>
                <xsd:element ref="ns2:Not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48082-e052-44c2-9313-1529a8e2a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WorkCategory" ma:index="23" nillable="true" ma:displayName="Work Category" ma:format="Dropdown" ma:indexed="true" ma:internalName="WorkCategory">
      <xsd:simpleType>
        <xsd:restriction base="dms:Choice">
          <xsd:enumeration value="Building System Review"/>
          <xsd:enumeration value="Competitive Neutrality"/>
          <xsd:enumeration value="General"/>
          <xsd:enumeration value="Guidance Project"/>
          <xsd:enumeration value="Marked for Deletion"/>
          <xsd:enumeration value="Presentations and Conferences"/>
          <xsd:enumeration value="Regulators as a Profession"/>
          <xsd:enumeration value="Regulator Reform Project and Health Checks"/>
          <xsd:enumeration value="RegTech Project"/>
          <xsd:enumeration value="Reviews"/>
          <xsd:enumeration value="Scrutiny Project"/>
        </xsd:restriction>
      </xsd:simpleType>
    </xsd:element>
    <xsd:element name="DocumentType" ma:index="24" nillable="true" ma:displayName="Document Type" ma:format="Dropdown" ma:internalName="DocumentType">
      <xsd:simpleType>
        <xsd:restriction base="dms:Choice">
          <xsd:enumeration value="Agenda"/>
          <xsd:enumeration value="Brief"/>
          <xsd:enumeration value="Guidance"/>
          <xsd:enumeration value="Presentation"/>
          <xsd:enumeration value="Memo"/>
          <xsd:enumeration value="Minutes"/>
          <xsd:enumeration value="Report"/>
        </xsd:restriction>
      </xsd:simpleType>
    </xsd:element>
    <xsd:element name="Status" ma:index="25" nillable="true" ma:displayName="Status" ma:format="Dropdown" ma:internalName="Status">
      <xsd:simpleType>
        <xsd:restriction base="dms:Choice">
          <xsd:enumeration value="Draft"/>
          <xsd:enumeration value="For review"/>
          <xsd:enumeration value="For approval"/>
          <xsd:enumeration value="Approved"/>
          <xsd:enumeration value="On-hold"/>
        </xsd:restriction>
      </xsd:simpleType>
    </xsd:element>
    <xsd:element name="Assignedto" ma:index="26" nillable="true" ma:displayName="Assigned to"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iredbydate" ma:index="27" nillable="true" ma:displayName="Required by date" ma:format="DateOnly" ma:internalName="Requiredby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Department" ma:index="30" nillable="true" ma:displayName="Department" ma:format="Dropdown" ma:internalName="Department">
      <xsd:simpleType>
        <xsd:union memberTypes="dms:Text">
          <xsd:simpleType>
            <xsd:restriction base="dms:Choice">
              <xsd:enumeration value="DTF"/>
              <xsd:enumeration value="DPC"/>
              <xsd:enumeration value="DGS"/>
              <xsd:enumeration value="DJSIR"/>
              <xsd:enumeration value="DH"/>
              <xsd:enumeration value="DTP"/>
              <xsd:enumeration value="DEECA"/>
              <xsd:enumeration value="ESC"/>
              <xsd:enumeration value="VPA"/>
              <xsd:enumeration value="DJCS"/>
              <xsd:enumeration value="WorkSafe"/>
              <xsd:enumeration value="DFFH"/>
              <xsd:enumeration value="DELWP"/>
              <xsd:enumeration value="DE"/>
              <xsd:enumeration value="DET"/>
            </xsd:restriction>
          </xsd:simpleType>
        </xsd:union>
      </xsd:simpleType>
    </xsd:element>
    <xsd:element name="Requester" ma:index="31" nillable="true" ma:displayName="Requester" ma:format="Dropdown" ma:list="UserInfo" ma:SharePointGroup="0" ma:internalName="Reques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saRIS_x002f_LIAdrafted_x003f_" ma:index="32" nillable="true" ma:displayName="Has a RIS/LIA been drafted?" ma:default="0" ma:format="Dropdown" ma:internalName="HasaRIS_x002f_LIAdrafted_x003f_">
      <xsd:simpleType>
        <xsd:restriction base="dms:Boolean"/>
      </xsd:simpleType>
    </xsd:element>
    <xsd:element name="Exemptionground" ma:index="33" nillable="true" ma:displayName="Exemption ground" ma:description="Exemption ground in the Subordinate Legislation Act. Key grounds:&#10;8(1)(a) - SR no significant burden&#10;8(1)(c) - SR declaratory or machinery&#10;8(1)(d) - SR fees increasing below Treasurer's rate&#10;8(1)(f) - SR national uniform legislation&#10;12F(1)(a) - LI no significant burden&#10;12F(1)(b) - LI declaratory or machinery&#10;12F(1)(c) - LI fees increasing below Treasurer's rate&#10;12F(1)(d) - LI burden only on public sector&#10;12F(1)(f) - LI national uniform legislation&#10;12F(1)(g) - LI equivalent RIS process &#10;12F(1)(h) - LI less than 12 months duration&#10;&#10;&#10;&#10;" ma:format="Dropdown" ma:internalName="Exemptionground">
      <xsd:simpleType>
        <xsd:restriction base="dms:Text">
          <xsd:maxLength value="255"/>
        </xsd:restriction>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Notes" ma:index="35" nillable="true" ma:displayName="Notes" ma:format="Dropdown" ma:internalName="Notes">
      <xsd:simpleType>
        <xsd:restriction base="dms:Note">
          <xsd:maxLength value="255"/>
        </xsd:restriction>
      </xsd:simpleType>
    </xsd:element>
    <xsd:element name="_Flow_SignoffStatus" ma:index="3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80cac-1a46-464e-a749-263d0beaf9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364121-4511-4e9b-9ea9-dbc06523d608}" ma:internalName="TaxCatchAll" ma:showField="CatchAllData" ma:web="97580cac-1a46-464e-a749-263d0beaf9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5048082-e052-44c2-9313-1529a8e2ac53">
      <Terms xmlns="http://schemas.microsoft.com/office/infopath/2007/PartnerControls"/>
    </lcf76f155ced4ddcb4097134ff3c332f>
    <TaxCatchAll xmlns="97580cac-1a46-464e-a749-263d0beaf9ec" xsi:nil="true"/>
    <Department xmlns="c5048082-e052-44c2-9313-1529a8e2ac53" xsi:nil="true"/>
    <Notes xmlns="c5048082-e052-44c2-9313-1529a8e2ac53" xsi:nil="true"/>
    <Status xmlns="c5048082-e052-44c2-9313-1529a8e2ac53" xsi:nil="true"/>
    <Requiredbydate xmlns="c5048082-e052-44c2-9313-1529a8e2ac53" xsi:nil="true"/>
    <WorkCategory xmlns="c5048082-e052-44c2-9313-1529a8e2ac53" xsi:nil="true"/>
    <_Flow_SignoffStatus xmlns="c5048082-e052-44c2-9313-1529a8e2ac53" xsi:nil="true"/>
    <DocumentType xmlns="c5048082-e052-44c2-9313-1529a8e2ac53" xsi:nil="true"/>
    <HasaRIS_x002f_LIAdrafted_x003f_ xmlns="c5048082-e052-44c2-9313-1529a8e2ac53">false</HasaRIS_x002f_LIAdrafted_x003f_>
    <Assignedto xmlns="c5048082-e052-44c2-9313-1529a8e2ac53">
      <UserInfo>
        <DisplayName/>
        <AccountId xsi:nil="true"/>
        <AccountType/>
      </UserInfo>
    </Assignedto>
    <Requester xmlns="c5048082-e052-44c2-9313-1529a8e2ac53">
      <UserInfo>
        <DisplayName/>
        <AccountId xsi:nil="true"/>
        <AccountType/>
      </UserInfo>
    </Requester>
    <Exemptionground xmlns="c5048082-e052-44c2-9313-1529a8e2ac5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3.xml><?xml version="1.0" encoding="utf-8"?>
<ds:datastoreItem xmlns:ds="http://schemas.openxmlformats.org/officeDocument/2006/customXml" ds:itemID="{B7F8D805-1A20-4F68-8FE4-42D4AC022B32}"/>
</file>

<file path=customXml/itemProps4.xml><?xml version="1.0" encoding="utf-8"?>
<ds:datastoreItem xmlns:ds="http://schemas.openxmlformats.org/officeDocument/2006/customXml" ds:itemID="{12E11204-522F-447F-A0F6-4AB0195017EF}"/>
</file>

<file path=customXml/itemProps5.xml><?xml version="1.0" encoding="utf-8"?>
<ds:datastoreItem xmlns:ds="http://schemas.openxmlformats.org/officeDocument/2006/customXml" ds:itemID="{CF9D5B41-B95A-4189-B39B-83F33781B76D}"/>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87</Pages>
  <Words>37628</Words>
  <Characters>207332</Characters>
  <Application>Microsoft Office Word</Application>
  <DocSecurity>0</DocSecurity>
  <Lines>3911</Lines>
  <Paragraphs>2187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242773</CharactersWithSpaces>
  <SharedDoc>false</SharedDoc>
  <HLinks>
    <vt:vector size="732" baseType="variant">
      <vt:variant>
        <vt:i4>1441855</vt:i4>
      </vt:variant>
      <vt:variant>
        <vt:i4>671</vt:i4>
      </vt:variant>
      <vt:variant>
        <vt:i4>0</vt:i4>
      </vt:variant>
      <vt:variant>
        <vt:i4>5</vt:i4>
      </vt:variant>
      <vt:variant>
        <vt:lpwstr/>
      </vt:variant>
      <vt:variant>
        <vt:lpwstr>_Toc216088387</vt:lpwstr>
      </vt:variant>
      <vt:variant>
        <vt:i4>1441855</vt:i4>
      </vt:variant>
      <vt:variant>
        <vt:i4>665</vt:i4>
      </vt:variant>
      <vt:variant>
        <vt:i4>0</vt:i4>
      </vt:variant>
      <vt:variant>
        <vt:i4>5</vt:i4>
      </vt:variant>
      <vt:variant>
        <vt:lpwstr/>
      </vt:variant>
      <vt:variant>
        <vt:lpwstr>_Toc216088386</vt:lpwstr>
      </vt:variant>
      <vt:variant>
        <vt:i4>1441855</vt:i4>
      </vt:variant>
      <vt:variant>
        <vt:i4>659</vt:i4>
      </vt:variant>
      <vt:variant>
        <vt:i4>0</vt:i4>
      </vt:variant>
      <vt:variant>
        <vt:i4>5</vt:i4>
      </vt:variant>
      <vt:variant>
        <vt:lpwstr/>
      </vt:variant>
      <vt:variant>
        <vt:lpwstr>_Toc216088385</vt:lpwstr>
      </vt:variant>
      <vt:variant>
        <vt:i4>1441855</vt:i4>
      </vt:variant>
      <vt:variant>
        <vt:i4>653</vt:i4>
      </vt:variant>
      <vt:variant>
        <vt:i4>0</vt:i4>
      </vt:variant>
      <vt:variant>
        <vt:i4>5</vt:i4>
      </vt:variant>
      <vt:variant>
        <vt:lpwstr/>
      </vt:variant>
      <vt:variant>
        <vt:lpwstr>_Toc216088384</vt:lpwstr>
      </vt:variant>
      <vt:variant>
        <vt:i4>1441855</vt:i4>
      </vt:variant>
      <vt:variant>
        <vt:i4>647</vt:i4>
      </vt:variant>
      <vt:variant>
        <vt:i4>0</vt:i4>
      </vt:variant>
      <vt:variant>
        <vt:i4>5</vt:i4>
      </vt:variant>
      <vt:variant>
        <vt:lpwstr/>
      </vt:variant>
      <vt:variant>
        <vt:lpwstr>_Toc216088383</vt:lpwstr>
      </vt:variant>
      <vt:variant>
        <vt:i4>1441855</vt:i4>
      </vt:variant>
      <vt:variant>
        <vt:i4>641</vt:i4>
      </vt:variant>
      <vt:variant>
        <vt:i4>0</vt:i4>
      </vt:variant>
      <vt:variant>
        <vt:i4>5</vt:i4>
      </vt:variant>
      <vt:variant>
        <vt:lpwstr/>
      </vt:variant>
      <vt:variant>
        <vt:lpwstr>_Toc216088382</vt:lpwstr>
      </vt:variant>
      <vt:variant>
        <vt:i4>1441855</vt:i4>
      </vt:variant>
      <vt:variant>
        <vt:i4>635</vt:i4>
      </vt:variant>
      <vt:variant>
        <vt:i4>0</vt:i4>
      </vt:variant>
      <vt:variant>
        <vt:i4>5</vt:i4>
      </vt:variant>
      <vt:variant>
        <vt:lpwstr/>
      </vt:variant>
      <vt:variant>
        <vt:lpwstr>_Toc216088381</vt:lpwstr>
      </vt:variant>
      <vt:variant>
        <vt:i4>1441855</vt:i4>
      </vt:variant>
      <vt:variant>
        <vt:i4>629</vt:i4>
      </vt:variant>
      <vt:variant>
        <vt:i4>0</vt:i4>
      </vt:variant>
      <vt:variant>
        <vt:i4>5</vt:i4>
      </vt:variant>
      <vt:variant>
        <vt:lpwstr/>
      </vt:variant>
      <vt:variant>
        <vt:lpwstr>_Toc216088380</vt:lpwstr>
      </vt:variant>
      <vt:variant>
        <vt:i4>1638463</vt:i4>
      </vt:variant>
      <vt:variant>
        <vt:i4>623</vt:i4>
      </vt:variant>
      <vt:variant>
        <vt:i4>0</vt:i4>
      </vt:variant>
      <vt:variant>
        <vt:i4>5</vt:i4>
      </vt:variant>
      <vt:variant>
        <vt:lpwstr/>
      </vt:variant>
      <vt:variant>
        <vt:lpwstr>_Toc216088379</vt:lpwstr>
      </vt:variant>
      <vt:variant>
        <vt:i4>1638463</vt:i4>
      </vt:variant>
      <vt:variant>
        <vt:i4>617</vt:i4>
      </vt:variant>
      <vt:variant>
        <vt:i4>0</vt:i4>
      </vt:variant>
      <vt:variant>
        <vt:i4>5</vt:i4>
      </vt:variant>
      <vt:variant>
        <vt:lpwstr/>
      </vt:variant>
      <vt:variant>
        <vt:lpwstr>_Toc216088378</vt:lpwstr>
      </vt:variant>
      <vt:variant>
        <vt:i4>1638463</vt:i4>
      </vt:variant>
      <vt:variant>
        <vt:i4>611</vt:i4>
      </vt:variant>
      <vt:variant>
        <vt:i4>0</vt:i4>
      </vt:variant>
      <vt:variant>
        <vt:i4>5</vt:i4>
      </vt:variant>
      <vt:variant>
        <vt:lpwstr/>
      </vt:variant>
      <vt:variant>
        <vt:lpwstr>_Toc216088377</vt:lpwstr>
      </vt:variant>
      <vt:variant>
        <vt:i4>1638463</vt:i4>
      </vt:variant>
      <vt:variant>
        <vt:i4>605</vt:i4>
      </vt:variant>
      <vt:variant>
        <vt:i4>0</vt:i4>
      </vt:variant>
      <vt:variant>
        <vt:i4>5</vt:i4>
      </vt:variant>
      <vt:variant>
        <vt:lpwstr/>
      </vt:variant>
      <vt:variant>
        <vt:lpwstr>_Toc216088376</vt:lpwstr>
      </vt:variant>
      <vt:variant>
        <vt:i4>1638463</vt:i4>
      </vt:variant>
      <vt:variant>
        <vt:i4>599</vt:i4>
      </vt:variant>
      <vt:variant>
        <vt:i4>0</vt:i4>
      </vt:variant>
      <vt:variant>
        <vt:i4>5</vt:i4>
      </vt:variant>
      <vt:variant>
        <vt:lpwstr/>
      </vt:variant>
      <vt:variant>
        <vt:lpwstr>_Toc216088375</vt:lpwstr>
      </vt:variant>
      <vt:variant>
        <vt:i4>1638463</vt:i4>
      </vt:variant>
      <vt:variant>
        <vt:i4>593</vt:i4>
      </vt:variant>
      <vt:variant>
        <vt:i4>0</vt:i4>
      </vt:variant>
      <vt:variant>
        <vt:i4>5</vt:i4>
      </vt:variant>
      <vt:variant>
        <vt:lpwstr/>
      </vt:variant>
      <vt:variant>
        <vt:lpwstr>_Toc216088374</vt:lpwstr>
      </vt:variant>
      <vt:variant>
        <vt:i4>1638463</vt:i4>
      </vt:variant>
      <vt:variant>
        <vt:i4>587</vt:i4>
      </vt:variant>
      <vt:variant>
        <vt:i4>0</vt:i4>
      </vt:variant>
      <vt:variant>
        <vt:i4>5</vt:i4>
      </vt:variant>
      <vt:variant>
        <vt:lpwstr/>
      </vt:variant>
      <vt:variant>
        <vt:lpwstr>_Toc216088373</vt:lpwstr>
      </vt:variant>
      <vt:variant>
        <vt:i4>1638463</vt:i4>
      </vt:variant>
      <vt:variant>
        <vt:i4>581</vt:i4>
      </vt:variant>
      <vt:variant>
        <vt:i4>0</vt:i4>
      </vt:variant>
      <vt:variant>
        <vt:i4>5</vt:i4>
      </vt:variant>
      <vt:variant>
        <vt:lpwstr/>
      </vt:variant>
      <vt:variant>
        <vt:lpwstr>_Toc216088372</vt:lpwstr>
      </vt:variant>
      <vt:variant>
        <vt:i4>1638463</vt:i4>
      </vt:variant>
      <vt:variant>
        <vt:i4>575</vt:i4>
      </vt:variant>
      <vt:variant>
        <vt:i4>0</vt:i4>
      </vt:variant>
      <vt:variant>
        <vt:i4>5</vt:i4>
      </vt:variant>
      <vt:variant>
        <vt:lpwstr/>
      </vt:variant>
      <vt:variant>
        <vt:lpwstr>_Toc216088371</vt:lpwstr>
      </vt:variant>
      <vt:variant>
        <vt:i4>1638463</vt:i4>
      </vt:variant>
      <vt:variant>
        <vt:i4>569</vt:i4>
      </vt:variant>
      <vt:variant>
        <vt:i4>0</vt:i4>
      </vt:variant>
      <vt:variant>
        <vt:i4>5</vt:i4>
      </vt:variant>
      <vt:variant>
        <vt:lpwstr/>
      </vt:variant>
      <vt:variant>
        <vt:lpwstr>_Toc216088370</vt:lpwstr>
      </vt:variant>
      <vt:variant>
        <vt:i4>1572927</vt:i4>
      </vt:variant>
      <vt:variant>
        <vt:i4>563</vt:i4>
      </vt:variant>
      <vt:variant>
        <vt:i4>0</vt:i4>
      </vt:variant>
      <vt:variant>
        <vt:i4>5</vt:i4>
      </vt:variant>
      <vt:variant>
        <vt:lpwstr/>
      </vt:variant>
      <vt:variant>
        <vt:lpwstr>_Toc216088369</vt:lpwstr>
      </vt:variant>
      <vt:variant>
        <vt:i4>1572927</vt:i4>
      </vt:variant>
      <vt:variant>
        <vt:i4>557</vt:i4>
      </vt:variant>
      <vt:variant>
        <vt:i4>0</vt:i4>
      </vt:variant>
      <vt:variant>
        <vt:i4>5</vt:i4>
      </vt:variant>
      <vt:variant>
        <vt:lpwstr/>
      </vt:variant>
      <vt:variant>
        <vt:lpwstr>_Toc216088368</vt:lpwstr>
      </vt:variant>
      <vt:variant>
        <vt:i4>1572927</vt:i4>
      </vt:variant>
      <vt:variant>
        <vt:i4>551</vt:i4>
      </vt:variant>
      <vt:variant>
        <vt:i4>0</vt:i4>
      </vt:variant>
      <vt:variant>
        <vt:i4>5</vt:i4>
      </vt:variant>
      <vt:variant>
        <vt:lpwstr/>
      </vt:variant>
      <vt:variant>
        <vt:lpwstr>_Toc216088367</vt:lpwstr>
      </vt:variant>
      <vt:variant>
        <vt:i4>1572927</vt:i4>
      </vt:variant>
      <vt:variant>
        <vt:i4>545</vt:i4>
      </vt:variant>
      <vt:variant>
        <vt:i4>0</vt:i4>
      </vt:variant>
      <vt:variant>
        <vt:i4>5</vt:i4>
      </vt:variant>
      <vt:variant>
        <vt:lpwstr/>
      </vt:variant>
      <vt:variant>
        <vt:lpwstr>_Toc216088366</vt:lpwstr>
      </vt:variant>
      <vt:variant>
        <vt:i4>1572927</vt:i4>
      </vt:variant>
      <vt:variant>
        <vt:i4>539</vt:i4>
      </vt:variant>
      <vt:variant>
        <vt:i4>0</vt:i4>
      </vt:variant>
      <vt:variant>
        <vt:i4>5</vt:i4>
      </vt:variant>
      <vt:variant>
        <vt:lpwstr/>
      </vt:variant>
      <vt:variant>
        <vt:lpwstr>_Toc216088365</vt:lpwstr>
      </vt:variant>
      <vt:variant>
        <vt:i4>1572927</vt:i4>
      </vt:variant>
      <vt:variant>
        <vt:i4>533</vt:i4>
      </vt:variant>
      <vt:variant>
        <vt:i4>0</vt:i4>
      </vt:variant>
      <vt:variant>
        <vt:i4>5</vt:i4>
      </vt:variant>
      <vt:variant>
        <vt:lpwstr/>
      </vt:variant>
      <vt:variant>
        <vt:lpwstr>_Toc216088364</vt:lpwstr>
      </vt:variant>
      <vt:variant>
        <vt:i4>1572927</vt:i4>
      </vt:variant>
      <vt:variant>
        <vt:i4>527</vt:i4>
      </vt:variant>
      <vt:variant>
        <vt:i4>0</vt:i4>
      </vt:variant>
      <vt:variant>
        <vt:i4>5</vt:i4>
      </vt:variant>
      <vt:variant>
        <vt:lpwstr/>
      </vt:variant>
      <vt:variant>
        <vt:lpwstr>_Toc216088363</vt:lpwstr>
      </vt:variant>
      <vt:variant>
        <vt:i4>1572927</vt:i4>
      </vt:variant>
      <vt:variant>
        <vt:i4>521</vt:i4>
      </vt:variant>
      <vt:variant>
        <vt:i4>0</vt:i4>
      </vt:variant>
      <vt:variant>
        <vt:i4>5</vt:i4>
      </vt:variant>
      <vt:variant>
        <vt:lpwstr/>
      </vt:variant>
      <vt:variant>
        <vt:lpwstr>_Toc216088362</vt:lpwstr>
      </vt:variant>
      <vt:variant>
        <vt:i4>1572927</vt:i4>
      </vt:variant>
      <vt:variant>
        <vt:i4>515</vt:i4>
      </vt:variant>
      <vt:variant>
        <vt:i4>0</vt:i4>
      </vt:variant>
      <vt:variant>
        <vt:i4>5</vt:i4>
      </vt:variant>
      <vt:variant>
        <vt:lpwstr/>
      </vt:variant>
      <vt:variant>
        <vt:lpwstr>_Toc216088361</vt:lpwstr>
      </vt:variant>
      <vt:variant>
        <vt:i4>1572927</vt:i4>
      </vt:variant>
      <vt:variant>
        <vt:i4>506</vt:i4>
      </vt:variant>
      <vt:variant>
        <vt:i4>0</vt:i4>
      </vt:variant>
      <vt:variant>
        <vt:i4>5</vt:i4>
      </vt:variant>
      <vt:variant>
        <vt:lpwstr/>
      </vt:variant>
      <vt:variant>
        <vt:lpwstr>_Toc216088360</vt:lpwstr>
      </vt:variant>
      <vt:variant>
        <vt:i4>1769535</vt:i4>
      </vt:variant>
      <vt:variant>
        <vt:i4>500</vt:i4>
      </vt:variant>
      <vt:variant>
        <vt:i4>0</vt:i4>
      </vt:variant>
      <vt:variant>
        <vt:i4>5</vt:i4>
      </vt:variant>
      <vt:variant>
        <vt:lpwstr/>
      </vt:variant>
      <vt:variant>
        <vt:lpwstr>_Toc216088359</vt:lpwstr>
      </vt:variant>
      <vt:variant>
        <vt:i4>1769535</vt:i4>
      </vt:variant>
      <vt:variant>
        <vt:i4>494</vt:i4>
      </vt:variant>
      <vt:variant>
        <vt:i4>0</vt:i4>
      </vt:variant>
      <vt:variant>
        <vt:i4>5</vt:i4>
      </vt:variant>
      <vt:variant>
        <vt:lpwstr/>
      </vt:variant>
      <vt:variant>
        <vt:lpwstr>_Toc216088358</vt:lpwstr>
      </vt:variant>
      <vt:variant>
        <vt:i4>1769535</vt:i4>
      </vt:variant>
      <vt:variant>
        <vt:i4>488</vt:i4>
      </vt:variant>
      <vt:variant>
        <vt:i4>0</vt:i4>
      </vt:variant>
      <vt:variant>
        <vt:i4>5</vt:i4>
      </vt:variant>
      <vt:variant>
        <vt:lpwstr/>
      </vt:variant>
      <vt:variant>
        <vt:lpwstr>_Toc216088357</vt:lpwstr>
      </vt:variant>
      <vt:variant>
        <vt:i4>1769535</vt:i4>
      </vt:variant>
      <vt:variant>
        <vt:i4>482</vt:i4>
      </vt:variant>
      <vt:variant>
        <vt:i4>0</vt:i4>
      </vt:variant>
      <vt:variant>
        <vt:i4>5</vt:i4>
      </vt:variant>
      <vt:variant>
        <vt:lpwstr/>
      </vt:variant>
      <vt:variant>
        <vt:lpwstr>_Toc216088356</vt:lpwstr>
      </vt:variant>
      <vt:variant>
        <vt:i4>1769535</vt:i4>
      </vt:variant>
      <vt:variant>
        <vt:i4>476</vt:i4>
      </vt:variant>
      <vt:variant>
        <vt:i4>0</vt:i4>
      </vt:variant>
      <vt:variant>
        <vt:i4>5</vt:i4>
      </vt:variant>
      <vt:variant>
        <vt:lpwstr/>
      </vt:variant>
      <vt:variant>
        <vt:lpwstr>_Toc216088355</vt:lpwstr>
      </vt:variant>
      <vt:variant>
        <vt:i4>1769535</vt:i4>
      </vt:variant>
      <vt:variant>
        <vt:i4>470</vt:i4>
      </vt:variant>
      <vt:variant>
        <vt:i4>0</vt:i4>
      </vt:variant>
      <vt:variant>
        <vt:i4>5</vt:i4>
      </vt:variant>
      <vt:variant>
        <vt:lpwstr/>
      </vt:variant>
      <vt:variant>
        <vt:lpwstr>_Toc216088354</vt:lpwstr>
      </vt:variant>
      <vt:variant>
        <vt:i4>1769535</vt:i4>
      </vt:variant>
      <vt:variant>
        <vt:i4>464</vt:i4>
      </vt:variant>
      <vt:variant>
        <vt:i4>0</vt:i4>
      </vt:variant>
      <vt:variant>
        <vt:i4>5</vt:i4>
      </vt:variant>
      <vt:variant>
        <vt:lpwstr/>
      </vt:variant>
      <vt:variant>
        <vt:lpwstr>_Toc216088353</vt:lpwstr>
      </vt:variant>
      <vt:variant>
        <vt:i4>1769535</vt:i4>
      </vt:variant>
      <vt:variant>
        <vt:i4>458</vt:i4>
      </vt:variant>
      <vt:variant>
        <vt:i4>0</vt:i4>
      </vt:variant>
      <vt:variant>
        <vt:i4>5</vt:i4>
      </vt:variant>
      <vt:variant>
        <vt:lpwstr/>
      </vt:variant>
      <vt:variant>
        <vt:lpwstr>_Toc216088352</vt:lpwstr>
      </vt:variant>
      <vt:variant>
        <vt:i4>1769535</vt:i4>
      </vt:variant>
      <vt:variant>
        <vt:i4>452</vt:i4>
      </vt:variant>
      <vt:variant>
        <vt:i4>0</vt:i4>
      </vt:variant>
      <vt:variant>
        <vt:i4>5</vt:i4>
      </vt:variant>
      <vt:variant>
        <vt:lpwstr/>
      </vt:variant>
      <vt:variant>
        <vt:lpwstr>_Toc216088351</vt:lpwstr>
      </vt:variant>
      <vt:variant>
        <vt:i4>1769535</vt:i4>
      </vt:variant>
      <vt:variant>
        <vt:i4>446</vt:i4>
      </vt:variant>
      <vt:variant>
        <vt:i4>0</vt:i4>
      </vt:variant>
      <vt:variant>
        <vt:i4>5</vt:i4>
      </vt:variant>
      <vt:variant>
        <vt:lpwstr/>
      </vt:variant>
      <vt:variant>
        <vt:lpwstr>_Toc216088350</vt:lpwstr>
      </vt:variant>
      <vt:variant>
        <vt:i4>1703999</vt:i4>
      </vt:variant>
      <vt:variant>
        <vt:i4>440</vt:i4>
      </vt:variant>
      <vt:variant>
        <vt:i4>0</vt:i4>
      </vt:variant>
      <vt:variant>
        <vt:i4>5</vt:i4>
      </vt:variant>
      <vt:variant>
        <vt:lpwstr/>
      </vt:variant>
      <vt:variant>
        <vt:lpwstr>_Toc216088349</vt:lpwstr>
      </vt:variant>
      <vt:variant>
        <vt:i4>1703999</vt:i4>
      </vt:variant>
      <vt:variant>
        <vt:i4>434</vt:i4>
      </vt:variant>
      <vt:variant>
        <vt:i4>0</vt:i4>
      </vt:variant>
      <vt:variant>
        <vt:i4>5</vt:i4>
      </vt:variant>
      <vt:variant>
        <vt:lpwstr/>
      </vt:variant>
      <vt:variant>
        <vt:lpwstr>_Toc216088348</vt:lpwstr>
      </vt:variant>
      <vt:variant>
        <vt:i4>1703999</vt:i4>
      </vt:variant>
      <vt:variant>
        <vt:i4>428</vt:i4>
      </vt:variant>
      <vt:variant>
        <vt:i4>0</vt:i4>
      </vt:variant>
      <vt:variant>
        <vt:i4>5</vt:i4>
      </vt:variant>
      <vt:variant>
        <vt:lpwstr/>
      </vt:variant>
      <vt:variant>
        <vt:lpwstr>_Toc216088347</vt:lpwstr>
      </vt:variant>
      <vt:variant>
        <vt:i4>1703999</vt:i4>
      </vt:variant>
      <vt:variant>
        <vt:i4>422</vt:i4>
      </vt:variant>
      <vt:variant>
        <vt:i4>0</vt:i4>
      </vt:variant>
      <vt:variant>
        <vt:i4>5</vt:i4>
      </vt:variant>
      <vt:variant>
        <vt:lpwstr/>
      </vt:variant>
      <vt:variant>
        <vt:lpwstr>_Toc216088346</vt:lpwstr>
      </vt:variant>
      <vt:variant>
        <vt:i4>1703999</vt:i4>
      </vt:variant>
      <vt:variant>
        <vt:i4>416</vt:i4>
      </vt:variant>
      <vt:variant>
        <vt:i4>0</vt:i4>
      </vt:variant>
      <vt:variant>
        <vt:i4>5</vt:i4>
      </vt:variant>
      <vt:variant>
        <vt:lpwstr/>
      </vt:variant>
      <vt:variant>
        <vt:lpwstr>_Toc216088345</vt:lpwstr>
      </vt:variant>
      <vt:variant>
        <vt:i4>1703999</vt:i4>
      </vt:variant>
      <vt:variant>
        <vt:i4>410</vt:i4>
      </vt:variant>
      <vt:variant>
        <vt:i4>0</vt:i4>
      </vt:variant>
      <vt:variant>
        <vt:i4>5</vt:i4>
      </vt:variant>
      <vt:variant>
        <vt:lpwstr/>
      </vt:variant>
      <vt:variant>
        <vt:lpwstr>_Toc216088344</vt:lpwstr>
      </vt:variant>
      <vt:variant>
        <vt:i4>1703999</vt:i4>
      </vt:variant>
      <vt:variant>
        <vt:i4>404</vt:i4>
      </vt:variant>
      <vt:variant>
        <vt:i4>0</vt:i4>
      </vt:variant>
      <vt:variant>
        <vt:i4>5</vt:i4>
      </vt:variant>
      <vt:variant>
        <vt:lpwstr/>
      </vt:variant>
      <vt:variant>
        <vt:lpwstr>_Toc216088343</vt:lpwstr>
      </vt:variant>
      <vt:variant>
        <vt:i4>1703999</vt:i4>
      </vt:variant>
      <vt:variant>
        <vt:i4>398</vt:i4>
      </vt:variant>
      <vt:variant>
        <vt:i4>0</vt:i4>
      </vt:variant>
      <vt:variant>
        <vt:i4>5</vt:i4>
      </vt:variant>
      <vt:variant>
        <vt:lpwstr/>
      </vt:variant>
      <vt:variant>
        <vt:lpwstr>_Toc216088342</vt:lpwstr>
      </vt:variant>
      <vt:variant>
        <vt:i4>1703999</vt:i4>
      </vt:variant>
      <vt:variant>
        <vt:i4>392</vt:i4>
      </vt:variant>
      <vt:variant>
        <vt:i4>0</vt:i4>
      </vt:variant>
      <vt:variant>
        <vt:i4>5</vt:i4>
      </vt:variant>
      <vt:variant>
        <vt:lpwstr/>
      </vt:variant>
      <vt:variant>
        <vt:lpwstr>_Toc216088341</vt:lpwstr>
      </vt:variant>
      <vt:variant>
        <vt:i4>1703999</vt:i4>
      </vt:variant>
      <vt:variant>
        <vt:i4>386</vt:i4>
      </vt:variant>
      <vt:variant>
        <vt:i4>0</vt:i4>
      </vt:variant>
      <vt:variant>
        <vt:i4>5</vt:i4>
      </vt:variant>
      <vt:variant>
        <vt:lpwstr/>
      </vt:variant>
      <vt:variant>
        <vt:lpwstr>_Toc216088340</vt:lpwstr>
      </vt:variant>
      <vt:variant>
        <vt:i4>1900607</vt:i4>
      </vt:variant>
      <vt:variant>
        <vt:i4>380</vt:i4>
      </vt:variant>
      <vt:variant>
        <vt:i4>0</vt:i4>
      </vt:variant>
      <vt:variant>
        <vt:i4>5</vt:i4>
      </vt:variant>
      <vt:variant>
        <vt:lpwstr/>
      </vt:variant>
      <vt:variant>
        <vt:lpwstr>_Toc216088339</vt:lpwstr>
      </vt:variant>
      <vt:variant>
        <vt:i4>1900607</vt:i4>
      </vt:variant>
      <vt:variant>
        <vt:i4>374</vt:i4>
      </vt:variant>
      <vt:variant>
        <vt:i4>0</vt:i4>
      </vt:variant>
      <vt:variant>
        <vt:i4>5</vt:i4>
      </vt:variant>
      <vt:variant>
        <vt:lpwstr/>
      </vt:variant>
      <vt:variant>
        <vt:lpwstr>_Toc216088338</vt:lpwstr>
      </vt:variant>
      <vt:variant>
        <vt:i4>1900607</vt:i4>
      </vt:variant>
      <vt:variant>
        <vt:i4>368</vt:i4>
      </vt:variant>
      <vt:variant>
        <vt:i4>0</vt:i4>
      </vt:variant>
      <vt:variant>
        <vt:i4>5</vt:i4>
      </vt:variant>
      <vt:variant>
        <vt:lpwstr/>
      </vt:variant>
      <vt:variant>
        <vt:lpwstr>_Toc216088337</vt:lpwstr>
      </vt:variant>
      <vt:variant>
        <vt:i4>1900607</vt:i4>
      </vt:variant>
      <vt:variant>
        <vt:i4>362</vt:i4>
      </vt:variant>
      <vt:variant>
        <vt:i4>0</vt:i4>
      </vt:variant>
      <vt:variant>
        <vt:i4>5</vt:i4>
      </vt:variant>
      <vt:variant>
        <vt:lpwstr/>
      </vt:variant>
      <vt:variant>
        <vt:lpwstr>_Toc216088336</vt:lpwstr>
      </vt:variant>
      <vt:variant>
        <vt:i4>1900607</vt:i4>
      </vt:variant>
      <vt:variant>
        <vt:i4>356</vt:i4>
      </vt:variant>
      <vt:variant>
        <vt:i4>0</vt:i4>
      </vt:variant>
      <vt:variant>
        <vt:i4>5</vt:i4>
      </vt:variant>
      <vt:variant>
        <vt:lpwstr/>
      </vt:variant>
      <vt:variant>
        <vt:lpwstr>_Toc216088335</vt:lpwstr>
      </vt:variant>
      <vt:variant>
        <vt:i4>1900607</vt:i4>
      </vt:variant>
      <vt:variant>
        <vt:i4>350</vt:i4>
      </vt:variant>
      <vt:variant>
        <vt:i4>0</vt:i4>
      </vt:variant>
      <vt:variant>
        <vt:i4>5</vt:i4>
      </vt:variant>
      <vt:variant>
        <vt:lpwstr/>
      </vt:variant>
      <vt:variant>
        <vt:lpwstr>_Toc216088334</vt:lpwstr>
      </vt:variant>
      <vt:variant>
        <vt:i4>1900607</vt:i4>
      </vt:variant>
      <vt:variant>
        <vt:i4>344</vt:i4>
      </vt:variant>
      <vt:variant>
        <vt:i4>0</vt:i4>
      </vt:variant>
      <vt:variant>
        <vt:i4>5</vt:i4>
      </vt:variant>
      <vt:variant>
        <vt:lpwstr/>
      </vt:variant>
      <vt:variant>
        <vt:lpwstr>_Toc216088333</vt:lpwstr>
      </vt:variant>
      <vt:variant>
        <vt:i4>1900607</vt:i4>
      </vt:variant>
      <vt:variant>
        <vt:i4>338</vt:i4>
      </vt:variant>
      <vt:variant>
        <vt:i4>0</vt:i4>
      </vt:variant>
      <vt:variant>
        <vt:i4>5</vt:i4>
      </vt:variant>
      <vt:variant>
        <vt:lpwstr/>
      </vt:variant>
      <vt:variant>
        <vt:lpwstr>_Toc216088332</vt:lpwstr>
      </vt:variant>
      <vt:variant>
        <vt:i4>1900607</vt:i4>
      </vt:variant>
      <vt:variant>
        <vt:i4>332</vt:i4>
      </vt:variant>
      <vt:variant>
        <vt:i4>0</vt:i4>
      </vt:variant>
      <vt:variant>
        <vt:i4>5</vt:i4>
      </vt:variant>
      <vt:variant>
        <vt:lpwstr/>
      </vt:variant>
      <vt:variant>
        <vt:lpwstr>_Toc216088331</vt:lpwstr>
      </vt:variant>
      <vt:variant>
        <vt:i4>1900607</vt:i4>
      </vt:variant>
      <vt:variant>
        <vt:i4>326</vt:i4>
      </vt:variant>
      <vt:variant>
        <vt:i4>0</vt:i4>
      </vt:variant>
      <vt:variant>
        <vt:i4>5</vt:i4>
      </vt:variant>
      <vt:variant>
        <vt:lpwstr/>
      </vt:variant>
      <vt:variant>
        <vt:lpwstr>_Toc216088330</vt:lpwstr>
      </vt:variant>
      <vt:variant>
        <vt:i4>1835071</vt:i4>
      </vt:variant>
      <vt:variant>
        <vt:i4>320</vt:i4>
      </vt:variant>
      <vt:variant>
        <vt:i4>0</vt:i4>
      </vt:variant>
      <vt:variant>
        <vt:i4>5</vt:i4>
      </vt:variant>
      <vt:variant>
        <vt:lpwstr/>
      </vt:variant>
      <vt:variant>
        <vt:lpwstr>_Toc216088329</vt:lpwstr>
      </vt:variant>
      <vt:variant>
        <vt:i4>1835071</vt:i4>
      </vt:variant>
      <vt:variant>
        <vt:i4>314</vt:i4>
      </vt:variant>
      <vt:variant>
        <vt:i4>0</vt:i4>
      </vt:variant>
      <vt:variant>
        <vt:i4>5</vt:i4>
      </vt:variant>
      <vt:variant>
        <vt:lpwstr/>
      </vt:variant>
      <vt:variant>
        <vt:lpwstr>_Toc216088328</vt:lpwstr>
      </vt:variant>
      <vt:variant>
        <vt:i4>1835071</vt:i4>
      </vt:variant>
      <vt:variant>
        <vt:i4>308</vt:i4>
      </vt:variant>
      <vt:variant>
        <vt:i4>0</vt:i4>
      </vt:variant>
      <vt:variant>
        <vt:i4>5</vt:i4>
      </vt:variant>
      <vt:variant>
        <vt:lpwstr/>
      </vt:variant>
      <vt:variant>
        <vt:lpwstr>_Toc216088327</vt:lpwstr>
      </vt:variant>
      <vt:variant>
        <vt:i4>1835071</vt:i4>
      </vt:variant>
      <vt:variant>
        <vt:i4>302</vt:i4>
      </vt:variant>
      <vt:variant>
        <vt:i4>0</vt:i4>
      </vt:variant>
      <vt:variant>
        <vt:i4>5</vt:i4>
      </vt:variant>
      <vt:variant>
        <vt:lpwstr/>
      </vt:variant>
      <vt:variant>
        <vt:lpwstr>_Toc216088326</vt:lpwstr>
      </vt:variant>
      <vt:variant>
        <vt:i4>1835071</vt:i4>
      </vt:variant>
      <vt:variant>
        <vt:i4>296</vt:i4>
      </vt:variant>
      <vt:variant>
        <vt:i4>0</vt:i4>
      </vt:variant>
      <vt:variant>
        <vt:i4>5</vt:i4>
      </vt:variant>
      <vt:variant>
        <vt:lpwstr/>
      </vt:variant>
      <vt:variant>
        <vt:lpwstr>_Toc216088325</vt:lpwstr>
      </vt:variant>
      <vt:variant>
        <vt:i4>1835071</vt:i4>
      </vt:variant>
      <vt:variant>
        <vt:i4>290</vt:i4>
      </vt:variant>
      <vt:variant>
        <vt:i4>0</vt:i4>
      </vt:variant>
      <vt:variant>
        <vt:i4>5</vt:i4>
      </vt:variant>
      <vt:variant>
        <vt:lpwstr/>
      </vt:variant>
      <vt:variant>
        <vt:lpwstr>_Toc216088324</vt:lpwstr>
      </vt:variant>
      <vt:variant>
        <vt:i4>1835071</vt:i4>
      </vt:variant>
      <vt:variant>
        <vt:i4>284</vt:i4>
      </vt:variant>
      <vt:variant>
        <vt:i4>0</vt:i4>
      </vt:variant>
      <vt:variant>
        <vt:i4>5</vt:i4>
      </vt:variant>
      <vt:variant>
        <vt:lpwstr/>
      </vt:variant>
      <vt:variant>
        <vt:lpwstr>_Toc216088323</vt:lpwstr>
      </vt:variant>
      <vt:variant>
        <vt:i4>1835071</vt:i4>
      </vt:variant>
      <vt:variant>
        <vt:i4>278</vt:i4>
      </vt:variant>
      <vt:variant>
        <vt:i4>0</vt:i4>
      </vt:variant>
      <vt:variant>
        <vt:i4>5</vt:i4>
      </vt:variant>
      <vt:variant>
        <vt:lpwstr/>
      </vt:variant>
      <vt:variant>
        <vt:lpwstr>_Toc216088322</vt:lpwstr>
      </vt:variant>
      <vt:variant>
        <vt:i4>1835071</vt:i4>
      </vt:variant>
      <vt:variant>
        <vt:i4>272</vt:i4>
      </vt:variant>
      <vt:variant>
        <vt:i4>0</vt:i4>
      </vt:variant>
      <vt:variant>
        <vt:i4>5</vt:i4>
      </vt:variant>
      <vt:variant>
        <vt:lpwstr/>
      </vt:variant>
      <vt:variant>
        <vt:lpwstr>_Toc216088321</vt:lpwstr>
      </vt:variant>
      <vt:variant>
        <vt:i4>1835071</vt:i4>
      </vt:variant>
      <vt:variant>
        <vt:i4>266</vt:i4>
      </vt:variant>
      <vt:variant>
        <vt:i4>0</vt:i4>
      </vt:variant>
      <vt:variant>
        <vt:i4>5</vt:i4>
      </vt:variant>
      <vt:variant>
        <vt:lpwstr/>
      </vt:variant>
      <vt:variant>
        <vt:lpwstr>_Toc216088320</vt:lpwstr>
      </vt:variant>
      <vt:variant>
        <vt:i4>2031679</vt:i4>
      </vt:variant>
      <vt:variant>
        <vt:i4>260</vt:i4>
      </vt:variant>
      <vt:variant>
        <vt:i4>0</vt:i4>
      </vt:variant>
      <vt:variant>
        <vt:i4>5</vt:i4>
      </vt:variant>
      <vt:variant>
        <vt:lpwstr/>
      </vt:variant>
      <vt:variant>
        <vt:lpwstr>_Toc216088319</vt:lpwstr>
      </vt:variant>
      <vt:variant>
        <vt:i4>2031679</vt:i4>
      </vt:variant>
      <vt:variant>
        <vt:i4>254</vt:i4>
      </vt:variant>
      <vt:variant>
        <vt:i4>0</vt:i4>
      </vt:variant>
      <vt:variant>
        <vt:i4>5</vt:i4>
      </vt:variant>
      <vt:variant>
        <vt:lpwstr/>
      </vt:variant>
      <vt:variant>
        <vt:lpwstr>_Toc216088318</vt:lpwstr>
      </vt:variant>
      <vt:variant>
        <vt:i4>2031679</vt:i4>
      </vt:variant>
      <vt:variant>
        <vt:i4>248</vt:i4>
      </vt:variant>
      <vt:variant>
        <vt:i4>0</vt:i4>
      </vt:variant>
      <vt:variant>
        <vt:i4>5</vt:i4>
      </vt:variant>
      <vt:variant>
        <vt:lpwstr/>
      </vt:variant>
      <vt:variant>
        <vt:lpwstr>_Toc216088317</vt:lpwstr>
      </vt:variant>
      <vt:variant>
        <vt:i4>2031679</vt:i4>
      </vt:variant>
      <vt:variant>
        <vt:i4>242</vt:i4>
      </vt:variant>
      <vt:variant>
        <vt:i4>0</vt:i4>
      </vt:variant>
      <vt:variant>
        <vt:i4>5</vt:i4>
      </vt:variant>
      <vt:variant>
        <vt:lpwstr/>
      </vt:variant>
      <vt:variant>
        <vt:lpwstr>_Toc216088316</vt:lpwstr>
      </vt:variant>
      <vt:variant>
        <vt:i4>2031679</vt:i4>
      </vt:variant>
      <vt:variant>
        <vt:i4>236</vt:i4>
      </vt:variant>
      <vt:variant>
        <vt:i4>0</vt:i4>
      </vt:variant>
      <vt:variant>
        <vt:i4>5</vt:i4>
      </vt:variant>
      <vt:variant>
        <vt:lpwstr/>
      </vt:variant>
      <vt:variant>
        <vt:lpwstr>_Toc216088315</vt:lpwstr>
      </vt:variant>
      <vt:variant>
        <vt:i4>2031679</vt:i4>
      </vt:variant>
      <vt:variant>
        <vt:i4>230</vt:i4>
      </vt:variant>
      <vt:variant>
        <vt:i4>0</vt:i4>
      </vt:variant>
      <vt:variant>
        <vt:i4>5</vt:i4>
      </vt:variant>
      <vt:variant>
        <vt:lpwstr/>
      </vt:variant>
      <vt:variant>
        <vt:lpwstr>_Toc216088314</vt:lpwstr>
      </vt:variant>
      <vt:variant>
        <vt:i4>2031679</vt:i4>
      </vt:variant>
      <vt:variant>
        <vt:i4>224</vt:i4>
      </vt:variant>
      <vt:variant>
        <vt:i4>0</vt:i4>
      </vt:variant>
      <vt:variant>
        <vt:i4>5</vt:i4>
      </vt:variant>
      <vt:variant>
        <vt:lpwstr/>
      </vt:variant>
      <vt:variant>
        <vt:lpwstr>_Toc216088313</vt:lpwstr>
      </vt:variant>
      <vt:variant>
        <vt:i4>2031679</vt:i4>
      </vt:variant>
      <vt:variant>
        <vt:i4>218</vt:i4>
      </vt:variant>
      <vt:variant>
        <vt:i4>0</vt:i4>
      </vt:variant>
      <vt:variant>
        <vt:i4>5</vt:i4>
      </vt:variant>
      <vt:variant>
        <vt:lpwstr/>
      </vt:variant>
      <vt:variant>
        <vt:lpwstr>_Toc216088312</vt:lpwstr>
      </vt:variant>
      <vt:variant>
        <vt:i4>2031679</vt:i4>
      </vt:variant>
      <vt:variant>
        <vt:i4>212</vt:i4>
      </vt:variant>
      <vt:variant>
        <vt:i4>0</vt:i4>
      </vt:variant>
      <vt:variant>
        <vt:i4>5</vt:i4>
      </vt:variant>
      <vt:variant>
        <vt:lpwstr/>
      </vt:variant>
      <vt:variant>
        <vt:lpwstr>_Toc216088311</vt:lpwstr>
      </vt:variant>
      <vt:variant>
        <vt:i4>2031679</vt:i4>
      </vt:variant>
      <vt:variant>
        <vt:i4>206</vt:i4>
      </vt:variant>
      <vt:variant>
        <vt:i4>0</vt:i4>
      </vt:variant>
      <vt:variant>
        <vt:i4>5</vt:i4>
      </vt:variant>
      <vt:variant>
        <vt:lpwstr/>
      </vt:variant>
      <vt:variant>
        <vt:lpwstr>_Toc216088310</vt:lpwstr>
      </vt:variant>
      <vt:variant>
        <vt:i4>1966143</vt:i4>
      </vt:variant>
      <vt:variant>
        <vt:i4>200</vt:i4>
      </vt:variant>
      <vt:variant>
        <vt:i4>0</vt:i4>
      </vt:variant>
      <vt:variant>
        <vt:i4>5</vt:i4>
      </vt:variant>
      <vt:variant>
        <vt:lpwstr/>
      </vt:variant>
      <vt:variant>
        <vt:lpwstr>_Toc216088309</vt:lpwstr>
      </vt:variant>
      <vt:variant>
        <vt:i4>1966143</vt:i4>
      </vt:variant>
      <vt:variant>
        <vt:i4>194</vt:i4>
      </vt:variant>
      <vt:variant>
        <vt:i4>0</vt:i4>
      </vt:variant>
      <vt:variant>
        <vt:i4>5</vt:i4>
      </vt:variant>
      <vt:variant>
        <vt:lpwstr/>
      </vt:variant>
      <vt:variant>
        <vt:lpwstr>_Toc216088308</vt:lpwstr>
      </vt:variant>
      <vt:variant>
        <vt:i4>1966143</vt:i4>
      </vt:variant>
      <vt:variant>
        <vt:i4>188</vt:i4>
      </vt:variant>
      <vt:variant>
        <vt:i4>0</vt:i4>
      </vt:variant>
      <vt:variant>
        <vt:i4>5</vt:i4>
      </vt:variant>
      <vt:variant>
        <vt:lpwstr/>
      </vt:variant>
      <vt:variant>
        <vt:lpwstr>_Toc216088307</vt:lpwstr>
      </vt:variant>
      <vt:variant>
        <vt:i4>1966143</vt:i4>
      </vt:variant>
      <vt:variant>
        <vt:i4>182</vt:i4>
      </vt:variant>
      <vt:variant>
        <vt:i4>0</vt:i4>
      </vt:variant>
      <vt:variant>
        <vt:i4>5</vt:i4>
      </vt:variant>
      <vt:variant>
        <vt:lpwstr/>
      </vt:variant>
      <vt:variant>
        <vt:lpwstr>_Toc216088306</vt:lpwstr>
      </vt:variant>
      <vt:variant>
        <vt:i4>1966143</vt:i4>
      </vt:variant>
      <vt:variant>
        <vt:i4>176</vt:i4>
      </vt:variant>
      <vt:variant>
        <vt:i4>0</vt:i4>
      </vt:variant>
      <vt:variant>
        <vt:i4>5</vt:i4>
      </vt:variant>
      <vt:variant>
        <vt:lpwstr/>
      </vt:variant>
      <vt:variant>
        <vt:lpwstr>_Toc216088305</vt:lpwstr>
      </vt:variant>
      <vt:variant>
        <vt:i4>1966143</vt:i4>
      </vt:variant>
      <vt:variant>
        <vt:i4>170</vt:i4>
      </vt:variant>
      <vt:variant>
        <vt:i4>0</vt:i4>
      </vt:variant>
      <vt:variant>
        <vt:i4>5</vt:i4>
      </vt:variant>
      <vt:variant>
        <vt:lpwstr/>
      </vt:variant>
      <vt:variant>
        <vt:lpwstr>_Toc216088304</vt:lpwstr>
      </vt:variant>
      <vt:variant>
        <vt:i4>1966143</vt:i4>
      </vt:variant>
      <vt:variant>
        <vt:i4>164</vt:i4>
      </vt:variant>
      <vt:variant>
        <vt:i4>0</vt:i4>
      </vt:variant>
      <vt:variant>
        <vt:i4>5</vt:i4>
      </vt:variant>
      <vt:variant>
        <vt:lpwstr/>
      </vt:variant>
      <vt:variant>
        <vt:lpwstr>_Toc216088303</vt:lpwstr>
      </vt:variant>
      <vt:variant>
        <vt:i4>1966143</vt:i4>
      </vt:variant>
      <vt:variant>
        <vt:i4>158</vt:i4>
      </vt:variant>
      <vt:variant>
        <vt:i4>0</vt:i4>
      </vt:variant>
      <vt:variant>
        <vt:i4>5</vt:i4>
      </vt:variant>
      <vt:variant>
        <vt:lpwstr/>
      </vt:variant>
      <vt:variant>
        <vt:lpwstr>_Toc216088302</vt:lpwstr>
      </vt:variant>
      <vt:variant>
        <vt:i4>1966143</vt:i4>
      </vt:variant>
      <vt:variant>
        <vt:i4>152</vt:i4>
      </vt:variant>
      <vt:variant>
        <vt:i4>0</vt:i4>
      </vt:variant>
      <vt:variant>
        <vt:i4>5</vt:i4>
      </vt:variant>
      <vt:variant>
        <vt:lpwstr/>
      </vt:variant>
      <vt:variant>
        <vt:lpwstr>_Toc216088301</vt:lpwstr>
      </vt:variant>
      <vt:variant>
        <vt:i4>1966143</vt:i4>
      </vt:variant>
      <vt:variant>
        <vt:i4>146</vt:i4>
      </vt:variant>
      <vt:variant>
        <vt:i4>0</vt:i4>
      </vt:variant>
      <vt:variant>
        <vt:i4>5</vt:i4>
      </vt:variant>
      <vt:variant>
        <vt:lpwstr/>
      </vt:variant>
      <vt:variant>
        <vt:lpwstr>_Toc216088300</vt:lpwstr>
      </vt:variant>
      <vt:variant>
        <vt:i4>1507390</vt:i4>
      </vt:variant>
      <vt:variant>
        <vt:i4>140</vt:i4>
      </vt:variant>
      <vt:variant>
        <vt:i4>0</vt:i4>
      </vt:variant>
      <vt:variant>
        <vt:i4>5</vt:i4>
      </vt:variant>
      <vt:variant>
        <vt:lpwstr/>
      </vt:variant>
      <vt:variant>
        <vt:lpwstr>_Toc216088299</vt:lpwstr>
      </vt:variant>
      <vt:variant>
        <vt:i4>1507390</vt:i4>
      </vt:variant>
      <vt:variant>
        <vt:i4>134</vt:i4>
      </vt:variant>
      <vt:variant>
        <vt:i4>0</vt:i4>
      </vt:variant>
      <vt:variant>
        <vt:i4>5</vt:i4>
      </vt:variant>
      <vt:variant>
        <vt:lpwstr/>
      </vt:variant>
      <vt:variant>
        <vt:lpwstr>_Toc216088298</vt:lpwstr>
      </vt:variant>
      <vt:variant>
        <vt:i4>1507390</vt:i4>
      </vt:variant>
      <vt:variant>
        <vt:i4>128</vt:i4>
      </vt:variant>
      <vt:variant>
        <vt:i4>0</vt:i4>
      </vt:variant>
      <vt:variant>
        <vt:i4>5</vt:i4>
      </vt:variant>
      <vt:variant>
        <vt:lpwstr/>
      </vt:variant>
      <vt:variant>
        <vt:lpwstr>_Toc216088297</vt:lpwstr>
      </vt:variant>
      <vt:variant>
        <vt:i4>1507390</vt:i4>
      </vt:variant>
      <vt:variant>
        <vt:i4>122</vt:i4>
      </vt:variant>
      <vt:variant>
        <vt:i4>0</vt:i4>
      </vt:variant>
      <vt:variant>
        <vt:i4>5</vt:i4>
      </vt:variant>
      <vt:variant>
        <vt:lpwstr/>
      </vt:variant>
      <vt:variant>
        <vt:lpwstr>_Toc216088296</vt:lpwstr>
      </vt:variant>
      <vt:variant>
        <vt:i4>1507390</vt:i4>
      </vt:variant>
      <vt:variant>
        <vt:i4>116</vt:i4>
      </vt:variant>
      <vt:variant>
        <vt:i4>0</vt:i4>
      </vt:variant>
      <vt:variant>
        <vt:i4>5</vt:i4>
      </vt:variant>
      <vt:variant>
        <vt:lpwstr/>
      </vt:variant>
      <vt:variant>
        <vt:lpwstr>_Toc216088295</vt:lpwstr>
      </vt:variant>
      <vt:variant>
        <vt:i4>1507390</vt:i4>
      </vt:variant>
      <vt:variant>
        <vt:i4>110</vt:i4>
      </vt:variant>
      <vt:variant>
        <vt:i4>0</vt:i4>
      </vt:variant>
      <vt:variant>
        <vt:i4>5</vt:i4>
      </vt:variant>
      <vt:variant>
        <vt:lpwstr/>
      </vt:variant>
      <vt:variant>
        <vt:lpwstr>_Toc216088294</vt:lpwstr>
      </vt:variant>
      <vt:variant>
        <vt:i4>1507390</vt:i4>
      </vt:variant>
      <vt:variant>
        <vt:i4>104</vt:i4>
      </vt:variant>
      <vt:variant>
        <vt:i4>0</vt:i4>
      </vt:variant>
      <vt:variant>
        <vt:i4>5</vt:i4>
      </vt:variant>
      <vt:variant>
        <vt:lpwstr/>
      </vt:variant>
      <vt:variant>
        <vt:lpwstr>_Toc216088293</vt:lpwstr>
      </vt:variant>
      <vt:variant>
        <vt:i4>1507390</vt:i4>
      </vt:variant>
      <vt:variant>
        <vt:i4>98</vt:i4>
      </vt:variant>
      <vt:variant>
        <vt:i4>0</vt:i4>
      </vt:variant>
      <vt:variant>
        <vt:i4>5</vt:i4>
      </vt:variant>
      <vt:variant>
        <vt:lpwstr/>
      </vt:variant>
      <vt:variant>
        <vt:lpwstr>_Toc216088292</vt:lpwstr>
      </vt:variant>
      <vt:variant>
        <vt:i4>1507390</vt:i4>
      </vt:variant>
      <vt:variant>
        <vt:i4>92</vt:i4>
      </vt:variant>
      <vt:variant>
        <vt:i4>0</vt:i4>
      </vt:variant>
      <vt:variant>
        <vt:i4>5</vt:i4>
      </vt:variant>
      <vt:variant>
        <vt:lpwstr/>
      </vt:variant>
      <vt:variant>
        <vt:lpwstr>_Toc216088291</vt:lpwstr>
      </vt:variant>
      <vt:variant>
        <vt:i4>1507390</vt:i4>
      </vt:variant>
      <vt:variant>
        <vt:i4>86</vt:i4>
      </vt:variant>
      <vt:variant>
        <vt:i4>0</vt:i4>
      </vt:variant>
      <vt:variant>
        <vt:i4>5</vt:i4>
      </vt:variant>
      <vt:variant>
        <vt:lpwstr/>
      </vt:variant>
      <vt:variant>
        <vt:lpwstr>_Toc216088290</vt:lpwstr>
      </vt:variant>
      <vt:variant>
        <vt:i4>1441854</vt:i4>
      </vt:variant>
      <vt:variant>
        <vt:i4>80</vt:i4>
      </vt:variant>
      <vt:variant>
        <vt:i4>0</vt:i4>
      </vt:variant>
      <vt:variant>
        <vt:i4>5</vt:i4>
      </vt:variant>
      <vt:variant>
        <vt:lpwstr/>
      </vt:variant>
      <vt:variant>
        <vt:lpwstr>_Toc216088289</vt:lpwstr>
      </vt:variant>
      <vt:variant>
        <vt:i4>1441854</vt:i4>
      </vt:variant>
      <vt:variant>
        <vt:i4>74</vt:i4>
      </vt:variant>
      <vt:variant>
        <vt:i4>0</vt:i4>
      </vt:variant>
      <vt:variant>
        <vt:i4>5</vt:i4>
      </vt:variant>
      <vt:variant>
        <vt:lpwstr/>
      </vt:variant>
      <vt:variant>
        <vt:lpwstr>_Toc216088288</vt:lpwstr>
      </vt:variant>
      <vt:variant>
        <vt:i4>1441854</vt:i4>
      </vt:variant>
      <vt:variant>
        <vt:i4>68</vt:i4>
      </vt:variant>
      <vt:variant>
        <vt:i4>0</vt:i4>
      </vt:variant>
      <vt:variant>
        <vt:i4>5</vt:i4>
      </vt:variant>
      <vt:variant>
        <vt:lpwstr/>
      </vt:variant>
      <vt:variant>
        <vt:lpwstr>_Toc216088287</vt:lpwstr>
      </vt:variant>
      <vt:variant>
        <vt:i4>1441854</vt:i4>
      </vt:variant>
      <vt:variant>
        <vt:i4>62</vt:i4>
      </vt:variant>
      <vt:variant>
        <vt:i4>0</vt:i4>
      </vt:variant>
      <vt:variant>
        <vt:i4>5</vt:i4>
      </vt:variant>
      <vt:variant>
        <vt:lpwstr/>
      </vt:variant>
      <vt:variant>
        <vt:lpwstr>_Toc216088286</vt:lpwstr>
      </vt:variant>
      <vt:variant>
        <vt:i4>1441854</vt:i4>
      </vt:variant>
      <vt:variant>
        <vt:i4>56</vt:i4>
      </vt:variant>
      <vt:variant>
        <vt:i4>0</vt:i4>
      </vt:variant>
      <vt:variant>
        <vt:i4>5</vt:i4>
      </vt:variant>
      <vt:variant>
        <vt:lpwstr/>
      </vt:variant>
      <vt:variant>
        <vt:lpwstr>_Toc216088285</vt:lpwstr>
      </vt:variant>
      <vt:variant>
        <vt:i4>1441854</vt:i4>
      </vt:variant>
      <vt:variant>
        <vt:i4>50</vt:i4>
      </vt:variant>
      <vt:variant>
        <vt:i4>0</vt:i4>
      </vt:variant>
      <vt:variant>
        <vt:i4>5</vt:i4>
      </vt:variant>
      <vt:variant>
        <vt:lpwstr/>
      </vt:variant>
      <vt:variant>
        <vt:lpwstr>_Toc216088284</vt:lpwstr>
      </vt:variant>
      <vt:variant>
        <vt:i4>1441854</vt:i4>
      </vt:variant>
      <vt:variant>
        <vt:i4>44</vt:i4>
      </vt:variant>
      <vt:variant>
        <vt:i4>0</vt:i4>
      </vt:variant>
      <vt:variant>
        <vt:i4>5</vt:i4>
      </vt:variant>
      <vt:variant>
        <vt:lpwstr/>
      </vt:variant>
      <vt:variant>
        <vt:lpwstr>_Toc216088283</vt:lpwstr>
      </vt:variant>
      <vt:variant>
        <vt:i4>1441854</vt:i4>
      </vt:variant>
      <vt:variant>
        <vt:i4>38</vt:i4>
      </vt:variant>
      <vt:variant>
        <vt:i4>0</vt:i4>
      </vt:variant>
      <vt:variant>
        <vt:i4>5</vt:i4>
      </vt:variant>
      <vt:variant>
        <vt:lpwstr/>
      </vt:variant>
      <vt:variant>
        <vt:lpwstr>_Toc216088282</vt:lpwstr>
      </vt:variant>
      <vt:variant>
        <vt:i4>1441854</vt:i4>
      </vt:variant>
      <vt:variant>
        <vt:i4>32</vt:i4>
      </vt:variant>
      <vt:variant>
        <vt:i4>0</vt:i4>
      </vt:variant>
      <vt:variant>
        <vt:i4>5</vt:i4>
      </vt:variant>
      <vt:variant>
        <vt:lpwstr/>
      </vt:variant>
      <vt:variant>
        <vt:lpwstr>_Toc216088281</vt:lpwstr>
      </vt:variant>
      <vt:variant>
        <vt:i4>1441854</vt:i4>
      </vt:variant>
      <vt:variant>
        <vt:i4>26</vt:i4>
      </vt:variant>
      <vt:variant>
        <vt:i4>0</vt:i4>
      </vt:variant>
      <vt:variant>
        <vt:i4>5</vt:i4>
      </vt:variant>
      <vt:variant>
        <vt:lpwstr/>
      </vt:variant>
      <vt:variant>
        <vt:lpwstr>_Toc216088280</vt:lpwstr>
      </vt:variant>
      <vt:variant>
        <vt:i4>1638462</vt:i4>
      </vt:variant>
      <vt:variant>
        <vt:i4>20</vt:i4>
      </vt:variant>
      <vt:variant>
        <vt:i4>0</vt:i4>
      </vt:variant>
      <vt:variant>
        <vt:i4>5</vt:i4>
      </vt:variant>
      <vt:variant>
        <vt:lpwstr/>
      </vt:variant>
      <vt:variant>
        <vt:lpwstr>_Toc216088279</vt:lpwstr>
      </vt:variant>
      <vt:variant>
        <vt:i4>1638462</vt:i4>
      </vt:variant>
      <vt:variant>
        <vt:i4>14</vt:i4>
      </vt:variant>
      <vt:variant>
        <vt:i4>0</vt:i4>
      </vt:variant>
      <vt:variant>
        <vt:i4>5</vt:i4>
      </vt:variant>
      <vt:variant>
        <vt:lpwstr/>
      </vt:variant>
      <vt:variant>
        <vt:lpwstr>_Toc216088278</vt:lpwstr>
      </vt:variant>
      <vt:variant>
        <vt:i4>1638462</vt:i4>
      </vt:variant>
      <vt:variant>
        <vt:i4>8</vt:i4>
      </vt:variant>
      <vt:variant>
        <vt:i4>0</vt:i4>
      </vt:variant>
      <vt:variant>
        <vt:i4>5</vt:i4>
      </vt:variant>
      <vt:variant>
        <vt:lpwstr/>
      </vt:variant>
      <vt:variant>
        <vt:lpwstr>_Toc216088277</vt:lpwstr>
      </vt:variant>
      <vt:variant>
        <vt:i4>1638462</vt:i4>
      </vt:variant>
      <vt:variant>
        <vt:i4>2</vt:i4>
      </vt:variant>
      <vt:variant>
        <vt:i4>0</vt:i4>
      </vt:variant>
      <vt:variant>
        <vt:i4>5</vt:i4>
      </vt:variant>
      <vt:variant>
        <vt:lpwstr/>
      </vt:variant>
      <vt:variant>
        <vt:lpwstr>_Toc216088276</vt:lpwstr>
      </vt:variant>
      <vt:variant>
        <vt:i4>7995495</vt:i4>
      </vt:variant>
      <vt:variant>
        <vt:i4>27</vt:i4>
      </vt:variant>
      <vt:variant>
        <vt:i4>0</vt:i4>
      </vt:variant>
      <vt:variant>
        <vt:i4>5</vt:i4>
      </vt:variant>
      <vt:variant>
        <vt:lpwstr>https://www.land.vic.gov.au/valuations/resources-and-reports/property-sales-statistics</vt:lpwstr>
      </vt:variant>
      <vt:variant>
        <vt:lpwstr/>
      </vt:variant>
      <vt:variant>
        <vt:i4>5177357</vt:i4>
      </vt:variant>
      <vt:variant>
        <vt:i4>24</vt:i4>
      </vt:variant>
      <vt:variant>
        <vt:i4>0</vt:i4>
      </vt:variant>
      <vt:variant>
        <vt:i4>5</vt:i4>
      </vt:variant>
      <vt:variant>
        <vt:lpwstr>https://www.vic.gov.au/victorian-guide-regulation</vt:lpwstr>
      </vt:variant>
      <vt:variant>
        <vt:lpwstr/>
      </vt:variant>
      <vt:variant>
        <vt:i4>8323089</vt:i4>
      </vt:variant>
      <vt:variant>
        <vt:i4>21</vt:i4>
      </vt:variant>
      <vt:variant>
        <vt:i4>0</vt:i4>
      </vt:variant>
      <vt:variant>
        <vt:i4>5</vt:i4>
      </vt:variant>
      <vt:variant>
        <vt:lpwstr>https://www.bitre.gov.au/publications/2015/is_074</vt:lpwstr>
      </vt:variant>
      <vt:variant>
        <vt:lpwstr/>
      </vt:variant>
      <vt:variant>
        <vt:i4>6553703</vt:i4>
      </vt:variant>
      <vt:variant>
        <vt:i4>18</vt:i4>
      </vt:variant>
      <vt:variant>
        <vt:i4>0</vt:i4>
      </vt:variant>
      <vt:variant>
        <vt:i4>5</vt:i4>
      </vt:variant>
      <vt:variant>
        <vt:lpwstr>https://www.bitre.gov.au/publications/2022/social-cost-road-crashes</vt:lpwstr>
      </vt:variant>
      <vt:variant>
        <vt:lpwstr/>
      </vt:variant>
      <vt:variant>
        <vt:i4>8323089</vt:i4>
      </vt:variant>
      <vt:variant>
        <vt:i4>15</vt:i4>
      </vt:variant>
      <vt:variant>
        <vt:i4>0</vt:i4>
      </vt:variant>
      <vt:variant>
        <vt:i4>5</vt:i4>
      </vt:variant>
      <vt:variant>
        <vt:lpwstr>https://www.bitre.gov.au/publications/2015/is_074</vt:lpwstr>
      </vt:variant>
      <vt:variant>
        <vt:lpwstr/>
      </vt:variant>
      <vt:variant>
        <vt:i4>2818161</vt:i4>
      </vt:variant>
      <vt:variant>
        <vt:i4>12</vt:i4>
      </vt:variant>
      <vt:variant>
        <vt:i4>0</vt:i4>
      </vt:variant>
      <vt:variant>
        <vt:i4>5</vt:i4>
      </vt:variant>
      <vt:variant>
        <vt:lpwstr>https://www.monash.edu/muarc/research/mental-health,-impairment-and-injury/enhanced-crash-investigation-study/ecis-reports</vt:lpwstr>
      </vt:variant>
      <vt:variant>
        <vt:lpwstr/>
      </vt:variant>
      <vt:variant>
        <vt:i4>6291576</vt:i4>
      </vt:variant>
      <vt:variant>
        <vt:i4>9</vt:i4>
      </vt:variant>
      <vt:variant>
        <vt:i4>0</vt:i4>
      </vt:variant>
      <vt:variant>
        <vt:i4>5</vt:i4>
      </vt:variant>
      <vt:variant>
        <vt:lpwstr>https://www.vic.gov.au/codes-practice-under-road-management-act</vt:lpwstr>
      </vt:variant>
      <vt:variant>
        <vt:lpwstr/>
      </vt:variant>
      <vt:variant>
        <vt:i4>983133</vt:i4>
      </vt:variant>
      <vt:variant>
        <vt:i4>6</vt:i4>
      </vt:variant>
      <vt:variant>
        <vt:i4>0</vt:i4>
      </vt:variant>
      <vt:variant>
        <vt:i4>5</vt:i4>
      </vt:variant>
      <vt:variant>
        <vt:lpwstr>https://www.vic.gov.au/register-public-roads</vt:lpwstr>
      </vt:variant>
      <vt:variant>
        <vt:lpwstr/>
      </vt:variant>
      <vt:variant>
        <vt:i4>3670075</vt:i4>
      </vt:variant>
      <vt:variant>
        <vt:i4>3</vt:i4>
      </vt:variant>
      <vt:variant>
        <vt:i4>0</vt:i4>
      </vt:variant>
      <vt:variant>
        <vt:i4>5</vt:i4>
      </vt:variant>
      <vt:variant>
        <vt:lpwstr>https://www.vic.gov.au/freight-victoria</vt:lpwstr>
      </vt:variant>
      <vt:variant>
        <vt:lpwstr/>
      </vt:variant>
      <vt:variant>
        <vt:i4>2228276</vt:i4>
      </vt:variant>
      <vt:variant>
        <vt:i4>0</vt:i4>
      </vt:variant>
      <vt:variant>
        <vt:i4>0</vt:i4>
      </vt:variant>
      <vt:variant>
        <vt:i4>5</vt:i4>
      </vt:variant>
      <vt:variant>
        <vt:lpwstr>https://transport.vic.gov.au/road-and-active-transport/business/road-and-traffic-management/road-types-and-responsible-authorities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2026-04-06T23:58:00Z</dcterms:created>
  <dcterms:modified xsi:type="dcterms:W3CDTF">2026-04-06T23:58:00Z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Gallery3">
    <vt:bool>true</vt:bool>
  </property>
  <property fmtid="{D5CDD505-2E9C-101B-9397-08002B2CF9AE}" pid="3" name="ClassificationContentMarkingFooterText">
    <vt:lpwstr>OFFICIAL</vt:lpwstr>
  </property>
  <property fmtid="{D5CDD505-2E9C-101B-9397-08002B2CF9AE}" pid="4" name="MSIP_Label_7158ebbd-6c5e-441f-bfc9-4eb8c11e3978_Name">
    <vt:lpwstr>7158ebbd-6c5e-441f-bfc9-4eb8c11e3978</vt:lpwstr>
  </property>
  <property fmtid="{D5CDD505-2E9C-101B-9397-08002B2CF9AE}" pid="5" name="Order">
    <vt:r8>9340100</vt:r8>
  </property>
  <property fmtid="{D5CDD505-2E9C-101B-9397-08002B2CF9AE}" pid="6" name="LinkHeadersFooters">
    <vt:bool>true</vt:bool>
  </property>
  <property fmtid="{D5CDD505-2E9C-101B-9397-08002B2CF9AE}" pid="7" name="MediaServiceImageTags">
    <vt:lpwstr/>
  </property>
  <property fmtid="{D5CDD505-2E9C-101B-9397-08002B2CF9AE}" pid="8" name="ShowGlobal">
    <vt:bool>true</vt:bool>
  </property>
  <property fmtid="{D5CDD505-2E9C-101B-9397-08002B2CF9AE}" pid="9" name="ContentTypeId">
    <vt:lpwstr>0x01010072AF1AD5AF15524C920CB3BE3D72725D</vt:lpwstr>
  </property>
  <property fmtid="{D5CDD505-2E9C-101B-9397-08002B2CF9AE}" pid="10" name="MSIP_Label_7158ebbd-6c5e-441f-bfc9-4eb8c11e3978_Method">
    <vt:lpwstr>Privileged</vt:lpwstr>
  </property>
  <property fmtid="{D5CDD505-2E9C-101B-9397-08002B2CF9AE}" pid="11" name="MSIP_Label_7158ebbd-6c5e-441f-bfc9-4eb8c11e3978_SiteId">
    <vt:lpwstr>722ea0be-3e1c-4b11-ad6f-9401d6856e24</vt:lpwstr>
  </property>
  <property fmtid="{D5CDD505-2E9C-101B-9397-08002B2CF9AE}" pid="12" name="CustomGallery4">
    <vt:bool>false</vt:bool>
  </property>
  <property fmtid="{D5CDD505-2E9C-101B-9397-08002B2CF9AE}" pid="13" name="MSIP_Label_7158ebbd-6c5e-441f-bfc9-4eb8c11e3978_Tag">
    <vt:lpwstr>10, 0, 1, 1</vt:lpwstr>
  </property>
  <property fmtid="{D5CDD505-2E9C-101B-9397-08002B2CF9AE}" pid="14" name="ComplianceAssetId">
    <vt:lpwstr/>
  </property>
  <property fmtid="{D5CDD505-2E9C-101B-9397-08002B2CF9AE}" pid="15" name="TemplateType">
    <vt:lpwstr>Report</vt:lpwstr>
  </property>
  <property fmtid="{D5CDD505-2E9C-101B-9397-08002B2CF9AE}" pid="16" name="CustomGallery5">
    <vt:bool>false</vt:bool>
  </property>
  <property fmtid="{D5CDD505-2E9C-101B-9397-08002B2CF9AE}" pid="17" name="_ExtendedDescription">
    <vt:lpwstr/>
  </property>
  <property fmtid="{D5CDD505-2E9C-101B-9397-08002B2CF9AE}" pid="18" name="BaseMaster">
    <vt:lpwstr>v4.4</vt:lpwstr>
  </property>
  <property fmtid="{D5CDD505-2E9C-101B-9397-08002B2CF9AE}" pid="19" name="MSIP_Label_7158ebbd-6c5e-441f-bfc9-4eb8c11e3978_ActionId">
    <vt:lpwstr>a811586b-b5e9-4aed-ab99-050a976a762a</vt:lpwstr>
  </property>
  <property fmtid="{D5CDD505-2E9C-101B-9397-08002B2CF9AE}" pid="20" name="TemplateVersion">
    <vt:lpwstr>[add version #]</vt:lpwstr>
  </property>
  <property fmtid="{D5CDD505-2E9C-101B-9397-08002B2CF9AE}" pid="21" name="MSIP_Label_7158ebbd-6c5e-441f-bfc9-4eb8c11e3978_Enabled">
    <vt:lpwstr>true</vt:lpwstr>
  </property>
  <property fmtid="{D5CDD505-2E9C-101B-9397-08002B2CF9AE}" pid="22" name="KeepMarginsTheSame">
    <vt:bool>true</vt:bool>
  </property>
  <property fmtid="{D5CDD505-2E9C-101B-9397-08002B2CF9AE}" pid="23" name="ClassificationContentMarkingFooterShapeIds">
    <vt:lpwstr>148fbdb1,5a7b00f8,29d32dcb</vt:lpwstr>
  </property>
  <property fmtid="{D5CDD505-2E9C-101B-9397-08002B2CF9AE}" pid="24" name="AutomationVersion">
    <vt:lpwstr>v#</vt:lpwstr>
  </property>
  <property fmtid="{D5CDD505-2E9C-101B-9397-08002B2CF9AE}" pid="25" name="CustomGallery1">
    <vt:bool>true</vt:bool>
  </property>
  <property fmtid="{D5CDD505-2E9C-101B-9397-08002B2CF9AE}" pid="26" name="ClassificationContentMarkingFooterFontProps">
    <vt:lpwstr>#000000,11,Calibri</vt:lpwstr>
  </property>
  <property fmtid="{D5CDD505-2E9C-101B-9397-08002B2CF9AE}" pid="27" name="RestartNumberingAtSection2">
    <vt:bool>false</vt:bool>
  </property>
  <property fmtid="{D5CDD505-2E9C-101B-9397-08002B2CF9AE}" pid="28" name="CorrelatingCommon">
    <vt:lpwstr>6.49</vt:lpwstr>
  </property>
  <property fmtid="{D5CDD505-2E9C-101B-9397-08002B2CF9AE}" pid="29" name="MSIP_Label_7158ebbd-6c5e-441f-bfc9-4eb8c11e3978_SetDate">
    <vt:lpwstr>2025-10-20T23:37:24Z</vt:lpwstr>
  </property>
  <property fmtid="{D5CDD505-2E9C-101B-9397-08002B2CF9AE}" pid="30" name="CustomGallery2">
    <vt:bool>true</vt:bool>
  </property>
  <property fmtid="{D5CDD505-2E9C-101B-9397-08002B2CF9AE}" pid="31" name="MSIP_Label_7158ebbd-6c5e-441f-bfc9-4eb8c11e3978_ContentBits">
    <vt:lpwstr>2</vt:lpwstr>
  </property>
  <property fmtid="{D5CDD505-2E9C-101B-9397-08002B2CF9AE}" pid="32" name="RestartNumberingAtSection3">
    <vt:bool>false</vt:bool>
  </property>
  <property fmtid="{D5CDD505-2E9C-101B-9397-08002B2CF9AE}" pid="33" name="TriggerFlowInfo">
    <vt:lpwstr/>
  </property>
</Properties>
</file>