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8ED9" w14:textId="77777777" w:rsidR="00EA4205" w:rsidRPr="006C37BB" w:rsidRDefault="00CA74B9" w:rsidP="00EA4205">
      <w:pPr>
        <w:pStyle w:val="Heading1"/>
        <w:framePr w:wrap="around"/>
        <w:rPr>
          <w:rFonts w:ascii="Microsoft JhengHei" w:eastAsia="Microsoft JhengHei" w:hAnsi="Microsoft JhengHei"/>
          <w:bCs w:val="0"/>
          <w:sz w:val="24"/>
        </w:rPr>
      </w:pPr>
      <w:bookmarkStart w:id="0" w:name="_Toc106305998"/>
      <w:r w:rsidRPr="006C37BB">
        <w:rPr>
          <w:rFonts w:ascii="Microsoft JhengHei" w:eastAsia="Microsoft JhengHei" w:hAnsi="Microsoft JhengHei"/>
          <w:lang w:val="zh-Hant"/>
        </w:rPr>
        <w:t>燃料安全</w:t>
      </w:r>
    </w:p>
    <w:p w14:paraId="35FCEBAE" w14:textId="77777777" w:rsidR="00254F12" w:rsidRPr="006C37BB" w:rsidRDefault="00CA74B9" w:rsidP="00EA4205">
      <w:pPr>
        <w:pStyle w:val="Subtitle"/>
        <w:framePr w:wrap="around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汽油、柴油及其他燃料的安全使用須知。</w:t>
      </w:r>
      <w:r w:rsidRPr="006C37BB">
        <w:rPr>
          <w:rFonts w:ascii="Microsoft JhengHei" w:eastAsia="Microsoft JhengHei" w:hAnsi="Microsoft JhengHei"/>
          <w:noProof/>
        </w:rPr>
        <w:drawing>
          <wp:inline distT="0" distB="0" distL="0" distR="0" wp14:anchorId="58CBE0B6" wp14:editId="20789E87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4BAD" w14:textId="77777777" w:rsidR="008C06B8" w:rsidRPr="006C37BB" w:rsidRDefault="00CA74B9" w:rsidP="00FE7FB1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1" layoutInCell="1" allowOverlap="1" wp14:anchorId="4E6676E9" wp14:editId="4BECA8A1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3600" behindDoc="0" locked="1" layoutInCell="1" allowOverlap="1" wp14:anchorId="510DF61D" wp14:editId="52DC9C00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6C37BB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B62F8A5" wp14:editId="1EE9D6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55BF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2576" behindDoc="0" locked="1" layoutInCell="1" allowOverlap="1" wp14:anchorId="0BCAE035" wp14:editId="406A8E29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6672" behindDoc="0" locked="1" layoutInCell="1" allowOverlap="1" wp14:anchorId="2DC9932A" wp14:editId="052A3CC9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4624" behindDoc="0" locked="1" layoutInCell="1" allowOverlap="1" wp14:anchorId="387FAD14" wp14:editId="0C7F27E5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5648" behindDoc="0" locked="1" layoutInCell="1" allowOverlap="1" wp14:anchorId="7A138DB2" wp14:editId="5B2FD2C2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1552" behindDoc="0" locked="1" layoutInCell="1" allowOverlap="1" wp14:anchorId="54B5484C" wp14:editId="12BA3490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 w:rsidRPr="006C37BB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77696" behindDoc="1" locked="1" layoutInCell="1" allowOverlap="1" wp14:anchorId="1EA8453C" wp14:editId="3874C3D9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6C37BB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8A2662" wp14:editId="38EF738A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C385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C37BB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5304B39" wp14:editId="38C2BE99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5621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C37BB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216B4D9" wp14:editId="5C24A453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F6BD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C37BB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4C0E68A" wp14:editId="7758DC33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0E9D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C37BB">
        <w:rPr>
          <w:rFonts w:ascii="Microsoft JhengHei" w:eastAsia="Microsoft JhengHei" w:hAnsi="Microsoft JhengHei"/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270486D7" wp14:editId="73B5B8C0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4B1FBF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5" w:history="1">
                                <w:r w:rsidRPr="00484CC4">
                                  <w:rPr>
                                    <w:lang w:val="zh-Hant"/>
                                  </w:rPr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486D7" id="Cover_Website" o:spid="_x0000_s1026" editas="canvas" alt="&quot;&quot;" style="position:absolute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144B1FBF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6" w:history="1">
                          <w:r w:rsidRPr="00484CC4">
                            <w:rPr>
                              <w:lang w:val="zh-Hant"/>
                            </w:rPr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166010B" w14:textId="77777777" w:rsidR="00665916" w:rsidRPr="006C37BB" w:rsidRDefault="00665916" w:rsidP="004C1F02">
      <w:pPr>
        <w:rPr>
          <w:rFonts w:ascii="Microsoft JhengHei" w:eastAsia="Microsoft JhengHei" w:hAnsi="Microsoft JhengHei"/>
        </w:rPr>
        <w:sectPr w:rsidR="00665916" w:rsidRPr="006C37BB" w:rsidSect="008C06B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3142CAA1" w14:textId="77777777" w:rsidR="00EA4205" w:rsidRPr="006C37BB" w:rsidRDefault="00CA74B9" w:rsidP="00EA4205">
      <w:pPr>
        <w:pStyle w:val="Heading2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燃料安全須知</w:t>
      </w:r>
    </w:p>
    <w:p w14:paraId="6A644ED7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汽油、柴油及其他燃料均屬高度易燃物質，若處理不當，可能對人員、財產及環境構成嚴重風險。</w:t>
      </w:r>
    </w:p>
    <w:p w14:paraId="25316B78" w14:textId="77777777" w:rsidR="00EA4205" w:rsidRPr="006C37BB" w:rsidRDefault="00CA74B9" w:rsidP="00EA4205">
      <w:pPr>
        <w:pStyle w:val="Heading3"/>
        <w:rPr>
          <w:rFonts w:ascii="Microsoft JhengHei" w:eastAsia="Microsoft JhengHei" w:hAnsi="Microsoft JhengHei"/>
          <w:b/>
          <w:spacing w:val="-2"/>
          <w:sz w:val="32"/>
        </w:rPr>
      </w:pPr>
      <w:r w:rsidRPr="006C37BB">
        <w:rPr>
          <w:rFonts w:ascii="Microsoft JhengHei" w:eastAsia="Microsoft JhengHei" w:hAnsi="Microsoft JhengHei"/>
          <w:b/>
          <w:spacing w:val="-2"/>
          <w:sz w:val="32"/>
          <w:lang w:val="zh-Hant"/>
        </w:rPr>
        <w:t>安全存放燃料</w:t>
      </w:r>
    </w:p>
    <w:p w14:paraId="73F49A81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請只將燃料存放在帶有聯合國（UN）認證標誌的合格汽油或柴油容器中。WorkSafe 建議在加油站加注的便攜式容器容量不應超過 25 公升。</w:t>
      </w:r>
    </w:p>
    <w:p w14:paraId="09D844BF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請將燃料存放在陰涼且通風</w:t>
      </w:r>
      <w:r w:rsidRPr="006C37BB">
        <w:rPr>
          <w:rFonts w:ascii="Microsoft JhengHei" w:eastAsia="Microsoft JhengHei" w:hAnsi="Microsoft JhengHei"/>
          <w:lang w:val="zh-Hant"/>
        </w:rPr>
        <w:noBreakHyphen/>
        <w:t>良好的地方，最好是獨立的小屋或車庫，切勿存放在屋內。</w:t>
      </w:r>
    </w:p>
    <w:p w14:paraId="48D20CDB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 xml:space="preserve">如需更多關於安全存放燃料的資訊，請瀏覽 </w:t>
      </w:r>
      <w:hyperlink r:id="rId33" w:history="1">
        <w:r w:rsidR="00EA4205" w:rsidRPr="006C37BB">
          <w:rPr>
            <w:rStyle w:val="Hyperlink"/>
            <w:rFonts w:ascii="Microsoft JhengHei" w:eastAsia="Microsoft JhengHei" w:hAnsi="Microsoft JhengHei"/>
            <w:lang w:val="zh-Hant"/>
          </w:rPr>
          <w:t>WorkSafe 網站</w:t>
        </w:r>
      </w:hyperlink>
      <w:r w:rsidRPr="006C37BB">
        <w:rPr>
          <w:rFonts w:ascii="Microsoft JhengHei" w:eastAsia="Microsoft JhengHei" w:hAnsi="Microsoft JhengHei"/>
          <w:lang w:val="zh-Hant"/>
        </w:rPr>
        <w:t>。</w:t>
      </w:r>
    </w:p>
    <w:p w14:paraId="3D44139D" w14:textId="77777777" w:rsidR="00EA4205" w:rsidRPr="006C37BB" w:rsidRDefault="00CA74B9" w:rsidP="00EA4205">
      <w:pPr>
        <w:pStyle w:val="Heading3"/>
        <w:rPr>
          <w:rFonts w:ascii="Microsoft JhengHei" w:eastAsia="Microsoft JhengHei" w:hAnsi="Microsoft JhengHei"/>
          <w:b/>
          <w:spacing w:val="-2"/>
          <w:sz w:val="32"/>
        </w:rPr>
      </w:pPr>
      <w:r w:rsidRPr="006C37BB">
        <w:rPr>
          <w:rFonts w:ascii="Microsoft JhengHei" w:eastAsia="Microsoft JhengHei" w:hAnsi="Microsoft JhengHei"/>
          <w:b/>
          <w:spacing w:val="-2"/>
          <w:sz w:val="32"/>
          <w:lang w:val="zh-Hant"/>
        </w:rPr>
        <w:t>安全運送燃料</w:t>
      </w:r>
    </w:p>
    <w:p w14:paraId="77B130A5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若你需要運送燃料供家中使用（例如用於割草機或發電機），必須使用合規的容器，並確保容器密封、直立且固定妥當，以防傾倒或移動。</w:t>
      </w:r>
    </w:p>
    <w:p w14:paraId="63A41623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請勿將燃料存放在車輛的乘客區域內，並避免將容器長時間放置在炎熱或封閉的空間中。</w:t>
      </w:r>
    </w:p>
    <w:p w14:paraId="28F221A5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 xml:space="preserve">如需更多關於安全運送燃料的資訊，請瀏覽 </w:t>
      </w:r>
      <w:hyperlink r:id="rId34" w:history="1">
        <w:r w:rsidR="00EA4205" w:rsidRPr="006C37BB">
          <w:rPr>
            <w:rStyle w:val="Hyperlink"/>
            <w:rFonts w:ascii="Microsoft JhengHei" w:eastAsia="Microsoft JhengHei" w:hAnsi="Microsoft JhengHei"/>
            <w:lang w:val="zh-Hant"/>
          </w:rPr>
          <w:t>WorkSafe 網站</w:t>
        </w:r>
      </w:hyperlink>
      <w:r w:rsidRPr="006C37BB">
        <w:rPr>
          <w:rFonts w:ascii="Microsoft JhengHei" w:eastAsia="Microsoft JhengHei" w:hAnsi="Microsoft JhengHei"/>
          <w:lang w:val="zh-Hant"/>
        </w:rPr>
        <w:t>。</w:t>
      </w:r>
    </w:p>
    <w:p w14:paraId="6C01841D" w14:textId="77777777" w:rsidR="00EA4205" w:rsidRPr="006C37BB" w:rsidRDefault="00CA74B9" w:rsidP="00EA4205">
      <w:pPr>
        <w:pStyle w:val="Heading3"/>
        <w:rPr>
          <w:rFonts w:ascii="Microsoft JhengHei" w:eastAsia="Microsoft JhengHei" w:hAnsi="Microsoft JhengHei"/>
          <w:b/>
          <w:spacing w:val="-2"/>
          <w:sz w:val="32"/>
        </w:rPr>
      </w:pPr>
      <w:r w:rsidRPr="006C37BB">
        <w:rPr>
          <w:rFonts w:ascii="Microsoft JhengHei" w:eastAsia="Microsoft JhengHei" w:hAnsi="Microsoft JhengHei"/>
          <w:b/>
          <w:spacing w:val="-2"/>
          <w:sz w:val="32"/>
          <w:lang w:val="zh-Hant"/>
        </w:rPr>
        <w:t>安全處置燃料</w:t>
      </w:r>
    </w:p>
    <w:p w14:paraId="11365030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燃料不宜長期存放。隨著時間推移，燃料會變質，可能變得不安全或不適合使用。</w:t>
      </w:r>
    </w:p>
    <w:p w14:paraId="6BAEFA75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切勿將燃料倒入排水溝、地面或家庭垃圾桶中。陳舊或變質的燃料應透過合資格的廢棄物處理服務（例如「</w:t>
      </w:r>
      <w:hyperlink r:id="rId35" w:history="1">
        <w:r w:rsidR="00EA4205" w:rsidRPr="006C37BB">
          <w:rPr>
            <w:rStyle w:val="Hyperlink"/>
            <w:rFonts w:ascii="Microsoft JhengHei" w:eastAsia="Microsoft JhengHei" w:hAnsi="Microsoft JhengHei"/>
            <w:lang w:val="zh-Hant"/>
          </w:rPr>
          <w:t>Detox Your Home</w:t>
        </w:r>
      </w:hyperlink>
      <w:r w:rsidRPr="006C37BB">
        <w:rPr>
          <w:rFonts w:ascii="Microsoft JhengHei" w:eastAsia="Microsoft JhengHei" w:hAnsi="Microsoft JhengHei"/>
          <w:lang w:val="zh-Hant"/>
        </w:rPr>
        <w:t>」）安全地處置。</w:t>
      </w:r>
    </w:p>
    <w:p w14:paraId="32CB3D1C" w14:textId="77777777" w:rsidR="00EA4205" w:rsidRPr="006C37BB" w:rsidRDefault="00CA74B9" w:rsidP="00EA4205">
      <w:pPr>
        <w:pStyle w:val="Heading3"/>
        <w:rPr>
          <w:rFonts w:ascii="Microsoft JhengHei" w:eastAsia="Microsoft JhengHei" w:hAnsi="Microsoft JhengHei"/>
          <w:b/>
          <w:spacing w:val="-2"/>
          <w:sz w:val="32"/>
        </w:rPr>
      </w:pPr>
      <w:r w:rsidRPr="006C37BB">
        <w:rPr>
          <w:rFonts w:ascii="Microsoft JhengHei" w:eastAsia="Microsoft JhengHei" w:hAnsi="Microsoft JhengHei"/>
          <w:b/>
          <w:spacing w:val="-2"/>
          <w:sz w:val="32"/>
          <w:lang w:val="zh-Hant"/>
        </w:rPr>
        <w:t>處理燃料時的人身安全</w:t>
      </w:r>
    </w:p>
    <w:p w14:paraId="39F43683" w14:textId="77777777" w:rsidR="00EA4205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>請在通風良好的</w:t>
      </w:r>
      <w:r w:rsidRPr="006C37BB">
        <w:rPr>
          <w:rFonts w:ascii="Microsoft JhengHei" w:eastAsia="Microsoft JhengHei" w:hAnsi="Microsoft JhengHei"/>
          <w:lang w:val="zh-Hant"/>
        </w:rPr>
        <w:noBreakHyphen/>
        <w:t>地方處理燃料，並避免吸入煙霧。</w:t>
      </w:r>
    </w:p>
    <w:p w14:paraId="68DC032C" w14:textId="77777777" w:rsidR="00EA4205" w:rsidRPr="00925DAF" w:rsidRDefault="00CA74B9" w:rsidP="00EA4205">
      <w:pPr>
        <w:pStyle w:val="BodyText"/>
        <w:rPr>
          <w:rFonts w:ascii="Microsoft JhengHei" w:eastAsia="Microsoft JhengHei" w:hAnsi="Microsoft JhengHei"/>
          <w:spacing w:val="-8"/>
        </w:rPr>
      </w:pPr>
      <w:r w:rsidRPr="00925DAF">
        <w:rPr>
          <w:rFonts w:ascii="Microsoft JhengHei" w:eastAsia="Microsoft JhengHei" w:hAnsi="Microsoft JhengHei"/>
          <w:spacing w:val="-8"/>
          <w:lang w:val="zh-Hant"/>
        </w:rPr>
        <w:t>WorkSafe 建議在加油或轉移燃料時，應視需要採取適當的防護措施（如佩戴手套或護目鏡），並在事後徹底清潔雙手。</w:t>
      </w:r>
    </w:p>
    <w:p w14:paraId="5B72A90B" w14:textId="77777777" w:rsidR="007425C9" w:rsidRPr="006C37BB" w:rsidRDefault="00CA74B9" w:rsidP="00EA4205">
      <w:pPr>
        <w:pStyle w:val="BodyText"/>
        <w:rPr>
          <w:rFonts w:ascii="Microsoft JhengHei" w:eastAsia="Microsoft JhengHei" w:hAnsi="Microsoft JhengHei"/>
        </w:rPr>
      </w:pPr>
      <w:r w:rsidRPr="006C37BB">
        <w:rPr>
          <w:rFonts w:ascii="Microsoft JhengHei" w:eastAsia="Microsoft JhengHei" w:hAnsi="Microsoft JhengHei"/>
          <w:lang w:val="zh-Hant"/>
        </w:rPr>
        <w:t xml:space="preserve">如需更多關於安全處理燃料的資訊，請瀏覽 </w:t>
      </w:r>
      <w:hyperlink r:id="rId36" w:history="1">
        <w:r w:rsidR="007425C9" w:rsidRPr="006C37BB">
          <w:rPr>
            <w:rStyle w:val="Hyperlink"/>
            <w:rFonts w:ascii="Microsoft JhengHei" w:eastAsia="Microsoft JhengHei" w:hAnsi="Microsoft JhengHei"/>
            <w:lang w:val="zh-Hant"/>
          </w:rPr>
          <w:t>WorkSafe 網站</w:t>
        </w:r>
      </w:hyperlink>
      <w:r w:rsidRPr="006C37BB">
        <w:rPr>
          <w:rFonts w:ascii="Microsoft JhengHei" w:eastAsia="Microsoft JhengHei" w:hAnsi="Microsoft JhengHei"/>
          <w:lang w:val="zh-Hant"/>
        </w:rPr>
        <w:t>。</w:t>
      </w:r>
    </w:p>
    <w:sectPr w:rsidR="007425C9" w:rsidRPr="006C37BB" w:rsidSect="007425C9">
      <w:headerReference w:type="default" r:id="rId37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E59D" w14:textId="77777777" w:rsidR="003355B1" w:rsidRDefault="003355B1" w:rsidP="00CD157B">
      <w:pPr>
        <w:pStyle w:val="NoSpacing"/>
      </w:pPr>
    </w:p>
    <w:p w14:paraId="55308356" w14:textId="77777777" w:rsidR="003355B1" w:rsidRDefault="003355B1"/>
  </w:endnote>
  <w:endnote w:type="continuationSeparator" w:id="0">
    <w:p w14:paraId="396D36F6" w14:textId="77777777" w:rsidR="003355B1" w:rsidRDefault="003355B1" w:rsidP="00CD157B">
      <w:pPr>
        <w:pStyle w:val="NoSpacing"/>
      </w:pPr>
    </w:p>
    <w:p w14:paraId="2DE24DA4" w14:textId="77777777" w:rsidR="003355B1" w:rsidRDefault="003355B1"/>
  </w:endnote>
  <w:endnote w:type="continuationNotice" w:id="1">
    <w:p w14:paraId="0F34CD89" w14:textId="77777777" w:rsidR="003355B1" w:rsidRDefault="003355B1" w:rsidP="00CD157B">
      <w:pPr>
        <w:pStyle w:val="NoSpacing"/>
      </w:pPr>
    </w:p>
    <w:p w14:paraId="77BDA927" w14:textId="77777777" w:rsidR="003355B1" w:rsidRDefault="00335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A77C7C5-8E04-4814-BD11-B352B860943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2" w:subsetted="1" w:fontKey="{A2344CB4-EC42-468C-B698-EE207CA5D097}"/>
    <w:embedBold r:id="rId3" w:subsetted="1" w:fontKey="{7789A03B-295E-4B82-AFCA-1E9074346E1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2617B5DA-ECA6-4EDE-899E-DB54A15EB9E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935C0E" w14:paraId="78E5A7E5" w14:textId="77777777" w:rsidTr="00420785">
      <w:trPr>
        <w:trHeight w:val="397"/>
      </w:trPr>
      <w:tc>
        <w:tcPr>
          <w:tcW w:w="340" w:type="dxa"/>
        </w:tcPr>
        <w:p w14:paraId="14DABE04" w14:textId="77777777" w:rsidR="00A60698" w:rsidRPr="00D55628" w:rsidRDefault="00CA74B9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53526D38" wp14:editId="1C34D22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41" name="MSIPCM92ca436da7c4fd00cf954361" descr="{&quot;HashCode&quot;:-1264680268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9E1F43" w14:textId="77777777" w:rsidR="00364C9A" w:rsidRPr="00364C9A" w:rsidRDefault="00CA74B9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zh-Hant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3526D3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ca436da7c4fd00cf954361" o:spid="_x0000_s1029" type="#_x0000_t202" alt="{&quot;HashCode&quot;:-1264680268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0QCgIAABYEAAAOAAAAZHJzL2Uyb0RvYy54bWysU0tvGjEQvlfqf7B8D7sQIM2KJaKJqCqh&#10;JBKpcjZem13J9ri2YZf++o7NAmnaU5WLPS/P45vPs7tOK7IXzjdgSjoc5JQIw6FqzLakP16WV18o&#10;8YGZiikwoqQH4end/POnWWsLMYIaVCUcwSTGF60taR2CLbLM81po5gdghUGnBKdZQNVts8qxFrNr&#10;lY3yfJq14CrrgAvv0fpwdNJ5yi+l4OFJSi8CUSXF3kI6XTo38czmM1ZsHbN1w/s22H90oVljsOg5&#10;1QMLjOxc81cq3XAHHmQYcNAZSNlwkWbAaYb5u2nWNbMizYLgeHuGyX9cWv64X9tnR0L3FTpcYASk&#10;tb7waIzzdNLpeGOnBP0I4eEMm+gC4Wi8mUzz2/GEEo6+0c11Pkm4ZpfX1vnwTYAmUSipw7UktNh+&#10;5QNWxNBTSCxmYNkolVajDGlLOr3GlH948IUy+PDSa5RCt+n6ATZQHXAuB8eVe8uXDRZfMR+emcMd&#10;4yjI2/CEh1SARaCXKKnB/fqXPcYj9OilpEXOlNT/3DEnKFHfDS7ldjgeR5IlBQX31ro5Wc1O3wPS&#10;cYg/w/IkxtigTqJ0oF+R1otYDV3McKxZ0s1JvA9HBuO34GKxSEFIJ8vCyqwtj6kjWBHSl+6VOdvj&#10;HnBjj3BiFSvewX+M7UE94tcrSL60pP6jRHa/1VPU5TvPfwMAAP//AwBQSwMEFAAGAAgAAAAhAOD5&#10;zOffAAAACwEAAA8AAABkcnMvZG93bnJldi54bWxMj0tPwzAQhO9I/AdrkbhRJzxKG+JUCMQFCVWU&#10;qmcn3jyaeB3Fbpv8ezYnOO7MaHa+dDPaTpxx8I0jBfEiAoFUONNQpWD/83G3AuGDJqM7R6hgQg+b&#10;7Poq1YlxF/rG8y5UgkvIJ1pBHUKfSOmLGq32C9cjsVe6werA51BJM+gLl9tO3kfRUlrdEH+odY9v&#10;NRbt7mQVPG7XeSmPrT1+TZ/T1LTl4T0vlbq9GV9fQAQcw18Y5vk8HTLelLsTGS86BQwSWF3GERPM&#10;fryOnkHks/b0sAKZpfI/Q/YLAAD//wMAUEsBAi0AFAAGAAgAAAAhALaDOJL+AAAA4QEAABMAAAAA&#10;AAAAAAAAAAAAAAAAAFtDb250ZW50X1R5cGVzXS54bWxQSwECLQAUAAYACAAAACEAOP0h/9YAAACU&#10;AQAACwAAAAAAAAAAAAAAAAAvAQAAX3JlbHMvLnJlbHNQSwECLQAUAAYACAAAACEA2RatEAoCAAAW&#10;BAAADgAAAAAAAAAAAAAAAAAuAgAAZHJzL2Uyb0RvYy54bWxQSwECLQAUAAYACAAAACEA4PnM598A&#10;AAALAQAADwAAAAAAAAAAAAAAAABkBAAAZHJzL2Rvd25yZXYueG1sUEsFBgAAAAAEAAQA8wAAAHAF&#10;AAAAAA==&#10;" o:allowincell="f" filled="f" stroked="f" strokeweight=".5pt">
                    <v:textbox inset=",0,,0">
                      <w:txbxContent>
                        <w:p w14:paraId="5C9E1F43" w14:textId="77777777" w:rsidR="00364C9A" w:rsidRPr="00364C9A" w:rsidRDefault="00CA74B9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4</w:t>
          </w:r>
          <w:r w:rsidR="00A60698" w:rsidRPr="00D55628">
            <w:fldChar w:fldCharType="end"/>
          </w:r>
        </w:p>
      </w:tc>
      <w:tc>
        <w:tcPr>
          <w:tcW w:w="9071" w:type="dxa"/>
        </w:tcPr>
        <w:p w14:paraId="26B85015" w14:textId="61543CC7" w:rsidR="00A60698" w:rsidRDefault="005A108F" w:rsidP="00A60698">
          <w:pPr>
            <w:pStyle w:val="FooterEven"/>
          </w:pPr>
          <w:fldSimple w:instr=" DOCPROPERTY  xFooterTitle  \* MERGEFORMAT ">
            <w:r>
              <w:t>Title over two to three lines unless the subtitle is not in use</w:t>
            </w:r>
          </w:fldSimple>
        </w:p>
        <w:p w14:paraId="07E50B0D" w14:textId="300D9091" w:rsidR="00A60698" w:rsidRPr="00810C40" w:rsidRDefault="005A108F" w:rsidP="00A60698">
          <w:pPr>
            <w:pStyle w:val="FooterEven"/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</w:tr>
  </w:tbl>
  <w:p w14:paraId="1D66E28C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935C0E" w14:paraId="56E39FC9" w14:textId="77777777" w:rsidTr="00420785">
      <w:trPr>
        <w:trHeight w:val="397"/>
      </w:trPr>
      <w:tc>
        <w:tcPr>
          <w:tcW w:w="9071" w:type="dxa"/>
        </w:tcPr>
        <w:p w14:paraId="1F7D94E6" w14:textId="43AD4F82" w:rsidR="00A60698" w:rsidRDefault="00CA74B9" w:rsidP="00A60698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316F6069" wp14:editId="18D27D1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35" name="MSIPCM8fa4422aba6f9ff0a9c47f59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528F0" w14:textId="77777777" w:rsidR="00364C9A" w:rsidRPr="00364C9A" w:rsidRDefault="00CA74B9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zh-Hant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6F606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a4422aba6f9ff0a9c47f59" o:spid="_x0000_s1030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PBDgIAAB0EAAAOAAAAZHJzL2Uyb0RvYy54bWysU8tu2zAQvBfoPxC815Id22kEy4GbwEUB&#10;IwngFDnTFGkJILksSVtyv75LWn407anohVrurvYxM5zdd1qRvXC+AVPS4SCnRBgOVWO2Jf3+uvz0&#10;mRIfmKmYAiNKehCe3s8/fpi1thAjqEFVwhEsYnzR2pLWIdgiyzyvhWZ+AFYYDEpwmgW8um1WOdZi&#10;da2yUZ5PsxZcZR1w4T16H49BOk/1pRQ8PEvpRSCqpDhbSKdL5yae2XzGiq1jtm54Pwb7hyk0aww2&#10;PZd6ZIGRnWv+KKUb7sCDDAMOOgMpGy7SDrjNMH+3zbpmVqRdEBxvzzD5/1eWP+3X9sWR0H2BDgmM&#10;gLTWFx6dcZ9OOh2/OCnBOEJ4OMMmukA4Om8n0/xuPKGEY2x0e5NPEq7Z5W/rfPgqQJNolNQhLQkt&#10;tl/5gB0x9ZQSmxlYNkolapQhbUmnN1jytwj+oQz+eJk1WqHbdKSprvbYQHXA9RwcmfeWLxucYcV8&#10;eGEOqcaNUL7hGQ+pAHtBb1FSg/v5N3/MRwYwSkmL0imp/7FjTlCivhnk5m44HketpQsa7tq7OXnN&#10;Tj8AqnKID8TyZMbcoE6mdKDfUN2L2A1DzHDsWdLNyXwIRyHj6+BisUhJqCrLwsqsLY+lI2YR2dfu&#10;jTnbwx+QuCc4iYsV71g45vbYHvHrL6jBxFX/XqLIr+8p6/Kq578AAAD//wMAUEsDBBQABgAIAAAA&#10;IQDg+czn3wAAAAsBAAAPAAAAZHJzL2Rvd25yZXYueG1sTI9LT8MwEITvSPwHa5G4USc8ShviVAjE&#10;BQlVlKpnJ948mngdxW6b/Hs2JzjuzGh2vnQz2k6ccfCNIwXxIgKBVDjTUKVg//NxtwLhgyajO0eo&#10;YEIPm+z6KtWJcRf6xvMuVIJLyCdaQR1Cn0jpixqt9gvXI7FXusHqwOdQSTPoC5fbTt5H0VJa3RB/&#10;qHWPbzUW7e5kFTxu13kpj609fk2f09S05eE9L5W6vRlfX0AEHMNfGOb5PB0y3pS7ExkvOgUMElhd&#10;xhETzH68jp5B5LP29LACmaXyP0P2CwAA//8DAFBLAQItABQABgAIAAAAIQC2gziS/gAAAOEBAAAT&#10;AAAAAAAAAAAAAAAAAAAAAABbQ29udGVudF9UeXBlc10ueG1sUEsBAi0AFAAGAAgAAAAhADj9If/W&#10;AAAAlAEAAAsAAAAAAAAAAAAAAAAALwEAAF9yZWxzLy5yZWxzUEsBAi0AFAAGAAgAAAAhAMtIg8EO&#10;AgAAHQQAAA4AAAAAAAAAAAAAAAAALgIAAGRycy9lMm9Eb2MueG1sUEsBAi0AFAAGAAgAAAAhAOD5&#10;zOffAAAACwEAAA8AAAAAAAAAAAAAAAAAaAQAAGRycy9kb3ducmV2LnhtbFBLBQYAAAAABAAEAPMA&#10;AAB0BQAAAAA=&#10;" o:allowincell="f" filled="f" stroked="f" strokeweight=".5pt">
                    <v:textbox inset=",0,,0">
                      <w:txbxContent>
                        <w:p w14:paraId="706528F0" w14:textId="77777777" w:rsidR="00364C9A" w:rsidRPr="00364C9A" w:rsidRDefault="00CA74B9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A4205">
            <w:fldChar w:fldCharType="begin"/>
          </w:r>
          <w:r>
            <w:instrText xml:space="preserve"> DOCPROPERTY  xFooterTitle  \* MERGEFORMAT </w:instrText>
          </w:r>
          <w:r w:rsidR="00EA4205">
            <w:fldChar w:fldCharType="separate"/>
          </w:r>
          <w:r w:rsidR="005A108F">
            <w:t>Title over two to three lines unless the subtitle is not in use</w:t>
          </w:r>
          <w:r w:rsidR="00EA4205">
            <w:fldChar w:fldCharType="end"/>
          </w:r>
        </w:p>
        <w:p w14:paraId="2FC5FB9F" w14:textId="4A95BD0E" w:rsidR="00CD157B" w:rsidRPr="00CB1FB7" w:rsidRDefault="005A108F" w:rsidP="00A60698">
          <w:pPr>
            <w:pStyle w:val="FooterOdd"/>
            <w:rPr>
              <w:b/>
            </w:rPr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  <w:tc>
        <w:tcPr>
          <w:tcW w:w="340" w:type="dxa"/>
        </w:tcPr>
        <w:p w14:paraId="5952C1DA" w14:textId="77777777" w:rsidR="00CD157B" w:rsidRPr="00D55628" w:rsidRDefault="00CA74B9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7575C8D1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2608" w14:textId="0159D875" w:rsidR="00364C9A" w:rsidRDefault="00D73128">
    <w:pPr>
      <w:pStyle w:val="Footer"/>
    </w:pPr>
    <w:r w:rsidRPr="00D73128">
      <w:t xml:space="preserve">Traditional Chinese | </w:t>
    </w:r>
    <w:proofErr w:type="spellStart"/>
    <w:r w:rsidRPr="00D73128">
      <w:rPr>
        <w:rFonts w:ascii="MS Gothic" w:eastAsia="MS Gothic" w:hAnsi="MS Gothic" w:cs="MS Gothic" w:hint="eastAsia"/>
      </w:rPr>
      <w:t>繁體中文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E1629EE" wp14:editId="1353875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" name="MSIPCMd7f8451f86b85c057b799d5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B525D3" w14:textId="77777777" w:rsidR="00364C9A" w:rsidRPr="00364C9A" w:rsidRDefault="00CA74B9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E1629EE" id="_x0000_t202" coordsize="21600,21600" o:spt="202" path="m,l,21600r21600,l21600,xe">
              <v:stroke joinstyle="miter"/>
              <v:path gradientshapeok="t" o:connecttype="rect"/>
            </v:shapetype>
            <v:shape id="MSIPCMd7f8451f86b85c057b799d53" o:spid="_x0000_s1031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gxDwIAAB0EAAAOAAAAZHJzL2Uyb0RvYy54bWysU99v2jAQfp+0/8Hy+0igQNeIULFWTJOq&#10;thKd+mwcm0SyfZ5tSNhfv7NJoOv2NO3FOd9d7sf3fV7cdlqRg3C+AVPS8SinRBgOVWN2Jf3+sv70&#10;mRIfmKmYAiNKehSe3i4/fli0thATqEFVwhEsYnzR2pLWIdgiyzyvhWZ+BFYYDEpwmgW8ul1WOdZi&#10;da2ySZ7PsxZcZR1w4T16709Bukz1pRQ8PEnpRSCqpDhbSKdL5zae2XLBip1jtm54Pwb7hyk0aww2&#10;PZe6Z4GRvWv+KKUb7sCDDCMOOgMpGy7SDrjNOH+3zaZmVqRdEBxvzzD5/1eWPx429tmR0H2BDgmM&#10;gLTWFx6dcZ9OOh2/OCnBOEJ4PMMmukA4Oq9n8/xmOqOEY2xyfZXPEq7Z5W/rfPgqQJNolNQhLQkt&#10;dnjwATti6pASmxlYN0olapQhbUnnV1jytwj+oQz+eJk1WqHbdqSpcIphjy1UR1zPwYl5b/m6wRke&#10;mA/PzCHVuBHKNzzhIRVgL+gtSmpwP//mj/nIAEYpaVE6JfU/9swJStQ3g9zcjKfTqLV0QcO99W4H&#10;r9nrO0BVjvGBWJ7MmBvUYEoH+hXVvYrdMMQMx54l3Q7mXTgJGV8HF6tVSkJVWRYezMbyWDpiFpF9&#10;6V6Zsz38AYl7hEFcrHjHwim3x/aEX39BDSau+vcSRf72nrIur3r5CwAA//8DAFBLAwQUAAYACAAA&#10;ACEA4PnM598AAAALAQAADwAAAGRycy9kb3ducmV2LnhtbEyPS0/DMBCE70j8B2uRuFEnPEob4lQI&#10;xAUJVZSqZyfePJp4HcVum/x7Nic47sxodr50M9pOnHHwjSMF8SICgVQ401ClYP/zcbcC4YMmoztH&#10;qGBCD5vs+irViXEX+sbzLlSCS8gnWkEdQp9I6YsarfYL1yOxV7rB6sDnUEkz6AuX207eR9FSWt0Q&#10;f6h1j281Fu3uZBU8btd5KY+tPX5Nn9PUtOXhPS+Vur0ZX19ABBzDXxjm+TwdMt6UuxMZLzoFDBJY&#10;XcYRE8x+vI6eQeSz9vSwApml8j9D9gsAAP//AwBQSwECLQAUAAYACAAAACEAtoM4kv4AAADhAQAA&#10;EwAAAAAAAAAAAAAAAAAAAAAAW0NvbnRlbnRfVHlwZXNdLnhtbFBLAQItABQABgAIAAAAIQA4/SH/&#10;1gAAAJQBAAALAAAAAAAAAAAAAAAAAC8BAABfcmVscy8ucmVsc1BLAQItABQABgAIAAAAIQD695gx&#10;DwIAAB0EAAAOAAAAAAAAAAAAAAAAAC4CAABkcnMvZTJvRG9jLnhtbFBLAQItABQABgAIAAAAIQDg&#10;+czn3wAAAAsBAAAPAAAAAAAAAAAAAAAAAGkEAABkcnMvZG93bnJldi54bWxQSwUGAAAAAAQABADz&#10;AAAAdQUAAAAA&#10;" o:allowincell="f" filled="f" stroked="f" strokeweight=".5pt">
              <v:textbox inset=",0,,0">
                <w:txbxContent>
                  <w:p w14:paraId="04B525D3" w14:textId="77777777" w:rsidR="00364C9A" w:rsidRPr="00364C9A" w:rsidRDefault="00CA74B9" w:rsidP="00364C9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4C9A">
                      <w:rPr>
                        <w:rFonts w:ascii="Calibri" w:hAnsi="Calibri" w:cs="Calibri"/>
                        <w:color w:val="000000"/>
                        <w:sz w:val="24"/>
                        <w:lang w:val="zh-Han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621F" w14:textId="77777777" w:rsidR="003355B1" w:rsidRPr="0056073C" w:rsidRDefault="003355B1" w:rsidP="005D764F">
      <w:pPr>
        <w:pStyle w:val="FootnoteSeparator"/>
      </w:pPr>
    </w:p>
    <w:p w14:paraId="507AFC41" w14:textId="77777777" w:rsidR="003355B1" w:rsidRDefault="003355B1"/>
  </w:footnote>
  <w:footnote w:type="continuationSeparator" w:id="0">
    <w:p w14:paraId="4C843462" w14:textId="77777777" w:rsidR="003355B1" w:rsidRPr="00CA30B7" w:rsidRDefault="003355B1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06DA6B0C" w14:textId="77777777" w:rsidR="003355B1" w:rsidRDefault="003355B1"/>
  </w:footnote>
  <w:footnote w:type="continuationNotice" w:id="1">
    <w:p w14:paraId="0DA2AB19" w14:textId="77777777" w:rsidR="003355B1" w:rsidRDefault="003355B1" w:rsidP="006D5A90"/>
    <w:p w14:paraId="348AA052" w14:textId="77777777" w:rsidR="003355B1" w:rsidRDefault="00335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E48E" w14:textId="77777777" w:rsidR="00DE2576" w:rsidRPr="00CD157B" w:rsidRDefault="00CA74B9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0D361A2" wp14:editId="78557AD6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D94750" id="Hdr_Element6" o:spid="_x0000_s1026" alt="&quot;&quot;" style="position:absolute;margin-left:512.5pt;margin-top:0;width:83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564EAB" wp14:editId="4414B16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D66F40" id="Hdr_Element1" o:spid="_x0000_s1026" alt="&quot;&quot;" style="position:absolute;margin-left:0;margin-top:0;width:595.3pt;height:35.1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68E616CE" wp14:editId="5E05C6A2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14DD4" id="Hdr_Element4" o:spid="_x0000_s1026" alt="&quot;&quot;" style="position:absolute;margin-left:363.9pt;margin-top:0;width:115.65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1EA220FA" wp14:editId="4CD7CE6B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413FC" id="Hdr_Element5" o:spid="_x0000_s1026" alt="&quot;&quot;" style="position:absolute;margin-left:463.3pt;margin-top:0;width:66.05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0E16B02C" wp14:editId="17713E89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A1819" id="Hdr_Element2" o:spid="_x0000_s1026" alt="&quot;&quot;" style="position:absolute;margin-left:297.65pt;margin-top:0;width:82.75pt;height:3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6E78CA3C" wp14:editId="2AF3500B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AD8392" id="Hdr_Element3" o:spid="_x0000_s1026" alt="&quot;&quot;" style="position:absolute;margin-left:363.8pt;margin-top:0;width:33.1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42AE121F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2494" w14:textId="77777777" w:rsidR="00364C9A" w:rsidRDefault="00364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07C4" w14:textId="77777777" w:rsidR="00364C9A" w:rsidRDefault="00364C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B2B0" w14:textId="77777777" w:rsidR="00CD157B" w:rsidRPr="00CD157B" w:rsidRDefault="00CA74B9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67C2CCA" wp14:editId="64CEF17C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1D03E" id="Hdr_Element6" o:spid="_x0000_s1026" alt="&quot;&quot;" style="position:absolute;margin-left:512.5pt;margin-top:0;width:83.0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2131369" wp14:editId="60DC9C8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150B55" id="Hdr_Element1" o:spid="_x0000_s1026" alt="&quot;&quot;" style="position:absolute;margin-left:0;margin-top:0;width:595.3pt;height:35.15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0A6DCAC7" wp14:editId="3108DEB4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BF1FB4" id="Hdr_Element4" o:spid="_x0000_s1026" alt="&quot;&quot;" style="position:absolute;margin-left:363.9pt;margin-top:0;width:115.65pt;height:3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C5471E3" wp14:editId="0EA1EAC8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E94B93" id="Hdr_Element5" o:spid="_x0000_s1026" alt="&quot;&quot;" style="position:absolute;margin-left:463.3pt;margin-top:0;width:66.05pt;height:3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B8C1E9" wp14:editId="6EF3FDE1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E16B9" id="Hdr_Element2" o:spid="_x0000_s1026" alt="&quot;&quot;" style="position:absolute;margin-left:297.65pt;margin-top:0;width:82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15F92B5" wp14:editId="6A8BE7DE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8E1E1" id="Hdr_Element3" o:spid="_x0000_s1026" alt="&quot;&quot;" style="position:absolute;margin-left:363.8pt;margin-top:0;width:33.15pt;height: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9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2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5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7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0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1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4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201547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201547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9" w15:restartNumberingAfterBreak="0">
    <w:nsid w:val="5B2C71EC"/>
    <w:multiLevelType w:val="hybridMultilevel"/>
    <w:tmpl w:val="79B200BA"/>
    <w:name w:val="Bullets4"/>
    <w:lvl w:ilvl="0" w:tplc="2658792E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54A2638A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972AC64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91A004E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E92864C4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64E205C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EEACEB46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661A4AB4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562E7AD6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6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4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D284207"/>
    <w:multiLevelType w:val="multilevel"/>
    <w:tmpl w:val="5EFEB8F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386298332">
    <w:abstractNumId w:val="11"/>
  </w:num>
  <w:num w:numId="2" w16cid:durableId="446772693">
    <w:abstractNumId w:val="12"/>
  </w:num>
  <w:num w:numId="3" w16cid:durableId="1710496341">
    <w:abstractNumId w:val="40"/>
  </w:num>
  <w:num w:numId="4" w16cid:durableId="1498573297">
    <w:abstractNumId w:val="10"/>
  </w:num>
  <w:num w:numId="5" w16cid:durableId="602228935">
    <w:abstractNumId w:val="13"/>
  </w:num>
  <w:num w:numId="6" w16cid:durableId="2140686981">
    <w:abstractNumId w:val="26"/>
  </w:num>
  <w:num w:numId="7" w16cid:durableId="351080068">
    <w:abstractNumId w:val="3"/>
  </w:num>
  <w:num w:numId="8" w16cid:durableId="301470757">
    <w:abstractNumId w:val="29"/>
  </w:num>
  <w:num w:numId="9" w16cid:durableId="2044749724">
    <w:abstractNumId w:val="21"/>
  </w:num>
  <w:num w:numId="10" w16cid:durableId="1666125161">
    <w:abstractNumId w:val="31"/>
  </w:num>
  <w:num w:numId="11" w16cid:durableId="895628152">
    <w:abstractNumId w:val="34"/>
  </w:num>
  <w:num w:numId="12" w16cid:durableId="368259460">
    <w:abstractNumId w:val="27"/>
  </w:num>
  <w:num w:numId="13" w16cid:durableId="1223714522">
    <w:abstractNumId w:val="28"/>
  </w:num>
  <w:num w:numId="14" w16cid:durableId="1474177637">
    <w:abstractNumId w:val="38"/>
  </w:num>
  <w:num w:numId="15" w16cid:durableId="427846234">
    <w:abstractNumId w:val="8"/>
  </w:num>
  <w:num w:numId="16" w16cid:durableId="1022583738">
    <w:abstractNumId w:val="30"/>
  </w:num>
  <w:num w:numId="17" w16cid:durableId="1888953911">
    <w:abstractNumId w:val="7"/>
  </w:num>
  <w:num w:numId="18" w16cid:durableId="1010108388">
    <w:abstractNumId w:val="5"/>
  </w:num>
  <w:num w:numId="19" w16cid:durableId="1325161631">
    <w:abstractNumId w:val="17"/>
  </w:num>
  <w:num w:numId="20" w16cid:durableId="19649228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19852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5860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2813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424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2327430">
    <w:abstractNumId w:val="14"/>
  </w:num>
  <w:num w:numId="26" w16cid:durableId="1852185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3711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92654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6057451">
    <w:abstractNumId w:val="24"/>
  </w:num>
  <w:num w:numId="30" w16cid:durableId="394473920">
    <w:abstractNumId w:val="0"/>
  </w:num>
  <w:num w:numId="31" w16cid:durableId="58017185">
    <w:abstractNumId w:val="2"/>
  </w:num>
  <w:num w:numId="32" w16cid:durableId="209460886">
    <w:abstractNumId w:val="1"/>
  </w:num>
  <w:num w:numId="33" w16cid:durableId="352652454">
    <w:abstractNumId w:val="36"/>
  </w:num>
  <w:num w:numId="34" w16cid:durableId="1903784202">
    <w:abstractNumId w:val="39"/>
  </w:num>
  <w:num w:numId="35" w16cid:durableId="1572155574">
    <w:abstractNumId w:val="48"/>
  </w:num>
  <w:num w:numId="36" w16cid:durableId="556936641">
    <w:abstractNumId w:val="44"/>
  </w:num>
  <w:num w:numId="37" w16cid:durableId="934478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556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391844">
    <w:abstractNumId w:val="46"/>
  </w:num>
  <w:num w:numId="40" w16cid:durableId="204606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978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0EA8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115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E99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0870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1CB9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55B1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38A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785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0AE3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8A1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08F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4AC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7BB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D69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64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0A93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785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28C4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0C40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5F36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C7AAE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0EF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5DAF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5C0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3B86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3F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C52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2C2F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2CC9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B9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1FB7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5628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128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AB2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5B53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17F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CD3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390D8"/>
  <w15:docId w15:val="{D4802ECE-6D4F-4EE2-87BF-08C697E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E0D69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delwpvicgovau.sharepoint.com/Users/fionadurante/Downloads/deeca.vic.gov.au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www.worksafe.vic.gov.au/transporting-dangerous-goods-tools-trade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https://delwpvicgovau.sharepoint.com/Users/fionadurante/Downloads/deeca.vic.gov.au" TargetMode="External"/><Relationship Id="rId33" Type="http://schemas.openxmlformats.org/officeDocument/2006/relationships/hyperlink" Target="https://www.worksafe.vic.gov.au/filling-portable-fuel-containers-flammable-liquids-service-station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36" Type="http://schemas.openxmlformats.org/officeDocument/2006/relationships/hyperlink" Target="https://www.worksafe.vic.gov.au/resources/code-practice-storage-and-handling-dangerous-goods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s://www.sustainability.vic.gov.au/recycling-and-reducing-waste-at-home/hazardous-household-chemicals/dispose-of-household-chemicals-detox-your-home" TargetMode="Externa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FABBF0-0631-4425-8316-AF0A01ACFB0F}">
  <ds:schemaRefs>
    <ds:schemaRef ds:uri="http://schemas.microsoft.com/office/2006/documentManagement/types"/>
    <ds:schemaRef ds:uri="a28b7602-4cf2-45e4-91e4-10072c5f2efd"/>
    <ds:schemaRef ds:uri="http://purl.org/dc/elements/1.1/"/>
    <ds:schemaRef ds:uri="a5f32de4-e402-4188-b034-e71ca7d22e54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225c9672-6851-4819-b602-ef532de55260"/>
    <ds:schemaRef ds:uri="http://schemas.microsoft.com/office/2006/metadata/properties"/>
    <ds:schemaRef ds:uri="http://purl.org/dc/dcmitype/"/>
    <ds:schemaRef ds:uri="9fd47c19-1c4a-4d7d-b342-c10cef269344"/>
  </ds:schemaRefs>
</ds:datastoreItem>
</file>

<file path=customXml/itemProps4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577</Characters>
  <Application>Microsoft Office Word</Application>
  <DocSecurity>0</DocSecurity>
  <Lines>24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燃料安全</vt:lpstr>
      <vt:lpstr>Title over two to three lines unless the subtitle is not in use</vt:lpstr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燃料安全</dc:title>
  <dc:subject>汽油、柴油及其他燃料的安全使用須知。</dc:subject>
  <dc:creator>DEECA</dc:creator>
  <cp:keywords/>
  <dc:description/>
  <cp:lastModifiedBy>Zarina Coetzee (DEECA)</cp:lastModifiedBy>
  <cp:revision>3</cp:revision>
  <cp:lastPrinted>2026-04-29T07:17:00Z</cp:lastPrinted>
  <dcterms:created xsi:type="dcterms:W3CDTF">2026-05-12T00:27:00Z</dcterms:created>
  <dcterms:modified xsi:type="dcterms:W3CDTF">2026-05-12T00:27:00Z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