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3616" w14:textId="77777777" w:rsidR="00EA4205" w:rsidRPr="004142AC" w:rsidRDefault="00F27953" w:rsidP="004142AC">
      <w:pPr>
        <w:pStyle w:val="Heading1"/>
        <w:framePr w:wrap="around"/>
      </w:pPr>
      <w:bookmarkStart w:id="0" w:name="_Toc106305998"/>
      <w:r w:rsidRPr="004142AC">
        <w:rPr>
          <w:lang w:val="el"/>
        </w:rPr>
        <w:t>Προμήθεια καυσίμων</w:t>
      </w:r>
    </w:p>
    <w:p w14:paraId="5A34E626" w14:textId="77777777" w:rsidR="00C55102" w:rsidRDefault="00C55102" w:rsidP="00FE7FB1">
      <w:pPr>
        <w:pStyle w:val="BodyText"/>
      </w:pPr>
      <w:bookmarkStart w:id="1" w:name="Here"/>
      <w:bookmarkEnd w:id="1"/>
    </w:p>
    <w:p w14:paraId="3A6E18D2" w14:textId="77777777" w:rsidR="00C55102" w:rsidRDefault="00F27953" w:rsidP="00333DB5">
      <w:pPr>
        <w:pStyle w:val="IntroFeatureText"/>
      </w:pPr>
      <w:r>
        <w:rPr>
          <w:lang w:val="el"/>
        </w:rPr>
        <w:t>Η προμήθεια καυσίμων στη Βικτώρια παραμένει σταθερή και υπάρχει επάρκεια για την κάλυψη της φυσιολογικής ζήτησης.</w:t>
      </w:r>
    </w:p>
    <w:p w14:paraId="2CBB020A" w14:textId="77777777" w:rsidR="00C55102" w:rsidRPr="00E616F2" w:rsidRDefault="00F27953" w:rsidP="00333DB5">
      <w:pPr>
        <w:pStyle w:val="IntroFeatureText"/>
        <w:rPr>
          <w:lang w:val="el"/>
        </w:rPr>
      </w:pPr>
      <w:r>
        <w:rPr>
          <w:lang w:val="el"/>
        </w:rPr>
        <w:t>Σε ορισμένες περιοχές ενδέχεται να υπάρξουν προσωρινές διαταραχές λόγω αυξημένης ζήτησης ή πίεσης στην αλυσίδα εφοδιασμού. Η κυβέρνηση και ο κλάδος παρακολουθούν ενεργά την κατάσταση.</w:t>
      </w:r>
    </w:p>
    <w:p w14:paraId="1D49F3A1" w14:textId="77777777" w:rsidR="00C55102" w:rsidRPr="00E616F2" w:rsidRDefault="00F27953" w:rsidP="004C6D29">
      <w:pPr>
        <w:pStyle w:val="Heading2"/>
        <w:rPr>
          <w:lang w:val="el"/>
        </w:rPr>
      </w:pPr>
      <w:r>
        <w:rPr>
          <w:lang w:val="el"/>
        </w:rPr>
        <w:t>Τι πρέπει να κάνετε</w:t>
      </w:r>
    </w:p>
    <w:p w14:paraId="39143198" w14:textId="77777777" w:rsidR="00C55102" w:rsidRPr="00E616F2" w:rsidRDefault="00F27953" w:rsidP="00C55102">
      <w:pPr>
        <w:pStyle w:val="ListBullet"/>
        <w:rPr>
          <w:lang w:val="el"/>
        </w:rPr>
      </w:pPr>
      <w:r>
        <w:rPr>
          <w:lang w:val="el"/>
        </w:rPr>
        <w:t>Αγοράστε μόνο τα καύσιμα που χρειάζεστε συνήθως.</w:t>
      </w:r>
    </w:p>
    <w:p w14:paraId="56BF6058" w14:textId="77777777" w:rsidR="00C55102" w:rsidRPr="00E616F2" w:rsidRDefault="00F27953" w:rsidP="00C55102">
      <w:pPr>
        <w:pStyle w:val="ListBullet"/>
        <w:rPr>
          <w:lang w:val="el"/>
        </w:rPr>
      </w:pPr>
      <w:r>
        <w:rPr>
          <w:lang w:val="el"/>
        </w:rPr>
        <w:t>Προγραμματίστε εκ των προτέρων και γεμίστε πριν από μεγαλύτερες διαδρομές, ειδικά αν βασίζεστε στα καύσιμα για την εργασία σας ή για βασικές μετακινήσεις.</w:t>
      </w:r>
    </w:p>
    <w:p w14:paraId="06DFFECB" w14:textId="77777777" w:rsidR="008C06B8" w:rsidRPr="00E616F2" w:rsidRDefault="00F27953" w:rsidP="00C55102">
      <w:pPr>
        <w:pStyle w:val="ListBullet"/>
        <w:rPr>
          <w:lang w:val="el"/>
        </w:rPr>
      </w:pPr>
      <w:r>
        <w:rPr>
          <w:lang w:val="el"/>
        </w:rPr>
        <w:t>Ελέγξτε αυτή τη σελίδα για ενημερώσεις αν αλλάξουν οι συνθήκες.</w:t>
      </w:r>
      <w:r w:rsidR="00677D56">
        <w:rPr>
          <w:noProof/>
        </w:rPr>
        <w:drawing>
          <wp:anchor distT="0" distB="0" distL="114300" distR="114300" simplePos="0" relativeHeight="251658240" behindDoc="0" locked="1" layoutInCell="1" allowOverlap="1" wp14:anchorId="0096AC65" wp14:editId="2F605DDB">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75648" behindDoc="0" locked="1" layoutInCell="1" allowOverlap="1" wp14:anchorId="1EFD791F" wp14:editId="07AAAAB3">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9264" behindDoc="1" locked="1" layoutInCell="1" allowOverlap="1" wp14:anchorId="44EB8A38" wp14:editId="1B226CA0">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DAC460" id="Navy" o:spid="_x0000_s1026" alt="&quot;&quot;" style="position:absolute;margin-left:0;margin-top:0;width:538.3pt;height:17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73600" behindDoc="0" locked="1" layoutInCell="1" allowOverlap="1" wp14:anchorId="12ADE748" wp14:editId="2B661E71">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4624" behindDoc="0" locked="1" layoutInCell="1" allowOverlap="1" wp14:anchorId="5736D62D" wp14:editId="705C98FD">
            <wp:simplePos x="0" y="0"/>
            <wp:positionH relativeFrom="page">
              <wp:posOffset>6932295</wp:posOffset>
            </wp:positionH>
            <wp:positionV relativeFrom="page">
              <wp:posOffset>893445</wp:posOffset>
            </wp:positionV>
            <wp:extent cx="630000" cy="1335600"/>
            <wp:effectExtent l="0" t="0" r="0" b="0"/>
            <wp:wrapNone/>
            <wp:docPr id="20" name="Cover_Triangle_Energ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6672" behindDoc="0" locked="1" layoutInCell="1" allowOverlap="1" wp14:anchorId="7C12E6FB" wp14:editId="61721355">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7696" behindDoc="0" locked="1" layoutInCell="1" allowOverlap="1" wp14:anchorId="7A1AB391" wp14:editId="6D67CC5E">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2576" behindDoc="0" locked="1" layoutInCell="1" allowOverlap="1" wp14:anchorId="42181461" wp14:editId="78940433">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71552" behindDoc="1" locked="1" layoutInCell="1" allowOverlap="1" wp14:anchorId="1D23F325" wp14:editId="0733A025">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65408" behindDoc="0" locked="1" layoutInCell="1" allowOverlap="1" wp14:anchorId="62936CC7" wp14:editId="4CC0F71E">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7E7366" id="RibbonElement2" o:spid="_x0000_s1026" alt="&quot;&quot;" style="position:absolute;margin-left:413.8pt;margin-top:105.25pt;width:98.95pt;height:7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7456" behindDoc="0" locked="1" layoutInCell="1" allowOverlap="1" wp14:anchorId="21D51829" wp14:editId="070CA3B5">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1D73E7" id="RibbonElement3" o:spid="_x0000_s1026" alt="&quot;&quot;" style="position:absolute;margin-left:380.55pt;margin-top:140.05pt;width:82.5pt;height:35.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ea7200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9504" behindDoc="0" locked="1" layoutInCell="1" allowOverlap="1" wp14:anchorId="0AF0FCD2" wp14:editId="5A1FC241">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551739" id="RibbonElement4Grp" o:spid="_x0000_s1026" alt="&quot;&quot;" style="position:absolute;margin-left:446.25pt;margin-top:105.25pt;width:83.05pt;height:70.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3360" behindDoc="0" locked="1" layoutInCell="1" allowOverlap="1" wp14:anchorId="0F6C19C6" wp14:editId="41257275">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EC0B05" id="RibbonElement1" o:spid="_x0000_s1026" alt="&quot;&quot;" style="position:absolute;margin-left:463.65pt;margin-top:0;width:132.1pt;height:14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72ce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61312" behindDoc="0" locked="1" layoutInCell="1" allowOverlap="1" wp14:anchorId="54A4CED1" wp14:editId="519EF95F">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3F5A2DA2" w14:textId="77777777" w:rsidR="00254F12" w:rsidRPr="00484CC4" w:rsidRDefault="00254F12" w:rsidP="00254F12">
                              <w:pPr>
                                <w:pStyle w:val="xWebCoverPage"/>
                              </w:pPr>
                              <w:hyperlink r:id="rId23" w:history="1">
                                <w:r w:rsidRPr="00484CC4">
                                  <w:rPr>
                                    <w:lang w:val="el"/>
                                  </w:rPr>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c:wpc>
                  </a:graphicData>
                </a:graphic>
                <wp14:sizeRelH relativeFrom="margin">
                  <wp14:pctWidth>0</wp14:pctWidth>
                </wp14:sizeRelH>
                <wp14:sizeRelV relativeFrom="margin">
                  <wp14:pctHeight>0</wp14:pctHeight>
                </wp14:sizeRelV>
              </wp:anchor>
            </w:drawing>
          </mc:Choice>
          <mc:Fallback>
            <w:pict>
              <v:group w14:anchorId="54A4CED1" id="Cover_Website" o:spid="_x0000_s1026" editas="canvas" alt="&quot;&quot;" style="position:absolute;left:0;text-align:left;margin-left:0;margin-top:776.95pt;width:179.15pt;height:65.2pt;z-index:25166131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3F5A2DA2" w14:textId="77777777" w:rsidR="00254F12" w:rsidRPr="00484CC4" w:rsidRDefault="00254F12" w:rsidP="00254F12">
                        <w:pPr>
                          <w:pStyle w:val="xWebCoverPage"/>
                        </w:pPr>
                        <w:hyperlink r:id="rId24" w:history="1">
                          <w:r w:rsidRPr="00484CC4">
                            <w:rPr>
                              <w:lang w:val="el"/>
                            </w:rPr>
                            <w:t>deeca.vic.gov.au</w:t>
                          </w:r>
                        </w:hyperlink>
                      </w:p>
                    </w:txbxContent>
                  </v:textbox>
                </v:shape>
                <w10:wrap anchorx="page" anchory="page"/>
                <w10:anchorlock/>
              </v:group>
            </w:pict>
          </mc:Fallback>
        </mc:AlternateContent>
      </w:r>
    </w:p>
    <w:bookmarkEnd w:id="0"/>
    <w:p w14:paraId="5A3E57A9" w14:textId="77777777" w:rsidR="004F67B4" w:rsidRPr="00E616F2" w:rsidRDefault="00F27953" w:rsidP="004C6D29">
      <w:pPr>
        <w:pStyle w:val="Heading2"/>
        <w:rPr>
          <w:lang w:val="el"/>
        </w:rPr>
      </w:pPr>
      <w:r w:rsidRPr="004F67B4">
        <w:rPr>
          <w:lang w:val="el"/>
        </w:rPr>
        <w:t>Πώς μπορούν να βοηθήσουν οι κάτοικοι της Βικτώριας</w:t>
      </w:r>
    </w:p>
    <w:p w14:paraId="24B5C4CA" w14:textId="77777777" w:rsidR="004F67B4" w:rsidRPr="00E616F2" w:rsidRDefault="00F27953" w:rsidP="004F67B4">
      <w:pPr>
        <w:pStyle w:val="BodyText"/>
        <w:rPr>
          <w:lang w:val="el"/>
        </w:rPr>
      </w:pPr>
      <w:r w:rsidRPr="004F67B4">
        <w:rPr>
          <w:lang w:val="el"/>
        </w:rPr>
        <w:t>Γνωρίζουμε ότι πολλοί άνθρωποι ανησυχούν για τις τιμές και τη διαθεσιμότητα των καυσίμων. Απλά βήματα μπορούν να βοηθήσουν ώστε τα καύσιμα να παραμείνουν διαθέσιμα για όλους.</w:t>
      </w:r>
    </w:p>
    <w:p w14:paraId="6C4B3D6A" w14:textId="77777777" w:rsidR="004F67B4" w:rsidRPr="004C6D29" w:rsidRDefault="00F27953" w:rsidP="004C6D29">
      <w:pPr>
        <w:pStyle w:val="Heading2"/>
      </w:pPr>
      <w:r w:rsidRPr="004C6D29">
        <w:rPr>
          <w:lang w:val="el"/>
        </w:rPr>
        <w:t>Προγραμματίστε εκ των προτέρων</w:t>
      </w:r>
    </w:p>
    <w:p w14:paraId="1D800904" w14:textId="77777777" w:rsidR="004F67B4" w:rsidRPr="004F67B4" w:rsidRDefault="00F27953" w:rsidP="00256D21">
      <w:pPr>
        <w:pStyle w:val="BodyText"/>
        <w:numPr>
          <w:ilvl w:val="0"/>
          <w:numId w:val="15"/>
        </w:numPr>
      </w:pPr>
      <w:r w:rsidRPr="004F67B4">
        <w:rPr>
          <w:lang w:val="el"/>
        </w:rPr>
        <w:t>Αγοράστε μόνο ό,τι χρειάζεστε συνήθως, ώστε κανείς να μη χρειαστεί να μείνει χωρίς καύσιμα.</w:t>
      </w:r>
    </w:p>
    <w:p w14:paraId="53E69B85" w14:textId="77777777" w:rsidR="004F67B4" w:rsidRPr="004F67B4" w:rsidRDefault="00F27953" w:rsidP="00256D21">
      <w:pPr>
        <w:pStyle w:val="BodyText"/>
        <w:numPr>
          <w:ilvl w:val="0"/>
          <w:numId w:val="15"/>
        </w:numPr>
      </w:pPr>
      <w:r w:rsidRPr="004F67B4">
        <w:rPr>
          <w:lang w:val="el"/>
        </w:rPr>
        <w:t>Γεμίστε πριν βγείτε έξω, ειδικά αν βασίζεστε στα καύσιμα για τη δουλειά, το σχολείο ή τις μετακινήσεις σας.</w:t>
      </w:r>
    </w:p>
    <w:p w14:paraId="50E91894" w14:textId="77777777" w:rsidR="004F67B4" w:rsidRPr="004F67B4" w:rsidRDefault="00F27953" w:rsidP="004C6D29">
      <w:pPr>
        <w:pStyle w:val="Heading2"/>
      </w:pPr>
      <w:r w:rsidRPr="004F67B4">
        <w:rPr>
          <w:lang w:val="el"/>
        </w:rPr>
        <w:t>Ελέγξτε τις τιμές πριν φύγετε</w:t>
      </w:r>
    </w:p>
    <w:p w14:paraId="1960C8C0" w14:textId="0DD139C5" w:rsidR="004F67B4" w:rsidRPr="004F67B4" w:rsidRDefault="00F27953" w:rsidP="00256D21">
      <w:pPr>
        <w:pStyle w:val="BodyText"/>
        <w:numPr>
          <w:ilvl w:val="0"/>
          <w:numId w:val="16"/>
        </w:numPr>
      </w:pPr>
      <w:r w:rsidRPr="004F67B4">
        <w:rPr>
          <w:lang w:val="el"/>
        </w:rPr>
        <w:t xml:space="preserve">Χρησιμοποιήστε το </w:t>
      </w:r>
      <w:hyperlink r:id="rId25" w:history="1">
        <w:r w:rsidR="004F67B4" w:rsidRPr="004F67B4">
          <w:rPr>
            <w:rStyle w:val="Hyperlink"/>
            <w:lang w:val="el"/>
          </w:rPr>
          <w:t>Servo Saver</w:t>
        </w:r>
      </w:hyperlink>
      <w:r w:rsidRPr="004F67B4">
        <w:rPr>
          <w:lang w:val="el"/>
        </w:rPr>
        <w:t xml:space="preserve"> στην εφαρμογή Service Victoria για να ελέγξετε τις τιμές των καυσίμων κοντά σας.</w:t>
      </w:r>
    </w:p>
    <w:p w14:paraId="31021F34" w14:textId="77777777" w:rsidR="004F67B4" w:rsidRPr="004F67B4" w:rsidRDefault="00F27953" w:rsidP="00256D21">
      <w:pPr>
        <w:pStyle w:val="BodyText"/>
        <w:numPr>
          <w:ilvl w:val="0"/>
          <w:numId w:val="16"/>
        </w:numPr>
      </w:pPr>
      <w:r w:rsidRPr="004F67B4">
        <w:rPr>
          <w:lang w:val="el"/>
        </w:rPr>
        <w:t>Μπορείτε να δείτε πού είναι φθηνότερα τα καύσιμα και να προγραμματίσετε πότε θα γεμίσετε.</w:t>
      </w:r>
    </w:p>
    <w:p w14:paraId="3973E33C" w14:textId="77777777" w:rsidR="004F67B4" w:rsidRPr="004F67B4" w:rsidRDefault="00F27953" w:rsidP="004C6D29">
      <w:pPr>
        <w:pStyle w:val="Heading2"/>
      </w:pPr>
      <w:r w:rsidRPr="004F67B4">
        <w:rPr>
          <w:lang w:val="el"/>
        </w:rPr>
        <w:t>Να είστε ευγενικοί στο πρατήριο καυσίμων</w:t>
      </w:r>
    </w:p>
    <w:p w14:paraId="2DE14A5E" w14:textId="77777777" w:rsidR="004F67B4" w:rsidRPr="004F67B4" w:rsidRDefault="00F27953" w:rsidP="00256D21">
      <w:pPr>
        <w:pStyle w:val="BodyText"/>
        <w:numPr>
          <w:ilvl w:val="0"/>
          <w:numId w:val="17"/>
        </w:numPr>
      </w:pPr>
      <w:r w:rsidRPr="004F67B4">
        <w:rPr>
          <w:lang w:val="el"/>
        </w:rPr>
        <w:t>Το προσωπικό των πρατηρίων καυσίμων κάνει ό,τι καλύτερο μπορεί κατά τη διάρκεια μιας αγχωτικής περιόδου υψηλής ζήτησης.</w:t>
      </w:r>
    </w:p>
    <w:p w14:paraId="36EEBC42" w14:textId="77777777" w:rsidR="004F67B4" w:rsidRPr="004F67B4" w:rsidRDefault="00F27953" w:rsidP="00256D21">
      <w:pPr>
        <w:pStyle w:val="BodyText"/>
        <w:numPr>
          <w:ilvl w:val="0"/>
          <w:numId w:val="17"/>
        </w:numPr>
      </w:pPr>
      <w:r w:rsidRPr="004F67B4">
        <w:rPr>
          <w:lang w:val="el"/>
        </w:rPr>
        <w:t>Παρακαλούμε να συμπεριφέρεστε στους εργαζομένους στα πρατήρια με υπομονή και σεβασμό, όπως ακριβώς θα περιμένατε και στον δικό σας χώρο εργασίας.</w:t>
      </w:r>
    </w:p>
    <w:p w14:paraId="7FB90E15" w14:textId="77777777" w:rsidR="004F67B4" w:rsidRPr="004F67B4" w:rsidRDefault="00F27953" w:rsidP="004C6D29">
      <w:pPr>
        <w:pStyle w:val="Heading2"/>
      </w:pPr>
      <w:r w:rsidRPr="004F67B4">
        <w:rPr>
          <w:lang w:val="el"/>
        </w:rPr>
        <w:t>Να είστε ασφαλείς όταν χειρίζεστε και αποθηκεύετε καύσιμα</w:t>
      </w:r>
    </w:p>
    <w:p w14:paraId="795E4139" w14:textId="77777777" w:rsidR="004F67B4" w:rsidRPr="00E616F2" w:rsidRDefault="00F27953" w:rsidP="004F67B4">
      <w:pPr>
        <w:pStyle w:val="BodyText"/>
        <w:rPr>
          <w:lang w:val="el"/>
        </w:rPr>
      </w:pPr>
      <w:r w:rsidRPr="004F67B4">
        <w:rPr>
          <w:lang w:val="el"/>
        </w:rPr>
        <w:t>Αν πρέπει να χειριστείτε, να μεταφέρετε ή να αποθηκεύσετε καύσιμα, είναι σημαντικό να το κάνετε με ασφάλεια. Ο μη ασφαλής χειρισμός, μεταφορά ή αποθήκευση μπορεί να δημιουργήσει σοβαρούς κινδύνους για την ασφάλεια.</w:t>
      </w:r>
    </w:p>
    <w:p w14:paraId="2FF922D1" w14:textId="77777777" w:rsidR="008A0961" w:rsidRPr="00E616F2" w:rsidRDefault="00F27953" w:rsidP="004F67B4">
      <w:pPr>
        <w:pStyle w:val="BodyText"/>
        <w:rPr>
          <w:lang w:val="el"/>
        </w:rPr>
      </w:pPr>
      <w:r w:rsidRPr="004F67B4">
        <w:rPr>
          <w:lang w:val="el"/>
        </w:rPr>
        <w:t xml:space="preserve">Επισκεφθείτε την ιστοσελίδα </w:t>
      </w:r>
      <w:hyperlink r:id="rId26" w:tooltip="Fuel safety" w:history="1">
        <w:r w:rsidR="008A0961" w:rsidRPr="004F67B4">
          <w:rPr>
            <w:rStyle w:val="Hyperlink"/>
            <w:lang w:val="el"/>
          </w:rPr>
          <w:t>ασφαλής χειρισμός και αποθήκευση καυσίμων</w:t>
        </w:r>
      </w:hyperlink>
      <w:r w:rsidRPr="004F67B4">
        <w:rPr>
          <w:lang w:val="el"/>
        </w:rPr>
        <w:t xml:space="preserve"> για περισσότερες πληροφορίες.</w:t>
      </w:r>
    </w:p>
    <w:p w14:paraId="03B97031" w14:textId="77777777" w:rsidR="00391AAC" w:rsidRPr="00E616F2" w:rsidRDefault="00F27953" w:rsidP="004C6D29">
      <w:pPr>
        <w:pStyle w:val="Heading2"/>
        <w:rPr>
          <w:lang w:val="el"/>
        </w:rPr>
      </w:pPr>
      <w:r w:rsidRPr="004F67B4">
        <w:rPr>
          <w:lang w:val="el"/>
        </w:rPr>
        <w:lastRenderedPageBreak/>
        <w:t>Υπάρχουσα υποστήριξη</w:t>
      </w:r>
    </w:p>
    <w:p w14:paraId="7C11A71E" w14:textId="77777777" w:rsidR="00C85F7E" w:rsidRDefault="00F27953" w:rsidP="00907FE0">
      <w:r w:rsidRPr="00907FE0">
        <w:rPr>
          <w:lang w:val="el"/>
        </w:rPr>
        <w:t>Η Αυστραλιανή Κυβέρνηση θέσπισε μια συντονισμένη δέσμη βραχυπρόθεσμων</w:t>
      </w:r>
      <w:r w:rsidRPr="00907FE0">
        <w:rPr>
          <w:lang w:val="el"/>
        </w:rPr>
        <w:noBreakHyphen/>
        <w:t xml:space="preserve"> ελαφρύνσεων για να βοηθήσει τα νοικοκυριά, τους φορείς εκμετάλλευσης μεταφορών και τις επιχειρήσεις να διαχειριστούν τις πιέσεις από το κόστος των καυσίμων και τις παγκόσμιες αναστατώσεις. Αυτό περιλαμβάνει:</w:t>
      </w:r>
    </w:p>
    <w:p w14:paraId="4C452741" w14:textId="77777777" w:rsidR="00C85F7E" w:rsidRDefault="00F27953" w:rsidP="00256D21">
      <w:pPr>
        <w:pStyle w:val="ListBullet2"/>
        <w:numPr>
          <w:ilvl w:val="1"/>
          <w:numId w:val="19"/>
        </w:numPr>
      </w:pPr>
      <w:r>
        <w:rPr>
          <w:lang w:val="el"/>
        </w:rPr>
        <w:t>Μια προσωρινή μείωση του ειδικού φόρου κατανάλωσης καυσίμων που προσφέρει εξοικονόμηση έως και 32 σεντς ανά λίτρο</w:t>
      </w:r>
    </w:p>
    <w:p w14:paraId="13FFBE1C" w14:textId="77777777" w:rsidR="00C85F7E" w:rsidRDefault="00F27953" w:rsidP="00256D21">
      <w:pPr>
        <w:pStyle w:val="ListBullet2"/>
        <w:numPr>
          <w:ilvl w:val="1"/>
          <w:numId w:val="19"/>
        </w:numPr>
      </w:pPr>
      <w:r>
        <w:rPr>
          <w:lang w:val="el"/>
        </w:rPr>
        <w:t xml:space="preserve">Ανακούφιση για τους φορείς εκμετάλλευσης εμπορευματικών μεταφορών μέσω μειωμένων Τελών Κυκλοφορίας Βαρέων Οχημάτων </w:t>
      </w:r>
    </w:p>
    <w:p w14:paraId="552CF550" w14:textId="77777777" w:rsidR="00C85F7E" w:rsidRDefault="00F27953" w:rsidP="00256D21">
      <w:pPr>
        <w:pStyle w:val="ListBullet2"/>
        <w:numPr>
          <w:ilvl w:val="1"/>
          <w:numId w:val="19"/>
        </w:numPr>
      </w:pPr>
      <w:r w:rsidRPr="00907FE0">
        <w:rPr>
          <w:lang w:val="el"/>
        </w:rPr>
        <w:t xml:space="preserve">Παρακολούθηση από την ACCC για να διασφαλιστεί ότι η εξοικονόμηση θα μεταφερθεί στους καταναλωτές. </w:t>
      </w:r>
    </w:p>
    <w:p w14:paraId="38CBE04B" w14:textId="77777777" w:rsidR="00E531F7" w:rsidRDefault="00F27953" w:rsidP="00256D21">
      <w:pPr>
        <w:pStyle w:val="ListBullet2"/>
        <w:numPr>
          <w:ilvl w:val="1"/>
          <w:numId w:val="19"/>
        </w:numPr>
      </w:pPr>
      <w:r w:rsidRPr="00907FE0">
        <w:rPr>
          <w:lang w:val="el"/>
        </w:rPr>
        <w:t>Η πρόσθετη στήριξη περιλαμβάνει ταχεία χρηματοδότηση με ευνοϊκούς όρους για την ενίσχυση της ανθεκτικότητας των επιχειρήσεων και στοχευμένες φορολογικές και δανειοδοτικές ελαφρύνσεις για να βοηθηθούν οι μικρές επιχειρήσεις να διαχειριστούν τις ταμειακές ροές κατά τη διάρκεια αυτής της περιόδου.</w:t>
      </w:r>
    </w:p>
    <w:p w14:paraId="00687C1C" w14:textId="77777777" w:rsidR="002E33FF" w:rsidRPr="00E531F7" w:rsidRDefault="00F27953" w:rsidP="004C6D29">
      <w:pPr>
        <w:pStyle w:val="Heading2"/>
      </w:pPr>
      <w:r>
        <w:rPr>
          <w:lang w:val="el"/>
        </w:rPr>
        <w:t>Πρόσθετες πληροφορίες</w:t>
      </w:r>
    </w:p>
    <w:p w14:paraId="436DF000" w14:textId="77777777" w:rsidR="002E33FF" w:rsidRPr="007709E9" w:rsidRDefault="00F27953" w:rsidP="00256D21">
      <w:pPr>
        <w:pStyle w:val="ListBullet2"/>
        <w:numPr>
          <w:ilvl w:val="1"/>
          <w:numId w:val="18"/>
        </w:numPr>
        <w:rPr>
          <w:color w:val="232222" w:themeColor="text1"/>
        </w:rPr>
      </w:pPr>
      <w:r w:rsidRPr="007709E9">
        <w:rPr>
          <w:color w:val="232222" w:themeColor="text1"/>
          <w:lang w:val="el"/>
        </w:rPr>
        <w:t xml:space="preserve">Η Αυστραλιανή Κυβέρνηση δεν έχει θέσει περιορισμούς στη χρήση βενζίνης, ντίζελ ή αεροπορικών καυσίμων. </w:t>
      </w:r>
    </w:p>
    <w:p w14:paraId="6B9D01D2" w14:textId="77777777" w:rsidR="002E33FF" w:rsidRPr="00622635" w:rsidRDefault="00F27953" w:rsidP="00256D21">
      <w:pPr>
        <w:pStyle w:val="ListBullet2"/>
        <w:numPr>
          <w:ilvl w:val="1"/>
          <w:numId w:val="18"/>
        </w:numPr>
        <w:rPr>
          <w:color w:val="232222" w:themeColor="text1"/>
          <w:lang w:val="el"/>
        </w:rPr>
      </w:pPr>
      <w:r w:rsidRPr="007709E9">
        <w:rPr>
          <w:color w:val="232222" w:themeColor="text1"/>
          <w:lang w:val="el"/>
        </w:rPr>
        <w:t xml:space="preserve">Με την αύξηση των τιμών της βενζίνης και του ντίζελ, η ελαχιστοποίηση της χρήσης καυσίμων μπορεί να έχει οικονομικό νόημα για ορισμένους καταναλωτές. Η χρήση εναλλακτικών μέσων μεταφοράς, όπως οι δημόσιες συγκοινωνίες, η κοινή χρήση αυτοκινήτων, το ποδήλατο ή το περπάτημα ή η εργασία από το σπίτι μπορούν να εξοικονομήσουν χρήματα στα νοικοκυριά. </w:t>
      </w:r>
    </w:p>
    <w:p w14:paraId="015BCB01" w14:textId="77777777" w:rsidR="002E33FF" w:rsidRPr="00622635" w:rsidRDefault="00F27953" w:rsidP="00256D21">
      <w:pPr>
        <w:pStyle w:val="ListBullet2"/>
        <w:numPr>
          <w:ilvl w:val="1"/>
          <w:numId w:val="18"/>
        </w:numPr>
        <w:rPr>
          <w:color w:val="232222" w:themeColor="text1"/>
          <w:lang w:val="el"/>
        </w:rPr>
      </w:pPr>
      <w:r w:rsidRPr="007709E9">
        <w:rPr>
          <w:color w:val="232222" w:themeColor="text1"/>
          <w:lang w:val="el"/>
        </w:rPr>
        <w:t xml:space="preserve">Κατανοούμε ότι για ορισμένους ανθρώπους, ιδίως σε περιφερειακές και απομακρυσμένες περιοχές, για τους τομείς της γεωργίας και των μεταφορών ή για το προσωπικό κρίσιμων υποδομών και υπηρεσιών, η διατήρηση της συνήθους χρήσης βενζίνης και ντίζελ είναι κρίσιμη. Η Αυστραλιανή Κυβέρνηση συνεχίζει να συνεργάζεται με τον κλάδο για να διασφαλίσει ότι τα καύσιμα φτάνουν εκεί που χρειάζονται. </w:t>
      </w:r>
    </w:p>
    <w:p w14:paraId="3987A6A0" w14:textId="77777777" w:rsidR="002E33FF" w:rsidRPr="00622635" w:rsidRDefault="00F27953" w:rsidP="00256D21">
      <w:pPr>
        <w:pStyle w:val="ListBullet2"/>
        <w:numPr>
          <w:ilvl w:val="1"/>
          <w:numId w:val="18"/>
        </w:numPr>
        <w:rPr>
          <w:color w:val="232222" w:themeColor="text1"/>
          <w:lang w:val="el"/>
        </w:rPr>
      </w:pPr>
      <w:r w:rsidRPr="007709E9">
        <w:rPr>
          <w:color w:val="232222" w:themeColor="text1"/>
          <w:lang w:val="el"/>
        </w:rPr>
        <w:t xml:space="preserve">Οποιαδήποτε ζητήματα εγκληματικότητας ή δημόσιας τάξης που σχετίζονται με την προμήθεια καυσίμων θα πρέπει να αναφέρονται στην Αστυνομία της Βικτώριας στο 000. </w:t>
      </w:r>
    </w:p>
    <w:p w14:paraId="241029FC" w14:textId="77777777" w:rsidR="00584BF1" w:rsidRPr="00622635" w:rsidRDefault="00F27953" w:rsidP="00256D21">
      <w:pPr>
        <w:pStyle w:val="ListBullet2"/>
        <w:numPr>
          <w:ilvl w:val="1"/>
          <w:numId w:val="18"/>
        </w:numPr>
        <w:rPr>
          <w:color w:val="232222" w:themeColor="text1"/>
          <w:lang w:val="el"/>
        </w:rPr>
      </w:pPr>
      <w:r w:rsidRPr="007709E9">
        <w:rPr>
          <w:color w:val="232222" w:themeColor="text1"/>
          <w:lang w:val="el"/>
        </w:rPr>
        <w:t xml:space="preserve">Οι κάτοικοι της Βικτώριας ενθαρρύνονται να χρησιμοποιούν τις δημόσιες συγκοινωνίες όπου είναι δυνατόν, ώστε να συμβάλλουν στην εξοικονόμηση καυσίμων για τις περιφερειακές περιοχές. </w:t>
      </w:r>
    </w:p>
    <w:p w14:paraId="1B277008" w14:textId="77777777" w:rsidR="002E33FF" w:rsidRPr="00622635" w:rsidRDefault="002E33FF" w:rsidP="002E33FF">
      <w:pPr>
        <w:rPr>
          <w:color w:val="232222" w:themeColor="text1"/>
          <w:lang w:val="el"/>
        </w:rPr>
      </w:pPr>
    </w:p>
    <w:p w14:paraId="5301A152" w14:textId="7E4FA7F1" w:rsidR="00584BF1" w:rsidRPr="00622635" w:rsidRDefault="00F27953" w:rsidP="007709BB">
      <w:pPr>
        <w:rPr>
          <w:color w:val="232222" w:themeColor="text1"/>
          <w:lang w:val="el"/>
        </w:rPr>
      </w:pPr>
      <w:r w:rsidRPr="007709E9">
        <w:rPr>
          <w:color w:val="232222" w:themeColor="text1"/>
          <w:lang w:val="el"/>
        </w:rPr>
        <w:t xml:space="preserve">Για να ενημερώνεστε για τα τελευταία νέα σχετικά με την προμήθεια καυσίμων, επισκεφθείτε τη διεύθυνση </w:t>
      </w:r>
      <w:hyperlink r:id="rId27" w:history="1">
        <w:r w:rsidRPr="00622635">
          <w:rPr>
            <w:rStyle w:val="Hyperlink"/>
            <w:lang w:val="el"/>
          </w:rPr>
          <w:t>vic.gov.au/fuel-supply</w:t>
        </w:r>
      </w:hyperlink>
      <w:r w:rsidRPr="007709E9">
        <w:rPr>
          <w:color w:val="232222" w:themeColor="text1"/>
          <w:lang w:val="el"/>
        </w:rPr>
        <w:t xml:space="preserve">.  </w:t>
      </w:r>
    </w:p>
    <w:sectPr w:rsidR="00584BF1" w:rsidRPr="00622635" w:rsidSect="007425C9">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2668" w14:textId="77777777" w:rsidR="00AD0243" w:rsidRDefault="00AD0243" w:rsidP="00CD157B">
      <w:pPr>
        <w:pStyle w:val="NoSpacing"/>
      </w:pPr>
    </w:p>
    <w:p w14:paraId="4F344CE8" w14:textId="77777777" w:rsidR="00AD0243" w:rsidRDefault="00AD0243"/>
  </w:endnote>
  <w:endnote w:type="continuationSeparator" w:id="0">
    <w:p w14:paraId="0C179348" w14:textId="77777777" w:rsidR="00AD0243" w:rsidRDefault="00AD0243" w:rsidP="00CD157B">
      <w:pPr>
        <w:pStyle w:val="NoSpacing"/>
      </w:pPr>
    </w:p>
    <w:p w14:paraId="7F79FAF5" w14:textId="77777777" w:rsidR="00AD0243" w:rsidRDefault="00AD0243"/>
  </w:endnote>
  <w:endnote w:type="continuationNotice" w:id="1">
    <w:p w14:paraId="0729ED7E" w14:textId="77777777" w:rsidR="00AD0243" w:rsidRDefault="00AD0243" w:rsidP="00CD157B">
      <w:pPr>
        <w:pStyle w:val="NoSpacing"/>
      </w:pPr>
    </w:p>
    <w:p w14:paraId="6E889F30" w14:textId="77777777" w:rsidR="00AD0243" w:rsidRDefault="00AD0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FD0F" w14:textId="7C8FB75B" w:rsidR="00E616F2" w:rsidRDefault="00E616F2">
    <w:pPr>
      <w:pStyle w:val="Footer"/>
    </w:pPr>
    <w:r w:rsidRPr="00E616F2">
      <w:t>Greek | Ελληνικά</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01E8" w14:textId="77777777" w:rsidR="00E616F2" w:rsidRDefault="00E61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0A53" w14:textId="77777777" w:rsidR="00E616F2" w:rsidRDefault="00E61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05C6" w14:textId="77777777" w:rsidR="00AD0243" w:rsidRPr="0056073C" w:rsidRDefault="00AD0243" w:rsidP="005D764F">
      <w:pPr>
        <w:pStyle w:val="FootnoteSeparator"/>
      </w:pPr>
    </w:p>
    <w:p w14:paraId="7B2D3FEA" w14:textId="77777777" w:rsidR="00AD0243" w:rsidRDefault="00AD0243"/>
  </w:footnote>
  <w:footnote w:type="continuationSeparator" w:id="0">
    <w:p w14:paraId="3D064030" w14:textId="77777777" w:rsidR="00AD0243" w:rsidRPr="00CA30B7" w:rsidRDefault="00AD0243" w:rsidP="006D5A90">
      <w:pPr>
        <w:rPr>
          <w:lang w:val="en-US"/>
        </w:rPr>
      </w:pPr>
      <w:r w:rsidRPr="00CA30B7">
        <w:rPr>
          <w:lang w:val="en-US"/>
        </w:rPr>
        <w:t>_______</w:t>
      </w:r>
    </w:p>
    <w:p w14:paraId="33D95372" w14:textId="77777777" w:rsidR="00AD0243" w:rsidRDefault="00AD0243"/>
  </w:footnote>
  <w:footnote w:type="continuationNotice" w:id="1">
    <w:p w14:paraId="78F828B3" w14:textId="77777777" w:rsidR="00AD0243" w:rsidRDefault="00AD0243" w:rsidP="006D5A90"/>
    <w:p w14:paraId="633E5216" w14:textId="77777777" w:rsidR="00AD0243" w:rsidRDefault="00AD02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C41D" w14:textId="77777777" w:rsidR="00E616F2" w:rsidRDefault="00E61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2C18" w14:textId="77777777" w:rsidR="00CD157B" w:rsidRPr="00CD157B" w:rsidRDefault="00F27953" w:rsidP="00CD157B">
    <w:pPr>
      <w:pStyle w:val="Header"/>
    </w:pPr>
    <w:r w:rsidRPr="002D38FC">
      <w:t xml:space="preserve"> </w:t>
    </w:r>
    <w:r w:rsidR="00484CC4" w:rsidRPr="00484CC4">
      <w:rPr>
        <w:noProof/>
      </w:rPr>
      <mc:AlternateContent>
        <mc:Choice Requires="wps">
          <w:drawing>
            <wp:anchor distT="0" distB="0" distL="114300" distR="114300" simplePos="0" relativeHeight="251660288" behindDoc="0" locked="1" layoutInCell="1" allowOverlap="1" wp14:anchorId="7BF38E99" wp14:editId="49B282BC">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F39A72" id="Hdr_Element6" o:spid="_x0000_s1026" alt="&quot;&quot;" style="position:absolute;margin-left:512.5pt;margin-top:0;width:83.05pt;height:3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72ce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604E4993" wp14:editId="36698018">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FA9A5B"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2336" behindDoc="0" locked="1" layoutInCell="1" allowOverlap="1" wp14:anchorId="0863DD95" wp14:editId="7A384DD4">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D08990" id="Hdr_Element4" o:spid="_x0000_s1026" alt="&quot;&quot;" style="position:absolute;margin-left:363.9pt;margin-top:0;width:115.65pt;height:35.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4384" behindDoc="0" locked="1" layoutInCell="1" allowOverlap="1" wp14:anchorId="5D0EC0C4" wp14:editId="1A05F7B2">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8D4D8B" id="Hdr_Element5" o:spid="_x0000_s1026" alt="&quot;&quot;" style="position:absolute;margin-left:463.3pt;margin-top:0;width:66.05pt;height:35.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71FC2EFE" wp14:editId="72A3C37A">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61D840" id="Hdr_Element2" o:spid="_x0000_s1026" alt="&quot;&quot;" style="position:absolute;margin-left:297.65pt;margin-top:0;width:82.7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ea7200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0F8F0D3E" wp14:editId="7DFBC8FA">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B0FDB8"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87ED" w14:textId="77777777" w:rsidR="00E616F2" w:rsidRDefault="00E61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42A364C"/>
    <w:multiLevelType w:val="multilevel"/>
    <w:tmpl w:val="97508594"/>
    <w:lvl w:ilvl="0">
      <w:start w:val="1"/>
      <w:numFmt w:val="bullet"/>
      <w:lvlText w:val=""/>
      <w:lvlJc w:val="left"/>
      <w:pPr>
        <w:ind w:left="340" w:hanging="227"/>
      </w:pPr>
      <w:rPr>
        <w:rFonts w:ascii="Wingdings" w:hAnsi="Wingdings" w:hint="default"/>
        <w:color w:val="auto"/>
      </w:rPr>
    </w:lvl>
    <w:lvl w:ilvl="1">
      <w:start w:val="1"/>
      <w:numFmt w:val="bullet"/>
      <w:lvlText w:val=""/>
      <w:lvlJc w:val="left"/>
      <w:pPr>
        <w:ind w:left="700" w:hanging="360"/>
      </w:pPr>
      <w:rPr>
        <w:rFonts w:ascii="Symbol" w:hAnsi="Symbol" w:hint="default"/>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A961E44"/>
    <w:multiLevelType w:val="multilevel"/>
    <w:tmpl w:val="7F50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Παράρτημα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1DF56E79"/>
    <w:multiLevelType w:val="multilevel"/>
    <w:tmpl w:val="B9FA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014766"/>
    <w:multiLevelType w:val="multilevel"/>
    <w:tmpl w:val="3642D7F2"/>
    <w:styleLink w:val="MyHeadings"/>
    <w:lvl w:ilvl="0">
      <w:start w:val="1"/>
      <w:numFmt w:val="decimal"/>
      <w:suff w:val="space"/>
      <w:lvlText w:val="Πίνακας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A310643"/>
    <w:multiLevelType w:val="multilevel"/>
    <w:tmpl w:val="0E96087C"/>
    <w:lvl w:ilvl="0">
      <w:start w:val="1"/>
      <w:numFmt w:val="none"/>
      <w:pStyle w:val="Source"/>
      <w:lvlText w:val="Πηγή:"/>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82144FA"/>
    <w:multiLevelType w:val="multilevel"/>
    <w:tmpl w:val="DEA0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255CAF10">
      <w:start w:val="1"/>
      <w:numFmt w:val="bullet"/>
      <w:lvlText w:val=""/>
      <w:lvlJc w:val="left"/>
      <w:pPr>
        <w:ind w:left="947" w:hanging="360"/>
      </w:pPr>
      <w:rPr>
        <w:rFonts w:ascii="Wingdings" w:hAnsi="Wingdings" w:hint="default"/>
      </w:rPr>
    </w:lvl>
    <w:lvl w:ilvl="1" w:tplc="68A4DC38" w:tentative="1">
      <w:start w:val="1"/>
      <w:numFmt w:val="bullet"/>
      <w:lvlText w:val="o"/>
      <w:lvlJc w:val="left"/>
      <w:pPr>
        <w:ind w:left="1667" w:hanging="360"/>
      </w:pPr>
      <w:rPr>
        <w:rFonts w:ascii="Courier New" w:hAnsi="Courier New" w:cs="Courier New" w:hint="default"/>
      </w:rPr>
    </w:lvl>
    <w:lvl w:ilvl="2" w:tplc="F44477D2" w:tentative="1">
      <w:start w:val="1"/>
      <w:numFmt w:val="bullet"/>
      <w:lvlText w:val=""/>
      <w:lvlJc w:val="left"/>
      <w:pPr>
        <w:ind w:left="2387" w:hanging="360"/>
      </w:pPr>
      <w:rPr>
        <w:rFonts w:ascii="Wingdings" w:hAnsi="Wingdings" w:hint="default"/>
      </w:rPr>
    </w:lvl>
    <w:lvl w:ilvl="3" w:tplc="0D643944" w:tentative="1">
      <w:start w:val="1"/>
      <w:numFmt w:val="bullet"/>
      <w:lvlText w:val=""/>
      <w:lvlJc w:val="left"/>
      <w:pPr>
        <w:ind w:left="3107" w:hanging="360"/>
      </w:pPr>
      <w:rPr>
        <w:rFonts w:ascii="Symbol" w:hAnsi="Symbol" w:hint="default"/>
      </w:rPr>
    </w:lvl>
    <w:lvl w:ilvl="4" w:tplc="5374170E" w:tentative="1">
      <w:start w:val="1"/>
      <w:numFmt w:val="bullet"/>
      <w:lvlText w:val="o"/>
      <w:lvlJc w:val="left"/>
      <w:pPr>
        <w:ind w:left="3827" w:hanging="360"/>
      </w:pPr>
      <w:rPr>
        <w:rFonts w:ascii="Courier New" w:hAnsi="Courier New" w:cs="Courier New" w:hint="default"/>
      </w:rPr>
    </w:lvl>
    <w:lvl w:ilvl="5" w:tplc="C6C888B6" w:tentative="1">
      <w:start w:val="1"/>
      <w:numFmt w:val="bullet"/>
      <w:lvlText w:val=""/>
      <w:lvlJc w:val="left"/>
      <w:pPr>
        <w:ind w:left="4547" w:hanging="360"/>
      </w:pPr>
      <w:rPr>
        <w:rFonts w:ascii="Wingdings" w:hAnsi="Wingdings" w:hint="default"/>
      </w:rPr>
    </w:lvl>
    <w:lvl w:ilvl="6" w:tplc="20F00C18" w:tentative="1">
      <w:start w:val="1"/>
      <w:numFmt w:val="bullet"/>
      <w:lvlText w:val=""/>
      <w:lvlJc w:val="left"/>
      <w:pPr>
        <w:ind w:left="5267" w:hanging="360"/>
      </w:pPr>
      <w:rPr>
        <w:rFonts w:ascii="Symbol" w:hAnsi="Symbol" w:hint="default"/>
      </w:rPr>
    </w:lvl>
    <w:lvl w:ilvl="7" w:tplc="3F1A4BAA" w:tentative="1">
      <w:start w:val="1"/>
      <w:numFmt w:val="bullet"/>
      <w:lvlText w:val="o"/>
      <w:lvlJc w:val="left"/>
      <w:pPr>
        <w:ind w:left="5987" w:hanging="360"/>
      </w:pPr>
      <w:rPr>
        <w:rFonts w:ascii="Courier New" w:hAnsi="Courier New" w:cs="Courier New" w:hint="default"/>
      </w:rPr>
    </w:lvl>
    <w:lvl w:ilvl="8" w:tplc="10F01D9E"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Συνημμένο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1617F0E"/>
    <w:multiLevelType w:val="multilevel"/>
    <w:tmpl w:val="45D46074"/>
    <w:lvl w:ilvl="0">
      <w:start w:val="1"/>
      <w:numFmt w:val="bullet"/>
      <w:lvlText w:val=""/>
      <w:lvlJc w:val="left"/>
      <w:pPr>
        <w:ind w:left="340" w:hanging="227"/>
      </w:pPr>
      <w:rPr>
        <w:rFonts w:ascii="Wingdings" w:hAnsi="Wingdings" w:hint="default"/>
        <w:color w:val="auto"/>
      </w:rPr>
    </w:lvl>
    <w:lvl w:ilvl="1">
      <w:start w:val="1"/>
      <w:numFmt w:val="bullet"/>
      <w:lvlText w:val=""/>
      <w:lvlJc w:val="left"/>
      <w:pPr>
        <w:ind w:left="700" w:hanging="360"/>
      </w:pPr>
      <w:rPr>
        <w:rFonts w:ascii="Symbol" w:hAnsi="Symbol" w:hint="default"/>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8" w15:restartNumberingAfterBreak="0">
    <w:nsid w:val="63C13016"/>
    <w:multiLevelType w:val="hybridMultilevel"/>
    <w:tmpl w:val="14B81362"/>
    <w:lvl w:ilvl="0" w:tplc="8FBA3DB6">
      <w:start w:val="1"/>
      <w:numFmt w:val="bullet"/>
      <w:lvlText w:val=""/>
      <w:lvlJc w:val="left"/>
      <w:pPr>
        <w:ind w:left="720" w:hanging="360"/>
      </w:pPr>
      <w:rPr>
        <w:rFonts w:ascii="Symbol" w:hAnsi="Symbol" w:hint="default"/>
      </w:rPr>
    </w:lvl>
    <w:lvl w:ilvl="1" w:tplc="F48C3864">
      <w:start w:val="1"/>
      <w:numFmt w:val="bullet"/>
      <w:lvlText w:val="o"/>
      <w:lvlJc w:val="left"/>
      <w:pPr>
        <w:ind w:left="1440" w:hanging="360"/>
      </w:pPr>
      <w:rPr>
        <w:rFonts w:ascii="Courier New" w:hAnsi="Courier New" w:cs="Courier New" w:hint="default"/>
      </w:rPr>
    </w:lvl>
    <w:lvl w:ilvl="2" w:tplc="B060D700" w:tentative="1">
      <w:start w:val="1"/>
      <w:numFmt w:val="bullet"/>
      <w:lvlText w:val=""/>
      <w:lvlJc w:val="left"/>
      <w:pPr>
        <w:ind w:left="2160" w:hanging="360"/>
      </w:pPr>
      <w:rPr>
        <w:rFonts w:ascii="Wingdings" w:hAnsi="Wingdings" w:hint="default"/>
      </w:rPr>
    </w:lvl>
    <w:lvl w:ilvl="3" w:tplc="AD089A94" w:tentative="1">
      <w:start w:val="1"/>
      <w:numFmt w:val="bullet"/>
      <w:lvlText w:val=""/>
      <w:lvlJc w:val="left"/>
      <w:pPr>
        <w:ind w:left="2880" w:hanging="360"/>
      </w:pPr>
      <w:rPr>
        <w:rFonts w:ascii="Symbol" w:hAnsi="Symbol" w:hint="default"/>
      </w:rPr>
    </w:lvl>
    <w:lvl w:ilvl="4" w:tplc="A9022B9E" w:tentative="1">
      <w:start w:val="1"/>
      <w:numFmt w:val="bullet"/>
      <w:lvlText w:val="o"/>
      <w:lvlJc w:val="left"/>
      <w:pPr>
        <w:ind w:left="3600" w:hanging="360"/>
      </w:pPr>
      <w:rPr>
        <w:rFonts w:ascii="Courier New" w:hAnsi="Courier New" w:cs="Courier New" w:hint="default"/>
      </w:rPr>
    </w:lvl>
    <w:lvl w:ilvl="5" w:tplc="A2C60308" w:tentative="1">
      <w:start w:val="1"/>
      <w:numFmt w:val="bullet"/>
      <w:lvlText w:val=""/>
      <w:lvlJc w:val="left"/>
      <w:pPr>
        <w:ind w:left="4320" w:hanging="360"/>
      </w:pPr>
      <w:rPr>
        <w:rFonts w:ascii="Wingdings" w:hAnsi="Wingdings" w:hint="default"/>
      </w:rPr>
    </w:lvl>
    <w:lvl w:ilvl="6" w:tplc="842622CE" w:tentative="1">
      <w:start w:val="1"/>
      <w:numFmt w:val="bullet"/>
      <w:lvlText w:val=""/>
      <w:lvlJc w:val="left"/>
      <w:pPr>
        <w:ind w:left="5040" w:hanging="360"/>
      </w:pPr>
      <w:rPr>
        <w:rFonts w:ascii="Symbol" w:hAnsi="Symbol" w:hint="default"/>
      </w:rPr>
    </w:lvl>
    <w:lvl w:ilvl="7" w:tplc="C480FE44" w:tentative="1">
      <w:start w:val="1"/>
      <w:numFmt w:val="bullet"/>
      <w:lvlText w:val="o"/>
      <w:lvlJc w:val="left"/>
      <w:pPr>
        <w:ind w:left="5760" w:hanging="360"/>
      </w:pPr>
      <w:rPr>
        <w:rFonts w:ascii="Courier New" w:hAnsi="Courier New" w:cs="Courier New" w:hint="default"/>
      </w:rPr>
    </w:lvl>
    <w:lvl w:ilvl="8" w:tplc="3126D256" w:tentative="1">
      <w:start w:val="1"/>
      <w:numFmt w:val="bullet"/>
      <w:lvlText w:val=""/>
      <w:lvlJc w:val="left"/>
      <w:pPr>
        <w:ind w:left="6480" w:hanging="360"/>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D284207"/>
    <w:multiLevelType w:val="multilevel"/>
    <w:tmpl w:val="4A260B64"/>
    <w:name w:val="Lst_HighlightBullets"/>
    <w:lvl w:ilvl="0">
      <w:start w:val="1"/>
      <w:numFmt w:val="bullet"/>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937561629">
    <w:abstractNumId w:val="11"/>
  </w:num>
  <w:num w:numId="2" w16cid:durableId="963729174">
    <w:abstractNumId w:val="35"/>
  </w:num>
  <w:num w:numId="3" w16cid:durableId="2016347917">
    <w:abstractNumId w:val="9"/>
  </w:num>
  <w:num w:numId="4" w16cid:durableId="1285691432">
    <w:abstractNumId w:val="12"/>
  </w:num>
  <w:num w:numId="5" w16cid:durableId="286280398">
    <w:abstractNumId w:val="22"/>
  </w:num>
  <w:num w:numId="6" w16cid:durableId="838889306">
    <w:abstractNumId w:val="0"/>
  </w:num>
  <w:num w:numId="7" w16cid:durableId="352849382">
    <w:abstractNumId w:val="24"/>
  </w:num>
  <w:num w:numId="8" w16cid:durableId="772475684">
    <w:abstractNumId w:val="26"/>
  </w:num>
  <w:num w:numId="9" w16cid:durableId="1550921818">
    <w:abstractNumId w:val="23"/>
  </w:num>
  <w:num w:numId="10" w16cid:durableId="1835949232">
    <w:abstractNumId w:val="33"/>
  </w:num>
  <w:num w:numId="11" w16cid:durableId="995959894">
    <w:abstractNumId w:val="25"/>
  </w:num>
  <w:num w:numId="12" w16cid:durableId="1942645571">
    <w:abstractNumId w:val="15"/>
  </w:num>
  <w:num w:numId="13" w16cid:durableId="1453983782">
    <w:abstractNumId w:val="44"/>
  </w:num>
  <w:num w:numId="14" w16cid:durableId="584263349">
    <w:abstractNumId w:val="41"/>
  </w:num>
  <w:num w:numId="15" w16cid:durableId="886532207">
    <w:abstractNumId w:val="10"/>
  </w:num>
  <w:num w:numId="16" w16cid:durableId="1182931599">
    <w:abstractNumId w:val="8"/>
  </w:num>
  <w:num w:numId="17" w16cid:durableId="818617782">
    <w:abstractNumId w:val="29"/>
  </w:num>
  <w:num w:numId="18" w16cid:durableId="178854707">
    <w:abstractNumId w:val="6"/>
  </w:num>
  <w:num w:numId="19" w16cid:durableId="1823959736">
    <w:abstractNumId w:val="36"/>
  </w:num>
  <w:num w:numId="20" w16cid:durableId="1449659291">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hyphenationZone w:val="283"/>
  <w:evenAndOddHeaders/>
  <w:drawingGridHorizontalSpacing w:val="110"/>
  <w:displayHorizontalDrawingGridEvery w:val="2"/>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ergy"/>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EA4205"/>
    <w:rsid w:val="00000194"/>
    <w:rsid w:val="00000812"/>
    <w:rsid w:val="00000901"/>
    <w:rsid w:val="00001D81"/>
    <w:rsid w:val="00002691"/>
    <w:rsid w:val="00003260"/>
    <w:rsid w:val="000035F6"/>
    <w:rsid w:val="00004327"/>
    <w:rsid w:val="00004810"/>
    <w:rsid w:val="00004A68"/>
    <w:rsid w:val="00004E3F"/>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978"/>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1A75"/>
    <w:rsid w:val="0003300C"/>
    <w:rsid w:val="000332EC"/>
    <w:rsid w:val="000337A3"/>
    <w:rsid w:val="000343D3"/>
    <w:rsid w:val="000346D1"/>
    <w:rsid w:val="00034E7A"/>
    <w:rsid w:val="0003543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7AD"/>
    <w:rsid w:val="00053C58"/>
    <w:rsid w:val="00053CC3"/>
    <w:rsid w:val="00054A64"/>
    <w:rsid w:val="0005566D"/>
    <w:rsid w:val="0005578D"/>
    <w:rsid w:val="00055A62"/>
    <w:rsid w:val="00055FA3"/>
    <w:rsid w:val="00056024"/>
    <w:rsid w:val="000574CC"/>
    <w:rsid w:val="000574DD"/>
    <w:rsid w:val="00057EB4"/>
    <w:rsid w:val="00060778"/>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32"/>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E2E"/>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75"/>
    <w:rsid w:val="001945C8"/>
    <w:rsid w:val="00194787"/>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35D7"/>
    <w:rsid w:val="001F44D3"/>
    <w:rsid w:val="001F45F0"/>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7E2"/>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18A"/>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6D21"/>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C9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3FF"/>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289"/>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3DB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B44"/>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2D97"/>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1AAC"/>
    <w:rsid w:val="00392593"/>
    <w:rsid w:val="00392B47"/>
    <w:rsid w:val="00392F4B"/>
    <w:rsid w:val="00393FAA"/>
    <w:rsid w:val="0039415F"/>
    <w:rsid w:val="00394307"/>
    <w:rsid w:val="0039477E"/>
    <w:rsid w:val="00394873"/>
    <w:rsid w:val="003948BD"/>
    <w:rsid w:val="00395144"/>
    <w:rsid w:val="003954A4"/>
    <w:rsid w:val="003967ED"/>
    <w:rsid w:val="00396C39"/>
    <w:rsid w:val="00396D03"/>
    <w:rsid w:val="003970D2"/>
    <w:rsid w:val="003972D7"/>
    <w:rsid w:val="003972DF"/>
    <w:rsid w:val="003975FB"/>
    <w:rsid w:val="003978F8"/>
    <w:rsid w:val="003A025B"/>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2D6"/>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A9C"/>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6FEA"/>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2C87"/>
    <w:rsid w:val="00413AAE"/>
    <w:rsid w:val="004142AC"/>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544"/>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D29"/>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16"/>
    <w:rsid w:val="004D7626"/>
    <w:rsid w:val="004D76BB"/>
    <w:rsid w:val="004D7A0D"/>
    <w:rsid w:val="004E0399"/>
    <w:rsid w:val="004E062C"/>
    <w:rsid w:val="004E08E2"/>
    <w:rsid w:val="004E0E3E"/>
    <w:rsid w:val="004E1CE0"/>
    <w:rsid w:val="004E212F"/>
    <w:rsid w:val="004E22A8"/>
    <w:rsid w:val="004E236D"/>
    <w:rsid w:val="004E283A"/>
    <w:rsid w:val="004E2E7E"/>
    <w:rsid w:val="004E3F1F"/>
    <w:rsid w:val="004E44D3"/>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7B4"/>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819"/>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882"/>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47DFE"/>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BF1"/>
    <w:rsid w:val="00584C06"/>
    <w:rsid w:val="00585205"/>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D28"/>
    <w:rsid w:val="00596F6F"/>
    <w:rsid w:val="0059706F"/>
    <w:rsid w:val="00597959"/>
    <w:rsid w:val="00597C60"/>
    <w:rsid w:val="005A018A"/>
    <w:rsid w:val="005A09FD"/>
    <w:rsid w:val="005A0F88"/>
    <w:rsid w:val="005A10DF"/>
    <w:rsid w:val="005A135A"/>
    <w:rsid w:val="005A187B"/>
    <w:rsid w:val="005A22DE"/>
    <w:rsid w:val="005A2B11"/>
    <w:rsid w:val="005A2FCF"/>
    <w:rsid w:val="005A3440"/>
    <w:rsid w:val="005A38D8"/>
    <w:rsid w:val="005A46E2"/>
    <w:rsid w:val="005A4EF4"/>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635"/>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1AD"/>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FF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29FC"/>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3F03"/>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1FD"/>
    <w:rsid w:val="0070548B"/>
    <w:rsid w:val="007059EA"/>
    <w:rsid w:val="00705C2C"/>
    <w:rsid w:val="00705D34"/>
    <w:rsid w:val="00706311"/>
    <w:rsid w:val="00706362"/>
    <w:rsid w:val="0070638A"/>
    <w:rsid w:val="007066EA"/>
    <w:rsid w:val="0070708F"/>
    <w:rsid w:val="00707769"/>
    <w:rsid w:val="007077B6"/>
    <w:rsid w:val="0071015D"/>
    <w:rsid w:val="00710906"/>
    <w:rsid w:val="00710EF1"/>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394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9BB"/>
    <w:rsid w:val="007709E9"/>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8AC"/>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31D"/>
    <w:rsid w:val="007D3482"/>
    <w:rsid w:val="007D34FE"/>
    <w:rsid w:val="007D3777"/>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56B"/>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AFB"/>
    <w:rsid w:val="00806F9D"/>
    <w:rsid w:val="00807484"/>
    <w:rsid w:val="008078A9"/>
    <w:rsid w:val="00810747"/>
    <w:rsid w:val="0081135E"/>
    <w:rsid w:val="00811C69"/>
    <w:rsid w:val="00811EFC"/>
    <w:rsid w:val="00812114"/>
    <w:rsid w:val="00812255"/>
    <w:rsid w:val="008122A0"/>
    <w:rsid w:val="0081248C"/>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5A2"/>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544"/>
    <w:rsid w:val="0089760C"/>
    <w:rsid w:val="008A0667"/>
    <w:rsid w:val="008A0727"/>
    <w:rsid w:val="008A0940"/>
    <w:rsid w:val="008A0961"/>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0EE"/>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D3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84"/>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07FE0"/>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77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30B"/>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098"/>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1F8"/>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1F33"/>
    <w:rsid w:val="00A32329"/>
    <w:rsid w:val="00A32440"/>
    <w:rsid w:val="00A3273D"/>
    <w:rsid w:val="00A32C09"/>
    <w:rsid w:val="00A33520"/>
    <w:rsid w:val="00A337AC"/>
    <w:rsid w:val="00A356B2"/>
    <w:rsid w:val="00A357C2"/>
    <w:rsid w:val="00A35D0A"/>
    <w:rsid w:val="00A3606E"/>
    <w:rsid w:val="00A368AC"/>
    <w:rsid w:val="00A36D9B"/>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D35"/>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243"/>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45E"/>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3EDD"/>
    <w:rsid w:val="00B2433C"/>
    <w:rsid w:val="00B246D4"/>
    <w:rsid w:val="00B263B3"/>
    <w:rsid w:val="00B26540"/>
    <w:rsid w:val="00B2684F"/>
    <w:rsid w:val="00B269AD"/>
    <w:rsid w:val="00B26D2C"/>
    <w:rsid w:val="00B26F9C"/>
    <w:rsid w:val="00B27393"/>
    <w:rsid w:val="00B307C0"/>
    <w:rsid w:val="00B30C90"/>
    <w:rsid w:val="00B31095"/>
    <w:rsid w:val="00B316A1"/>
    <w:rsid w:val="00B3211B"/>
    <w:rsid w:val="00B32123"/>
    <w:rsid w:val="00B32FD7"/>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063"/>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622"/>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5AEC"/>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B2A"/>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53E"/>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CEC"/>
    <w:rsid w:val="00C47E51"/>
    <w:rsid w:val="00C503CB"/>
    <w:rsid w:val="00C506AA"/>
    <w:rsid w:val="00C50C02"/>
    <w:rsid w:val="00C5185F"/>
    <w:rsid w:val="00C51BF8"/>
    <w:rsid w:val="00C52818"/>
    <w:rsid w:val="00C52EF1"/>
    <w:rsid w:val="00C535D4"/>
    <w:rsid w:val="00C53E10"/>
    <w:rsid w:val="00C5482D"/>
    <w:rsid w:val="00C54AF2"/>
    <w:rsid w:val="00C5510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1B"/>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F7E"/>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40"/>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305"/>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2BD"/>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E3F"/>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39"/>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A"/>
    <w:rsid w:val="00DB534F"/>
    <w:rsid w:val="00DB63E7"/>
    <w:rsid w:val="00DB675D"/>
    <w:rsid w:val="00DB7D08"/>
    <w:rsid w:val="00DC006B"/>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7F7"/>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154"/>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166"/>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1F7"/>
    <w:rsid w:val="00E53ADF"/>
    <w:rsid w:val="00E53BCD"/>
    <w:rsid w:val="00E5409A"/>
    <w:rsid w:val="00E54D85"/>
    <w:rsid w:val="00E56B40"/>
    <w:rsid w:val="00E56CE6"/>
    <w:rsid w:val="00E5717B"/>
    <w:rsid w:val="00E571CA"/>
    <w:rsid w:val="00E578E2"/>
    <w:rsid w:val="00E5799B"/>
    <w:rsid w:val="00E60556"/>
    <w:rsid w:val="00E60F93"/>
    <w:rsid w:val="00E616F2"/>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205"/>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1192"/>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3AF"/>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A33"/>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17A4D"/>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27953"/>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3A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1BF"/>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116"/>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496A"/>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3AAF"/>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72504"/>
  <w15:docId w15:val="{C455D469-8B94-4E73-BDF9-4FB838CE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232222"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Pr/>
      <w:tcPr>
        <w:shd w:val="clear" w:color="auto" w:fill="00559A" w:themeFill="accent1" w:themeFillShade="BF"/>
      </w:tc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FE2C7" w:themeFill="accent2" w:themeFillTint="33"/>
    </w:tcPr>
    <w:tblStylePr w:type="firstRow">
      <w:rPr>
        <w:b/>
        <w:bCs/>
      </w:rPr>
      <w:tblPr/>
      <w:tcPr>
        <w:shd w:val="clear" w:color="auto" w:fill="FFC690" w:themeFill="accent2" w:themeFillTint="66"/>
      </w:tcPr>
    </w:tblStylePr>
    <w:tblStylePr w:type="lastRow">
      <w:rPr>
        <w:b/>
        <w:bCs/>
        <w:color w:val="232222" w:themeColor="text1"/>
      </w:rPr>
      <w:tblPr/>
      <w:tcPr>
        <w:shd w:val="clear" w:color="auto" w:fill="FFC690" w:themeFill="accent2" w:themeFillTint="66"/>
      </w:tcPr>
    </w:tblStylePr>
    <w:tblStylePr w:type="firstCol">
      <w:rPr>
        <w:color w:val="FFFFFF" w:themeColor="background1"/>
      </w:rPr>
      <w:tblPr/>
      <w:tcPr>
        <w:shd w:val="clear" w:color="auto" w:fill="AF5500" w:themeFill="accent2" w:themeFillShade="BF"/>
      </w:tcPr>
    </w:tblStylePr>
    <w:tblStylePr w:type="lastCol">
      <w:rPr>
        <w:color w:val="FFFFFF" w:themeColor="background1"/>
      </w:rPr>
      <w:tblPr/>
      <w:tcPr>
        <w:shd w:val="clear" w:color="auto" w:fill="AF5500" w:themeFill="accent2" w:themeFillShade="BF"/>
      </w:tc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DF9" w:themeFill="accent5" w:themeFillTint="33"/>
    </w:tcPr>
    <w:tblStylePr w:type="firstRow">
      <w:rPr>
        <w:b/>
        <w:bCs/>
      </w:rPr>
      <w:tblPr/>
      <w:tcPr>
        <w:shd w:val="clear" w:color="auto" w:fill="C1DCF3" w:themeFill="accent5" w:themeFillTint="66"/>
      </w:tcPr>
    </w:tblStylePr>
    <w:tblStylePr w:type="lastRow">
      <w:rPr>
        <w:b/>
        <w:bCs/>
        <w:color w:val="232222" w:themeColor="text1"/>
      </w:rPr>
      <w:tblPr/>
      <w:tcPr>
        <w:shd w:val="clear" w:color="auto" w:fill="C1DCF3" w:themeFill="accent5" w:themeFillTint="66"/>
      </w:tcPr>
    </w:tblStylePr>
    <w:tblStylePr w:type="firstCol">
      <w:rPr>
        <w:color w:val="FFFFFF" w:themeColor="background1"/>
      </w:rPr>
      <w:tblPr/>
      <w:tcPr>
        <w:shd w:val="clear" w:color="auto" w:fill="2782CE" w:themeFill="accent5" w:themeFillShade="BF"/>
      </w:tcPr>
    </w:tblStylePr>
    <w:tblStylePr w:type="lastCol">
      <w:rPr>
        <w:color w:val="FFFFFF" w:themeColor="background1"/>
      </w:rPr>
      <w:tblPr/>
      <w:tcPr>
        <w:shd w:val="clear" w:color="auto" w:fill="2782CE" w:themeFill="accent5" w:themeFillShade="BF"/>
      </w:tc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CEEE0" w:themeFill="accent6" w:themeFillTint="33"/>
    </w:tcPr>
    <w:tblStylePr w:type="firstRow">
      <w:rPr>
        <w:b/>
        <w:bCs/>
      </w:rPr>
      <w:tblPr/>
      <w:tcPr>
        <w:shd w:val="clear" w:color="auto" w:fill="F9DDC1" w:themeFill="accent6" w:themeFillTint="66"/>
      </w:tcPr>
    </w:tblStylePr>
    <w:tblStylePr w:type="lastRow">
      <w:rPr>
        <w:b/>
        <w:bCs/>
        <w:color w:val="232222" w:themeColor="text1"/>
      </w:rPr>
      <w:tblPr/>
      <w:tcPr>
        <w:shd w:val="clear" w:color="auto" w:fill="F9DDC1" w:themeFill="accent6" w:themeFillTint="66"/>
      </w:tcPr>
    </w:tblStylePr>
    <w:tblStylePr w:type="firstCol">
      <w:rPr>
        <w:color w:val="FFFFFF" w:themeColor="background1"/>
      </w:rPr>
      <w:tblPr/>
      <w:tcPr>
        <w:shd w:val="clear" w:color="auto" w:fill="EB7E16" w:themeFill="accent6" w:themeFillShade="BF"/>
      </w:tcPr>
    </w:tblStylePr>
    <w:tblStylePr w:type="lastCol">
      <w:rPr>
        <w:color w:val="FFFFFF" w:themeColor="background1"/>
      </w:rPr>
      <w:tblPr/>
      <w:tcPr>
        <w:shd w:val="clear" w:color="auto" w:fill="EB7E16" w:themeFill="accent6" w:themeFillShade="BF"/>
      </w:tc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0E3" w:themeFill="accent2"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A" w:themeFill="accent2" w:themeFillTint="3F"/>
      </w:tcPr>
    </w:tblStylePr>
    <w:tblStylePr w:type="band1Horz">
      <w:tblPr/>
      <w:tcPr>
        <w:shd w:val="clear" w:color="auto" w:fill="FFE2C7"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6FC" w:themeFill="accent5" w:themeFillTint="19"/>
    </w:tcPr>
    <w:tblStylePr w:type="firstRow">
      <w:rPr>
        <w:b/>
        <w:bCs/>
        <w:color w:val="FFFFFF" w:themeColor="background1"/>
      </w:rPr>
      <w:tblPr/>
      <w:tcPr>
        <w:tcBorders>
          <w:bottom w:val="single" w:sz="12" w:space="0" w:color="FFFFFF" w:themeColor="background1"/>
        </w:tcBorders>
        <w:shd w:val="clear" w:color="auto" w:fill="EC8726" w:themeFill="accent6" w:themeFillShade="CC"/>
      </w:tcPr>
    </w:tblStylePr>
    <w:tblStylePr w:type="lastRow">
      <w:rPr>
        <w:b/>
        <w:bCs/>
        <w:color w:val="EC8726"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F7" w:themeFill="accent5" w:themeFillTint="3F"/>
      </w:tcPr>
    </w:tblStylePr>
    <w:tblStylePr w:type="band1Horz">
      <w:tblPr/>
      <w:tcPr>
        <w:shd w:val="clear" w:color="auto" w:fill="E0EDF9"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6EF" w:themeFill="accent6" w:themeFillTint="19"/>
    </w:tcPr>
    <w:tblStylePr w:type="firstRow">
      <w:rPr>
        <w:b/>
        <w:bCs/>
        <w:color w:val="FFFFFF" w:themeColor="background1"/>
      </w:rPr>
      <w:tblPr/>
      <w:tcPr>
        <w:tcBorders>
          <w:bottom w:val="single" w:sz="12" w:space="0" w:color="FFFFFF" w:themeColor="background1"/>
        </w:tcBorders>
        <w:shd w:val="clear" w:color="auto" w:fill="2E8AD7" w:themeFill="accent5" w:themeFillShade="CC"/>
      </w:tcPr>
    </w:tblStylePr>
    <w:tblStylePr w:type="lastRow">
      <w:rPr>
        <w:b/>
        <w:bCs/>
        <w:color w:val="2E8AD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D8" w:themeFill="accent6" w:themeFillTint="3F"/>
      </w:tcPr>
    </w:tblStylePr>
    <w:tblStylePr w:type="band1Horz">
      <w:tblPr/>
      <w:tcPr>
        <w:shd w:val="clear" w:color="auto" w:fill="FCEEE0"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EA720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EA7200" w:themeColor="accent2"/>
        <w:left w:val="single" w:sz="4" w:space="0" w:color="0072CE" w:themeColor="accent1"/>
        <w:bottom w:val="single" w:sz="4" w:space="0" w:color="0072CE" w:themeColor="accent1"/>
        <w:right w:val="single" w:sz="4" w:space="0" w:color="0072CE" w:themeColor="accent1"/>
        <w:insideH w:val="single" w:sz="4" w:space="0" w:color="FFFFFF" w:themeColor="background1"/>
        <w:insideV w:val="single" w:sz="4" w:space="0" w:color="FFFFFF" w:themeColor="background1"/>
      </w:tblBorders>
    </w:tblPr>
    <w:tcPr>
      <w:shd w:val="clear" w:color="auto" w:fill="E1F1FF" w:themeFill="accen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1" w:themeFillShade="99"/>
      </w:tcPr>
    </w:tblStylePr>
    <w:tblStylePr w:type="band1Vert">
      <w:tblPr/>
      <w:tcPr>
        <w:shd w:val="clear" w:color="auto" w:fill="85C8FF" w:themeFill="accent1" w:themeFillTint="66"/>
      </w:tcPr>
    </w:tblStylePr>
    <w:tblStylePr w:type="band1Horz">
      <w:tblPr/>
      <w:tcPr>
        <w:shd w:val="clear" w:color="auto" w:fill="67BB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EA7200" w:themeColor="accent2"/>
        <w:left w:val="single" w:sz="4" w:space="0" w:color="EA7200" w:themeColor="accent2"/>
        <w:bottom w:val="single" w:sz="4" w:space="0" w:color="EA7200" w:themeColor="accent2"/>
        <w:right w:val="single" w:sz="4" w:space="0" w:color="EA7200" w:themeColor="accent2"/>
        <w:insideH w:val="single" w:sz="4" w:space="0" w:color="FFFFFF" w:themeColor="background1"/>
        <w:insideV w:val="single" w:sz="4" w:space="0" w:color="FFFFFF" w:themeColor="background1"/>
      </w:tblBorders>
    </w:tblPr>
    <w:tcPr>
      <w:shd w:val="clear" w:color="auto" w:fill="FFF0E3" w:themeFill="accent2"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400" w:themeFill="accent2" w:themeFillShade="99"/>
      </w:tcPr>
    </w:tblStylePr>
    <w:tblStylePr w:type="firstCol">
      <w:rPr>
        <w:color w:val="FFFFFF" w:themeColor="background1"/>
      </w:rPr>
      <w:tblPr/>
      <w:tcPr>
        <w:tcBorders>
          <w:top w:val="nil"/>
          <w:left w:val="nil"/>
          <w:bottom w:val="nil"/>
          <w:right w:val="nil"/>
          <w:insideH w:val="single" w:sz="4" w:space="0" w:color="8C4400" w:themeColor="accent2" w:themeShade="99"/>
          <w:insideV w:val="nil"/>
        </w:tcBorders>
        <w:shd w:val="clear" w:color="auto" w:fill="8C4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4400" w:themeFill="accent2" w:themeFillShade="99"/>
      </w:tcPr>
    </w:tblStylePr>
    <w:tblStylePr w:type="band1Vert">
      <w:tblPr/>
      <w:tcPr>
        <w:shd w:val="clear" w:color="auto" w:fill="FFC690" w:themeFill="accent2" w:themeFillTint="66"/>
      </w:tcPr>
    </w:tblStylePr>
    <w:tblStylePr w:type="band1Horz">
      <w:tblPr/>
      <w:tcPr>
        <w:shd w:val="clear" w:color="auto" w:fill="FFB875"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F2AB66" w:themeColor="accent6"/>
        <w:left w:val="single" w:sz="4" w:space="0" w:color="66AAE2" w:themeColor="accent5"/>
        <w:bottom w:val="single" w:sz="4" w:space="0" w:color="66AAE2" w:themeColor="accent5"/>
        <w:right w:val="single" w:sz="4" w:space="0" w:color="66AAE2" w:themeColor="accent5"/>
        <w:insideH w:val="single" w:sz="4" w:space="0" w:color="FFFFFF" w:themeColor="background1"/>
        <w:insideV w:val="single" w:sz="4" w:space="0" w:color="FFFFFF" w:themeColor="background1"/>
      </w:tblBorders>
    </w:tblPr>
    <w:tcPr>
      <w:shd w:val="clear" w:color="auto" w:fill="EFF6FC" w:themeFill="accent5" w:themeFillTint="19"/>
    </w:tcPr>
    <w:tblStylePr w:type="firstRow">
      <w:rPr>
        <w:b/>
        <w:bCs/>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68A5" w:themeFill="accent5" w:themeFillShade="99"/>
      </w:tcPr>
    </w:tblStylePr>
    <w:tblStylePr w:type="firstCol">
      <w:rPr>
        <w:color w:val="FFFFFF" w:themeColor="background1"/>
      </w:rPr>
      <w:tblPr/>
      <w:tcPr>
        <w:tcBorders>
          <w:top w:val="nil"/>
          <w:left w:val="nil"/>
          <w:bottom w:val="nil"/>
          <w:right w:val="nil"/>
          <w:insideH w:val="single" w:sz="4" w:space="0" w:color="1F68A5" w:themeColor="accent5" w:themeShade="99"/>
          <w:insideV w:val="nil"/>
        </w:tcBorders>
        <w:shd w:val="clear" w:color="auto" w:fill="1F68A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68A5" w:themeFill="accent5" w:themeFillShade="99"/>
      </w:tcPr>
    </w:tblStylePr>
    <w:tblStylePr w:type="band1Vert">
      <w:tblPr/>
      <w:tcPr>
        <w:shd w:val="clear" w:color="auto" w:fill="C1DCF3" w:themeFill="accent5" w:themeFillTint="66"/>
      </w:tcPr>
    </w:tblStylePr>
    <w:tblStylePr w:type="band1Horz">
      <w:tblPr/>
      <w:tcPr>
        <w:shd w:val="clear" w:color="auto" w:fill="B2D4F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AAE2" w:themeColor="accent5"/>
        <w:left w:val="single" w:sz="4" w:space="0" w:color="F2AB66" w:themeColor="accent6"/>
        <w:bottom w:val="single" w:sz="4" w:space="0" w:color="F2AB66" w:themeColor="accent6"/>
        <w:right w:val="single" w:sz="4" w:space="0" w:color="F2AB66" w:themeColor="accent6"/>
        <w:insideH w:val="single" w:sz="4" w:space="0" w:color="FFFFFF" w:themeColor="background1"/>
        <w:insideV w:val="single" w:sz="4" w:space="0" w:color="FFFFFF" w:themeColor="background1"/>
      </w:tblBorders>
    </w:tblPr>
    <w:tcPr>
      <w:shd w:val="clear" w:color="auto" w:fill="FDF6EF" w:themeFill="accent6" w:themeFillTint="19"/>
    </w:tcPr>
    <w:tblStylePr w:type="firstRow">
      <w:rPr>
        <w:b/>
        <w:bCs/>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6510" w:themeFill="accent6" w:themeFillShade="99"/>
      </w:tcPr>
    </w:tblStylePr>
    <w:tblStylePr w:type="firstCol">
      <w:rPr>
        <w:color w:val="FFFFFF" w:themeColor="background1"/>
      </w:rPr>
      <w:tblPr/>
      <w:tcPr>
        <w:tcBorders>
          <w:top w:val="nil"/>
          <w:left w:val="nil"/>
          <w:bottom w:val="nil"/>
          <w:right w:val="nil"/>
          <w:insideH w:val="single" w:sz="4" w:space="0" w:color="BE6510" w:themeColor="accent6" w:themeShade="99"/>
          <w:insideV w:val="nil"/>
        </w:tcBorders>
        <w:shd w:val="clear" w:color="auto" w:fill="BE651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E6510" w:themeFill="accent6" w:themeFillShade="99"/>
      </w:tcPr>
    </w:tblStylePr>
    <w:tblStylePr w:type="band1Vert">
      <w:tblPr/>
      <w:tcPr>
        <w:shd w:val="clear" w:color="auto" w:fill="F9DDC1" w:themeFill="accent6" w:themeFillTint="66"/>
      </w:tcPr>
    </w:tblStylePr>
    <w:tblStylePr w:type="band1Horz">
      <w:tblPr/>
      <w:tcPr>
        <w:shd w:val="clear" w:color="auto" w:fill="F8D4B2"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tblStylePr w:type="band1Vert">
      <w:tblPr/>
      <w:tcPr>
        <w:tcBorders>
          <w:top w:val="nil"/>
          <w:left w:val="nil"/>
          <w:bottom w:val="nil"/>
          <w:right w:val="nil"/>
          <w:insideH w:val="nil"/>
          <w:insideV w:val="nil"/>
        </w:tcBorders>
        <w:shd w:val="clear" w:color="auto" w:fill="00559A" w:themeFill="accent1" w:themeFillShade="BF"/>
      </w:tcPr>
    </w:tblStylePr>
    <w:tblStylePr w:type="band1Horz">
      <w:tblPr/>
      <w:tcPr>
        <w:tcBorders>
          <w:top w:val="nil"/>
          <w:left w:val="nil"/>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EA72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438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5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5500" w:themeFill="accent2" w:themeFillShade="BF"/>
      </w:tcPr>
    </w:tblStylePr>
    <w:tblStylePr w:type="band1Vert">
      <w:tblPr/>
      <w:tcPr>
        <w:tcBorders>
          <w:top w:val="nil"/>
          <w:left w:val="nil"/>
          <w:bottom w:val="nil"/>
          <w:right w:val="nil"/>
          <w:insideH w:val="nil"/>
          <w:insideV w:val="nil"/>
        </w:tcBorders>
        <w:shd w:val="clear" w:color="auto" w:fill="AF5500" w:themeFill="accent2" w:themeFillShade="BF"/>
      </w:tcPr>
    </w:tblStylePr>
    <w:tblStylePr w:type="band1Horz">
      <w:tblPr/>
      <w:tcPr>
        <w:tcBorders>
          <w:top w:val="nil"/>
          <w:left w:val="nil"/>
          <w:bottom w:val="nil"/>
          <w:right w:val="nil"/>
          <w:insideH w:val="nil"/>
          <w:insideV w:val="nil"/>
        </w:tcBorders>
        <w:shd w:val="clear" w:color="auto" w:fill="AF5500"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AA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A568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82C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82CE" w:themeFill="accent5" w:themeFillShade="BF"/>
      </w:tcPr>
    </w:tblStylePr>
    <w:tblStylePr w:type="band1Vert">
      <w:tblPr/>
      <w:tcPr>
        <w:tcBorders>
          <w:top w:val="nil"/>
          <w:left w:val="nil"/>
          <w:bottom w:val="nil"/>
          <w:right w:val="nil"/>
          <w:insideH w:val="nil"/>
          <w:insideV w:val="nil"/>
        </w:tcBorders>
        <w:shd w:val="clear" w:color="auto" w:fill="2782CE" w:themeFill="accent5" w:themeFillShade="BF"/>
      </w:tcPr>
    </w:tblStylePr>
    <w:tblStylePr w:type="band1Horz">
      <w:tblPr/>
      <w:tcPr>
        <w:tcBorders>
          <w:top w:val="nil"/>
          <w:left w:val="nil"/>
          <w:bottom w:val="nil"/>
          <w:right w:val="nil"/>
          <w:insideH w:val="nil"/>
          <w:insideV w:val="nil"/>
        </w:tcBorders>
        <w:shd w:val="clear" w:color="auto" w:fill="2782CE"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F2AB6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54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7E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7E16" w:themeFill="accent6" w:themeFillShade="BF"/>
      </w:tcPr>
    </w:tblStylePr>
    <w:tblStylePr w:type="band1Vert">
      <w:tblPr/>
      <w:tcPr>
        <w:tcBorders>
          <w:top w:val="nil"/>
          <w:left w:val="nil"/>
          <w:bottom w:val="nil"/>
          <w:right w:val="nil"/>
          <w:insideH w:val="nil"/>
          <w:insideV w:val="nil"/>
        </w:tcBorders>
        <w:shd w:val="clear" w:color="auto" w:fill="EB7E16" w:themeFill="accent6" w:themeFillShade="BF"/>
      </w:tcPr>
    </w:tblStylePr>
    <w:tblStylePr w:type="band1Horz">
      <w:tblPr/>
      <w:tcPr>
        <w:tcBorders>
          <w:top w:val="nil"/>
          <w:left w:val="nil"/>
          <w:bottom w:val="nil"/>
          <w:right w:val="nil"/>
          <w:insideH w:val="nil"/>
          <w:insideV w:val="nil"/>
        </w:tcBorders>
        <w:shd w:val="clear" w:color="auto" w:fill="EB7E16"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FC690" w:themeColor="accent2" w:themeTint="66"/>
        <w:left w:val="single" w:sz="4" w:space="0" w:color="FFC690" w:themeColor="accent2" w:themeTint="66"/>
        <w:bottom w:val="single" w:sz="4" w:space="0" w:color="FFC690" w:themeColor="accent2" w:themeTint="66"/>
        <w:right w:val="single" w:sz="4" w:space="0" w:color="FFC690" w:themeColor="accent2" w:themeTint="66"/>
        <w:insideH w:val="single" w:sz="4" w:space="0" w:color="FFC690" w:themeColor="accent2" w:themeTint="66"/>
        <w:insideV w:val="single" w:sz="4" w:space="0" w:color="FFC690" w:themeColor="accent2" w:themeTint="66"/>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2" w:space="0" w:color="FFA95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CF3" w:themeColor="accent5" w:themeTint="66"/>
        <w:left w:val="single" w:sz="4" w:space="0" w:color="C1DCF3" w:themeColor="accent5" w:themeTint="66"/>
        <w:bottom w:val="single" w:sz="4" w:space="0" w:color="C1DCF3" w:themeColor="accent5" w:themeTint="66"/>
        <w:right w:val="single" w:sz="4" w:space="0" w:color="C1DCF3" w:themeColor="accent5" w:themeTint="66"/>
        <w:insideH w:val="single" w:sz="4" w:space="0" w:color="C1DCF3" w:themeColor="accent5" w:themeTint="66"/>
        <w:insideV w:val="single" w:sz="4" w:space="0" w:color="C1DCF3" w:themeColor="accent5" w:themeTint="66"/>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2" w:space="0" w:color="A3CB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9DDC1" w:themeColor="accent6" w:themeTint="66"/>
        <w:left w:val="single" w:sz="4" w:space="0" w:color="F9DDC1" w:themeColor="accent6" w:themeTint="66"/>
        <w:bottom w:val="single" w:sz="4" w:space="0" w:color="F9DDC1" w:themeColor="accent6" w:themeTint="66"/>
        <w:right w:val="single" w:sz="4" w:space="0" w:color="F9DDC1" w:themeColor="accent6" w:themeTint="66"/>
        <w:insideH w:val="single" w:sz="4" w:space="0" w:color="F9DDC1" w:themeColor="accent6" w:themeTint="66"/>
        <w:insideV w:val="single" w:sz="4" w:space="0" w:color="F9DDC1" w:themeColor="accent6" w:themeTint="66"/>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2" w:space="0" w:color="F7CCA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FA959" w:themeColor="accent2" w:themeTint="99"/>
        <w:bottom w:val="single" w:sz="2" w:space="0" w:color="FFA959" w:themeColor="accent2" w:themeTint="99"/>
        <w:insideH w:val="single" w:sz="2" w:space="0" w:color="FFA959" w:themeColor="accent2" w:themeTint="99"/>
        <w:insideV w:val="single" w:sz="2" w:space="0" w:color="FFA959" w:themeColor="accent2" w:themeTint="99"/>
      </w:tblBorders>
    </w:tblPr>
    <w:tblStylePr w:type="firstRow">
      <w:rPr>
        <w:b/>
        <w:bCs/>
      </w:rPr>
      <w:tblPr/>
      <w:tcPr>
        <w:tcBorders>
          <w:top w:val="nil"/>
          <w:bottom w:val="single" w:sz="12" w:space="0" w:color="FFA959" w:themeColor="accent2" w:themeTint="99"/>
          <w:insideH w:val="nil"/>
          <w:insideV w:val="nil"/>
        </w:tcBorders>
        <w:shd w:val="clear" w:color="auto" w:fill="FFFFFF" w:themeFill="background1"/>
      </w:tcPr>
    </w:tblStylePr>
    <w:tblStylePr w:type="lastRow">
      <w:rPr>
        <w:b/>
        <w:bCs/>
      </w:rPr>
      <w:tblPr/>
      <w:tcPr>
        <w:tcBorders>
          <w:top w:val="double" w:sz="2" w:space="0" w:color="FFA95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BED" w:themeColor="accent5" w:themeTint="99"/>
        <w:bottom w:val="single" w:sz="2" w:space="0" w:color="A3CBED" w:themeColor="accent5" w:themeTint="99"/>
        <w:insideH w:val="single" w:sz="2" w:space="0" w:color="A3CBED" w:themeColor="accent5" w:themeTint="99"/>
        <w:insideV w:val="single" w:sz="2" w:space="0" w:color="A3CBED" w:themeColor="accent5" w:themeTint="99"/>
      </w:tblBorders>
    </w:tblPr>
    <w:tblStylePr w:type="firstRow">
      <w:rPr>
        <w:b/>
        <w:bCs/>
      </w:rPr>
      <w:tblPr/>
      <w:tcPr>
        <w:tcBorders>
          <w:top w:val="nil"/>
          <w:bottom w:val="single" w:sz="12" w:space="0" w:color="A3CBED" w:themeColor="accent5" w:themeTint="99"/>
          <w:insideH w:val="nil"/>
          <w:insideV w:val="nil"/>
        </w:tcBorders>
        <w:shd w:val="clear" w:color="auto" w:fill="FFFFFF" w:themeFill="background1"/>
      </w:tcPr>
    </w:tblStylePr>
    <w:tblStylePr w:type="lastRow">
      <w:rPr>
        <w:b/>
        <w:bCs/>
      </w:rPr>
      <w:tblPr/>
      <w:tcPr>
        <w:tcBorders>
          <w:top w:val="double" w:sz="2" w:space="0" w:color="A3CB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7CCA3" w:themeColor="accent6" w:themeTint="99"/>
        <w:bottom w:val="single" w:sz="2" w:space="0" w:color="F7CCA3" w:themeColor="accent6" w:themeTint="99"/>
        <w:insideH w:val="single" w:sz="2" w:space="0" w:color="F7CCA3" w:themeColor="accent6" w:themeTint="99"/>
        <w:insideV w:val="single" w:sz="2" w:space="0" w:color="F7CCA3" w:themeColor="accent6" w:themeTint="99"/>
      </w:tblBorders>
    </w:tblPr>
    <w:tblStylePr w:type="firstRow">
      <w:rPr>
        <w:b/>
        <w:bCs/>
      </w:rPr>
      <w:tblPr/>
      <w:tcPr>
        <w:tcBorders>
          <w:top w:val="nil"/>
          <w:bottom w:val="single" w:sz="12" w:space="0" w:color="F7CCA3" w:themeColor="accent6" w:themeTint="99"/>
          <w:insideH w:val="nil"/>
          <w:insideV w:val="nil"/>
        </w:tcBorders>
        <w:shd w:val="clear" w:color="auto" w:fill="FFFFFF" w:themeFill="background1"/>
      </w:tcPr>
    </w:tblStylePr>
    <w:tblStylePr w:type="lastRow">
      <w:rPr>
        <w:b/>
        <w:bCs/>
      </w:rPr>
      <w:tblPr/>
      <w:tcPr>
        <w:tcBorders>
          <w:top w:val="double" w:sz="2" w:space="0" w:color="F7CCA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insideV w:val="nil"/>
        </w:tcBorders>
        <w:shd w:val="clear" w:color="auto" w:fill="EA7200" w:themeFill="accent2"/>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insideV w:val="nil"/>
        </w:tcBorders>
        <w:shd w:val="clear" w:color="auto" w:fill="66AAE2" w:themeFill="accent5"/>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insideV w:val="nil"/>
        </w:tcBorders>
        <w:shd w:val="clear" w:color="auto" w:fill="F2AB66" w:themeFill="accent6"/>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2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2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2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200" w:themeFill="accent2"/>
      </w:tcPr>
    </w:tblStylePr>
    <w:tblStylePr w:type="band1Vert">
      <w:tblPr/>
      <w:tcPr>
        <w:shd w:val="clear" w:color="auto" w:fill="FFC690" w:themeFill="accent2" w:themeFillTint="66"/>
      </w:tcPr>
    </w:tblStylePr>
    <w:tblStylePr w:type="band1Horz">
      <w:tblPr/>
      <w:tcPr>
        <w:shd w:val="clear" w:color="auto" w:fill="FFC690"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A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A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AE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AE2" w:themeFill="accent5"/>
      </w:tcPr>
    </w:tblStylePr>
    <w:tblStylePr w:type="band1Vert">
      <w:tblPr/>
      <w:tcPr>
        <w:shd w:val="clear" w:color="auto" w:fill="C1DCF3" w:themeFill="accent5" w:themeFillTint="66"/>
      </w:tcPr>
    </w:tblStylePr>
    <w:tblStylePr w:type="band1Horz">
      <w:tblPr/>
      <w:tcPr>
        <w:shd w:val="clear" w:color="auto" w:fill="C1DCF3"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AB6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AB6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AB6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AB66" w:themeFill="accent6"/>
      </w:tcPr>
    </w:tblStylePr>
    <w:tblStylePr w:type="band1Vert">
      <w:tblPr/>
      <w:tcPr>
        <w:shd w:val="clear" w:color="auto" w:fill="F9DDC1" w:themeFill="accent6" w:themeFillTint="66"/>
      </w:tcPr>
    </w:tblStylePr>
    <w:tblStylePr w:type="band1Horz">
      <w:tblPr/>
      <w:tcPr>
        <w:shd w:val="clear" w:color="auto" w:fill="F9DDC1"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rful-Accent2">
    <w:name w:val="Grid Table 6 Colorful Accent 2"/>
    <w:basedOn w:val="TableNormal"/>
    <w:uiPriority w:val="51"/>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6Colorful-Accent6">
    <w:name w:val="Grid Table 6 Colorful Accent 6"/>
    <w:basedOn w:val="TableNormal"/>
    <w:uiPriority w:val="51"/>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rful-Accent2">
    <w:name w:val="Grid Table 7 Colorful Accent 2"/>
    <w:basedOn w:val="TableNormal"/>
    <w:uiPriority w:val="52"/>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7Colorful-Accent6">
    <w:name w:val="Grid Table 7 Colorful Accent 6"/>
    <w:basedOn w:val="TableNormal"/>
    <w:uiPriority w:val="52"/>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18" w:space="0" w:color="EA7200" w:themeColor="accent2"/>
          <w:right w:val="single" w:sz="8" w:space="0" w:color="EA7200" w:themeColor="accent2"/>
          <w:insideH w:val="nil"/>
          <w:insideV w:val="single" w:sz="8" w:space="0" w:color="EA72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insideH w:val="nil"/>
          <w:insideV w:val="single" w:sz="8" w:space="0" w:color="EA72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shd w:val="clear" w:color="auto" w:fill="FFDBBA" w:themeFill="accent2" w:themeFillTint="3F"/>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shd w:val="clear" w:color="auto" w:fill="FFDBBA" w:themeFill="accent2" w:themeFillTint="3F"/>
      </w:tcPr>
    </w:tblStylePr>
    <w:tblStylePr w:type="band2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18" w:space="0" w:color="66AAE2" w:themeColor="accent5"/>
          <w:right w:val="single" w:sz="8" w:space="0" w:color="66AAE2" w:themeColor="accent5"/>
          <w:insideH w:val="nil"/>
          <w:insideV w:val="single" w:sz="8" w:space="0" w:color="66AA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insideH w:val="nil"/>
          <w:insideV w:val="single" w:sz="8" w:space="0" w:color="66AA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shd w:val="clear" w:color="auto" w:fill="D9E9F7" w:themeFill="accent5" w:themeFillTint="3F"/>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shd w:val="clear" w:color="auto" w:fill="D9E9F7" w:themeFill="accent5" w:themeFillTint="3F"/>
      </w:tcPr>
    </w:tblStylePr>
    <w:tblStylePr w:type="band2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18" w:space="0" w:color="F2AB66" w:themeColor="accent6"/>
          <w:right w:val="single" w:sz="8" w:space="0" w:color="F2AB66" w:themeColor="accent6"/>
          <w:insideH w:val="nil"/>
          <w:insideV w:val="single" w:sz="8" w:space="0" w:color="F2A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insideH w:val="nil"/>
          <w:insideV w:val="single" w:sz="8" w:space="0" w:color="F2A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shd w:val="clear" w:color="auto" w:fill="FBE9D8" w:themeFill="accent6" w:themeFillTint="3F"/>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shd w:val="clear" w:color="auto" w:fill="FBE9D8" w:themeFill="accent6" w:themeFillTint="3F"/>
      </w:tcPr>
    </w:tblStylePr>
    <w:tblStylePr w:type="band2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pPr>
        <w:spacing w:before="0" w:after="0" w:line="240" w:lineRule="auto"/>
      </w:pPr>
      <w:rPr>
        <w:b/>
        <w:bCs/>
        <w:color w:val="FFFFFF" w:themeColor="background1"/>
      </w:rPr>
      <w:tblPr/>
      <w:tcPr>
        <w:shd w:val="clear" w:color="auto" w:fill="EA7200" w:themeFill="accent2"/>
      </w:tcPr>
    </w:tblStylePr>
    <w:tblStylePr w:type="lastRow">
      <w:pPr>
        <w:spacing w:before="0" w:after="0" w:line="240" w:lineRule="auto"/>
      </w:pPr>
      <w:rPr>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tcBorders>
      </w:tcPr>
    </w:tblStylePr>
    <w:tblStylePr w:type="firstCol">
      <w:rPr>
        <w:b/>
        <w:bCs/>
      </w:rPr>
    </w:tblStylePr>
    <w:tblStylePr w:type="lastCol">
      <w:rPr>
        <w:b/>
        <w:bCs/>
      </w:r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pPr>
        <w:spacing w:before="0" w:after="0" w:line="240" w:lineRule="auto"/>
      </w:pPr>
      <w:rPr>
        <w:b/>
        <w:bCs/>
        <w:color w:val="FFFFFF" w:themeColor="background1"/>
      </w:rPr>
      <w:tblPr/>
      <w:tcPr>
        <w:shd w:val="clear" w:color="auto" w:fill="66AAE2" w:themeFill="accent5"/>
      </w:tcPr>
    </w:tblStylePr>
    <w:tblStylePr w:type="lastRow">
      <w:pPr>
        <w:spacing w:before="0" w:after="0" w:line="240" w:lineRule="auto"/>
      </w:pPr>
      <w:rPr>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tcBorders>
      </w:tcPr>
    </w:tblStylePr>
    <w:tblStylePr w:type="firstCol">
      <w:rPr>
        <w:b/>
        <w:bCs/>
      </w:rPr>
    </w:tblStylePr>
    <w:tblStylePr w:type="lastCol">
      <w:rPr>
        <w:b/>
        <w:bCs/>
      </w:r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pPr>
        <w:spacing w:before="0" w:after="0" w:line="240" w:lineRule="auto"/>
      </w:pPr>
      <w:rPr>
        <w:b/>
        <w:bCs/>
        <w:color w:val="FFFFFF" w:themeColor="background1"/>
      </w:rPr>
      <w:tblPr/>
      <w:tcPr>
        <w:shd w:val="clear" w:color="auto" w:fill="F2AB66" w:themeFill="accent6"/>
      </w:tcPr>
    </w:tblStylePr>
    <w:tblStylePr w:type="lastRow">
      <w:pPr>
        <w:spacing w:before="0" w:after="0" w:line="240" w:lineRule="auto"/>
      </w:pPr>
      <w:rPr>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tcBorders>
      </w:tcPr>
    </w:tblStylePr>
    <w:tblStylePr w:type="firstCol">
      <w:rPr>
        <w:b/>
        <w:bCs/>
      </w:rPr>
    </w:tblStylePr>
    <w:tblStylePr w:type="lastCol">
      <w:rPr>
        <w:b/>
        <w:bCs/>
      </w:r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AF5500" w:themeColor="accent2" w:themeShade="BF"/>
    </w:rPr>
    <w:tblPr>
      <w:tblStyleRowBandSize w:val="1"/>
      <w:tblStyleColBandSize w:val="1"/>
      <w:tblBorders>
        <w:top w:val="single" w:sz="8" w:space="0" w:color="EA7200" w:themeColor="accent2"/>
        <w:bottom w:val="single" w:sz="8" w:space="0" w:color="EA7200" w:themeColor="accent2"/>
      </w:tblBorders>
    </w:tblPr>
    <w:tblStylePr w:type="fir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la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left w:val="nil"/>
          <w:right w:val="nil"/>
          <w:insideH w:val="nil"/>
          <w:insideV w:val="nil"/>
        </w:tcBorders>
        <w:shd w:val="clear" w:color="auto" w:fill="FFDBB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2782CE" w:themeColor="accent5" w:themeShade="BF"/>
    </w:rPr>
    <w:tblPr>
      <w:tblStyleRowBandSize w:val="1"/>
      <w:tblStyleColBandSize w:val="1"/>
      <w:tblBorders>
        <w:top w:val="single" w:sz="8" w:space="0" w:color="66AAE2" w:themeColor="accent5"/>
        <w:bottom w:val="single" w:sz="8" w:space="0" w:color="66AAE2" w:themeColor="accent5"/>
      </w:tblBorders>
    </w:tblPr>
    <w:tblStylePr w:type="fir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la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left w:val="nil"/>
          <w:right w:val="nil"/>
          <w:insideH w:val="nil"/>
          <w:insideV w:val="nil"/>
        </w:tcBorders>
        <w:shd w:val="clear" w:color="auto" w:fill="D9E9F7" w:themeFill="accent5" w:themeFillTint="3F"/>
      </w:tcPr>
    </w:tblStylePr>
  </w:style>
  <w:style w:type="table" w:styleId="LightShading-Accent6">
    <w:name w:val="Light Shading Accent 6"/>
    <w:basedOn w:val="TableNormal"/>
    <w:uiPriority w:val="60"/>
    <w:semiHidden/>
    <w:rsid w:val="0058629F"/>
    <w:rPr>
      <w:color w:val="EB7E16" w:themeColor="accent6" w:themeShade="BF"/>
    </w:rPr>
    <w:tblPr>
      <w:tblStyleRowBandSize w:val="1"/>
      <w:tblStyleColBandSize w:val="1"/>
      <w:tblBorders>
        <w:top w:val="single" w:sz="8" w:space="0" w:color="F2AB66" w:themeColor="accent6"/>
        <w:bottom w:val="single" w:sz="8" w:space="0" w:color="F2AB66" w:themeColor="accent6"/>
      </w:tblBorders>
    </w:tblPr>
    <w:tblStylePr w:type="fir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la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left w:val="nil"/>
          <w:right w:val="nil"/>
          <w:insideH w:val="nil"/>
          <w:insideV w:val="nil"/>
        </w:tcBorders>
        <w:shd w:val="clear" w:color="auto" w:fill="FBE9D8"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FA959" w:themeColor="accent2" w:themeTint="99"/>
        </w:tcBorders>
      </w:tcPr>
    </w:tblStylePr>
    <w:tblStylePr w:type="lastRow">
      <w:rPr>
        <w:b/>
        <w:bCs/>
      </w:rPr>
      <w:tblPr/>
      <w:tcPr>
        <w:tcBorders>
          <w:top w:val="sing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BED" w:themeColor="accent5" w:themeTint="99"/>
        </w:tcBorders>
      </w:tcPr>
    </w:tblStylePr>
    <w:tblStylePr w:type="lastRow">
      <w:rPr>
        <w:b/>
        <w:bCs/>
      </w:rPr>
      <w:tblPr/>
      <w:tcPr>
        <w:tcBorders>
          <w:top w:val="sing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7CCA3" w:themeColor="accent6" w:themeTint="99"/>
        </w:tcBorders>
      </w:tcPr>
    </w:tblStylePr>
    <w:tblStylePr w:type="lastRow">
      <w:rPr>
        <w:b/>
        <w:bCs/>
      </w:rPr>
      <w:tblPr/>
      <w:tcPr>
        <w:tcBorders>
          <w:top w:val="sing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48ADFF" w:themeColor="accent1" w:themeTint="99"/>
        <w:bottom w:val="single" w:sz="4" w:space="0" w:color="48ADFF" w:themeColor="accent1" w:themeTint="99"/>
        <w:insideH w:val="single" w:sz="4" w:space="0" w:color="48A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FA959" w:themeColor="accent2" w:themeTint="99"/>
        <w:bottom w:val="single" w:sz="4" w:space="0" w:color="FFA959" w:themeColor="accent2" w:themeTint="99"/>
        <w:insideH w:val="single" w:sz="4" w:space="0" w:color="FFA95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BED" w:themeColor="accent5" w:themeTint="99"/>
        <w:bottom w:val="single" w:sz="4" w:space="0" w:color="A3CBED" w:themeColor="accent5" w:themeTint="99"/>
        <w:insideH w:val="single" w:sz="4" w:space="0" w:color="A3CB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7CCA3" w:themeColor="accent6" w:themeTint="99"/>
        <w:bottom w:val="single" w:sz="4" w:space="0" w:color="F7CCA3" w:themeColor="accent6" w:themeTint="99"/>
        <w:insideH w:val="single" w:sz="4" w:space="0" w:color="F7CC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EA7200" w:themeColor="accent2"/>
        <w:left w:val="single" w:sz="4" w:space="0" w:color="EA7200" w:themeColor="accent2"/>
        <w:bottom w:val="single" w:sz="4" w:space="0" w:color="EA7200" w:themeColor="accent2"/>
        <w:right w:val="single" w:sz="4" w:space="0" w:color="EA7200" w:themeColor="accent2"/>
      </w:tblBorders>
    </w:tblPr>
    <w:tblStylePr w:type="firstRow">
      <w:rPr>
        <w:b/>
        <w:bCs/>
        <w:color w:val="FFFFFF" w:themeColor="background1"/>
      </w:rPr>
      <w:tblPr/>
      <w:tcPr>
        <w:shd w:val="clear" w:color="auto" w:fill="EA7200" w:themeFill="accent2"/>
      </w:tcPr>
    </w:tblStylePr>
    <w:tblStylePr w:type="lastRow">
      <w:rPr>
        <w:b/>
        <w:bCs/>
      </w:rPr>
      <w:tblPr/>
      <w:tcPr>
        <w:tcBorders>
          <w:top w:val="double" w:sz="4" w:space="0" w:color="EA72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200" w:themeColor="accent2"/>
          <w:right w:val="single" w:sz="4" w:space="0" w:color="EA7200" w:themeColor="accent2"/>
        </w:tcBorders>
      </w:tcPr>
    </w:tblStylePr>
    <w:tblStylePr w:type="band1Horz">
      <w:tblPr/>
      <w:tcPr>
        <w:tcBorders>
          <w:top w:val="single" w:sz="4" w:space="0" w:color="EA7200" w:themeColor="accent2"/>
          <w:bottom w:val="single" w:sz="4" w:space="0" w:color="EA72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200" w:themeColor="accent2"/>
          <w:left w:val="nil"/>
        </w:tcBorders>
      </w:tcPr>
    </w:tblStylePr>
    <w:tblStylePr w:type="swCell">
      <w:tblPr/>
      <w:tcPr>
        <w:tcBorders>
          <w:top w:val="double" w:sz="4" w:space="0" w:color="EA720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AAE2" w:themeColor="accent5"/>
        <w:left w:val="single" w:sz="4" w:space="0" w:color="66AAE2" w:themeColor="accent5"/>
        <w:bottom w:val="single" w:sz="4" w:space="0" w:color="66AAE2" w:themeColor="accent5"/>
        <w:right w:val="single" w:sz="4" w:space="0" w:color="66AAE2" w:themeColor="accent5"/>
      </w:tblBorders>
    </w:tblPr>
    <w:tblStylePr w:type="firstRow">
      <w:rPr>
        <w:b/>
        <w:bCs/>
        <w:color w:val="FFFFFF" w:themeColor="background1"/>
      </w:rPr>
      <w:tblPr/>
      <w:tcPr>
        <w:shd w:val="clear" w:color="auto" w:fill="66AAE2" w:themeFill="accent5"/>
      </w:tcPr>
    </w:tblStylePr>
    <w:tblStylePr w:type="lastRow">
      <w:rPr>
        <w:b/>
        <w:bCs/>
      </w:rPr>
      <w:tblPr/>
      <w:tcPr>
        <w:tcBorders>
          <w:top w:val="double" w:sz="4" w:space="0" w:color="66AA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AAE2" w:themeColor="accent5"/>
          <w:right w:val="single" w:sz="4" w:space="0" w:color="66AAE2" w:themeColor="accent5"/>
        </w:tcBorders>
      </w:tcPr>
    </w:tblStylePr>
    <w:tblStylePr w:type="band1Horz">
      <w:tblPr/>
      <w:tcPr>
        <w:tcBorders>
          <w:top w:val="single" w:sz="4" w:space="0" w:color="66AAE2" w:themeColor="accent5"/>
          <w:bottom w:val="single" w:sz="4" w:space="0" w:color="66AA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AAE2" w:themeColor="accent5"/>
          <w:left w:val="nil"/>
        </w:tcBorders>
      </w:tcPr>
    </w:tblStylePr>
    <w:tblStylePr w:type="swCell">
      <w:tblPr/>
      <w:tcPr>
        <w:tcBorders>
          <w:top w:val="double" w:sz="4" w:space="0" w:color="66AAE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F2AB66" w:themeColor="accent6"/>
        <w:left w:val="single" w:sz="4" w:space="0" w:color="F2AB66" w:themeColor="accent6"/>
        <w:bottom w:val="single" w:sz="4" w:space="0" w:color="F2AB66" w:themeColor="accent6"/>
        <w:right w:val="single" w:sz="4" w:space="0" w:color="F2AB66" w:themeColor="accent6"/>
      </w:tblBorders>
    </w:tblPr>
    <w:tblStylePr w:type="firstRow">
      <w:rPr>
        <w:b/>
        <w:bCs/>
        <w:color w:val="FFFFFF" w:themeColor="background1"/>
      </w:rPr>
      <w:tblPr/>
      <w:tcPr>
        <w:shd w:val="clear" w:color="auto" w:fill="F2AB66" w:themeFill="accent6"/>
      </w:tcPr>
    </w:tblStylePr>
    <w:tblStylePr w:type="lastRow">
      <w:rPr>
        <w:b/>
        <w:bCs/>
      </w:rPr>
      <w:tblPr/>
      <w:tcPr>
        <w:tcBorders>
          <w:top w:val="double" w:sz="4" w:space="0" w:color="F2AB6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AB66" w:themeColor="accent6"/>
          <w:right w:val="single" w:sz="4" w:space="0" w:color="F2AB66" w:themeColor="accent6"/>
        </w:tcBorders>
      </w:tcPr>
    </w:tblStylePr>
    <w:tblStylePr w:type="band1Horz">
      <w:tblPr/>
      <w:tcPr>
        <w:tcBorders>
          <w:top w:val="single" w:sz="4" w:space="0" w:color="F2AB66" w:themeColor="accent6"/>
          <w:bottom w:val="single" w:sz="4" w:space="0" w:color="F2A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AB66" w:themeColor="accent6"/>
          <w:left w:val="nil"/>
        </w:tcBorders>
      </w:tcPr>
    </w:tblStylePr>
    <w:tblStylePr w:type="swCell">
      <w:tblPr/>
      <w:tcPr>
        <w:tcBorders>
          <w:top w:val="double" w:sz="4" w:space="0" w:color="F2AB66"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tcBorders>
        <w:shd w:val="clear" w:color="auto" w:fill="EA7200" w:themeFill="accent2"/>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tcBorders>
        <w:shd w:val="clear" w:color="auto" w:fill="66AAE2" w:themeFill="accent5"/>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tcBorders>
        <w:shd w:val="clear" w:color="auto" w:fill="F2AB66" w:themeFill="accent6"/>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EA7200" w:themeColor="accent2"/>
        <w:left w:val="single" w:sz="24" w:space="0" w:color="EA7200" w:themeColor="accent2"/>
        <w:bottom w:val="single" w:sz="24" w:space="0" w:color="EA7200" w:themeColor="accent2"/>
        <w:right w:val="single" w:sz="24" w:space="0" w:color="EA7200" w:themeColor="accent2"/>
      </w:tblBorders>
    </w:tblPr>
    <w:tcPr>
      <w:shd w:val="clear" w:color="auto" w:fill="EA72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AAE2" w:themeColor="accent5"/>
        <w:left w:val="single" w:sz="24" w:space="0" w:color="66AAE2" w:themeColor="accent5"/>
        <w:bottom w:val="single" w:sz="24" w:space="0" w:color="66AAE2" w:themeColor="accent5"/>
        <w:right w:val="single" w:sz="24" w:space="0" w:color="66AAE2" w:themeColor="accent5"/>
      </w:tblBorders>
    </w:tblPr>
    <w:tcPr>
      <w:shd w:val="clear" w:color="auto" w:fill="66AA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F2AB66" w:themeColor="accent6"/>
        <w:left w:val="single" w:sz="24" w:space="0" w:color="F2AB66" w:themeColor="accent6"/>
        <w:bottom w:val="single" w:sz="24" w:space="0" w:color="F2AB66" w:themeColor="accent6"/>
        <w:right w:val="single" w:sz="24" w:space="0" w:color="F2AB66" w:themeColor="accent6"/>
      </w:tblBorders>
    </w:tblPr>
    <w:tcPr>
      <w:shd w:val="clear" w:color="auto" w:fill="F2AB6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rful-Accent2">
    <w:name w:val="List Table 6 Colorful Accent 2"/>
    <w:basedOn w:val="TableNormal"/>
    <w:uiPriority w:val="51"/>
    <w:semiHidden/>
    <w:rsid w:val="0058629F"/>
    <w:rPr>
      <w:color w:val="AF5500" w:themeColor="accent2" w:themeShade="BF"/>
    </w:rPr>
    <w:tblPr>
      <w:tblStyleRowBandSize w:val="1"/>
      <w:tblStyleColBandSize w:val="1"/>
      <w:tblBorders>
        <w:top w:val="single" w:sz="4" w:space="0" w:color="EA7200" w:themeColor="accent2"/>
        <w:bottom w:val="single" w:sz="4" w:space="0" w:color="EA7200" w:themeColor="accent2"/>
      </w:tblBorders>
    </w:tblPr>
    <w:tblStylePr w:type="firstRow">
      <w:rPr>
        <w:b/>
        <w:bCs/>
      </w:rPr>
      <w:tblPr/>
      <w:tcPr>
        <w:tcBorders>
          <w:bottom w:val="single" w:sz="4" w:space="0" w:color="EA7200" w:themeColor="accent2"/>
        </w:tcBorders>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2782CE" w:themeColor="accent5" w:themeShade="BF"/>
    </w:rPr>
    <w:tblPr>
      <w:tblStyleRowBandSize w:val="1"/>
      <w:tblStyleColBandSize w:val="1"/>
      <w:tblBorders>
        <w:top w:val="single" w:sz="4" w:space="0" w:color="66AAE2" w:themeColor="accent5"/>
        <w:bottom w:val="single" w:sz="4" w:space="0" w:color="66AAE2" w:themeColor="accent5"/>
      </w:tblBorders>
    </w:tblPr>
    <w:tblStylePr w:type="firstRow">
      <w:rPr>
        <w:b/>
        <w:bCs/>
      </w:rPr>
      <w:tblPr/>
      <w:tcPr>
        <w:tcBorders>
          <w:bottom w:val="single" w:sz="4" w:space="0" w:color="66AAE2" w:themeColor="accent5"/>
        </w:tcBorders>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6Colorful-Accent6">
    <w:name w:val="List Table 6 Colorful Accent 6"/>
    <w:basedOn w:val="TableNormal"/>
    <w:uiPriority w:val="51"/>
    <w:semiHidden/>
    <w:rsid w:val="0058629F"/>
    <w:rPr>
      <w:color w:val="EB7E16" w:themeColor="accent6" w:themeShade="BF"/>
    </w:rPr>
    <w:tblPr>
      <w:tblStyleRowBandSize w:val="1"/>
      <w:tblStyleColBandSize w:val="1"/>
      <w:tblBorders>
        <w:top w:val="single" w:sz="4" w:space="0" w:color="F2AB66" w:themeColor="accent6"/>
        <w:bottom w:val="single" w:sz="4" w:space="0" w:color="F2AB66" w:themeColor="accent6"/>
      </w:tblBorders>
    </w:tblPr>
    <w:tblStylePr w:type="firstRow">
      <w:rPr>
        <w:b/>
        <w:bCs/>
      </w:rPr>
      <w:tblPr/>
      <w:tcPr>
        <w:tcBorders>
          <w:bottom w:val="single" w:sz="4" w:space="0" w:color="F2AB66" w:themeColor="accent6"/>
        </w:tcBorders>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55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AF5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2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2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2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200" w:themeColor="accent2"/>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2782C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AA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AA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AA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AAE2" w:themeColor="accent5"/>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EB7E1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AB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B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B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B66" w:themeColor="accent6"/>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insideV w:val="single" w:sz="8" w:space="0" w:color="FF9430" w:themeColor="accent2" w:themeTint="BF"/>
      </w:tblBorders>
    </w:tblPr>
    <w:tcPr>
      <w:shd w:val="clear" w:color="auto" w:fill="FFDBBA" w:themeFill="accent2" w:themeFillTint="3F"/>
    </w:tcPr>
    <w:tblStylePr w:type="firstRow">
      <w:rPr>
        <w:b/>
        <w:bCs/>
      </w:rPr>
    </w:tblStylePr>
    <w:tblStylePr w:type="lastRow">
      <w:rPr>
        <w:b/>
        <w:bCs/>
      </w:rPr>
      <w:tblPr/>
      <w:tcPr>
        <w:tcBorders>
          <w:top w:val="single" w:sz="18" w:space="0" w:color="FF9430" w:themeColor="accent2" w:themeTint="BF"/>
        </w:tcBorders>
      </w:tcPr>
    </w:tblStylePr>
    <w:tblStylePr w:type="firstCol">
      <w:rPr>
        <w:b/>
        <w:bCs/>
      </w:rPr>
    </w:tblStylePr>
    <w:tblStylePr w:type="lastCol">
      <w:rPr>
        <w:b/>
        <w:bCs/>
      </w:r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insideV w:val="single" w:sz="8" w:space="0" w:color="8CBFE9" w:themeColor="accent5" w:themeTint="BF"/>
      </w:tblBorders>
    </w:tblPr>
    <w:tcPr>
      <w:shd w:val="clear" w:color="auto" w:fill="D9E9F7" w:themeFill="accent5" w:themeFillTint="3F"/>
    </w:tcPr>
    <w:tblStylePr w:type="firstRow">
      <w:rPr>
        <w:b/>
        <w:bCs/>
      </w:rPr>
    </w:tblStylePr>
    <w:tblStylePr w:type="lastRow">
      <w:rPr>
        <w:b/>
        <w:bCs/>
      </w:rPr>
      <w:tblPr/>
      <w:tcPr>
        <w:tcBorders>
          <w:top w:val="single" w:sz="18" w:space="0" w:color="8CBFE9" w:themeColor="accent5" w:themeTint="BF"/>
        </w:tcBorders>
      </w:tcPr>
    </w:tblStylePr>
    <w:tblStylePr w:type="firstCol">
      <w:rPr>
        <w:b/>
        <w:bCs/>
      </w:rPr>
    </w:tblStylePr>
    <w:tblStylePr w:type="lastCol">
      <w:rPr>
        <w:b/>
        <w:bCs/>
      </w:r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insideV w:val="single" w:sz="8" w:space="0" w:color="F5BF8C" w:themeColor="accent6" w:themeTint="BF"/>
      </w:tblBorders>
    </w:tblPr>
    <w:tcPr>
      <w:shd w:val="clear" w:color="auto" w:fill="FBE9D8" w:themeFill="accent6" w:themeFillTint="3F"/>
    </w:tcPr>
    <w:tblStylePr w:type="firstRow">
      <w:rPr>
        <w:b/>
        <w:bCs/>
      </w:rPr>
    </w:tblStylePr>
    <w:tblStylePr w:type="lastRow">
      <w:rPr>
        <w:b/>
        <w:bCs/>
      </w:rPr>
      <w:tblPr/>
      <w:tcPr>
        <w:tcBorders>
          <w:top w:val="single" w:sz="18" w:space="0" w:color="F5BF8C" w:themeColor="accent6" w:themeTint="BF"/>
        </w:tcBorders>
      </w:tcPr>
    </w:tblStylePr>
    <w:tblStylePr w:type="firstCol">
      <w:rPr>
        <w:b/>
        <w:bCs/>
      </w:rPr>
    </w:tblStylePr>
    <w:tblStylePr w:type="lastCol">
      <w:rPr>
        <w:b/>
        <w:bCs/>
      </w:r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232222" w:themeColor="text1"/>
      </w:rPr>
      <w:tblPr/>
      <w:tcPr>
        <w:shd w:val="clear" w:color="auto" w:fill="E1F1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cPr>
      <w:shd w:val="clear" w:color="auto" w:fill="FFDBBA" w:themeFill="accent2" w:themeFillTint="3F"/>
    </w:tcPr>
    <w:tblStylePr w:type="firstRow">
      <w:rPr>
        <w:b/>
        <w:bCs/>
        <w:color w:val="232222" w:themeColor="text1"/>
      </w:rPr>
      <w:tblPr/>
      <w:tcPr>
        <w:shd w:val="clear" w:color="auto" w:fill="FFF0E3"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2C7" w:themeFill="accent2" w:themeFillTint="33"/>
      </w:tcPr>
    </w:tblStylePr>
    <w:tblStylePr w:type="band1Vert">
      <w:tblPr/>
      <w:tcPr>
        <w:shd w:val="clear" w:color="auto" w:fill="FFB875" w:themeFill="accent2" w:themeFillTint="7F"/>
      </w:tcPr>
    </w:tblStylePr>
    <w:tblStylePr w:type="band1Horz">
      <w:tblPr/>
      <w:tcPr>
        <w:tcBorders>
          <w:insideH w:val="single" w:sz="6" w:space="0" w:color="EA7200" w:themeColor="accent2"/>
          <w:insideV w:val="single" w:sz="6" w:space="0" w:color="EA7200" w:themeColor="accent2"/>
        </w:tcBorders>
        <w:shd w:val="clear" w:color="auto" w:fill="FFB87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cPr>
      <w:shd w:val="clear" w:color="auto" w:fill="D9E9F7" w:themeFill="accent5" w:themeFillTint="3F"/>
    </w:tcPr>
    <w:tblStylePr w:type="firstRow">
      <w:rPr>
        <w:b/>
        <w:bCs/>
        <w:color w:val="232222" w:themeColor="text1"/>
      </w:rPr>
      <w:tblPr/>
      <w:tcPr>
        <w:shd w:val="clear" w:color="auto" w:fill="EFF6FC"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DF9" w:themeFill="accent5" w:themeFillTint="33"/>
      </w:tcPr>
    </w:tblStylePr>
    <w:tblStylePr w:type="band1Vert">
      <w:tblPr/>
      <w:tcPr>
        <w:shd w:val="clear" w:color="auto" w:fill="B2D4F0" w:themeFill="accent5" w:themeFillTint="7F"/>
      </w:tcPr>
    </w:tblStylePr>
    <w:tblStylePr w:type="band1Horz">
      <w:tblPr/>
      <w:tcPr>
        <w:tcBorders>
          <w:insideH w:val="single" w:sz="6" w:space="0" w:color="66AAE2" w:themeColor="accent5"/>
          <w:insideV w:val="single" w:sz="6" w:space="0" w:color="66AAE2" w:themeColor="accent5"/>
        </w:tcBorders>
        <w:shd w:val="clear" w:color="auto" w:fill="B2D4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cPr>
      <w:shd w:val="clear" w:color="auto" w:fill="FBE9D8" w:themeFill="accent6" w:themeFillTint="3F"/>
    </w:tcPr>
    <w:tblStylePr w:type="firstRow">
      <w:rPr>
        <w:b/>
        <w:bCs/>
        <w:color w:val="232222" w:themeColor="text1"/>
      </w:rPr>
      <w:tblPr/>
      <w:tcPr>
        <w:shd w:val="clear" w:color="auto" w:fill="FDF6EF"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EEE0" w:themeFill="accent6" w:themeFillTint="33"/>
      </w:tcPr>
    </w:tblStylePr>
    <w:tblStylePr w:type="band1Vert">
      <w:tblPr/>
      <w:tcPr>
        <w:shd w:val="clear" w:color="auto" w:fill="F8D4B2" w:themeFill="accent6" w:themeFillTint="7F"/>
      </w:tcPr>
    </w:tblStylePr>
    <w:tblStylePr w:type="band1Horz">
      <w:tblPr/>
      <w:tcPr>
        <w:tcBorders>
          <w:insideH w:val="single" w:sz="6" w:space="0" w:color="F2AB66" w:themeColor="accent6"/>
          <w:insideV w:val="single" w:sz="6" w:space="0" w:color="F2AB66" w:themeColor="accent6"/>
        </w:tcBorders>
        <w:shd w:val="clear" w:color="auto" w:fill="F8D4B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2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2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A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A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4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4F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AB6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AB6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4B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4B2"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2CE" w:themeColor="accent1"/>
        <w:bottom w:val="single" w:sz="8" w:space="0" w:color="0072CE" w:themeColor="accent1"/>
      </w:tblBorders>
    </w:tbl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201547"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tblStylePr w:type="band1Vert">
      <w:tblPr/>
      <w:tcPr>
        <w:shd w:val="clear" w:color="auto" w:fill="B3DDFF" w:themeFill="accent1" w:themeFillTint="3F"/>
      </w:tcPr>
    </w:tblStylePr>
    <w:tblStylePr w:type="band1Horz">
      <w:tblPr/>
      <w:tcPr>
        <w:shd w:val="clear" w:color="auto" w:fill="B3DD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EA7200" w:themeColor="accent2"/>
        <w:bottom w:val="single" w:sz="8" w:space="0" w:color="EA7200" w:themeColor="accent2"/>
      </w:tblBorders>
    </w:tblPr>
    <w:tblStylePr w:type="firstRow">
      <w:rPr>
        <w:rFonts w:asciiTheme="majorHAnsi" w:eastAsiaTheme="majorEastAsia" w:hAnsiTheme="majorHAnsi" w:cstheme="majorBidi"/>
      </w:rPr>
      <w:tblPr/>
      <w:tcPr>
        <w:tcBorders>
          <w:top w:val="nil"/>
          <w:bottom w:val="single" w:sz="8" w:space="0" w:color="EA7200" w:themeColor="accent2"/>
        </w:tcBorders>
      </w:tcPr>
    </w:tblStylePr>
    <w:tblStylePr w:type="lastRow">
      <w:rPr>
        <w:b/>
        <w:bCs/>
        <w:color w:val="201547" w:themeColor="text2"/>
      </w:rPr>
      <w:tblPr/>
      <w:tcPr>
        <w:tcBorders>
          <w:top w:val="single" w:sz="8" w:space="0" w:color="EA7200" w:themeColor="accent2"/>
          <w:bottom w:val="single" w:sz="8" w:space="0" w:color="EA7200" w:themeColor="accent2"/>
        </w:tcBorders>
      </w:tcPr>
    </w:tblStylePr>
    <w:tblStylePr w:type="firstCol">
      <w:rPr>
        <w:b/>
        <w:bCs/>
      </w:rPr>
    </w:tblStylePr>
    <w:tblStylePr w:type="lastCol">
      <w:rPr>
        <w:b/>
        <w:bCs/>
      </w:rPr>
      <w:tblPr/>
      <w:tcPr>
        <w:tcBorders>
          <w:top w:val="single" w:sz="8" w:space="0" w:color="EA7200" w:themeColor="accent2"/>
          <w:bottom w:val="single" w:sz="8" w:space="0" w:color="EA7200" w:themeColor="accent2"/>
        </w:tcBorders>
      </w:tcPr>
    </w:tblStylePr>
    <w:tblStylePr w:type="band1Vert">
      <w:tblPr/>
      <w:tcPr>
        <w:shd w:val="clear" w:color="auto" w:fill="FFDBBA" w:themeFill="accent2" w:themeFillTint="3F"/>
      </w:tcPr>
    </w:tblStylePr>
    <w:tblStylePr w:type="band1Horz">
      <w:tblPr/>
      <w:tcPr>
        <w:shd w:val="clear" w:color="auto" w:fill="FFDBB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AAE2" w:themeColor="accent5"/>
        <w:bottom w:val="single" w:sz="8" w:space="0" w:color="66AAE2" w:themeColor="accent5"/>
      </w:tblBorders>
    </w:tblPr>
    <w:tblStylePr w:type="firstRow">
      <w:rPr>
        <w:rFonts w:asciiTheme="majorHAnsi" w:eastAsiaTheme="majorEastAsia" w:hAnsiTheme="majorHAnsi" w:cstheme="majorBidi"/>
      </w:rPr>
      <w:tblPr/>
      <w:tcPr>
        <w:tcBorders>
          <w:top w:val="nil"/>
          <w:bottom w:val="single" w:sz="8" w:space="0" w:color="66AAE2" w:themeColor="accent5"/>
        </w:tcBorders>
      </w:tcPr>
    </w:tblStylePr>
    <w:tblStylePr w:type="lastRow">
      <w:rPr>
        <w:b/>
        <w:bCs/>
        <w:color w:val="201547" w:themeColor="text2"/>
      </w:rPr>
      <w:tblPr/>
      <w:tcPr>
        <w:tcBorders>
          <w:top w:val="single" w:sz="8" w:space="0" w:color="66AAE2" w:themeColor="accent5"/>
          <w:bottom w:val="single" w:sz="8" w:space="0" w:color="66AAE2" w:themeColor="accent5"/>
        </w:tcBorders>
      </w:tcPr>
    </w:tblStylePr>
    <w:tblStylePr w:type="firstCol">
      <w:rPr>
        <w:b/>
        <w:bCs/>
      </w:rPr>
    </w:tblStylePr>
    <w:tblStylePr w:type="lastCol">
      <w:rPr>
        <w:b/>
        <w:bCs/>
      </w:rPr>
      <w:tblPr/>
      <w:tcPr>
        <w:tcBorders>
          <w:top w:val="single" w:sz="8" w:space="0" w:color="66AAE2" w:themeColor="accent5"/>
          <w:bottom w:val="single" w:sz="8" w:space="0" w:color="66AAE2" w:themeColor="accent5"/>
        </w:tcBorders>
      </w:tcPr>
    </w:tblStylePr>
    <w:tblStylePr w:type="band1Vert">
      <w:tblPr/>
      <w:tcPr>
        <w:shd w:val="clear" w:color="auto" w:fill="D9E9F7" w:themeFill="accent5" w:themeFillTint="3F"/>
      </w:tcPr>
    </w:tblStylePr>
    <w:tblStylePr w:type="band1Horz">
      <w:tblPr/>
      <w:tcPr>
        <w:shd w:val="clear" w:color="auto" w:fill="D9E9F7"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F2AB66" w:themeColor="accent6"/>
        <w:bottom w:val="single" w:sz="8" w:space="0" w:color="F2AB66" w:themeColor="accent6"/>
      </w:tblBorders>
    </w:tblPr>
    <w:tblStylePr w:type="firstRow">
      <w:rPr>
        <w:rFonts w:asciiTheme="majorHAnsi" w:eastAsiaTheme="majorEastAsia" w:hAnsiTheme="majorHAnsi" w:cstheme="majorBidi"/>
      </w:rPr>
      <w:tblPr/>
      <w:tcPr>
        <w:tcBorders>
          <w:top w:val="nil"/>
          <w:bottom w:val="single" w:sz="8" w:space="0" w:color="F2AB66" w:themeColor="accent6"/>
        </w:tcBorders>
      </w:tcPr>
    </w:tblStylePr>
    <w:tblStylePr w:type="lastRow">
      <w:rPr>
        <w:b/>
        <w:bCs/>
        <w:color w:val="201547" w:themeColor="text2"/>
      </w:rPr>
      <w:tblPr/>
      <w:tcPr>
        <w:tcBorders>
          <w:top w:val="single" w:sz="8" w:space="0" w:color="F2AB66" w:themeColor="accent6"/>
          <w:bottom w:val="single" w:sz="8" w:space="0" w:color="F2AB66" w:themeColor="accent6"/>
        </w:tcBorders>
      </w:tcPr>
    </w:tblStylePr>
    <w:tblStylePr w:type="firstCol">
      <w:rPr>
        <w:b/>
        <w:bCs/>
      </w:rPr>
    </w:tblStylePr>
    <w:tblStylePr w:type="lastCol">
      <w:rPr>
        <w:b/>
        <w:bCs/>
      </w:rPr>
      <w:tblPr/>
      <w:tcPr>
        <w:tcBorders>
          <w:top w:val="single" w:sz="8" w:space="0" w:color="F2AB66" w:themeColor="accent6"/>
          <w:bottom w:val="single" w:sz="8" w:space="0" w:color="F2AB66" w:themeColor="accent6"/>
        </w:tcBorders>
      </w:tcPr>
    </w:tblStylePr>
    <w:tblStylePr w:type="band1Vert">
      <w:tblPr/>
      <w:tcPr>
        <w:shd w:val="clear" w:color="auto" w:fill="FBE9D8" w:themeFill="accent6" w:themeFillTint="3F"/>
      </w:tcPr>
    </w:tblStylePr>
    <w:tblStylePr w:type="band1Horz">
      <w:tblPr/>
      <w:tcPr>
        <w:shd w:val="clear" w:color="auto" w:fill="FBE9D8"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rPr>
        <w:sz w:val="24"/>
        <w:szCs w:val="24"/>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tblPr/>
      <w:tcPr>
        <w:tcBorders>
          <w:top w:val="single" w:sz="8" w:space="0" w:color="EA72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200" w:themeColor="accent2"/>
          <w:insideH w:val="nil"/>
          <w:insideV w:val="nil"/>
        </w:tcBorders>
        <w:shd w:val="clear" w:color="auto" w:fill="FFFFFF" w:themeFill="background1"/>
      </w:tcPr>
    </w:tblStylePr>
    <w:tblStylePr w:type="lastCol">
      <w:tblPr/>
      <w:tcPr>
        <w:tcBorders>
          <w:top w:val="nil"/>
          <w:left w:val="single" w:sz="8" w:space="0" w:color="EA72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top w:val="nil"/>
          <w:bottom w:val="nil"/>
          <w:insideH w:val="nil"/>
          <w:insideV w:val="nil"/>
        </w:tcBorders>
        <w:shd w:val="clear" w:color="auto" w:fill="FFDB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rPr>
        <w:sz w:val="24"/>
        <w:szCs w:val="24"/>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tblPr/>
      <w:tcPr>
        <w:tcBorders>
          <w:top w:val="single" w:sz="8" w:space="0" w:color="66AA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AE2" w:themeColor="accent5"/>
          <w:insideH w:val="nil"/>
          <w:insideV w:val="nil"/>
        </w:tcBorders>
        <w:shd w:val="clear" w:color="auto" w:fill="FFFFFF" w:themeFill="background1"/>
      </w:tcPr>
    </w:tblStylePr>
    <w:tblStylePr w:type="lastCol">
      <w:tblPr/>
      <w:tcPr>
        <w:tcBorders>
          <w:top w:val="nil"/>
          <w:left w:val="single" w:sz="8" w:space="0" w:color="66AA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top w:val="nil"/>
          <w:bottom w:val="nil"/>
          <w:insideH w:val="nil"/>
          <w:insideV w:val="nil"/>
        </w:tcBorders>
        <w:shd w:val="clear" w:color="auto" w:fill="D9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rPr>
        <w:sz w:val="24"/>
        <w:szCs w:val="24"/>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tblPr/>
      <w:tcPr>
        <w:tcBorders>
          <w:top w:val="single" w:sz="8" w:space="0" w:color="F2AB6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AB66" w:themeColor="accent6"/>
          <w:insideH w:val="nil"/>
          <w:insideV w:val="nil"/>
        </w:tcBorders>
        <w:shd w:val="clear" w:color="auto" w:fill="FFFFFF" w:themeFill="background1"/>
      </w:tcPr>
    </w:tblStylePr>
    <w:tblStylePr w:type="lastCol">
      <w:tblPr/>
      <w:tcPr>
        <w:tcBorders>
          <w:top w:val="nil"/>
          <w:left w:val="single" w:sz="8" w:space="0" w:color="F2AB6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top w:val="nil"/>
          <w:bottom w:val="nil"/>
          <w:insideH w:val="nil"/>
          <w:insideV w:val="nil"/>
        </w:tcBorders>
        <w:shd w:val="clear" w:color="auto" w:fill="FB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tblBorders>
    </w:tbl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1" w:themeFillTint="3F"/>
      </w:tcPr>
    </w:tblStylePr>
    <w:tblStylePr w:type="band1Horz">
      <w:tblPr/>
      <w:tcPr>
        <w:tcBorders>
          <w:insideH w:val="nil"/>
          <w:insideV w:val="nil"/>
        </w:tcBorders>
        <w:shd w:val="clear" w:color="auto" w:fill="B3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tblBorders>
    </w:tblPr>
    <w:tblStylePr w:type="firstRow">
      <w:pPr>
        <w:spacing w:before="0" w:after="0" w:line="240" w:lineRule="auto"/>
      </w:pPr>
      <w:rPr>
        <w:b/>
        <w:bCs/>
        <w:color w:val="FFFFFF" w:themeColor="background1"/>
      </w:rPr>
      <w:tblPr/>
      <w:tcPr>
        <w:tc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shd w:val="clear" w:color="auto" w:fill="EA7200" w:themeFill="accent2"/>
      </w:tcPr>
    </w:tblStylePr>
    <w:tblStylePr w:type="lastRow">
      <w:pPr>
        <w:spacing w:before="0" w:after="0" w:line="240" w:lineRule="auto"/>
      </w:pPr>
      <w:rPr>
        <w:b/>
        <w:bCs/>
      </w:rPr>
      <w:tblPr/>
      <w:tcPr>
        <w:tcBorders>
          <w:top w:val="double" w:sz="6"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BBA" w:themeFill="accent2" w:themeFillTint="3F"/>
      </w:tcPr>
    </w:tblStylePr>
    <w:tblStylePr w:type="band1Horz">
      <w:tblPr/>
      <w:tcPr>
        <w:tcBorders>
          <w:insideH w:val="nil"/>
          <w:insideV w:val="nil"/>
        </w:tcBorders>
        <w:shd w:val="clear" w:color="auto" w:fill="FFDBB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tblBorders>
    </w:tblPr>
    <w:tblStylePr w:type="firstRow">
      <w:pPr>
        <w:spacing w:before="0" w:after="0" w:line="240" w:lineRule="auto"/>
      </w:pPr>
      <w:rPr>
        <w:b/>
        <w:bCs/>
        <w:color w:val="FFFFFF" w:themeColor="background1"/>
      </w:rPr>
      <w:tblPr/>
      <w:tcPr>
        <w:tc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shd w:val="clear" w:color="auto" w:fill="66AAE2" w:themeFill="accent5"/>
      </w:tcPr>
    </w:tblStylePr>
    <w:tblStylePr w:type="lastRow">
      <w:pPr>
        <w:spacing w:before="0" w:after="0" w:line="240" w:lineRule="auto"/>
      </w:pPr>
      <w:rPr>
        <w:b/>
        <w:bCs/>
      </w:rPr>
      <w:tblPr/>
      <w:tcPr>
        <w:tcBorders>
          <w:top w:val="double" w:sz="6"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9F7" w:themeFill="accent5" w:themeFillTint="3F"/>
      </w:tcPr>
    </w:tblStylePr>
    <w:tblStylePr w:type="band1Horz">
      <w:tblPr/>
      <w:tcPr>
        <w:tcBorders>
          <w:insideH w:val="nil"/>
          <w:insideV w:val="nil"/>
        </w:tcBorders>
        <w:shd w:val="clear" w:color="auto" w:fill="D9E9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tblBorders>
    </w:tblPr>
    <w:tblStylePr w:type="firstRow">
      <w:pPr>
        <w:spacing w:before="0" w:after="0" w:line="240" w:lineRule="auto"/>
      </w:pPr>
      <w:rPr>
        <w:b/>
        <w:bCs/>
        <w:color w:val="FFFFFF" w:themeColor="background1"/>
      </w:rPr>
      <w:tblPr/>
      <w:tcPr>
        <w:tc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shd w:val="clear" w:color="auto" w:fill="F2AB66" w:themeFill="accent6"/>
      </w:tcPr>
    </w:tblStylePr>
    <w:tblStylePr w:type="lastRow">
      <w:pPr>
        <w:spacing w:before="0" w:after="0" w:line="240" w:lineRule="auto"/>
      </w:pPr>
      <w:rPr>
        <w:b/>
        <w:bCs/>
      </w:rPr>
      <w:tblPr/>
      <w:tcPr>
        <w:tcBorders>
          <w:top w:val="double" w:sz="6"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9D8" w:themeFill="accent6" w:themeFillTint="3F"/>
      </w:tcPr>
    </w:tblStylePr>
    <w:tblStylePr w:type="band1Horz">
      <w:tblPr/>
      <w:tcPr>
        <w:tcBorders>
          <w:insideH w:val="nil"/>
          <w:insideV w:val="nil"/>
        </w:tcBorders>
        <w:shd w:val="clear" w:color="auto" w:fill="FBE9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2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200" w:themeFill="accent2"/>
      </w:tcPr>
    </w:tblStylePr>
    <w:tblStylePr w:type="lastCol">
      <w:rPr>
        <w:b/>
        <w:bCs/>
        <w:color w:val="FFFFFF" w:themeColor="background1"/>
      </w:rPr>
      <w:tblPr/>
      <w:tcPr>
        <w:tcBorders>
          <w:left w:val="nil"/>
          <w:right w:val="nil"/>
          <w:insideH w:val="nil"/>
          <w:insideV w:val="nil"/>
        </w:tcBorders>
        <w:shd w:val="clear" w:color="auto" w:fill="EA72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A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AE2" w:themeFill="accent5"/>
      </w:tcPr>
    </w:tblStylePr>
    <w:tblStylePr w:type="lastCol">
      <w:rPr>
        <w:b/>
        <w:bCs/>
        <w:color w:val="FFFFFF" w:themeColor="background1"/>
      </w:rPr>
      <w:tblPr/>
      <w:tcPr>
        <w:tcBorders>
          <w:left w:val="nil"/>
          <w:right w:val="nil"/>
          <w:insideH w:val="nil"/>
          <w:insideV w:val="nil"/>
        </w:tcBorders>
        <w:shd w:val="clear" w:color="auto" w:fill="66AA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A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AB66" w:themeFill="accent6"/>
      </w:tcPr>
    </w:tblStylePr>
    <w:tblStylePr w:type="lastCol">
      <w:rPr>
        <w:b/>
        <w:bCs/>
        <w:color w:val="FFFFFF" w:themeColor="background1"/>
      </w:rPr>
      <w:tblPr/>
      <w:tcPr>
        <w:tcBorders>
          <w:left w:val="nil"/>
          <w:right w:val="nil"/>
          <w:insideH w:val="nil"/>
          <w:insideV w:val="nil"/>
        </w:tcBorders>
        <w:shd w:val="clear" w:color="auto" w:fill="F2AB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B23ED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72CE" w:themeFill="accent1"/>
      </w:tcPr>
    </w:tblStylePr>
    <w:tblStylePr w:type="firstCol">
      <w:tblPr/>
      <w:tcPr>
        <w:shd w:val="clear" w:color="auto" w:fill="FFFFFF" w:themeFill="background1"/>
      </w:tcPr>
    </w:tblStylePr>
    <w:tblStylePr w:type="band1Vert">
      <w:tblPr/>
      <w:tcPr>
        <w:shd w:val="clear" w:color="auto" w:fill="CCE3F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72CE" w:themeColor="accent1"/>
        <w:left w:val="single" w:sz="4" w:space="12" w:color="0072CE" w:themeColor="accent1"/>
        <w:bottom w:val="single" w:sz="4" w:space="14" w:color="0072CE" w:themeColor="accent1"/>
        <w:right w:val="single" w:sz="4" w:space="12" w:color="0072CE" w:themeColor="accent1"/>
      </w:pBdr>
      <w:shd w:val="clear" w:color="auto" w:fill="0072CE"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https://www.vic.gov.au/fuel-safety"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service.vic.gov.au/find-services/transport-and-driving/servo-save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delwpvicgovau.sharepoint.com/Users/fionadurante/Downloads/deeca.vic.gov.au"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delwpvicgovau.sharepoint.com/Users/fionadurante/Downloads/deeca.vic.gov.au"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vic.gov.au/fuel-suppl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E3F5"/>
      </a:lt2>
      <a:accent1>
        <a:srgbClr val="0072CE"/>
      </a:accent1>
      <a:accent2>
        <a:srgbClr val="EA7200"/>
      </a:accent2>
      <a:accent3>
        <a:srgbClr val="00B2A9"/>
      </a:accent3>
      <a:accent4>
        <a:srgbClr val="201547"/>
      </a:accent4>
      <a:accent5>
        <a:srgbClr val="66AAE2"/>
      </a:accent5>
      <a:accent6>
        <a:srgbClr val="F2AB66"/>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lcf76f155ced4ddcb4097134ff3c332f xmlns="225c9672-6851-4819-b602-ef532de55260">
      <Terms xmlns="http://schemas.microsoft.com/office/infopath/2007/PartnerControls"/>
    </lcf76f155ced4ddcb4097134ff3c332f>
    <MeetingDate xmlns="225c9672-6851-4819-b602-ef532de55260" xsi:nil="true"/>
  </documentManagement>
</p:properties>
</file>

<file path=customXml/item4.xml><?xml version="1.0" encoding="utf-8"?>
<?mso-contentType ?>
<SharedContentType xmlns="Microsoft.SharePoint.Taxonomy.ContentTypeSync" SourceId="797aeec6-0273-40f2-ab3e-beee73212332"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48FBFF4F45BBF41BDA1A7BFDC7C20FC" ma:contentTypeVersion="25" ma:contentTypeDescription="Create a new document." ma:contentTypeScope="" ma:versionID="bbab4ca9f9a3ee8409186f9904e7e586">
  <xsd:schema xmlns:xsd="http://www.w3.org/2001/XMLSchema" xmlns:xs="http://www.w3.org/2001/XMLSchema" xmlns:p="http://schemas.microsoft.com/office/2006/metadata/properties" xmlns:ns2="a5f32de4-e402-4188-b034-e71ca7d22e54" xmlns:ns3="225c9672-6851-4819-b602-ef532de55260" xmlns:ns4="a28b7602-4cf2-45e4-91e4-10072c5f2efd" xmlns:ns5="9fd47c19-1c4a-4d7d-b342-c10cef269344" targetNamespace="http://schemas.microsoft.com/office/2006/metadata/properties" ma:root="true" ma:fieldsID="c647bfba313548c5c50f1523bcdc70e1" ns2:_="" ns3:_="" ns4:_="" ns5:_="">
    <xsd:import namespace="a5f32de4-e402-4188-b034-e71ca7d22e54"/>
    <xsd:import namespace="225c9672-6851-4819-b602-ef532de55260"/>
    <xsd:import namespace="a28b7602-4cf2-45e4-91e4-10072c5f2efd"/>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MeetingDate"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5c9672-6851-4819-b602-ef532de552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etingDate" ma:index="24" nillable="true" ma:displayName="Meeting Date" ma:format="DateOnly" ma:internalName="Meeting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b7602-4cf2-45e4-91e4-10072c5f2e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60140166-933a-4b7e-9d2d-116f687381bd}" ma:internalName="TaxCatchAll" ma:showField="CatchAllData" ma:web="a28b7602-4cf2-45e4-91e4-10072c5f2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7A0421-578D-479E-B637-03B5CD72ECF7}">
  <ds:schemaRefs>
    <ds:schemaRef ds:uri="http://schemas.microsoft.com/sharepoint/events"/>
  </ds:schemaRefs>
</ds:datastoreItem>
</file>

<file path=customXml/itemProps3.xml><?xml version="1.0" encoding="utf-8"?>
<ds:datastoreItem xmlns:ds="http://schemas.openxmlformats.org/officeDocument/2006/customXml" ds:itemID="{BCFABBF0-0631-4425-8316-AF0A01ACFB0F}">
  <ds:schemaRefs>
    <ds:schemaRef ds:uri="a5f32de4-e402-4188-b034-e71ca7d22e54"/>
    <ds:schemaRef ds:uri="a28b7602-4cf2-45e4-91e4-10072c5f2efd"/>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 ds:uri="9fd47c19-1c4a-4d7d-b342-c10cef269344"/>
    <ds:schemaRef ds:uri="http://schemas.microsoft.com/office/2006/documentManagement/types"/>
    <ds:schemaRef ds:uri="225c9672-6851-4819-b602-ef532de55260"/>
    <ds:schemaRef ds:uri="http://www.w3.org/XML/1998/namespace"/>
    <ds:schemaRef ds:uri="http://purl.org/dc/terms/"/>
  </ds:schemaRefs>
</ds:datastoreItem>
</file>

<file path=customXml/itemProps4.xml><?xml version="1.0" encoding="utf-8"?>
<ds:datastoreItem xmlns:ds="http://schemas.openxmlformats.org/officeDocument/2006/customXml" ds:itemID="{16C3D387-7E87-45FC-9F21-A83A848BD0E1}">
  <ds:schemaRefs>
    <ds:schemaRef ds:uri="Microsoft.SharePoint.Taxonomy.ContentTypeSync"/>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E5655336-115F-4ED8-AA09-D1B981A8C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225c9672-6851-4819-b602-ef532de55260"/>
    <ds:schemaRef ds:uri="a28b7602-4cf2-45e4-91e4-10072c5f2efd"/>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3786</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over two to three lines unless the subtitle is not in use</vt:lpstr>
      <vt:lpstr>Title over two lines maximum just to see how it looks and how it will work</vt:lpstr>
    </vt:vector>
  </TitlesOfParts>
  <Manager/>
  <Company/>
  <LinksUpToDate>false</LinksUpToDate>
  <CharactersWithSpaces>4442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Προμήθεια καυσίμων</dc:title>
  <dc:subject/>
  <dc:creator>DEECA</dc:creator>
  <cp:keywords/>
  <dc:description/>
  <cp:lastModifiedBy>Zarina Coetzee (DEECA)</cp:lastModifiedBy>
  <cp:revision>2</cp:revision>
  <cp:lastPrinted>2026-05-04T03:11:00Z</cp:lastPrinted>
  <dcterms:created xsi:type="dcterms:W3CDTF">2026-05-11T22:41:00Z</dcterms:created>
  <dcterms:modified xsi:type="dcterms:W3CDTF">2026-05-11T22:41:00Z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cy">
    <vt:i4>1</vt:i4>
  </property>
  <property fmtid="{D5CDD505-2E9C-101B-9397-08002B2CF9AE}" pid="3" name="Brand type">
    <vt:lpwstr>DEECA Branded</vt:lpwstr>
  </property>
  <property fmtid="{D5CDD505-2E9C-101B-9397-08002B2CF9AE}" pid="4" name="ComplianceAssetId">
    <vt:lpwstr/>
  </property>
  <property fmtid="{D5CDD505-2E9C-101B-9397-08002B2CF9AE}" pid="5" name="ContentTypeId">
    <vt:lpwstr>0x010100B48FBFF4F45BBF41BDA1A7BFDC7C20FC</vt:lpwstr>
  </property>
  <property fmtid="{D5CDD505-2E9C-101B-9397-08002B2CF9AE}" pid="6" name="Dissemination Limiting Marker">
    <vt:i4>2</vt:i4>
  </property>
  <property fmtid="{D5CDD505-2E9C-101B-9397-08002B2CF9AE}" pid="7" name="Division">
    <vt:i4>5</vt:i4>
  </property>
  <property fmtid="{D5CDD505-2E9C-101B-9397-08002B2CF9AE}" pid="8" name="docLang">
    <vt:lpwstr>en</vt:lpwstr>
  </property>
  <property fmtid="{D5CDD505-2E9C-101B-9397-08002B2CF9AE}" pid="9" name="ece32f50ba964e1fbf627a9d83fe6c01">
    <vt:lpwstr>Department of Environment, Land, Water and Planning|607a3f87-1228-4cd9-82a5-076aa8776274</vt:lpwstr>
  </property>
  <property fmtid="{D5CDD505-2E9C-101B-9397-08002B2CF9AE}" pid="10" name="fb3179c379644f499d7166d0c985669b">
    <vt:lpwstr>FOUO|955eb6fc-b35a-4808-8aa5-31e514fa3f26</vt:lpwstr>
  </property>
  <property fmtid="{D5CDD505-2E9C-101B-9397-08002B2CF9AE}" pid="11" name="Language">
    <vt:lpwstr>English</vt:lpwstr>
  </property>
  <property fmtid="{D5CDD505-2E9C-101B-9397-08002B2CF9AE}" pid="12" name="MediaServiceImageTags">
    <vt:lpwstr/>
  </property>
  <property fmtid="{D5CDD505-2E9C-101B-9397-08002B2CF9AE}" pid="13" name="MSIP_Label_4257e2ab-f512-40e2-9c9a-c64247360765_ActionId">
    <vt:lpwstr>15d7d8ba-6e73-4c67-9ef1-dd7ab7778591</vt:lpwstr>
  </property>
  <property fmtid="{D5CDD505-2E9C-101B-9397-08002B2CF9AE}" pid="14" name="MSIP_Label_4257e2ab-f512-40e2-9c9a-c64247360765_ContentBits">
    <vt:lpwstr>2</vt:lpwstr>
  </property>
  <property fmtid="{D5CDD505-2E9C-101B-9397-08002B2CF9AE}" pid="15" name="MSIP_Label_4257e2ab-f512-40e2-9c9a-c64247360765_Enabled">
    <vt:lpwstr>true</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etDate">
    <vt:lpwstr>2023-05-02T08:24:03Z</vt:lpwstr>
  </property>
  <property fmtid="{D5CDD505-2E9C-101B-9397-08002B2CF9AE}" pid="19" name="MSIP_Label_4257e2ab-f512-40e2-9c9a-c64247360765_SiteId">
    <vt:lpwstr>e8bdd6f7-fc18-4e48-a554-7f547927223b</vt:lpwstr>
  </property>
  <property fmtid="{D5CDD505-2E9C-101B-9397-08002B2CF9AE}" pid="20" name="n771d69a070c4babbf278c67c8a2b859">
    <vt:lpwstr>Information Services|30448c83-753c-4662-9f56-9cde52d6c172</vt:lpwstr>
  </property>
  <property fmtid="{D5CDD505-2E9C-101B-9397-08002B2CF9AE}" pid="21" name="Order">
    <vt:i4>54200</vt:i4>
  </property>
  <property fmtid="{D5CDD505-2E9C-101B-9397-08002B2CF9AE}" pid="22" name="pd01c257034b4e86b1f58279a3bd54c6">
    <vt:lpwstr>Unclassified|7fa379f4-4aba-4692-ab80-7d39d3a23cf4</vt:lpwstr>
  </property>
  <property fmtid="{D5CDD505-2E9C-101B-9397-08002B2CF9AE}" pid="23" name="Security Classification">
    <vt:i4>3</vt:i4>
  </property>
  <property fmtid="{D5CDD505-2E9C-101B-9397-08002B2CF9AE}" pid="24" name="TemplateUrl">
    <vt:lpwstr/>
  </property>
  <property fmtid="{D5CDD505-2E9C-101B-9397-08002B2CF9AE}" pid="25" name="TriggerFlowInfo">
    <vt:lpwstr/>
  </property>
  <property fmtid="{D5CDD505-2E9C-101B-9397-08002B2CF9AE}" pid="26" name="xd_ProgID">
    <vt:lpwstr/>
  </property>
  <property fmtid="{D5CDD505-2E9C-101B-9397-08002B2CF9AE}" pid="27" name="xd_Signature">
    <vt:bool>false</vt:bool>
  </property>
  <property fmtid="{D5CDD505-2E9C-101B-9397-08002B2CF9AE}" pid="28" name="xFooterSubtitle">
    <vt:lpwstr>Subtitle over two to three lines. Do not allow text to go below the navy header background or overlap graphics on the right</vt:lpwstr>
  </property>
  <property fmtid="{D5CDD505-2E9C-101B-9397-08002B2CF9AE}" pid="29" name="xFooterTitle">
    <vt:lpwstr>Title over two to three lines unless the subtitle is not in use</vt:lpwstr>
  </property>
  <property fmtid="{D5CDD505-2E9C-101B-9397-08002B2CF9AE}" pid="30" name="_ExtendedDescription">
    <vt:lpwstr/>
  </property>
</Properties>
</file>