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8AAB" w14:textId="77777777" w:rsidR="00056EC4" w:rsidRDefault="00A01FB1" w:rsidP="00056EC4">
      <w:pPr>
        <w:pStyle w:val="Body"/>
      </w:pPr>
      <w:r>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p w14:paraId="438FAEEB" w14:textId="42213584" w:rsidR="00930393" w:rsidRPr="00431F42" w:rsidRDefault="00913CFE" w:rsidP="00431F42">
      <w:pPr>
        <w:pStyle w:val="Documenttitle"/>
      </w:pPr>
      <w:r>
        <w:t xml:space="preserve">Mandatory Minimum Qualifications </w:t>
      </w:r>
      <w:r w:rsidR="005305F6">
        <w:t>P</w:t>
      </w:r>
      <w:r>
        <w:t xml:space="preserve">olicy </w:t>
      </w:r>
    </w:p>
    <w:p w14:paraId="7A363D51" w14:textId="7AB4EAA6" w:rsidR="00930393" w:rsidRPr="00A1389F" w:rsidRDefault="00913CFE" w:rsidP="00C12B05">
      <w:pPr>
        <w:pStyle w:val="Documentsubtitle"/>
      </w:pPr>
      <w:r>
        <w:t>Return to Practice Guidelines for specialist family violence roles</w:t>
      </w:r>
    </w:p>
    <w:p w14:paraId="0DDB455D" w14:textId="77777777" w:rsidR="00930393" w:rsidRDefault="00913CFE" w:rsidP="00430393">
      <w:pPr>
        <w:pStyle w:val="Bannermarking"/>
      </w:pPr>
      <w:fldSimple w:instr=" FILLIN  &quot;Type the protective marking&quot; \d OFFICIAL \o  \* MERGEFORMAT ">
        <w:r>
          <w:t>OFFICIAL</w:t>
        </w:r>
      </w:fldSimple>
    </w:p>
    <w:p w14:paraId="3000BADB" w14:textId="77777777" w:rsidR="00FE4081" w:rsidRDefault="00FE4081" w:rsidP="00FE4081">
      <w:pPr>
        <w:pStyle w:val="Body"/>
      </w:pPr>
    </w:p>
    <w:p w14:paraId="270D34A2" w14:textId="77777777"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40F19371" w14:textId="611B0F3C" w:rsidR="00930393" w:rsidRPr="00DE21C7" w:rsidRDefault="00930393" w:rsidP="00930393">
      <w:pPr>
        <w:pStyle w:val="Accessibilitypara"/>
      </w:pPr>
      <w:r w:rsidRPr="00DE21C7">
        <w:lastRenderedPageBreak/>
        <w:t xml:space="preserve">Contact us to receive this document in another format. </w:t>
      </w:r>
      <w:r>
        <w:t>Please email</w:t>
      </w:r>
      <w:r w:rsidR="6737FE07">
        <w:t xml:space="preserve"> the Centre for Workforce Excellence, </w:t>
      </w:r>
      <w:hyperlink r:id="rId15">
        <w:r w:rsidR="6737FE07" w:rsidRPr="35BADF19">
          <w:rPr>
            <w:rStyle w:val="Hyperlink"/>
          </w:rPr>
          <w:t>cwe@dffh.vic.gov.au</w:t>
        </w:r>
      </w:hyperlink>
      <w:r w:rsidR="6737FE07">
        <w:t xml:space="preserve"> </w:t>
      </w:r>
    </w:p>
    <w:p w14:paraId="65262C86" w14:textId="77777777" w:rsidR="00930393" w:rsidRPr="00DE21C7" w:rsidRDefault="00930393" w:rsidP="00930393">
      <w:pPr>
        <w:pStyle w:val="Imprint"/>
      </w:pPr>
      <w:r w:rsidRPr="00DE21C7">
        <w:t>Authorised and published by the Victorian Government, 1 Treasury Place, Melbourne.</w:t>
      </w:r>
    </w:p>
    <w:p w14:paraId="0486FE61" w14:textId="2D0265BC" w:rsidR="00930393" w:rsidRDefault="00930393" w:rsidP="00930393">
      <w:pPr>
        <w:pStyle w:val="Imprint"/>
      </w:pPr>
      <w:r w:rsidRPr="00DE21C7">
        <w:t>© State of Victoria, Australia, Department of Families, Fairness and Housing</w:t>
      </w:r>
      <w:r w:rsidR="00913CFE">
        <w:t>, April 2026</w:t>
      </w:r>
      <w:r w:rsidRPr="00DE21C7">
        <w:t>.</w:t>
      </w:r>
    </w:p>
    <w:p w14:paraId="029910E7" w14:textId="1A9BD677" w:rsidR="00C00C08" w:rsidRPr="00DE21C7" w:rsidRDefault="00C00C08" w:rsidP="00930393">
      <w:pPr>
        <w:pStyle w:val="Imprint"/>
      </w:pPr>
      <w:r>
        <w:rPr>
          <w:noProof/>
        </w:rPr>
        <w:drawing>
          <wp:inline distT="0" distB="0" distL="0" distR="0" wp14:anchorId="677F5FCE" wp14:editId="1C8B541B">
            <wp:extent cx="1222375" cy="422275"/>
            <wp:effectExtent l="0" t="0" r="0" b="0"/>
            <wp:docPr id="967198065" name="Picture 4"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98065" name="Picture 4" descr="Description: CC (Creative commons)_by">
                      <a:hlinkClick r:id="rId16"/>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6BEDB9FE" w14:textId="6E5E2B6B" w:rsidR="001E562C" w:rsidRPr="00276479" w:rsidRDefault="001E562C" w:rsidP="00D826AD">
      <w:pPr>
        <w:pStyle w:val="Imprint"/>
      </w:pPr>
      <w:r w:rsidRPr="00276479">
        <w:t>With the exception of any images, photographs or branding (including, but not limited to the Victorian Coat of Arms, the Victorian Government logo or the Department of Families, Fairness and Housing logo), this work</w:t>
      </w:r>
      <w:r w:rsidRPr="00D826AD">
        <w:t xml:space="preserve">, </w:t>
      </w:r>
      <w:r w:rsidR="00D826AD" w:rsidRPr="00D826AD">
        <w:rPr>
          <w:i/>
          <w:iCs/>
        </w:rPr>
        <w:t>Mandatory Minimum Qualifications Policy: Return to Practice Guidelines for specialist family violence roles</w:t>
      </w:r>
      <w:r w:rsidRPr="00276479">
        <w:t>, is licensed under a Creative Commons Attribution 4.0 licence.</w:t>
      </w:r>
    </w:p>
    <w:p w14:paraId="1A053764" w14:textId="77777777" w:rsidR="001E562C" w:rsidRPr="00276479" w:rsidRDefault="001E562C" w:rsidP="001E562C">
      <w:pPr>
        <w:pStyle w:val="Imprint"/>
      </w:pPr>
      <w:r w:rsidRPr="00276479">
        <w:t xml:space="preserve">The terms and conditions of this licence, including disclaimer of warranties and limitation of liability are available at </w:t>
      </w:r>
      <w:hyperlink r:id="rId18" w:history="1">
        <w:r w:rsidRPr="00276479">
          <w:rPr>
            <w:rStyle w:val="Hyperlink"/>
          </w:rPr>
          <w:t xml:space="preserve">Creative Commons Attribution 4.0 International Public License </w:t>
        </w:r>
      </w:hyperlink>
      <w:r w:rsidRPr="00276479">
        <w:t>https://creativecommons.org/licenses/by/4.0/.</w:t>
      </w:r>
    </w:p>
    <w:p w14:paraId="552AC361" w14:textId="77777777" w:rsidR="001E562C" w:rsidRPr="00276479" w:rsidRDefault="001E562C" w:rsidP="001E562C">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38057D53" w14:textId="77777777" w:rsidR="00881461" w:rsidRPr="00913CFE" w:rsidRDefault="00881461" w:rsidP="00881461">
      <w:pPr>
        <w:pStyle w:val="Imprint"/>
      </w:pPr>
      <w:bookmarkStart w:id="0" w:name="_Hlk62746129"/>
      <w:r w:rsidRPr="00913CFE">
        <w:t>In this document, we may use the terms ‘First Peoples’, ‘First Nations’ or ‘Aboriginal people’. This includes all Aboriginal and Torres Strait Islander peoples living in Victoria. We retain ‘Indigenous’ or ‘Koori/Koorie’ when part of a title, program or quote.</w:t>
      </w:r>
    </w:p>
    <w:p w14:paraId="02743911" w14:textId="418A275B" w:rsidR="00930393" w:rsidRPr="00DE21C7" w:rsidRDefault="00930393" w:rsidP="00881461">
      <w:pPr>
        <w:pStyle w:val="Imprint"/>
      </w:pPr>
      <w:r w:rsidRPr="00D529F4">
        <w:rPr>
          <w:b/>
          <w:bCs/>
        </w:rPr>
        <w:t>ISBN</w:t>
      </w:r>
      <w:r w:rsidR="00D529F4">
        <w:t xml:space="preserve"> </w:t>
      </w:r>
      <w:r w:rsidR="00D529F4" w:rsidRPr="00D529F4">
        <w:t>978-1-76171-061-2</w:t>
      </w:r>
      <w:r w:rsidRPr="00DE21C7">
        <w:rPr>
          <w:color w:val="87189D"/>
        </w:rPr>
        <w:t xml:space="preserve"> </w:t>
      </w:r>
      <w:r w:rsidRPr="00DE21C7">
        <w:t>(</w:t>
      </w:r>
      <w:r w:rsidRPr="00D529F4">
        <w:rPr>
          <w:b/>
          <w:bCs/>
        </w:rPr>
        <w:t>pdf/online/MS word</w:t>
      </w:r>
      <w:r w:rsidRPr="00DE21C7">
        <w:t xml:space="preserve">) </w:t>
      </w:r>
    </w:p>
    <w:p w14:paraId="3FBE0057" w14:textId="58A33D2F" w:rsidR="00930393" w:rsidRPr="00DE21C7" w:rsidRDefault="00930393" w:rsidP="00930393">
      <w:pPr>
        <w:pStyle w:val="Imprint"/>
      </w:pPr>
      <w:r w:rsidRPr="00DE21C7">
        <w:t xml:space="preserve">Available at </w:t>
      </w:r>
      <w:hyperlink r:id="rId19" w:history="1">
        <w:r w:rsidR="003738AC" w:rsidRPr="003738AC">
          <w:rPr>
            <w:rStyle w:val="Hyperlink"/>
          </w:rPr>
          <w:t>Mandatory minimum qualifications for specialist family violence response roles</w:t>
        </w:r>
      </w:hyperlink>
      <w:r w:rsidR="003738AC" w:rsidRPr="003738AC">
        <w:t xml:space="preserve"> https://www.vic.gov.au/mandatory-minimum-qualifications-specialist-family-violence-practitioners</w:t>
      </w:r>
    </w:p>
    <w:bookmarkEnd w:id="0"/>
    <w:p w14:paraId="1E1A8CF2" w14:textId="67196854" w:rsidR="00930393" w:rsidRDefault="00AD06C8" w:rsidP="00930393">
      <w:pPr>
        <w:pStyle w:val="Body"/>
      </w:pPr>
      <w:r>
        <w:t>(</w:t>
      </w:r>
      <w:r w:rsidRPr="00AD06C8">
        <w:t>2502301</w:t>
      </w:r>
      <w:r>
        <w:t>)</w:t>
      </w:r>
    </w:p>
    <w:p w14:paraId="7B9DD2C9" w14:textId="77777777" w:rsidR="00930393" w:rsidRPr="0008204A" w:rsidRDefault="00930393" w:rsidP="00930393">
      <w:pPr>
        <w:pStyle w:val="Body"/>
      </w:pPr>
      <w:r w:rsidRPr="0008204A">
        <w:br w:type="page"/>
      </w:r>
    </w:p>
    <w:p w14:paraId="70AC7608" w14:textId="77777777" w:rsidR="00930393" w:rsidRPr="00B57329" w:rsidRDefault="00930393" w:rsidP="00930393">
      <w:pPr>
        <w:pStyle w:val="TOCheadingreport"/>
      </w:pPr>
      <w:r w:rsidRPr="00B57329">
        <w:lastRenderedPageBreak/>
        <w:t>Contents</w:t>
      </w:r>
    </w:p>
    <w:p w14:paraId="05BA7F58" w14:textId="571AF73E" w:rsidR="00EC56AB" w:rsidRDefault="00930393">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9489738" w:history="1">
        <w:r w:rsidR="00EC56AB" w:rsidRPr="003E2EB6">
          <w:rPr>
            <w:rStyle w:val="Hyperlink"/>
          </w:rPr>
          <w:t>Acknowledgements</w:t>
        </w:r>
        <w:r w:rsidR="00EC56AB">
          <w:rPr>
            <w:webHidden/>
          </w:rPr>
          <w:tab/>
        </w:r>
        <w:r w:rsidR="00EC56AB">
          <w:rPr>
            <w:webHidden/>
          </w:rPr>
          <w:fldChar w:fldCharType="begin"/>
        </w:r>
        <w:r w:rsidR="00EC56AB">
          <w:rPr>
            <w:webHidden/>
          </w:rPr>
          <w:instrText xml:space="preserve"> PAGEREF _Toc229489738 \h </w:instrText>
        </w:r>
        <w:r w:rsidR="00EC56AB">
          <w:rPr>
            <w:webHidden/>
          </w:rPr>
        </w:r>
        <w:r w:rsidR="00EC56AB">
          <w:rPr>
            <w:webHidden/>
          </w:rPr>
          <w:fldChar w:fldCharType="separate"/>
        </w:r>
        <w:r w:rsidR="00EC56AB">
          <w:rPr>
            <w:webHidden/>
          </w:rPr>
          <w:t>4</w:t>
        </w:r>
        <w:r w:rsidR="00EC56AB">
          <w:rPr>
            <w:webHidden/>
          </w:rPr>
          <w:fldChar w:fldCharType="end"/>
        </w:r>
      </w:hyperlink>
    </w:p>
    <w:p w14:paraId="5EB40AA4" w14:textId="54773CC1"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39" w:history="1">
        <w:r w:rsidRPr="003E2EB6">
          <w:rPr>
            <w:rStyle w:val="Hyperlink"/>
          </w:rPr>
          <w:t>Aboriginal acknowledgement</w:t>
        </w:r>
        <w:r>
          <w:rPr>
            <w:webHidden/>
          </w:rPr>
          <w:tab/>
        </w:r>
        <w:r>
          <w:rPr>
            <w:webHidden/>
          </w:rPr>
          <w:fldChar w:fldCharType="begin"/>
        </w:r>
        <w:r>
          <w:rPr>
            <w:webHidden/>
          </w:rPr>
          <w:instrText xml:space="preserve"> PAGEREF _Toc229489739 \h </w:instrText>
        </w:r>
        <w:r>
          <w:rPr>
            <w:webHidden/>
          </w:rPr>
        </w:r>
        <w:r>
          <w:rPr>
            <w:webHidden/>
          </w:rPr>
          <w:fldChar w:fldCharType="separate"/>
        </w:r>
        <w:r>
          <w:rPr>
            <w:webHidden/>
          </w:rPr>
          <w:t>4</w:t>
        </w:r>
        <w:r>
          <w:rPr>
            <w:webHidden/>
          </w:rPr>
          <w:fldChar w:fldCharType="end"/>
        </w:r>
      </w:hyperlink>
    </w:p>
    <w:p w14:paraId="3C090DD8" w14:textId="49946EAA"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40" w:history="1">
        <w:r w:rsidRPr="003E2EB6">
          <w:rPr>
            <w:rStyle w:val="Hyperlink"/>
          </w:rPr>
          <w:t>Commitment to supporting those affected by family violence</w:t>
        </w:r>
        <w:r>
          <w:rPr>
            <w:webHidden/>
          </w:rPr>
          <w:tab/>
        </w:r>
        <w:r>
          <w:rPr>
            <w:webHidden/>
          </w:rPr>
          <w:fldChar w:fldCharType="begin"/>
        </w:r>
        <w:r>
          <w:rPr>
            <w:webHidden/>
          </w:rPr>
          <w:instrText xml:space="preserve"> PAGEREF _Toc229489740 \h </w:instrText>
        </w:r>
        <w:r>
          <w:rPr>
            <w:webHidden/>
          </w:rPr>
        </w:r>
        <w:r>
          <w:rPr>
            <w:webHidden/>
          </w:rPr>
          <w:fldChar w:fldCharType="separate"/>
        </w:r>
        <w:r>
          <w:rPr>
            <w:webHidden/>
          </w:rPr>
          <w:t>4</w:t>
        </w:r>
        <w:r>
          <w:rPr>
            <w:webHidden/>
          </w:rPr>
          <w:fldChar w:fldCharType="end"/>
        </w:r>
      </w:hyperlink>
    </w:p>
    <w:p w14:paraId="4264F042" w14:textId="17BD2641"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41" w:history="1">
        <w:r w:rsidRPr="003E2EB6">
          <w:rPr>
            <w:rStyle w:val="Hyperlink"/>
          </w:rPr>
          <w:t>Family and sexual violence services and support</w:t>
        </w:r>
        <w:r>
          <w:rPr>
            <w:webHidden/>
          </w:rPr>
          <w:tab/>
        </w:r>
        <w:r>
          <w:rPr>
            <w:webHidden/>
          </w:rPr>
          <w:fldChar w:fldCharType="begin"/>
        </w:r>
        <w:r>
          <w:rPr>
            <w:webHidden/>
          </w:rPr>
          <w:instrText xml:space="preserve"> PAGEREF _Toc229489741 \h </w:instrText>
        </w:r>
        <w:r>
          <w:rPr>
            <w:webHidden/>
          </w:rPr>
        </w:r>
        <w:r>
          <w:rPr>
            <w:webHidden/>
          </w:rPr>
          <w:fldChar w:fldCharType="separate"/>
        </w:r>
        <w:r>
          <w:rPr>
            <w:webHidden/>
          </w:rPr>
          <w:t>4</w:t>
        </w:r>
        <w:r>
          <w:rPr>
            <w:webHidden/>
          </w:rPr>
          <w:fldChar w:fldCharType="end"/>
        </w:r>
      </w:hyperlink>
    </w:p>
    <w:p w14:paraId="3561F72F" w14:textId="69EFE2A1" w:rsidR="00EC56AB" w:rsidRDefault="00EC56AB">
      <w:pPr>
        <w:pStyle w:val="TOC1"/>
        <w:rPr>
          <w:rFonts w:asciiTheme="minorHAnsi" w:eastAsiaTheme="minorEastAsia" w:hAnsiTheme="minorHAnsi" w:cstheme="minorBidi"/>
          <w:b w:val="0"/>
          <w:kern w:val="2"/>
          <w:sz w:val="24"/>
          <w:szCs w:val="24"/>
          <w:lang w:eastAsia="en-AU"/>
          <w14:ligatures w14:val="standardContextual"/>
        </w:rPr>
      </w:pPr>
      <w:hyperlink w:anchor="_Toc229489742" w:history="1">
        <w:r w:rsidRPr="003E2EB6">
          <w:rPr>
            <w:rStyle w:val="Hyperlink"/>
          </w:rPr>
          <w:t>Introduction</w:t>
        </w:r>
        <w:r>
          <w:rPr>
            <w:webHidden/>
          </w:rPr>
          <w:tab/>
        </w:r>
        <w:r>
          <w:rPr>
            <w:webHidden/>
          </w:rPr>
          <w:fldChar w:fldCharType="begin"/>
        </w:r>
        <w:r>
          <w:rPr>
            <w:webHidden/>
          </w:rPr>
          <w:instrText xml:space="preserve"> PAGEREF _Toc229489742 \h </w:instrText>
        </w:r>
        <w:r>
          <w:rPr>
            <w:webHidden/>
          </w:rPr>
        </w:r>
        <w:r>
          <w:rPr>
            <w:webHidden/>
          </w:rPr>
          <w:fldChar w:fldCharType="separate"/>
        </w:r>
        <w:r>
          <w:rPr>
            <w:webHidden/>
          </w:rPr>
          <w:t>5</w:t>
        </w:r>
        <w:r>
          <w:rPr>
            <w:webHidden/>
          </w:rPr>
          <w:fldChar w:fldCharType="end"/>
        </w:r>
      </w:hyperlink>
    </w:p>
    <w:p w14:paraId="0A548C6F" w14:textId="5BC515F1"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43" w:history="1">
        <w:r w:rsidRPr="003E2EB6">
          <w:rPr>
            <w:rStyle w:val="Hyperlink"/>
          </w:rPr>
          <w:t>Context</w:t>
        </w:r>
        <w:r>
          <w:rPr>
            <w:webHidden/>
          </w:rPr>
          <w:tab/>
        </w:r>
        <w:r>
          <w:rPr>
            <w:webHidden/>
          </w:rPr>
          <w:fldChar w:fldCharType="begin"/>
        </w:r>
        <w:r>
          <w:rPr>
            <w:webHidden/>
          </w:rPr>
          <w:instrText xml:space="preserve"> PAGEREF _Toc229489743 \h </w:instrText>
        </w:r>
        <w:r>
          <w:rPr>
            <w:webHidden/>
          </w:rPr>
        </w:r>
        <w:r>
          <w:rPr>
            <w:webHidden/>
          </w:rPr>
          <w:fldChar w:fldCharType="separate"/>
        </w:r>
        <w:r>
          <w:rPr>
            <w:webHidden/>
          </w:rPr>
          <w:t>5</w:t>
        </w:r>
        <w:r>
          <w:rPr>
            <w:webHidden/>
          </w:rPr>
          <w:fldChar w:fldCharType="end"/>
        </w:r>
      </w:hyperlink>
    </w:p>
    <w:p w14:paraId="689C474D" w14:textId="7CBF241D"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44" w:history="1">
        <w:r w:rsidRPr="003E2EB6">
          <w:rPr>
            <w:rStyle w:val="Hyperlink"/>
          </w:rPr>
          <w:t>How different roles can use the guidelines</w:t>
        </w:r>
        <w:r>
          <w:rPr>
            <w:webHidden/>
          </w:rPr>
          <w:tab/>
        </w:r>
        <w:r>
          <w:rPr>
            <w:webHidden/>
          </w:rPr>
          <w:fldChar w:fldCharType="begin"/>
        </w:r>
        <w:r>
          <w:rPr>
            <w:webHidden/>
          </w:rPr>
          <w:instrText xml:space="preserve"> PAGEREF _Toc229489744 \h </w:instrText>
        </w:r>
        <w:r>
          <w:rPr>
            <w:webHidden/>
          </w:rPr>
        </w:r>
        <w:r>
          <w:rPr>
            <w:webHidden/>
          </w:rPr>
          <w:fldChar w:fldCharType="separate"/>
        </w:r>
        <w:r>
          <w:rPr>
            <w:webHidden/>
          </w:rPr>
          <w:t>7</w:t>
        </w:r>
        <w:r>
          <w:rPr>
            <w:webHidden/>
          </w:rPr>
          <w:fldChar w:fldCharType="end"/>
        </w:r>
      </w:hyperlink>
    </w:p>
    <w:p w14:paraId="4E685207" w14:textId="6E476AC0" w:rsidR="00EC56AB" w:rsidRDefault="00EC56AB">
      <w:pPr>
        <w:pStyle w:val="TOC1"/>
        <w:rPr>
          <w:rFonts w:asciiTheme="minorHAnsi" w:eastAsiaTheme="minorEastAsia" w:hAnsiTheme="minorHAnsi" w:cstheme="minorBidi"/>
          <w:b w:val="0"/>
          <w:kern w:val="2"/>
          <w:sz w:val="24"/>
          <w:szCs w:val="24"/>
          <w:lang w:eastAsia="en-AU"/>
          <w14:ligatures w14:val="standardContextual"/>
        </w:rPr>
      </w:pPr>
      <w:hyperlink w:anchor="_Toc229489745" w:history="1">
        <w:r w:rsidRPr="003E2EB6">
          <w:rPr>
            <w:rStyle w:val="Hyperlink"/>
          </w:rPr>
          <w:t>Organisational principles</w:t>
        </w:r>
        <w:r>
          <w:rPr>
            <w:webHidden/>
          </w:rPr>
          <w:tab/>
        </w:r>
        <w:r>
          <w:rPr>
            <w:webHidden/>
          </w:rPr>
          <w:fldChar w:fldCharType="begin"/>
        </w:r>
        <w:r>
          <w:rPr>
            <w:webHidden/>
          </w:rPr>
          <w:instrText xml:space="preserve"> PAGEREF _Toc229489745 \h </w:instrText>
        </w:r>
        <w:r>
          <w:rPr>
            <w:webHidden/>
          </w:rPr>
        </w:r>
        <w:r>
          <w:rPr>
            <w:webHidden/>
          </w:rPr>
          <w:fldChar w:fldCharType="separate"/>
        </w:r>
        <w:r>
          <w:rPr>
            <w:webHidden/>
          </w:rPr>
          <w:t>7</w:t>
        </w:r>
        <w:r>
          <w:rPr>
            <w:webHidden/>
          </w:rPr>
          <w:fldChar w:fldCharType="end"/>
        </w:r>
      </w:hyperlink>
    </w:p>
    <w:p w14:paraId="131FB674" w14:textId="10945D1D"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46" w:history="1">
        <w:r w:rsidRPr="003E2EB6">
          <w:rPr>
            <w:rStyle w:val="Hyperlink"/>
          </w:rPr>
          <w:t>Principle 1: Have a clear and documented RTP process</w:t>
        </w:r>
        <w:r>
          <w:rPr>
            <w:webHidden/>
          </w:rPr>
          <w:tab/>
        </w:r>
        <w:r>
          <w:rPr>
            <w:webHidden/>
          </w:rPr>
          <w:fldChar w:fldCharType="begin"/>
        </w:r>
        <w:r>
          <w:rPr>
            <w:webHidden/>
          </w:rPr>
          <w:instrText xml:space="preserve"> PAGEREF _Toc229489746 \h </w:instrText>
        </w:r>
        <w:r>
          <w:rPr>
            <w:webHidden/>
          </w:rPr>
        </w:r>
        <w:r>
          <w:rPr>
            <w:webHidden/>
          </w:rPr>
          <w:fldChar w:fldCharType="separate"/>
        </w:r>
        <w:r>
          <w:rPr>
            <w:webHidden/>
          </w:rPr>
          <w:t>7</w:t>
        </w:r>
        <w:r>
          <w:rPr>
            <w:webHidden/>
          </w:rPr>
          <w:fldChar w:fldCharType="end"/>
        </w:r>
      </w:hyperlink>
    </w:p>
    <w:p w14:paraId="42A746CC" w14:textId="6A2F2E9C"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47" w:history="1">
        <w:r w:rsidRPr="003E2EB6">
          <w:rPr>
            <w:rStyle w:val="Hyperlink"/>
          </w:rPr>
          <w:t>Principle 2: Develop RTP agreements flexibly and collaboratively based on the needs of the practitioner, the role and the organisation</w:t>
        </w:r>
        <w:r>
          <w:rPr>
            <w:webHidden/>
          </w:rPr>
          <w:tab/>
        </w:r>
        <w:r>
          <w:rPr>
            <w:webHidden/>
          </w:rPr>
          <w:fldChar w:fldCharType="begin"/>
        </w:r>
        <w:r>
          <w:rPr>
            <w:webHidden/>
          </w:rPr>
          <w:instrText xml:space="preserve"> PAGEREF _Toc229489747 \h </w:instrText>
        </w:r>
        <w:r>
          <w:rPr>
            <w:webHidden/>
          </w:rPr>
        </w:r>
        <w:r>
          <w:rPr>
            <w:webHidden/>
          </w:rPr>
          <w:fldChar w:fldCharType="separate"/>
        </w:r>
        <w:r>
          <w:rPr>
            <w:webHidden/>
          </w:rPr>
          <w:t>8</w:t>
        </w:r>
        <w:r>
          <w:rPr>
            <w:webHidden/>
          </w:rPr>
          <w:fldChar w:fldCharType="end"/>
        </w:r>
      </w:hyperlink>
    </w:p>
    <w:p w14:paraId="2653E4F7" w14:textId="6244D0F4"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48" w:history="1">
        <w:r w:rsidRPr="003E2EB6">
          <w:rPr>
            <w:rStyle w:val="Hyperlink"/>
          </w:rPr>
          <w:t>Principle 3: Allocate sufficient resources, including staff time</w:t>
        </w:r>
        <w:r>
          <w:rPr>
            <w:webHidden/>
          </w:rPr>
          <w:tab/>
        </w:r>
        <w:r>
          <w:rPr>
            <w:webHidden/>
          </w:rPr>
          <w:fldChar w:fldCharType="begin"/>
        </w:r>
        <w:r>
          <w:rPr>
            <w:webHidden/>
          </w:rPr>
          <w:instrText xml:space="preserve"> PAGEREF _Toc229489748 \h </w:instrText>
        </w:r>
        <w:r>
          <w:rPr>
            <w:webHidden/>
          </w:rPr>
        </w:r>
        <w:r>
          <w:rPr>
            <w:webHidden/>
          </w:rPr>
          <w:fldChar w:fldCharType="separate"/>
        </w:r>
        <w:r>
          <w:rPr>
            <w:webHidden/>
          </w:rPr>
          <w:t>8</w:t>
        </w:r>
        <w:r>
          <w:rPr>
            <w:webHidden/>
          </w:rPr>
          <w:fldChar w:fldCharType="end"/>
        </w:r>
      </w:hyperlink>
    </w:p>
    <w:p w14:paraId="7B839DEF" w14:textId="788E2508"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49" w:history="1">
        <w:r w:rsidRPr="003E2EB6">
          <w:rPr>
            <w:rStyle w:val="Hyperlink"/>
          </w:rPr>
          <w:t>Principle 4: Promote connection and collaboration in RTP agreements</w:t>
        </w:r>
        <w:r>
          <w:rPr>
            <w:webHidden/>
          </w:rPr>
          <w:tab/>
        </w:r>
        <w:r>
          <w:rPr>
            <w:webHidden/>
          </w:rPr>
          <w:fldChar w:fldCharType="begin"/>
        </w:r>
        <w:r>
          <w:rPr>
            <w:webHidden/>
          </w:rPr>
          <w:instrText xml:space="preserve"> PAGEREF _Toc229489749 \h </w:instrText>
        </w:r>
        <w:r>
          <w:rPr>
            <w:webHidden/>
          </w:rPr>
        </w:r>
        <w:r>
          <w:rPr>
            <w:webHidden/>
          </w:rPr>
          <w:fldChar w:fldCharType="separate"/>
        </w:r>
        <w:r>
          <w:rPr>
            <w:webHidden/>
          </w:rPr>
          <w:t>9</w:t>
        </w:r>
        <w:r>
          <w:rPr>
            <w:webHidden/>
          </w:rPr>
          <w:fldChar w:fldCharType="end"/>
        </w:r>
      </w:hyperlink>
    </w:p>
    <w:p w14:paraId="034EE199" w14:textId="3E477CE3"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50" w:history="1">
        <w:r w:rsidRPr="003E2EB6">
          <w:rPr>
            <w:rStyle w:val="Hyperlink"/>
          </w:rPr>
          <w:t>Principle 5: Promote an organisational learning culture</w:t>
        </w:r>
        <w:r>
          <w:rPr>
            <w:webHidden/>
          </w:rPr>
          <w:tab/>
        </w:r>
        <w:r>
          <w:rPr>
            <w:webHidden/>
          </w:rPr>
          <w:fldChar w:fldCharType="begin"/>
        </w:r>
        <w:r>
          <w:rPr>
            <w:webHidden/>
          </w:rPr>
          <w:instrText xml:space="preserve"> PAGEREF _Toc229489750 \h </w:instrText>
        </w:r>
        <w:r>
          <w:rPr>
            <w:webHidden/>
          </w:rPr>
        </w:r>
        <w:r>
          <w:rPr>
            <w:webHidden/>
          </w:rPr>
          <w:fldChar w:fldCharType="separate"/>
        </w:r>
        <w:r>
          <w:rPr>
            <w:webHidden/>
          </w:rPr>
          <w:t>9</w:t>
        </w:r>
        <w:r>
          <w:rPr>
            <w:webHidden/>
          </w:rPr>
          <w:fldChar w:fldCharType="end"/>
        </w:r>
      </w:hyperlink>
    </w:p>
    <w:p w14:paraId="04316328" w14:textId="21C526A1"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51" w:history="1">
        <w:r w:rsidRPr="003E2EB6">
          <w:rPr>
            <w:rStyle w:val="Hyperlink"/>
          </w:rPr>
          <w:t>Principle 6: Support practitioners to prepare for a planned break in practice</w:t>
        </w:r>
        <w:r>
          <w:rPr>
            <w:webHidden/>
          </w:rPr>
          <w:tab/>
        </w:r>
        <w:r>
          <w:rPr>
            <w:webHidden/>
          </w:rPr>
          <w:fldChar w:fldCharType="begin"/>
        </w:r>
        <w:r>
          <w:rPr>
            <w:webHidden/>
          </w:rPr>
          <w:instrText xml:space="preserve"> PAGEREF _Toc229489751 \h </w:instrText>
        </w:r>
        <w:r>
          <w:rPr>
            <w:webHidden/>
          </w:rPr>
        </w:r>
        <w:r>
          <w:rPr>
            <w:webHidden/>
          </w:rPr>
          <w:fldChar w:fldCharType="separate"/>
        </w:r>
        <w:r>
          <w:rPr>
            <w:webHidden/>
          </w:rPr>
          <w:t>10</w:t>
        </w:r>
        <w:r>
          <w:rPr>
            <w:webHidden/>
          </w:rPr>
          <w:fldChar w:fldCharType="end"/>
        </w:r>
      </w:hyperlink>
    </w:p>
    <w:p w14:paraId="75B5AE54" w14:textId="5A3EAC95" w:rsidR="00EC56AB" w:rsidRDefault="00EC56AB">
      <w:pPr>
        <w:pStyle w:val="TOC1"/>
        <w:rPr>
          <w:rFonts w:asciiTheme="minorHAnsi" w:eastAsiaTheme="minorEastAsia" w:hAnsiTheme="minorHAnsi" w:cstheme="minorBidi"/>
          <w:b w:val="0"/>
          <w:kern w:val="2"/>
          <w:sz w:val="24"/>
          <w:szCs w:val="24"/>
          <w:lang w:eastAsia="en-AU"/>
          <w14:ligatures w14:val="standardContextual"/>
        </w:rPr>
      </w:pPr>
      <w:hyperlink w:anchor="_Toc229489752" w:history="1">
        <w:r w:rsidRPr="003E2EB6">
          <w:rPr>
            <w:rStyle w:val="Hyperlink"/>
          </w:rPr>
          <w:t>Identifying a practitioner’s learning needs</w:t>
        </w:r>
        <w:r>
          <w:rPr>
            <w:webHidden/>
          </w:rPr>
          <w:tab/>
        </w:r>
        <w:r>
          <w:rPr>
            <w:webHidden/>
          </w:rPr>
          <w:fldChar w:fldCharType="begin"/>
        </w:r>
        <w:r>
          <w:rPr>
            <w:webHidden/>
          </w:rPr>
          <w:instrText xml:space="preserve"> PAGEREF _Toc229489752 \h </w:instrText>
        </w:r>
        <w:r>
          <w:rPr>
            <w:webHidden/>
          </w:rPr>
        </w:r>
        <w:r>
          <w:rPr>
            <w:webHidden/>
          </w:rPr>
          <w:fldChar w:fldCharType="separate"/>
        </w:r>
        <w:r>
          <w:rPr>
            <w:webHidden/>
          </w:rPr>
          <w:t>11</w:t>
        </w:r>
        <w:r>
          <w:rPr>
            <w:webHidden/>
          </w:rPr>
          <w:fldChar w:fldCharType="end"/>
        </w:r>
      </w:hyperlink>
    </w:p>
    <w:p w14:paraId="55EDB135" w14:textId="24BB768D" w:rsidR="00EC56AB" w:rsidRDefault="00EC56AB">
      <w:pPr>
        <w:pStyle w:val="TOC1"/>
        <w:rPr>
          <w:rFonts w:asciiTheme="minorHAnsi" w:eastAsiaTheme="minorEastAsia" w:hAnsiTheme="minorHAnsi" w:cstheme="minorBidi"/>
          <w:b w:val="0"/>
          <w:kern w:val="2"/>
          <w:sz w:val="24"/>
          <w:szCs w:val="24"/>
          <w:lang w:eastAsia="en-AU"/>
          <w14:ligatures w14:val="standardContextual"/>
        </w:rPr>
      </w:pPr>
      <w:hyperlink w:anchor="_Toc229489753" w:history="1">
        <w:r w:rsidRPr="003E2EB6">
          <w:rPr>
            <w:rStyle w:val="Hyperlink"/>
          </w:rPr>
          <w:t>Upskilling activities</w:t>
        </w:r>
        <w:r>
          <w:rPr>
            <w:webHidden/>
          </w:rPr>
          <w:tab/>
        </w:r>
        <w:r>
          <w:rPr>
            <w:webHidden/>
          </w:rPr>
          <w:fldChar w:fldCharType="begin"/>
        </w:r>
        <w:r>
          <w:rPr>
            <w:webHidden/>
          </w:rPr>
          <w:instrText xml:space="preserve"> PAGEREF _Toc229489753 \h </w:instrText>
        </w:r>
        <w:r>
          <w:rPr>
            <w:webHidden/>
          </w:rPr>
        </w:r>
        <w:r>
          <w:rPr>
            <w:webHidden/>
          </w:rPr>
          <w:fldChar w:fldCharType="separate"/>
        </w:r>
        <w:r>
          <w:rPr>
            <w:webHidden/>
          </w:rPr>
          <w:t>12</w:t>
        </w:r>
        <w:r>
          <w:rPr>
            <w:webHidden/>
          </w:rPr>
          <w:fldChar w:fldCharType="end"/>
        </w:r>
      </w:hyperlink>
    </w:p>
    <w:p w14:paraId="1AB4341E" w14:textId="461A0D76"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54" w:history="1">
        <w:r w:rsidRPr="003E2EB6">
          <w:rPr>
            <w:rStyle w:val="Hyperlink"/>
          </w:rPr>
          <w:t>Learning from and connecting with local Aboriginal services</w:t>
        </w:r>
        <w:r>
          <w:rPr>
            <w:webHidden/>
          </w:rPr>
          <w:tab/>
        </w:r>
        <w:r>
          <w:rPr>
            <w:webHidden/>
          </w:rPr>
          <w:fldChar w:fldCharType="begin"/>
        </w:r>
        <w:r>
          <w:rPr>
            <w:webHidden/>
          </w:rPr>
          <w:instrText xml:space="preserve"> PAGEREF _Toc229489754 \h </w:instrText>
        </w:r>
        <w:r>
          <w:rPr>
            <w:webHidden/>
          </w:rPr>
        </w:r>
        <w:r>
          <w:rPr>
            <w:webHidden/>
          </w:rPr>
          <w:fldChar w:fldCharType="separate"/>
        </w:r>
        <w:r>
          <w:rPr>
            <w:webHidden/>
          </w:rPr>
          <w:t>12</w:t>
        </w:r>
        <w:r>
          <w:rPr>
            <w:webHidden/>
          </w:rPr>
          <w:fldChar w:fldCharType="end"/>
        </w:r>
      </w:hyperlink>
    </w:p>
    <w:p w14:paraId="0E403207" w14:textId="78AD1534"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55" w:history="1">
        <w:r w:rsidRPr="003E2EB6">
          <w:rPr>
            <w:rStyle w:val="Hyperlink"/>
            <w:rFonts w:eastAsia="Times"/>
          </w:rPr>
          <w:t>Supervision, mentoring and shadowing</w:t>
        </w:r>
        <w:r>
          <w:rPr>
            <w:webHidden/>
          </w:rPr>
          <w:tab/>
        </w:r>
        <w:r>
          <w:rPr>
            <w:webHidden/>
          </w:rPr>
          <w:fldChar w:fldCharType="begin"/>
        </w:r>
        <w:r>
          <w:rPr>
            <w:webHidden/>
          </w:rPr>
          <w:instrText xml:space="preserve"> PAGEREF _Toc229489755 \h </w:instrText>
        </w:r>
        <w:r>
          <w:rPr>
            <w:webHidden/>
          </w:rPr>
        </w:r>
        <w:r>
          <w:rPr>
            <w:webHidden/>
          </w:rPr>
          <w:fldChar w:fldCharType="separate"/>
        </w:r>
        <w:r>
          <w:rPr>
            <w:webHidden/>
          </w:rPr>
          <w:t>12</w:t>
        </w:r>
        <w:r>
          <w:rPr>
            <w:webHidden/>
          </w:rPr>
          <w:fldChar w:fldCharType="end"/>
        </w:r>
      </w:hyperlink>
    </w:p>
    <w:p w14:paraId="4FCBE2D3" w14:textId="3B65E39F"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56" w:history="1">
        <w:r w:rsidRPr="003E2EB6">
          <w:rPr>
            <w:rStyle w:val="Hyperlink"/>
            <w:rFonts w:eastAsia="Times"/>
          </w:rPr>
          <w:t>Workplace team-based learning</w:t>
        </w:r>
        <w:r>
          <w:rPr>
            <w:webHidden/>
          </w:rPr>
          <w:tab/>
        </w:r>
        <w:r>
          <w:rPr>
            <w:webHidden/>
          </w:rPr>
          <w:fldChar w:fldCharType="begin"/>
        </w:r>
        <w:r>
          <w:rPr>
            <w:webHidden/>
          </w:rPr>
          <w:instrText xml:space="preserve"> PAGEREF _Toc229489756 \h </w:instrText>
        </w:r>
        <w:r>
          <w:rPr>
            <w:webHidden/>
          </w:rPr>
        </w:r>
        <w:r>
          <w:rPr>
            <w:webHidden/>
          </w:rPr>
          <w:fldChar w:fldCharType="separate"/>
        </w:r>
        <w:r>
          <w:rPr>
            <w:webHidden/>
          </w:rPr>
          <w:t>14</w:t>
        </w:r>
        <w:r>
          <w:rPr>
            <w:webHidden/>
          </w:rPr>
          <w:fldChar w:fldCharType="end"/>
        </w:r>
      </w:hyperlink>
    </w:p>
    <w:p w14:paraId="5BC99FE7" w14:textId="209E666C"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57" w:history="1">
        <w:r w:rsidRPr="003E2EB6">
          <w:rPr>
            <w:rStyle w:val="Hyperlink"/>
            <w:rFonts w:eastAsia="Times"/>
          </w:rPr>
          <w:t>Formal training</w:t>
        </w:r>
        <w:r>
          <w:rPr>
            <w:webHidden/>
          </w:rPr>
          <w:tab/>
        </w:r>
        <w:r>
          <w:rPr>
            <w:webHidden/>
          </w:rPr>
          <w:fldChar w:fldCharType="begin"/>
        </w:r>
        <w:r>
          <w:rPr>
            <w:webHidden/>
          </w:rPr>
          <w:instrText xml:space="preserve"> PAGEREF _Toc229489757 \h </w:instrText>
        </w:r>
        <w:r>
          <w:rPr>
            <w:webHidden/>
          </w:rPr>
        </w:r>
        <w:r>
          <w:rPr>
            <w:webHidden/>
          </w:rPr>
          <w:fldChar w:fldCharType="separate"/>
        </w:r>
        <w:r>
          <w:rPr>
            <w:webHidden/>
          </w:rPr>
          <w:t>14</w:t>
        </w:r>
        <w:r>
          <w:rPr>
            <w:webHidden/>
          </w:rPr>
          <w:fldChar w:fldCharType="end"/>
        </w:r>
      </w:hyperlink>
    </w:p>
    <w:p w14:paraId="6108464B" w14:textId="69733E88"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58" w:history="1">
        <w:r w:rsidRPr="003E2EB6">
          <w:rPr>
            <w:rStyle w:val="Hyperlink"/>
            <w:rFonts w:eastAsia="Times"/>
          </w:rPr>
          <w:t>Sector connections</w:t>
        </w:r>
        <w:r>
          <w:rPr>
            <w:webHidden/>
          </w:rPr>
          <w:tab/>
        </w:r>
        <w:r>
          <w:rPr>
            <w:webHidden/>
          </w:rPr>
          <w:fldChar w:fldCharType="begin"/>
        </w:r>
        <w:r>
          <w:rPr>
            <w:webHidden/>
          </w:rPr>
          <w:instrText xml:space="preserve"> PAGEREF _Toc229489758 \h </w:instrText>
        </w:r>
        <w:r>
          <w:rPr>
            <w:webHidden/>
          </w:rPr>
        </w:r>
        <w:r>
          <w:rPr>
            <w:webHidden/>
          </w:rPr>
          <w:fldChar w:fldCharType="separate"/>
        </w:r>
        <w:r>
          <w:rPr>
            <w:webHidden/>
          </w:rPr>
          <w:t>15</w:t>
        </w:r>
        <w:r>
          <w:rPr>
            <w:webHidden/>
          </w:rPr>
          <w:fldChar w:fldCharType="end"/>
        </w:r>
      </w:hyperlink>
    </w:p>
    <w:p w14:paraId="157DA23C" w14:textId="0B53EFB6" w:rsidR="00EC56AB" w:rsidRDefault="00EC56AB">
      <w:pPr>
        <w:pStyle w:val="TOC1"/>
        <w:rPr>
          <w:rFonts w:asciiTheme="minorHAnsi" w:eastAsiaTheme="minorEastAsia" w:hAnsiTheme="minorHAnsi" w:cstheme="minorBidi"/>
          <w:b w:val="0"/>
          <w:kern w:val="2"/>
          <w:sz w:val="24"/>
          <w:szCs w:val="24"/>
          <w:lang w:eastAsia="en-AU"/>
          <w14:ligatures w14:val="standardContextual"/>
        </w:rPr>
      </w:pPr>
      <w:hyperlink w:anchor="_Toc229489759" w:history="1">
        <w:r w:rsidRPr="003E2EB6">
          <w:rPr>
            <w:rStyle w:val="Hyperlink"/>
          </w:rPr>
          <w:t>Further reading</w:t>
        </w:r>
        <w:r>
          <w:rPr>
            <w:webHidden/>
          </w:rPr>
          <w:tab/>
        </w:r>
        <w:r>
          <w:rPr>
            <w:webHidden/>
          </w:rPr>
          <w:fldChar w:fldCharType="begin"/>
        </w:r>
        <w:r>
          <w:rPr>
            <w:webHidden/>
          </w:rPr>
          <w:instrText xml:space="preserve"> PAGEREF _Toc229489759 \h </w:instrText>
        </w:r>
        <w:r>
          <w:rPr>
            <w:webHidden/>
          </w:rPr>
        </w:r>
        <w:r>
          <w:rPr>
            <w:webHidden/>
          </w:rPr>
          <w:fldChar w:fldCharType="separate"/>
        </w:r>
        <w:r>
          <w:rPr>
            <w:webHidden/>
          </w:rPr>
          <w:t>16</w:t>
        </w:r>
        <w:r>
          <w:rPr>
            <w:webHidden/>
          </w:rPr>
          <w:fldChar w:fldCharType="end"/>
        </w:r>
      </w:hyperlink>
    </w:p>
    <w:p w14:paraId="0FC59C5C" w14:textId="165D24DB" w:rsidR="00EC56AB" w:rsidRDefault="00EC56AB">
      <w:pPr>
        <w:pStyle w:val="TOC2"/>
        <w:rPr>
          <w:rFonts w:asciiTheme="minorHAnsi" w:eastAsiaTheme="minorEastAsia" w:hAnsiTheme="minorHAnsi" w:cstheme="minorBidi"/>
          <w:kern w:val="2"/>
          <w:sz w:val="24"/>
          <w:szCs w:val="24"/>
          <w:lang w:eastAsia="en-AU"/>
          <w14:ligatures w14:val="standardContextual"/>
        </w:rPr>
      </w:pPr>
      <w:hyperlink w:anchor="_Toc229489760" w:history="1">
        <w:r w:rsidRPr="003E2EB6">
          <w:rPr>
            <w:rStyle w:val="Hyperlink"/>
            <w:rFonts w:eastAsia="Times"/>
          </w:rPr>
          <w:t>Key resources</w:t>
        </w:r>
        <w:r>
          <w:rPr>
            <w:webHidden/>
          </w:rPr>
          <w:tab/>
        </w:r>
        <w:r>
          <w:rPr>
            <w:webHidden/>
          </w:rPr>
          <w:fldChar w:fldCharType="begin"/>
        </w:r>
        <w:r>
          <w:rPr>
            <w:webHidden/>
          </w:rPr>
          <w:instrText xml:space="preserve"> PAGEREF _Toc229489760 \h </w:instrText>
        </w:r>
        <w:r>
          <w:rPr>
            <w:webHidden/>
          </w:rPr>
        </w:r>
        <w:r>
          <w:rPr>
            <w:webHidden/>
          </w:rPr>
          <w:fldChar w:fldCharType="separate"/>
        </w:r>
        <w:r>
          <w:rPr>
            <w:webHidden/>
          </w:rPr>
          <w:t>16</w:t>
        </w:r>
        <w:r>
          <w:rPr>
            <w:webHidden/>
          </w:rPr>
          <w:fldChar w:fldCharType="end"/>
        </w:r>
      </w:hyperlink>
    </w:p>
    <w:p w14:paraId="2B0C309E" w14:textId="6EE1D3B6" w:rsidR="00EC56AB" w:rsidRDefault="00EC56AB">
      <w:pPr>
        <w:pStyle w:val="TOC1"/>
        <w:rPr>
          <w:rFonts w:asciiTheme="minorHAnsi" w:eastAsiaTheme="minorEastAsia" w:hAnsiTheme="minorHAnsi" w:cstheme="minorBidi"/>
          <w:b w:val="0"/>
          <w:kern w:val="2"/>
          <w:sz w:val="24"/>
          <w:szCs w:val="24"/>
          <w:lang w:eastAsia="en-AU"/>
          <w14:ligatures w14:val="standardContextual"/>
        </w:rPr>
      </w:pPr>
      <w:hyperlink w:anchor="_Toc229489761" w:history="1">
        <w:r w:rsidRPr="003E2EB6">
          <w:rPr>
            <w:rStyle w:val="Hyperlink"/>
          </w:rPr>
          <w:t>Return to Practice Agreement Template</w:t>
        </w:r>
        <w:r>
          <w:rPr>
            <w:webHidden/>
          </w:rPr>
          <w:tab/>
        </w:r>
        <w:r>
          <w:rPr>
            <w:webHidden/>
          </w:rPr>
          <w:fldChar w:fldCharType="begin"/>
        </w:r>
        <w:r>
          <w:rPr>
            <w:webHidden/>
          </w:rPr>
          <w:instrText xml:space="preserve"> PAGEREF _Toc229489761 \h </w:instrText>
        </w:r>
        <w:r>
          <w:rPr>
            <w:webHidden/>
          </w:rPr>
        </w:r>
        <w:r>
          <w:rPr>
            <w:webHidden/>
          </w:rPr>
          <w:fldChar w:fldCharType="separate"/>
        </w:r>
        <w:r>
          <w:rPr>
            <w:webHidden/>
          </w:rPr>
          <w:t>17</w:t>
        </w:r>
        <w:r>
          <w:rPr>
            <w:webHidden/>
          </w:rPr>
          <w:fldChar w:fldCharType="end"/>
        </w:r>
      </w:hyperlink>
    </w:p>
    <w:p w14:paraId="270E5668" w14:textId="0DB1E3E9" w:rsidR="00930393" w:rsidRDefault="00930393" w:rsidP="00930393">
      <w:pPr>
        <w:pStyle w:val="Body"/>
      </w:pPr>
      <w:r>
        <w:fldChar w:fldCharType="end"/>
      </w:r>
    </w:p>
    <w:p w14:paraId="6C15AB25" w14:textId="77777777" w:rsidR="00930393" w:rsidRDefault="00930393" w:rsidP="00930393">
      <w:pPr>
        <w:spacing w:after="0" w:line="240" w:lineRule="auto"/>
        <w:rPr>
          <w:rFonts w:eastAsia="Times"/>
        </w:rPr>
      </w:pPr>
      <w:r>
        <w:br w:type="page"/>
      </w:r>
    </w:p>
    <w:p w14:paraId="586F988D" w14:textId="77777777" w:rsidR="00292B33" w:rsidRPr="00292B33" w:rsidRDefault="00292B33" w:rsidP="00292B33">
      <w:pPr>
        <w:pStyle w:val="Heading1"/>
      </w:pPr>
      <w:bookmarkStart w:id="1" w:name="_Toc215669620"/>
      <w:bookmarkStart w:id="2" w:name="_Toc229489738"/>
      <w:r w:rsidRPr="00292B33">
        <w:lastRenderedPageBreak/>
        <w:t>Acknowledgements</w:t>
      </w:r>
      <w:bookmarkEnd w:id="1"/>
      <w:bookmarkEnd w:id="2"/>
    </w:p>
    <w:p w14:paraId="39811BAD" w14:textId="60DDD3C5" w:rsidR="00292B33" w:rsidRPr="00292B33" w:rsidRDefault="00292B33" w:rsidP="00292B33">
      <w:pPr>
        <w:pStyle w:val="Body"/>
      </w:pPr>
      <w:bookmarkStart w:id="3" w:name="_Toc215669621"/>
      <w:r w:rsidRPr="00292B33">
        <w:t xml:space="preserve">This resource was prepared by Lydia Phillips Consulting for the Department of Families, Fairness and Housing. </w:t>
      </w:r>
    </w:p>
    <w:p w14:paraId="5C5C3980" w14:textId="268140C2" w:rsidR="00292B33" w:rsidRDefault="00292B33" w:rsidP="00292B33">
      <w:pPr>
        <w:pStyle w:val="Body"/>
        <w:rPr>
          <w:b/>
        </w:rPr>
      </w:pPr>
      <w:r w:rsidRPr="00292B33">
        <w:t>Thank you to all specialist family violence sector representatives who contributed their expertise to the development of these guidelines, including members of the Aboriginal Sector MMQ Working Group, MMQ Policy Advisory Group and representatives of the</w:t>
      </w:r>
      <w:r>
        <w:t xml:space="preserve"> Safe and Equal</w:t>
      </w:r>
      <w:r w:rsidRPr="00292B33">
        <w:t xml:space="preserve"> Specialist Family Violence Leadership Group.</w:t>
      </w:r>
    </w:p>
    <w:p w14:paraId="3C157A46" w14:textId="40782625" w:rsidR="00292B33" w:rsidRPr="00292B33" w:rsidRDefault="00292B33" w:rsidP="00292B33">
      <w:pPr>
        <w:pStyle w:val="Heading2"/>
      </w:pPr>
      <w:bookmarkStart w:id="4" w:name="_Toc229489739"/>
      <w:r w:rsidRPr="00292B33">
        <w:t>Aboriginal acknowledgement</w:t>
      </w:r>
      <w:bookmarkEnd w:id="3"/>
      <w:bookmarkEnd w:id="4"/>
    </w:p>
    <w:p w14:paraId="1F009EC8" w14:textId="77777777" w:rsidR="00292B33" w:rsidRPr="00292B33" w:rsidRDefault="00292B33" w:rsidP="00292B33">
      <w:pPr>
        <w:pStyle w:val="Body"/>
      </w:pPr>
      <w:r w:rsidRPr="00292B33">
        <w:t xml:space="preserve">The Victorian Government acknowledges Victorian Aboriginal people as the First Peoples and Traditional Owners and Custodians of the land and water we depend on. We acknowledge and respect that Aboriginal communities have a rich heritage built on a strong social and cultural foundation that has endured for 60,000 years. We also acknowledge the significant disruptions and ongoing pain caused by colonisation. We acknowledge the vital leadership role of Aboriginal communities, especially women, in addressing and preventing family and sexual violence. We are dedicated to working with Aboriginal people to eliminate family violence in all communities. We want to rectify past wrongs and acknowledge the ongoing harm caused by colonisation. To this end, we are committed to self-determination and to supporting Truth and Treaty processes. </w:t>
      </w:r>
    </w:p>
    <w:p w14:paraId="75D81FD7" w14:textId="77777777" w:rsidR="00292B33" w:rsidRPr="00292B33" w:rsidRDefault="00292B33" w:rsidP="00292B33">
      <w:pPr>
        <w:pStyle w:val="Heading2"/>
      </w:pPr>
      <w:bookmarkStart w:id="5" w:name="_Toc215669622"/>
      <w:bookmarkStart w:id="6" w:name="_Toc229489740"/>
      <w:r w:rsidRPr="00292B33">
        <w:t>Commitment to supporting those affected by family violence</w:t>
      </w:r>
      <w:bookmarkEnd w:id="5"/>
      <w:bookmarkEnd w:id="6"/>
    </w:p>
    <w:p w14:paraId="7F4A7C5A" w14:textId="77777777" w:rsidR="00292B33" w:rsidRPr="00292B33" w:rsidRDefault="00292B33" w:rsidP="00292B33">
      <w:pPr>
        <w:pStyle w:val="Body"/>
      </w:pPr>
      <w:r w:rsidRPr="00292B33">
        <w:t xml:space="preserve">The Victorian Government acknowledges and supports those who have experienced violence, including adults of all ages, children, young people and members of our workforce. The work we do to prevent and respond to family and sexual violence is for them. It is guided by their experience, expertise and advocacy. </w:t>
      </w:r>
    </w:p>
    <w:p w14:paraId="679195A2" w14:textId="77777777" w:rsidR="00292B33" w:rsidRPr="00292B33" w:rsidRDefault="00292B33" w:rsidP="00292B33">
      <w:pPr>
        <w:pStyle w:val="Body"/>
      </w:pPr>
      <w:r w:rsidRPr="00292B33">
        <w:t xml:space="preserve">We remember and pay respects to those who did not survive and extend our respects to all of those who have lost loved ones to family and sexual violence. </w:t>
      </w:r>
    </w:p>
    <w:p w14:paraId="57265B51" w14:textId="77777777" w:rsidR="00292B33" w:rsidRPr="00292B33" w:rsidRDefault="00292B33" w:rsidP="00292B33">
      <w:pPr>
        <w:pStyle w:val="Body"/>
      </w:pPr>
      <w:r w:rsidRPr="00292B33">
        <w:t xml:space="preserve">We keep in mind all those who have been, or continue to be, affected by family or sexual violence, and recognise their continued courage and strength.  </w:t>
      </w:r>
    </w:p>
    <w:p w14:paraId="758A08BD" w14:textId="77777777" w:rsidR="00292B33" w:rsidRPr="00292B33" w:rsidRDefault="00292B33" w:rsidP="00292B33">
      <w:pPr>
        <w:pStyle w:val="Heading2"/>
      </w:pPr>
      <w:bookmarkStart w:id="7" w:name="_Toc215669623"/>
      <w:bookmarkStart w:id="8" w:name="_Toc229489741"/>
      <w:r w:rsidRPr="00292B33">
        <w:t>Family and sexual violence services and support</w:t>
      </w:r>
      <w:bookmarkEnd w:id="7"/>
      <w:bookmarkEnd w:id="8"/>
      <w:r w:rsidRPr="00292B33">
        <w:t xml:space="preserve"> </w:t>
      </w:r>
    </w:p>
    <w:p w14:paraId="4B7E4474" w14:textId="77777777" w:rsidR="00292B33" w:rsidRPr="00292B33" w:rsidRDefault="00292B33" w:rsidP="00292B33">
      <w:pPr>
        <w:pStyle w:val="Body"/>
      </w:pPr>
      <w:r w:rsidRPr="00292B33">
        <w:t xml:space="preserve">If you have experienced family violence or sexual assault and need immediate or ongoing assistance, contact 1800 RESPECT (1800 737 732) to talk to a counsellor from the National Sexual Assault and Domestic Violence hotline. </w:t>
      </w:r>
    </w:p>
    <w:p w14:paraId="4614F17A" w14:textId="77777777" w:rsidR="00292B33" w:rsidRPr="00292B33" w:rsidRDefault="00292B33" w:rsidP="00292B33">
      <w:pPr>
        <w:pStyle w:val="Body"/>
      </w:pPr>
      <w:r w:rsidRPr="00292B33">
        <w:t xml:space="preserve">For confidential support and information, contact Safe Steps’ 24/7 family violence response line on 1800 015 188. </w:t>
      </w:r>
    </w:p>
    <w:p w14:paraId="2C80BF45" w14:textId="77777777" w:rsidR="00292B33" w:rsidRPr="00292B33" w:rsidRDefault="00292B33" w:rsidP="00292B33">
      <w:pPr>
        <w:pStyle w:val="Body"/>
      </w:pPr>
      <w:r w:rsidRPr="00292B33">
        <w:t xml:space="preserve">If you have an immediate concern for your safety or that of someone else, please contact the police in your state or territory, or call Triple Zero (000) for emergency help. </w:t>
      </w:r>
    </w:p>
    <w:p w14:paraId="62368DC2" w14:textId="77777777" w:rsidR="00292B33" w:rsidRPr="00292B33" w:rsidRDefault="00292B33" w:rsidP="00292B33">
      <w:pPr>
        <w:pStyle w:val="Body"/>
      </w:pPr>
      <w:r w:rsidRPr="00292B33">
        <w:t>In Victoria, The Orange Door provides help for people who are experiencing family violence. It is not an emergency service. You can find your nearest location on The Orange Door’s Support near you web page (www.orangedoor.vic.gov.au/ support-near-you).</w:t>
      </w:r>
    </w:p>
    <w:p w14:paraId="1653A2B4" w14:textId="38D3D484" w:rsidR="00930393" w:rsidRPr="00A71CE4" w:rsidRDefault="00303890" w:rsidP="00930393">
      <w:pPr>
        <w:pStyle w:val="Heading1"/>
        <w:spacing w:before="0"/>
      </w:pPr>
      <w:bookmarkStart w:id="9" w:name="_Toc229489742"/>
      <w:r>
        <w:lastRenderedPageBreak/>
        <w:t>Introduction</w:t>
      </w:r>
      <w:bookmarkEnd w:id="9"/>
    </w:p>
    <w:p w14:paraId="2B4ADDE1" w14:textId="3562B6E8" w:rsidR="009C111E" w:rsidRPr="009C111E" w:rsidRDefault="009C111E" w:rsidP="009C111E">
      <w:pPr>
        <w:pStyle w:val="Body"/>
      </w:pPr>
      <w:r w:rsidRPr="009C111E">
        <w:t>These guidelines are designed to help organisations hire and support family violence practitioners who are exempt from the Mandatory Minimum Qualifications (MMQ) Policy requirements for specialist family violence response roles and are returning to practice.</w:t>
      </w:r>
    </w:p>
    <w:p w14:paraId="09258138" w14:textId="59CA2857" w:rsidR="009C111E" w:rsidRPr="009C111E" w:rsidRDefault="009C111E" w:rsidP="009C111E">
      <w:pPr>
        <w:pStyle w:val="Body"/>
      </w:pPr>
      <w:r w:rsidRPr="009C111E">
        <w:t>The guidelines provide evidence-based principles, practical suggestions and reflection prompts for organisations and practitioners in Victoria who are planning, negotiating or reviewing a Return to Practice (RTP) agreement under the MMQ Policy.</w:t>
      </w:r>
    </w:p>
    <w:p w14:paraId="3178E7C1" w14:textId="5071E341" w:rsidR="009C111E" w:rsidRPr="009C111E" w:rsidRDefault="009C111E" w:rsidP="009C111E">
      <w:pPr>
        <w:pStyle w:val="Body"/>
      </w:pPr>
      <w:r w:rsidRPr="009C111E">
        <w:t>The guidelines are intended to support organisations of different sizes, resourcing and specialisation areas, as well as practitioners with different backgrounds and years of experience.</w:t>
      </w:r>
    </w:p>
    <w:p w14:paraId="268D3E40" w14:textId="48E6EF77" w:rsidR="00930393" w:rsidRDefault="009C111E" w:rsidP="00930393">
      <w:pPr>
        <w:pStyle w:val="Body"/>
      </w:pPr>
      <w:r w:rsidRPr="009C111E">
        <w:t>While the guidelines focus on exempt practitioners returning to practice, the strategies will also support other specialist family violence practitioners to maintain contemporary practice. Organisations may use the guidelines to support broader staff as they deem useful.</w:t>
      </w:r>
    </w:p>
    <w:p w14:paraId="79852827" w14:textId="0E3FAD36" w:rsidR="00303890" w:rsidRDefault="00303890" w:rsidP="00303890">
      <w:pPr>
        <w:pStyle w:val="Heading2"/>
      </w:pPr>
      <w:bookmarkStart w:id="10" w:name="_Toc229489743"/>
      <w:r>
        <w:t>Context</w:t>
      </w:r>
      <w:bookmarkEnd w:id="10"/>
      <w:r>
        <w:t xml:space="preserve"> </w:t>
      </w:r>
    </w:p>
    <w:p w14:paraId="3C5CFC3A" w14:textId="3D631CA0" w:rsidR="00303890" w:rsidRPr="00303890" w:rsidRDefault="00303890" w:rsidP="00303890">
      <w:pPr>
        <w:pStyle w:val="Body"/>
      </w:pPr>
      <w:r w:rsidRPr="00303890">
        <w:t xml:space="preserve">The specialist family violence response workforce undertakes challenging work, managing high and complex risk. When practitioners return to practice after a break, they often bring new perspectives and/or skills to their work, reinforcing the diverse expertise in the sector. However, like other practitioners, they also need to ensure the currency of their specialist skills and knowledge so they can provide quality services on their return. </w:t>
      </w:r>
    </w:p>
    <w:p w14:paraId="3233C9D6" w14:textId="1E4DF76D" w:rsidR="00303890" w:rsidRPr="00303890" w:rsidRDefault="00303890" w:rsidP="00303890">
      <w:pPr>
        <w:pStyle w:val="Body"/>
      </w:pPr>
      <w:r w:rsidRPr="00303890">
        <w:t xml:space="preserve">Best practice in family violence is rapidly changing. Legislative and system reforms are ongoing and new practice guidance is released regularly. As the family violence sector continues to learn, adapt and continuously improve responses to family violence, practitioners must be supported to stay up to date with contemporary practice.  </w:t>
      </w:r>
    </w:p>
    <w:p w14:paraId="6B99FABD" w14:textId="1FB4CF7A" w:rsidR="00432C45" w:rsidRDefault="00303890" w:rsidP="00303890">
      <w:pPr>
        <w:pStyle w:val="Body"/>
      </w:pPr>
      <w:r w:rsidRPr="00303890">
        <w:t xml:space="preserve">Under the revised MMQ policy, practitioners who are exempt from the minimum qualification requirements are required to be hired under a RTP agreement when they return to practice after a break of two years or more.  </w:t>
      </w:r>
    </w:p>
    <w:p w14:paraId="242736E7" w14:textId="3D4FB99E" w:rsidR="00D737A4" w:rsidRPr="00475867" w:rsidRDefault="00D737A4" w:rsidP="00C81075">
      <w:pPr>
        <w:pStyle w:val="Quotetext"/>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7B525E">
        <w:rPr>
          <w:rStyle w:val="Emphasis"/>
          <w:b/>
          <w:bCs/>
          <w:i w:val="0"/>
        </w:rPr>
        <w:t>MMQ Policy Exemption for existing practitioners</w:t>
      </w:r>
      <w:r w:rsidRPr="007B525E">
        <w:rPr>
          <w:rStyle w:val="FootnoteReference"/>
          <w:sz w:val="21"/>
        </w:rPr>
        <w:footnoteReference w:id="1"/>
      </w:r>
      <w:r w:rsidRPr="00475867">
        <w:rPr>
          <w:rStyle w:val="Emphasis"/>
          <w:i w:val="0"/>
        </w:rPr>
        <w:t>:</w:t>
      </w:r>
    </w:p>
    <w:p w14:paraId="0F71F82A" w14:textId="77777777" w:rsidR="00D737A4" w:rsidRPr="00475867" w:rsidRDefault="00D737A4" w:rsidP="00C81075">
      <w:pPr>
        <w:pStyle w:val="Quotetext"/>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475867">
        <w:rPr>
          <w:rStyle w:val="Emphasis"/>
          <w:i w:val="0"/>
        </w:rPr>
        <w:t xml:space="preserve">Practitioners who were employed in a specialist family violence response role prior to 1 July 2021 are permanently exempt from the mandatory minimum qualification requirements. </w:t>
      </w:r>
    </w:p>
    <w:p w14:paraId="224A183C" w14:textId="77777777" w:rsidR="00D737A4" w:rsidRPr="00475867" w:rsidRDefault="00D737A4" w:rsidP="00C81075">
      <w:pPr>
        <w:pStyle w:val="Quotetext"/>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475867">
        <w:rPr>
          <w:rStyle w:val="Emphasis"/>
          <w:i w:val="0"/>
        </w:rPr>
        <w:t>When returning to practice after a break in service of 2 years or more, exempt practitioners will need to be hired under a formal ‘return to practice’ agreement. The ‘return to practice’ agreement may include training and professional development courses, additional supervision, mentoring, shadowing and other upskilling activities to ensure they are up to date with best practice skills and knowledge, and their legislative requirements. ‘Return to practice’ agreements should be tailored to meet the unique needs of the exempt practitioner, the role, and the hiring organisation.</w:t>
      </w:r>
    </w:p>
    <w:p w14:paraId="0F907963" w14:textId="77777777" w:rsidR="00D737A4" w:rsidRPr="00475867" w:rsidRDefault="00D737A4" w:rsidP="00C81075">
      <w:pPr>
        <w:pStyle w:val="Quotetext"/>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475867">
        <w:rPr>
          <w:rStyle w:val="Emphasis"/>
          <w:i w:val="0"/>
        </w:rPr>
        <w:t xml:space="preserve">A break in service is a period in which an exempt practitioner has not been employed or engaged in either:  </w:t>
      </w:r>
    </w:p>
    <w:p w14:paraId="348D784C" w14:textId="77777777" w:rsidR="00D737A4" w:rsidRPr="005755F3" w:rsidRDefault="00D737A4" w:rsidP="00C81075">
      <w:pPr>
        <w:pStyle w:val="Quotebullet1"/>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5755F3">
        <w:rPr>
          <w:rStyle w:val="Emphasis"/>
          <w:i w:val="0"/>
        </w:rPr>
        <w:t>a role in scope for the MMQ Policy</w:t>
      </w:r>
    </w:p>
    <w:p w14:paraId="324CD154" w14:textId="77777777" w:rsidR="00D737A4" w:rsidRPr="005755F3" w:rsidRDefault="00D737A4" w:rsidP="00C81075">
      <w:pPr>
        <w:pStyle w:val="Quotebullet1"/>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5755F3">
        <w:rPr>
          <w:rStyle w:val="Emphasis"/>
          <w:i w:val="0"/>
        </w:rPr>
        <w:lastRenderedPageBreak/>
        <w:t>a non-client facing family violence sector role where they continue to use their skills and knowledge (e.g. family violence trainer, family violence policy and advocacy)</w:t>
      </w:r>
    </w:p>
    <w:p w14:paraId="48075590" w14:textId="77777777" w:rsidR="00D737A4" w:rsidRPr="005755F3" w:rsidRDefault="00D737A4" w:rsidP="00C81075">
      <w:pPr>
        <w:pStyle w:val="Quotebullet1"/>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5755F3">
        <w:rPr>
          <w:rStyle w:val="Emphasis"/>
          <w:i w:val="0"/>
        </w:rPr>
        <w:t xml:space="preserve">a client facing role in a similar sector (e.g. children and families, mental health, AOD, youth work).  </w:t>
      </w:r>
    </w:p>
    <w:p w14:paraId="1A163951" w14:textId="6F3FA82E" w:rsidR="002738B4" w:rsidRPr="002738B4" w:rsidRDefault="002738B4" w:rsidP="00AC454C">
      <w:pPr>
        <w:pStyle w:val="Bodyafterbullets"/>
      </w:pPr>
      <w:r w:rsidRPr="002738B4">
        <w:t>Family violence practitioners may take time away from practice for many reasons, whether personal (e.g. caring responsibilities, travel, vicarious trauma) or professional (e.g. career opportunities in other sectors, further study, retirement).</w:t>
      </w:r>
    </w:p>
    <w:p w14:paraId="0DEE352E" w14:textId="3C5C6773" w:rsidR="002738B4" w:rsidRPr="002738B4" w:rsidRDefault="002738B4" w:rsidP="002738B4">
      <w:pPr>
        <w:pStyle w:val="Body"/>
      </w:pPr>
      <w:r w:rsidRPr="002738B4">
        <w:t xml:space="preserve">Practitioners may return to practice in equally diverse circumstances. Some return after a couple of years, others after a decade or more. They might return to a new area of practice or organisation, the same employer or to a </w:t>
      </w:r>
      <w:proofErr w:type="gramStart"/>
      <w:r w:rsidRPr="002738B4">
        <w:t>more or less advanced</w:t>
      </w:r>
      <w:proofErr w:type="gramEnd"/>
      <w:r w:rsidRPr="002738B4">
        <w:t xml:space="preserve"> role. </w:t>
      </w:r>
    </w:p>
    <w:p w14:paraId="33916519" w14:textId="77D8B52C" w:rsidR="002738B4" w:rsidRPr="002738B4" w:rsidRDefault="002738B4" w:rsidP="002738B4">
      <w:pPr>
        <w:pStyle w:val="Body"/>
      </w:pPr>
      <w:r w:rsidRPr="002738B4">
        <w:t>More broadly, practitioners who continue to work in family violence and do not take a break in service may have specific skills that are not regularly applied in their role.  Research shows that when skills are not routinely applied, proficiency can decrease</w:t>
      </w:r>
      <w:r w:rsidR="00BE1CD9">
        <w:rPr>
          <w:rStyle w:val="FootnoteReference"/>
        </w:rPr>
        <w:footnoteReference w:id="2"/>
      </w:r>
      <w:r w:rsidRPr="002738B4">
        <w:t>. All professionals should regularly check for changes in legislation and best practice. These guidelines are therefore relevant to all practitioners seeking to maintain contemporary practice.</w:t>
      </w:r>
    </w:p>
    <w:p w14:paraId="21E79859" w14:textId="1B406C2E" w:rsidR="00B73CFC" w:rsidRPr="00C81075" w:rsidRDefault="002738B4" w:rsidP="0016190A">
      <w:pPr>
        <w:pStyle w:val="Body"/>
      </w:pPr>
      <w:r w:rsidRPr="002738B4">
        <w:t>Research has identified individual, organisational and systemic challenges for health and social service practitioners returning to practice</w:t>
      </w:r>
      <w:r w:rsidR="0016190A">
        <w:rPr>
          <w:rStyle w:val="FootnoteReference"/>
        </w:rPr>
        <w:footnoteReference w:id="3"/>
      </w:r>
      <w:r w:rsidRPr="002738B4">
        <w:t>.</w:t>
      </w:r>
      <w:r w:rsidR="0016190A">
        <w:rPr>
          <w:rFonts w:ascii="Avenir Light" w:hAnsi="Avenir Light"/>
          <w:szCs w:val="21"/>
        </w:rPr>
        <w:t xml:space="preserve"> </w:t>
      </w:r>
      <w:r w:rsidRPr="002738B4">
        <w:t>Many of these challenges are applicable to specialist family violence practitioners. These guidelines help the sector to anticipate and mitigate the challenges so that return to practice is successful and beneficial for practitioners, employers and the people they support.</w:t>
      </w:r>
    </w:p>
    <w:p w14:paraId="44271200" w14:textId="77777777" w:rsidR="00B7045D" w:rsidRPr="005755F3" w:rsidRDefault="00B7045D" w:rsidP="00C81075">
      <w:pPr>
        <w:pStyle w:val="Quotetext"/>
        <w:pBdr>
          <w:top w:val="single" w:sz="36" w:space="1" w:color="CCF0EE"/>
          <w:left w:val="single" w:sz="36" w:space="4" w:color="CCF0EE"/>
          <w:bottom w:val="single" w:sz="36" w:space="1" w:color="CCF0EE"/>
          <w:right w:val="single" w:sz="36" w:space="4" w:color="CCF0EE"/>
        </w:pBdr>
        <w:shd w:val="clear" w:color="auto" w:fill="CCF0EE"/>
        <w:rPr>
          <w:rStyle w:val="Emphasis"/>
          <w:b/>
          <w:i w:val="0"/>
        </w:rPr>
      </w:pPr>
      <w:r w:rsidRPr="005755F3">
        <w:rPr>
          <w:rStyle w:val="Emphasis"/>
          <w:b/>
          <w:i w:val="0"/>
        </w:rPr>
        <w:t>What does it mean to ‘maintain contemporary practice’?</w:t>
      </w:r>
    </w:p>
    <w:p w14:paraId="2294634B" w14:textId="77777777" w:rsidR="00B7045D" w:rsidRPr="00475867" w:rsidRDefault="00B7045D" w:rsidP="00C81075">
      <w:pPr>
        <w:pStyle w:val="Quotetext"/>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475867">
        <w:rPr>
          <w:rStyle w:val="Emphasis"/>
          <w:i w:val="0"/>
        </w:rPr>
        <w:t xml:space="preserve">‘Maintaining contemporary practice’ means upholding and applying a level of current knowledge and skills relevant to the role. It supports successful client outcomes and promotes organisational learning. </w:t>
      </w:r>
    </w:p>
    <w:p w14:paraId="13ED9508" w14:textId="63BE888C" w:rsidR="00B7045D" w:rsidRPr="00475867" w:rsidRDefault="00B7045D" w:rsidP="00C81075">
      <w:pPr>
        <w:pStyle w:val="Quotetext"/>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475867">
        <w:rPr>
          <w:rStyle w:val="Emphasis"/>
          <w:i w:val="0"/>
        </w:rPr>
        <w:t>The revised Responding to Family Violence Capability Framework</w:t>
      </w:r>
      <w:r w:rsidR="00FA2AF9" w:rsidRPr="00475867">
        <w:rPr>
          <w:rStyle w:val="FootnoteReference"/>
          <w:sz w:val="21"/>
          <w:vertAlign w:val="baseline"/>
        </w:rPr>
        <w:footnoteReference w:id="4"/>
      </w:r>
      <w:r w:rsidRPr="00475867">
        <w:rPr>
          <w:rStyle w:val="Emphasis"/>
          <w:i w:val="0"/>
        </w:rPr>
        <w:t xml:space="preserve"> describes the knowledge and skills required for entry, mid, senior and expert level specialist practice roles, aligned with Multi Agency Risk Assessment and Management Framework (MARAM) requirements.</w:t>
      </w:r>
    </w:p>
    <w:p w14:paraId="3AE1DDB7" w14:textId="77777777" w:rsidR="00B7045D" w:rsidRPr="00475867" w:rsidRDefault="00B7045D" w:rsidP="00C81075">
      <w:pPr>
        <w:pStyle w:val="Quotetext"/>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475867">
        <w:rPr>
          <w:rStyle w:val="Emphasis"/>
          <w:i w:val="0"/>
        </w:rPr>
        <w:t xml:space="preserve">Contemporary practice is constantly evolving. In specialist family violence contexts, it comprises the application of knowledge and skills across domains such as: </w:t>
      </w:r>
    </w:p>
    <w:p w14:paraId="06039B76" w14:textId="77777777" w:rsidR="00B7045D" w:rsidRPr="005755F3" w:rsidRDefault="00B7045D" w:rsidP="00C81075">
      <w:pPr>
        <w:pStyle w:val="Quotebullet1"/>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5755F3">
        <w:rPr>
          <w:rStyle w:val="Emphasis"/>
          <w:i w:val="0"/>
        </w:rPr>
        <w:t>evidence-based family violence drivers and risk factors</w:t>
      </w:r>
    </w:p>
    <w:p w14:paraId="536FB982" w14:textId="77777777" w:rsidR="00B7045D" w:rsidRPr="005755F3" w:rsidRDefault="00B7045D" w:rsidP="00C81075">
      <w:pPr>
        <w:pStyle w:val="Quotebullet1"/>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5755F3">
        <w:rPr>
          <w:rStyle w:val="Emphasis"/>
          <w:i w:val="0"/>
        </w:rPr>
        <w:t>legislation</w:t>
      </w:r>
    </w:p>
    <w:p w14:paraId="002CA08C" w14:textId="77777777" w:rsidR="00B7045D" w:rsidRPr="005755F3" w:rsidRDefault="00B7045D" w:rsidP="00C81075">
      <w:pPr>
        <w:pStyle w:val="Quotebullet1"/>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5755F3">
        <w:rPr>
          <w:rStyle w:val="Emphasis"/>
          <w:i w:val="0"/>
        </w:rPr>
        <w:t>system and policy reforms</w:t>
      </w:r>
    </w:p>
    <w:p w14:paraId="4B17D90D" w14:textId="77777777" w:rsidR="00B7045D" w:rsidRPr="005755F3" w:rsidRDefault="00B7045D" w:rsidP="00C81075">
      <w:pPr>
        <w:pStyle w:val="Quotebullet1"/>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5755F3">
        <w:rPr>
          <w:rStyle w:val="Emphasis"/>
          <w:i w:val="0"/>
        </w:rPr>
        <w:t>practice approaches</w:t>
      </w:r>
    </w:p>
    <w:p w14:paraId="6CEE986B" w14:textId="77777777" w:rsidR="00B7045D" w:rsidRPr="005755F3" w:rsidRDefault="00B7045D" w:rsidP="00C81075">
      <w:pPr>
        <w:pStyle w:val="Quotebullet1"/>
        <w:pBdr>
          <w:top w:val="single" w:sz="36" w:space="1" w:color="CCF0EE"/>
          <w:left w:val="single" w:sz="36" w:space="4" w:color="CCF0EE"/>
          <w:bottom w:val="single" w:sz="36" w:space="1" w:color="CCF0EE"/>
          <w:right w:val="single" w:sz="36" w:space="4" w:color="CCF0EE"/>
        </w:pBdr>
        <w:shd w:val="clear" w:color="auto" w:fill="CCF0EE"/>
        <w:rPr>
          <w:rStyle w:val="Emphasis"/>
          <w:i w:val="0"/>
        </w:rPr>
      </w:pPr>
      <w:r w:rsidRPr="005755F3">
        <w:rPr>
          <w:rStyle w:val="Emphasis"/>
          <w:i w:val="0"/>
        </w:rPr>
        <w:t>working with different client groups</w:t>
      </w:r>
    </w:p>
    <w:p w14:paraId="1DCADD71" w14:textId="32BC8F0C" w:rsidR="00D737A4" w:rsidRPr="005755F3" w:rsidRDefault="00B7045D" w:rsidP="00C81075">
      <w:pPr>
        <w:pStyle w:val="Quotebullet1"/>
        <w:pBdr>
          <w:top w:val="single" w:sz="36" w:space="1" w:color="CCF0EE"/>
          <w:left w:val="single" w:sz="36" w:space="4" w:color="CCF0EE"/>
          <w:bottom w:val="single" w:sz="36" w:space="1" w:color="CCF0EE"/>
          <w:right w:val="single" w:sz="36" w:space="4" w:color="CCF0EE"/>
        </w:pBdr>
        <w:shd w:val="clear" w:color="auto" w:fill="CCF0EE"/>
      </w:pPr>
      <w:r w:rsidRPr="005755F3">
        <w:rPr>
          <w:rStyle w:val="Emphasis"/>
          <w:i w:val="0"/>
        </w:rPr>
        <w:t xml:space="preserve">culturally safe practice. </w:t>
      </w:r>
    </w:p>
    <w:p w14:paraId="1399D48D" w14:textId="318C96E2" w:rsidR="00930393" w:rsidRPr="009E7A69" w:rsidRDefault="009C111E" w:rsidP="009C111E">
      <w:pPr>
        <w:pStyle w:val="Heading2"/>
      </w:pPr>
      <w:bookmarkStart w:id="11" w:name="_Toc229489744"/>
      <w:r>
        <w:lastRenderedPageBreak/>
        <w:t>How different roles can use the guidelines</w:t>
      </w:r>
      <w:bookmarkEnd w:id="11"/>
    </w:p>
    <w:p w14:paraId="1D7FD957" w14:textId="65B0CFA6" w:rsidR="00930393" w:rsidRDefault="009C111E" w:rsidP="009C111E">
      <w:pPr>
        <w:pStyle w:val="Heading3"/>
      </w:pPr>
      <w:r>
        <w:t>Organisational leaders and managers</w:t>
      </w:r>
    </w:p>
    <w:p w14:paraId="505948AF" w14:textId="77777777" w:rsidR="009C111E" w:rsidRPr="009C111E" w:rsidRDefault="009C111E" w:rsidP="009C111E">
      <w:pPr>
        <w:pStyle w:val="Bullet1"/>
      </w:pPr>
      <w:r w:rsidRPr="009C111E">
        <w:t xml:space="preserve">successfully employ exempt practitioners returning to </w:t>
      </w:r>
      <w:proofErr w:type="gramStart"/>
      <w:r w:rsidRPr="009C111E">
        <w:t>practice;</w:t>
      </w:r>
      <w:proofErr w:type="gramEnd"/>
      <w:r w:rsidRPr="009C111E">
        <w:t xml:space="preserve"> </w:t>
      </w:r>
    </w:p>
    <w:p w14:paraId="0C4636FF" w14:textId="77777777" w:rsidR="009C111E" w:rsidRPr="009C111E" w:rsidRDefault="009C111E" w:rsidP="009C111E">
      <w:pPr>
        <w:pStyle w:val="Bullet1"/>
      </w:pPr>
      <w:r w:rsidRPr="009C111E">
        <w:t xml:space="preserve">develop RTP agreements that benefit the role, organisation and </w:t>
      </w:r>
      <w:proofErr w:type="gramStart"/>
      <w:r w:rsidRPr="009C111E">
        <w:t>practitioner;</w:t>
      </w:r>
      <w:proofErr w:type="gramEnd"/>
    </w:p>
    <w:p w14:paraId="7CB88ACE" w14:textId="77777777" w:rsidR="009C111E" w:rsidRPr="009C111E" w:rsidRDefault="009C111E" w:rsidP="009C111E">
      <w:pPr>
        <w:pStyle w:val="Bullet1"/>
      </w:pPr>
      <w:r w:rsidRPr="009C111E">
        <w:t>identify strategies to support other specialist family violence staff to maintain contemporary practice; and</w:t>
      </w:r>
    </w:p>
    <w:p w14:paraId="4EB20D8D" w14:textId="77777777" w:rsidR="009C111E" w:rsidRPr="009C111E" w:rsidRDefault="009C111E" w:rsidP="009C111E">
      <w:pPr>
        <w:pStyle w:val="Bullet1"/>
      </w:pPr>
      <w:r w:rsidRPr="009C111E">
        <w:t>attract and retain key talent by demonstrating commitment to supporting career pathways, professional development and ongoing learning.</w:t>
      </w:r>
    </w:p>
    <w:p w14:paraId="3A2D745E" w14:textId="09D328C3" w:rsidR="00930393" w:rsidRDefault="009C111E" w:rsidP="009C111E">
      <w:pPr>
        <w:pStyle w:val="Heading3"/>
      </w:pPr>
      <w:r>
        <w:t xml:space="preserve">Practitioners exempt from the MMQ Policy requirements </w:t>
      </w:r>
    </w:p>
    <w:p w14:paraId="4311C0C7" w14:textId="77777777" w:rsidR="009C111E" w:rsidRPr="009C111E" w:rsidRDefault="009C111E" w:rsidP="009C111E">
      <w:pPr>
        <w:pStyle w:val="Bullet1"/>
      </w:pPr>
      <w:r w:rsidRPr="009C111E">
        <w:t xml:space="preserve">identify appropriate learning opportunities and supports for their return to practice, as well as additional value they can offer hiring </w:t>
      </w:r>
      <w:proofErr w:type="gramStart"/>
      <w:r w:rsidRPr="009C111E">
        <w:t>organisations;</w:t>
      </w:r>
      <w:proofErr w:type="gramEnd"/>
    </w:p>
    <w:p w14:paraId="1B1D5834" w14:textId="77777777" w:rsidR="009C111E" w:rsidRPr="009C111E" w:rsidRDefault="009C111E" w:rsidP="009C111E">
      <w:pPr>
        <w:pStyle w:val="Bullet1"/>
      </w:pPr>
      <w:r w:rsidRPr="009C111E">
        <w:t>determine whether a hiring organisation is well-positioned to support their return to practice; and</w:t>
      </w:r>
    </w:p>
    <w:p w14:paraId="24E7C206" w14:textId="73CB2ED3" w:rsidR="009C111E" w:rsidRDefault="009C111E" w:rsidP="00461A7A">
      <w:pPr>
        <w:pStyle w:val="Bullet1"/>
      </w:pPr>
      <w:r w:rsidRPr="009C111E">
        <w:t>negotiate an appropriate RTP agreement at the job offer stage.</w:t>
      </w:r>
    </w:p>
    <w:p w14:paraId="484B2B31" w14:textId="201D7F09" w:rsidR="009C111E" w:rsidRDefault="009C111E" w:rsidP="009C111E">
      <w:pPr>
        <w:pStyle w:val="Heading3"/>
      </w:pPr>
      <w:r>
        <w:t>Practitioners who need to meet the MMQ Policy requirements</w:t>
      </w:r>
    </w:p>
    <w:p w14:paraId="2DF81F0D" w14:textId="10C0C2F5" w:rsidR="009C111E" w:rsidRDefault="009C111E" w:rsidP="009C111E">
      <w:pPr>
        <w:pStyle w:val="Bullet1"/>
      </w:pPr>
      <w:r>
        <w:t xml:space="preserve">identify professional development opportunities for themselves or their </w:t>
      </w:r>
      <w:proofErr w:type="gramStart"/>
      <w:r>
        <w:t>team;</w:t>
      </w:r>
      <w:proofErr w:type="gramEnd"/>
    </w:p>
    <w:p w14:paraId="22CBF7E3" w14:textId="07ABA57D" w:rsidR="009C111E" w:rsidRDefault="009C111E" w:rsidP="009C111E">
      <w:pPr>
        <w:pStyle w:val="Bullet1"/>
      </w:pPr>
      <w:r>
        <w:t>support their colleagues returning to practice; and</w:t>
      </w:r>
    </w:p>
    <w:p w14:paraId="55FE169F" w14:textId="7769D151" w:rsidR="009C111E" w:rsidRDefault="009C111E" w:rsidP="009C111E">
      <w:pPr>
        <w:pStyle w:val="Bullet1"/>
      </w:pPr>
      <w:r>
        <w:t>identify opportunities for their team and organisation to benefit from returning practitioners’ expertise and experience.</w:t>
      </w:r>
    </w:p>
    <w:p w14:paraId="53F21C74" w14:textId="345270C9" w:rsidR="009C111E" w:rsidRDefault="009C111E" w:rsidP="009C111E">
      <w:pPr>
        <w:pStyle w:val="Bodyafterbullets"/>
      </w:pPr>
      <w:r w:rsidRPr="009C111E">
        <w:t>The guidelines are based on findings from a literature review and sector consultations between November 2025 and February 2026.</w:t>
      </w:r>
    </w:p>
    <w:p w14:paraId="5B504DE9" w14:textId="251F1140" w:rsidR="009C111E" w:rsidRDefault="00BB45BC" w:rsidP="00BB45BC">
      <w:pPr>
        <w:pStyle w:val="Heading1"/>
      </w:pPr>
      <w:bookmarkStart w:id="12" w:name="_Toc229489745"/>
      <w:r>
        <w:t>Organisational principles</w:t>
      </w:r>
      <w:bookmarkEnd w:id="12"/>
      <w:r>
        <w:t xml:space="preserve"> </w:t>
      </w:r>
    </w:p>
    <w:p w14:paraId="5CBD486C" w14:textId="77777777" w:rsidR="00C34338" w:rsidRPr="00C34338" w:rsidRDefault="00C34338" w:rsidP="00C34338">
      <w:pPr>
        <w:pStyle w:val="Body"/>
      </w:pPr>
      <w:r w:rsidRPr="00C34338">
        <w:t xml:space="preserve">These principles provide evidence-based guidance on how to successfully employ and support returning practitioners. </w:t>
      </w:r>
    </w:p>
    <w:p w14:paraId="649038A4" w14:textId="77777777" w:rsidR="00C34338" w:rsidRPr="00C34338" w:rsidRDefault="00C34338" w:rsidP="00C34338">
      <w:pPr>
        <w:pStyle w:val="Body"/>
      </w:pPr>
      <w:r w:rsidRPr="00C34338">
        <w:t xml:space="preserve">Organisations employing specialist family violence practitioners are diverse and will have different capacities to implement these principles. Some organisations will choose one or two principles as a starting point and develop a long-term plan to strengthen their approach. Others will use the guidelines to refine, extend or reinforce existing processes. </w:t>
      </w:r>
    </w:p>
    <w:p w14:paraId="0BD9CA84" w14:textId="605C8D6D" w:rsidR="00C34338" w:rsidRPr="00C34338" w:rsidRDefault="00C34338" w:rsidP="00C34338">
      <w:pPr>
        <w:pStyle w:val="Body"/>
      </w:pPr>
      <w:r w:rsidRPr="00C34338">
        <w:t>To support successful return to practice, organisations should</w:t>
      </w:r>
      <w:r w:rsidR="00070366">
        <w:t xml:space="preserve"> embed the following principles. </w:t>
      </w:r>
    </w:p>
    <w:p w14:paraId="077671FE" w14:textId="32B6557B" w:rsidR="00BB45BC" w:rsidRPr="00EC15BB" w:rsidRDefault="00070366" w:rsidP="00EC15BB">
      <w:pPr>
        <w:pStyle w:val="Heading2"/>
      </w:pPr>
      <w:bookmarkStart w:id="13" w:name="_Toc229489746"/>
      <w:r w:rsidRPr="00EC15BB">
        <w:t xml:space="preserve">Principle 1: </w:t>
      </w:r>
      <w:r w:rsidR="00D661D6" w:rsidRPr="00EC15BB">
        <w:t>Have a clear and documented RTP process</w:t>
      </w:r>
      <w:bookmarkEnd w:id="13"/>
    </w:p>
    <w:p w14:paraId="0090EE8F" w14:textId="3FBA68E3" w:rsidR="009C111E" w:rsidRDefault="00431AC5" w:rsidP="00431AC5">
      <w:pPr>
        <w:pStyle w:val="Introtext"/>
      </w:pPr>
      <w:r w:rsidRPr="00431AC5">
        <w:t xml:space="preserve">Clear organisational processes build understanding and consistency. </w:t>
      </w:r>
    </w:p>
    <w:p w14:paraId="0AFAB236" w14:textId="77777777" w:rsidR="00596F09" w:rsidRPr="00596F09" w:rsidRDefault="00596F09" w:rsidP="00596F09">
      <w:pPr>
        <w:pStyle w:val="Bullet1"/>
        <w:rPr>
          <w:u w:val="single"/>
        </w:rPr>
      </w:pPr>
      <w:r w:rsidRPr="00596F09">
        <w:t>Organisations should have a documented, consistent process to support staff returning to practice. The process should outline:</w:t>
      </w:r>
    </w:p>
    <w:p w14:paraId="4E9376E4" w14:textId="77777777" w:rsidR="00596F09" w:rsidRPr="00596F09" w:rsidRDefault="00596F09" w:rsidP="00596F09">
      <w:pPr>
        <w:pStyle w:val="Bullet2"/>
        <w:rPr>
          <w:u w:val="single"/>
        </w:rPr>
      </w:pPr>
      <w:r w:rsidRPr="00596F09">
        <w:t xml:space="preserve">how the organisation develops and reviews RTP agreements </w:t>
      </w:r>
    </w:p>
    <w:p w14:paraId="0A44E84A" w14:textId="77777777" w:rsidR="00596F09" w:rsidRPr="00596F09" w:rsidRDefault="00596F09" w:rsidP="00596F09">
      <w:pPr>
        <w:pStyle w:val="Bullet2"/>
        <w:rPr>
          <w:u w:val="single"/>
        </w:rPr>
      </w:pPr>
      <w:r w:rsidRPr="00596F09">
        <w:t>how the RTP process is embedded within staff recruitment, orientation and onboarding processes</w:t>
      </w:r>
    </w:p>
    <w:p w14:paraId="10902219" w14:textId="1AE35D93" w:rsidR="00596F09" w:rsidRPr="00596F09" w:rsidRDefault="00596F09" w:rsidP="00596F09">
      <w:pPr>
        <w:pStyle w:val="Bullet2"/>
        <w:rPr>
          <w:u w:val="single"/>
        </w:rPr>
      </w:pPr>
      <w:r w:rsidRPr="00596F09">
        <w:t>implementation options to suit different circumstances</w:t>
      </w:r>
    </w:p>
    <w:p w14:paraId="28E7C026" w14:textId="240175BE" w:rsidR="00596F09" w:rsidRPr="00596F09" w:rsidRDefault="00596F09" w:rsidP="00596F09">
      <w:pPr>
        <w:pStyle w:val="Bullet2"/>
        <w:rPr>
          <w:u w:val="single"/>
        </w:rPr>
      </w:pPr>
      <w:r w:rsidRPr="00596F09">
        <w:t>how staff can provide feedback on the RTP process and on specific upskilling initiatives to inform future RTP agreements.</w:t>
      </w:r>
    </w:p>
    <w:p w14:paraId="26C6FB4C" w14:textId="57E5F670" w:rsidR="00596F09" w:rsidRPr="00B12155" w:rsidRDefault="00596F09" w:rsidP="00596F09">
      <w:pPr>
        <w:pStyle w:val="Bullet1"/>
        <w:rPr>
          <w:u w:val="single"/>
        </w:rPr>
      </w:pPr>
      <w:r w:rsidRPr="00596F09">
        <w:lastRenderedPageBreak/>
        <w:t>Organisations should share the documented process with staff to promote understanding and consistent use.</w:t>
      </w:r>
    </w:p>
    <w:p w14:paraId="29A133AB" w14:textId="57ED565C" w:rsidR="00596F09" w:rsidRPr="00A94C06" w:rsidRDefault="00596F09" w:rsidP="00596F09">
      <w:pPr>
        <w:pStyle w:val="Bullet1"/>
        <w:rPr>
          <w:u w:val="single"/>
        </w:rPr>
      </w:pPr>
      <w:r w:rsidRPr="00596F09">
        <w:t>Position Descriptions should provide applicants with transparent information about the MMQ Policy requirements of the role and the organisation’s RTP process. E.g.:</w:t>
      </w:r>
    </w:p>
    <w:p w14:paraId="2847ECCE" w14:textId="586A0E2A" w:rsidR="00596F09" w:rsidRPr="00475867" w:rsidRDefault="006D5B18" w:rsidP="00D8532D">
      <w:pPr>
        <w:pStyle w:val="Body"/>
        <w:rPr>
          <w:rStyle w:val="Emphasis"/>
          <w:i w:val="0"/>
        </w:rPr>
      </w:pPr>
      <w:r w:rsidRPr="00475867">
        <w:rPr>
          <w:rStyle w:val="Emphasis"/>
          <w:i w:val="0"/>
          <w:iCs w:val="0"/>
        </w:rPr>
        <w:t>‘</w:t>
      </w:r>
      <w:r w:rsidR="00596F09" w:rsidRPr="00475867">
        <w:rPr>
          <w:rStyle w:val="Emphasis"/>
          <w:i w:val="0"/>
        </w:rPr>
        <w:t xml:space="preserve">This role is in scope of the MMQ Policy. Practitioners who are exempt from the MMQ requirements, including those who have had a break in service of two years or more, are encouraged to apply. Returning practitioners would be hired under a Return to Practice agreement to support their return. Information about our organisation’s approach to RTP is available at </w:t>
      </w:r>
      <w:r w:rsidR="00596F09" w:rsidRPr="00475867">
        <w:rPr>
          <w:rStyle w:val="Emphasis"/>
          <w:i w:val="0"/>
          <w:iCs w:val="0"/>
        </w:rPr>
        <w:t>….</w:t>
      </w:r>
      <w:r w:rsidRPr="00475867">
        <w:rPr>
          <w:rStyle w:val="Emphasis"/>
          <w:i w:val="0"/>
          <w:iCs w:val="0"/>
        </w:rPr>
        <w:t>’</w:t>
      </w:r>
    </w:p>
    <w:p w14:paraId="5B3B95DA" w14:textId="182C2FFE" w:rsidR="00833654" w:rsidRDefault="00A94C06" w:rsidP="00833654">
      <w:pPr>
        <w:pStyle w:val="Heading2"/>
      </w:pPr>
      <w:bookmarkStart w:id="14" w:name="_Toc229489747"/>
      <w:r>
        <w:t xml:space="preserve">Principle 2: </w:t>
      </w:r>
      <w:r w:rsidR="00833654" w:rsidRPr="00833654">
        <w:t>Develop RTP agreement</w:t>
      </w:r>
      <w:r w:rsidR="00833654">
        <w:t>s</w:t>
      </w:r>
      <w:r w:rsidR="00902D57">
        <w:t xml:space="preserve"> flexibly and</w:t>
      </w:r>
      <w:r w:rsidR="00833654" w:rsidRPr="00833654">
        <w:t xml:space="preserve"> collaboratively based on the needs of the practitioner, the role and the organisation</w:t>
      </w:r>
      <w:bookmarkEnd w:id="14"/>
    </w:p>
    <w:p w14:paraId="6E27F667" w14:textId="311705EC" w:rsidR="00833654" w:rsidRPr="00833654" w:rsidRDefault="00D53D02" w:rsidP="00D53D02">
      <w:pPr>
        <w:pStyle w:val="Introtext"/>
      </w:pPr>
      <w:r w:rsidRPr="00D53D02">
        <w:t>RTP plans that are tailored to the individual and role get better outcomes.</w:t>
      </w:r>
      <w:r w:rsidR="00EC15BB">
        <w:t xml:space="preserve"> </w:t>
      </w:r>
      <w:r w:rsidR="00EC15BB" w:rsidRPr="00431AC5">
        <w:t>Flexible implementation options enable hiring organisations to meet the needs of the individual and role.</w:t>
      </w:r>
    </w:p>
    <w:p w14:paraId="022F68D3" w14:textId="19E8EEF8" w:rsidR="007A4D69" w:rsidRPr="007A4D69" w:rsidRDefault="007A4D69" w:rsidP="00461A7A">
      <w:pPr>
        <w:pStyle w:val="Bullet1"/>
      </w:pPr>
      <w:r w:rsidRPr="007A4D69">
        <w:t>Both the hiring organisation and returning practitioner should be involved in developing the RTP agreement.</w:t>
      </w:r>
    </w:p>
    <w:p w14:paraId="6FD5231E" w14:textId="77777777" w:rsidR="007A4D69" w:rsidRPr="007A4D69" w:rsidRDefault="007A4D69" w:rsidP="007A4D69">
      <w:pPr>
        <w:pStyle w:val="Bullet1"/>
      </w:pPr>
      <w:r w:rsidRPr="007A4D69">
        <w:t xml:space="preserve">Ensure both parties have a shared understanding of the </w:t>
      </w:r>
      <w:proofErr w:type="gramStart"/>
      <w:r w:rsidRPr="007A4D69">
        <w:t>practitioner’s</w:t>
      </w:r>
      <w:proofErr w:type="gramEnd"/>
      <w:r w:rsidRPr="007A4D69">
        <w:t>:</w:t>
      </w:r>
    </w:p>
    <w:p w14:paraId="5EB12624" w14:textId="77777777" w:rsidR="007A4D69" w:rsidRPr="007A4D69" w:rsidRDefault="007A4D69" w:rsidP="007A4D69">
      <w:pPr>
        <w:pStyle w:val="Bullet2"/>
      </w:pPr>
      <w:r w:rsidRPr="007A4D69">
        <w:t>current knowledge and skills</w:t>
      </w:r>
    </w:p>
    <w:p w14:paraId="4D1127BE" w14:textId="667CA1E2" w:rsidR="007A4D69" w:rsidRPr="007A4D69" w:rsidRDefault="007A4D69" w:rsidP="007A4D69">
      <w:pPr>
        <w:pStyle w:val="Bullet2"/>
      </w:pPr>
      <w:r w:rsidRPr="007A4D69">
        <w:t xml:space="preserve">learning needs </w:t>
      </w:r>
      <w:r>
        <w:t>–</w:t>
      </w:r>
      <w:r w:rsidRPr="007A4D69">
        <w:t xml:space="preserve"> </w:t>
      </w:r>
      <w:r>
        <w:t xml:space="preserve">Tip: </w:t>
      </w:r>
      <w:r w:rsidRPr="007A4D69">
        <w:t>See ‘</w:t>
      </w:r>
      <w:hyperlink w:anchor="_Identifying_a_practitioner’s" w:history="1">
        <w:r w:rsidR="00590368" w:rsidRPr="00590368">
          <w:rPr>
            <w:rStyle w:val="Hyperlink"/>
          </w:rPr>
          <w:t>Identifying a practitioner’s learning needs</w:t>
        </w:r>
      </w:hyperlink>
      <w:r w:rsidRPr="007A4D69">
        <w:t>’</w:t>
      </w:r>
    </w:p>
    <w:p w14:paraId="5F8E453E" w14:textId="79A4F9B2" w:rsidR="007A4D69" w:rsidRPr="007A4D69" w:rsidRDefault="007A4D69" w:rsidP="00461A7A">
      <w:pPr>
        <w:pStyle w:val="Bullet2"/>
      </w:pPr>
      <w:r w:rsidRPr="007A4D69">
        <w:t>attributes or experience that may benefit other staff in the organisation.</w:t>
      </w:r>
    </w:p>
    <w:p w14:paraId="70033CC7" w14:textId="77777777" w:rsidR="007A4D69" w:rsidRPr="007A4D69" w:rsidRDefault="007A4D69" w:rsidP="007A4D69">
      <w:pPr>
        <w:pStyle w:val="Bullet1"/>
      </w:pPr>
      <w:r w:rsidRPr="007A4D69">
        <w:t>Planned upskilling activities should:</w:t>
      </w:r>
    </w:p>
    <w:p w14:paraId="473F95A7" w14:textId="77777777" w:rsidR="007A4D69" w:rsidRPr="007A4D69" w:rsidRDefault="007A4D69" w:rsidP="007A4D69">
      <w:pPr>
        <w:pStyle w:val="Bullet2"/>
      </w:pPr>
      <w:r w:rsidRPr="007A4D69">
        <w:t>address the practitioner’s specific learning needs and the needs of the role</w:t>
      </w:r>
    </w:p>
    <w:p w14:paraId="6D5D0F24" w14:textId="77777777" w:rsidR="007A4D69" w:rsidRPr="007A4D69" w:rsidRDefault="007A4D69" w:rsidP="007A4D69">
      <w:pPr>
        <w:pStyle w:val="Bullet2"/>
      </w:pPr>
      <w:r w:rsidRPr="007A4D69">
        <w:t xml:space="preserve">be appropriate for people who have recently returned to practice after a break </w:t>
      </w:r>
    </w:p>
    <w:p w14:paraId="6E04FE0B" w14:textId="162259A2" w:rsidR="007A4D69" w:rsidRPr="007A4D69" w:rsidRDefault="007A4D69" w:rsidP="00461A7A">
      <w:pPr>
        <w:pStyle w:val="Bullet2"/>
      </w:pPr>
      <w:r w:rsidRPr="007A4D69">
        <w:t>include interactive activities to help translate learning into practice - Tip: See ‘</w:t>
      </w:r>
      <w:hyperlink w:anchor="_Upskilling_activities" w:history="1">
        <w:r w:rsidRPr="00590368">
          <w:rPr>
            <w:rStyle w:val="Hyperlink"/>
          </w:rPr>
          <w:t xml:space="preserve">Upskilling </w:t>
        </w:r>
        <w:r w:rsidR="00590368" w:rsidRPr="00590368">
          <w:rPr>
            <w:rStyle w:val="Hyperlink"/>
          </w:rPr>
          <w:t>a</w:t>
        </w:r>
        <w:r w:rsidRPr="00590368">
          <w:rPr>
            <w:rStyle w:val="Hyperlink"/>
          </w:rPr>
          <w:t>ctivities</w:t>
        </w:r>
      </w:hyperlink>
      <w:r w:rsidR="00590368">
        <w:t>’</w:t>
      </w:r>
    </w:p>
    <w:p w14:paraId="2C76F524" w14:textId="2EF69B9F" w:rsidR="007A4D69" w:rsidRPr="007A4D69" w:rsidRDefault="007A4D69" w:rsidP="00461A7A">
      <w:pPr>
        <w:pStyle w:val="Bullet1"/>
      </w:pPr>
      <w:r w:rsidRPr="007A4D69">
        <w:t xml:space="preserve">Consider opportunities for the practitioner to share their specific skills or experience with others to support their return to practice and offer additional benefit to the organisation. </w:t>
      </w:r>
    </w:p>
    <w:p w14:paraId="6AA72311" w14:textId="265C06EE" w:rsidR="007A4D69" w:rsidRDefault="007A4D69" w:rsidP="007A4D69">
      <w:pPr>
        <w:pStyle w:val="Bullet1"/>
      </w:pPr>
      <w:r w:rsidRPr="007A4D69">
        <w:t xml:space="preserve">Determine how and when the parties will review the RTP agreement. While there is no best-practice duration for RTP agreements, it is suggested they are reviewed </w:t>
      </w:r>
      <w:r w:rsidR="00E1638F">
        <w:t>monthly</w:t>
      </w:r>
      <w:r w:rsidRPr="007A4D69">
        <w:t xml:space="preserve"> and remain in place for approximately 3-6 months. </w:t>
      </w:r>
    </w:p>
    <w:p w14:paraId="3541A533" w14:textId="51A83963" w:rsidR="00E1638F" w:rsidRPr="007A4D69" w:rsidRDefault="00B82FC9" w:rsidP="007A4D69">
      <w:pPr>
        <w:pStyle w:val="Bullet1"/>
      </w:pPr>
      <w:r>
        <w:t>Formally close off the RTP agreement in collaboration with the practitioner</w:t>
      </w:r>
      <w:r w:rsidR="00DD59DF">
        <w:t xml:space="preserve">, reviewing </w:t>
      </w:r>
      <w:r w:rsidR="00B12155">
        <w:t xml:space="preserve">how learning needs have been met, skill gaps addressed, and knowledge has been shared with others in the organisations. </w:t>
      </w:r>
    </w:p>
    <w:p w14:paraId="0B09A0DA" w14:textId="33AB092F" w:rsidR="009C111E" w:rsidRDefault="00B12155" w:rsidP="00B12155">
      <w:pPr>
        <w:pStyle w:val="Heading2"/>
      </w:pPr>
      <w:bookmarkStart w:id="15" w:name="_Toc229489748"/>
      <w:r>
        <w:t xml:space="preserve">Principle 3: </w:t>
      </w:r>
      <w:r w:rsidR="00EA2709" w:rsidRPr="00EA2709">
        <w:t>Allocate sufficient resources, including staff time</w:t>
      </w:r>
      <w:bookmarkEnd w:id="15"/>
    </w:p>
    <w:p w14:paraId="71595CE3" w14:textId="0CE22157" w:rsidR="00EA2709" w:rsidRPr="00EA2709" w:rsidRDefault="00920749" w:rsidP="00920749">
      <w:pPr>
        <w:pStyle w:val="Introtext"/>
      </w:pPr>
      <w:r w:rsidRPr="00920749">
        <w:t>Returning to practice is a process, not a one-off event. A successful return requires resourcing and protected time for learning, supervision and relationship-building.</w:t>
      </w:r>
    </w:p>
    <w:p w14:paraId="7746DA87" w14:textId="49570F59" w:rsidR="00B00438" w:rsidRDefault="00B00438" w:rsidP="00B00438">
      <w:pPr>
        <w:pStyle w:val="Bullet1"/>
      </w:pPr>
      <w:r>
        <w:t xml:space="preserve">Ensure the practitioner has dedicated time to: </w:t>
      </w:r>
    </w:p>
    <w:p w14:paraId="743A66B9" w14:textId="63F0B779" w:rsidR="00B00438" w:rsidRDefault="00B00438" w:rsidP="00B00438">
      <w:pPr>
        <w:pStyle w:val="Bullet2"/>
      </w:pPr>
      <w:r>
        <w:t>undertake their RTP activities</w:t>
      </w:r>
    </w:p>
    <w:p w14:paraId="7F83C6CE" w14:textId="48DD09DB" w:rsidR="00B00438" w:rsidRDefault="00B00438" w:rsidP="00B00438">
      <w:pPr>
        <w:pStyle w:val="Bullet2"/>
      </w:pPr>
      <w:r>
        <w:t>discuss ideas with their colleagues, manager and/or supervisor</w:t>
      </w:r>
    </w:p>
    <w:p w14:paraId="20AB3423" w14:textId="4D31AB0F" w:rsidR="00B00438" w:rsidRDefault="00B00438" w:rsidP="00B00438">
      <w:pPr>
        <w:pStyle w:val="Bullet2"/>
      </w:pPr>
      <w:r>
        <w:t>build or re-establish relationships, both inside and outside the organisation.</w:t>
      </w:r>
    </w:p>
    <w:p w14:paraId="62FBF0DD" w14:textId="76EF50B5" w:rsidR="00B00438" w:rsidRDefault="00B00438" w:rsidP="00B00438">
      <w:pPr>
        <w:pStyle w:val="Bullet1"/>
      </w:pPr>
      <w:r>
        <w:lastRenderedPageBreak/>
        <w:t>Identify an appropriately skilled mentor and/or supervisor to support the practitioner’s return</w:t>
      </w:r>
      <w:r w:rsidR="00FC31E6">
        <w:t xml:space="preserve">, </w:t>
      </w:r>
      <w:r>
        <w:t>where relevant. Confirm the training and support available to the mentor / supervisor and how their mentoring / supervision time will be protected.</w:t>
      </w:r>
    </w:p>
    <w:p w14:paraId="182C276D" w14:textId="5E678829" w:rsidR="00B00438" w:rsidRDefault="00B00438" w:rsidP="00461A7A">
      <w:pPr>
        <w:pStyle w:val="Bullet2"/>
      </w:pPr>
      <w:r>
        <w:t xml:space="preserve">See </w:t>
      </w:r>
      <w:r w:rsidRPr="00B00438">
        <w:rPr>
          <w:i/>
          <w:iCs/>
        </w:rPr>
        <w:t>Best Practice Supervision Guidelines: Family violence, sexual assault and child wellbeing</w:t>
      </w:r>
      <w:r>
        <w:t xml:space="preserve"> for more information</w:t>
      </w:r>
    </w:p>
    <w:p w14:paraId="70F13AD0" w14:textId="4D2F6108" w:rsidR="00B00438" w:rsidRDefault="00B00438" w:rsidP="00B00438">
      <w:pPr>
        <w:pStyle w:val="Bullet1"/>
      </w:pPr>
      <w:r>
        <w:t>Consider offering flexible work arrangements to support the practitioner’s learning and return to practice, such as:</w:t>
      </w:r>
    </w:p>
    <w:p w14:paraId="716A42EF" w14:textId="7AB92096" w:rsidR="00B00438" w:rsidRDefault="00B00438" w:rsidP="00B00438">
      <w:pPr>
        <w:pStyle w:val="Bullet2"/>
      </w:pPr>
      <w:r>
        <w:t>time in lieu or flexitime for learning undertaken outside the person’s standard work hours</w:t>
      </w:r>
    </w:p>
    <w:p w14:paraId="1496B0F4" w14:textId="2406E611" w:rsidR="00B00438" w:rsidRDefault="00B00438" w:rsidP="00B00438">
      <w:pPr>
        <w:pStyle w:val="Bullet2"/>
      </w:pPr>
      <w:r>
        <w:t>capacity to complete desk-based learning from home</w:t>
      </w:r>
    </w:p>
    <w:p w14:paraId="740F4A4B" w14:textId="31924B31" w:rsidR="00B00438" w:rsidRDefault="00B00438" w:rsidP="00B00438">
      <w:pPr>
        <w:pStyle w:val="Bullet2"/>
      </w:pPr>
      <w:r>
        <w:t>flexible work hours if returning to practice with ongoing caring responsibilities or other needs</w:t>
      </w:r>
    </w:p>
    <w:p w14:paraId="290B0E37" w14:textId="736002C6" w:rsidR="00B00438" w:rsidRDefault="00B00438" w:rsidP="00B00438">
      <w:pPr>
        <w:pStyle w:val="Bullet2"/>
      </w:pPr>
      <w:r>
        <w:t>a reduced caseload while they complete upskilling activities and settle into a new workplace.</w:t>
      </w:r>
    </w:p>
    <w:p w14:paraId="5CDF972C" w14:textId="445BAAF8" w:rsidR="009C111E" w:rsidRDefault="00B00438" w:rsidP="00B00438">
      <w:pPr>
        <w:pStyle w:val="Bullet1"/>
      </w:pPr>
      <w:r>
        <w:t>Consider how the organisation can assist the practitioner to access quality training or development programs, including reputable and free or low-cost options. Tip: See ‘</w:t>
      </w:r>
      <w:hyperlink w:anchor="_Upskilling_activities" w:history="1">
        <w:r w:rsidRPr="00FC31E6">
          <w:rPr>
            <w:rStyle w:val="Hyperlink"/>
          </w:rPr>
          <w:t xml:space="preserve">Upskilling </w:t>
        </w:r>
        <w:r w:rsidR="00FC31E6" w:rsidRPr="00FC31E6">
          <w:rPr>
            <w:rStyle w:val="Hyperlink"/>
          </w:rPr>
          <w:t>a</w:t>
        </w:r>
        <w:r w:rsidRPr="00FC31E6">
          <w:rPr>
            <w:rStyle w:val="Hyperlink"/>
          </w:rPr>
          <w:t>ctivities</w:t>
        </w:r>
      </w:hyperlink>
      <w:r w:rsidR="00FC31E6">
        <w:t>’</w:t>
      </w:r>
    </w:p>
    <w:p w14:paraId="7C1EFFE8" w14:textId="40F329F1" w:rsidR="009C111E" w:rsidRDefault="00DD1D4B" w:rsidP="00DD1D4B">
      <w:pPr>
        <w:pStyle w:val="Heading2"/>
      </w:pPr>
      <w:bookmarkStart w:id="16" w:name="_Toc229489749"/>
      <w:r>
        <w:t xml:space="preserve">Principle 4: </w:t>
      </w:r>
      <w:r w:rsidR="008D39CD" w:rsidRPr="008D39CD">
        <w:t>Promote connection and collaboration in RTP agreements</w:t>
      </w:r>
      <w:bookmarkEnd w:id="16"/>
    </w:p>
    <w:p w14:paraId="5B721D7E" w14:textId="206DC43F" w:rsidR="008D39CD" w:rsidRPr="008D39CD" w:rsidRDefault="00BA5C38" w:rsidP="00BA5C38">
      <w:pPr>
        <w:pStyle w:val="Introtext"/>
      </w:pPr>
      <w:r w:rsidRPr="00BA5C38">
        <w:t>Connected practitioners who feel supported have a smoother return to practice. Connection and collaboration also contribute to positive workplace cultures.</w:t>
      </w:r>
    </w:p>
    <w:p w14:paraId="13B7D352" w14:textId="26BC27B6" w:rsidR="00BB3B3D" w:rsidRDefault="00BB3B3D" w:rsidP="00461A7A">
      <w:pPr>
        <w:pStyle w:val="Bullet1"/>
      </w:pPr>
      <w:r>
        <w:t>Discuss peer learning opportunities or informal networks that could augment the practitioner’s learning and foster staff connectedness.</w:t>
      </w:r>
    </w:p>
    <w:p w14:paraId="464DA7F7" w14:textId="2B928966" w:rsidR="00BB3B3D" w:rsidRDefault="00BB3B3D" w:rsidP="00461A7A">
      <w:pPr>
        <w:pStyle w:val="Bullet1"/>
      </w:pPr>
      <w:r>
        <w:t>Highlight existing partnerships with local organisations and provide opportunities for the returning practitioner to engage in these partnerships.</w:t>
      </w:r>
    </w:p>
    <w:p w14:paraId="0100F55B" w14:textId="4FD52D77" w:rsidR="00BB3B3D" w:rsidRDefault="00BB3B3D" w:rsidP="00461A7A">
      <w:pPr>
        <w:pStyle w:val="Bullet1"/>
      </w:pPr>
      <w:r>
        <w:t>Consider opportunities for internal or external organisational group training (rather than individual training) to assist the practitioner’s integration into the workplace, with the additional benefits of reducing costs.</w:t>
      </w:r>
    </w:p>
    <w:p w14:paraId="284DA743" w14:textId="29CAC98E" w:rsidR="009C111E" w:rsidRDefault="00BB3B3D" w:rsidP="00BB3B3D">
      <w:pPr>
        <w:pStyle w:val="Bullet1"/>
      </w:pPr>
      <w:r>
        <w:t>Once agreed, share the practitioner’s RTP agreement with key staff (e.g. the practitioner’s supervisor, mentor and/or line manager) so they can prepare, collaborate and support the practitioner’s return.</w:t>
      </w:r>
    </w:p>
    <w:p w14:paraId="6A828940" w14:textId="33CDC3F8" w:rsidR="009C111E" w:rsidRDefault="00BB3B3D" w:rsidP="00BB3B3D">
      <w:pPr>
        <w:pStyle w:val="Heading2"/>
      </w:pPr>
      <w:bookmarkStart w:id="17" w:name="_Toc229489750"/>
      <w:r>
        <w:t xml:space="preserve">Principle 5: </w:t>
      </w:r>
      <w:r w:rsidR="00501CB5" w:rsidRPr="00501CB5">
        <w:t>Promote an organisational learning culture</w:t>
      </w:r>
      <w:bookmarkEnd w:id="17"/>
    </w:p>
    <w:p w14:paraId="773F6370" w14:textId="55E8C50F" w:rsidR="00501CB5" w:rsidRPr="00501CB5" w:rsidRDefault="00A501DD" w:rsidP="00A501DD">
      <w:pPr>
        <w:pStyle w:val="Introtext"/>
      </w:pPr>
      <w:r w:rsidRPr="00A501DD">
        <w:t>Learning cultures encourage staff to be open about their learning gaps, embrace professional development and implement practice and workplace improvements.</w:t>
      </w:r>
    </w:p>
    <w:p w14:paraId="24865580" w14:textId="77777777" w:rsidR="00003546" w:rsidRPr="00003546" w:rsidRDefault="00003546" w:rsidP="00003546">
      <w:pPr>
        <w:pStyle w:val="Body"/>
      </w:pPr>
      <w:r w:rsidRPr="00003546">
        <w:t>Leaders in the organisation should:</w:t>
      </w:r>
    </w:p>
    <w:p w14:paraId="508AC72C" w14:textId="77777777" w:rsidR="00003546" w:rsidRPr="00003546" w:rsidRDefault="00003546" w:rsidP="00003546">
      <w:pPr>
        <w:pStyle w:val="Bullet1"/>
      </w:pPr>
      <w:r w:rsidRPr="00003546">
        <w:t>Continuously reflect on how the organisation:</w:t>
      </w:r>
    </w:p>
    <w:p w14:paraId="7707BB3F" w14:textId="77777777" w:rsidR="00003546" w:rsidRPr="00003546" w:rsidRDefault="00003546" w:rsidP="00003546">
      <w:pPr>
        <w:pStyle w:val="Bullet2"/>
      </w:pPr>
      <w:r w:rsidRPr="00003546">
        <w:t>talks about the role of learning and improvement, both formally and informally</w:t>
      </w:r>
    </w:p>
    <w:p w14:paraId="7EA75F09" w14:textId="77777777" w:rsidR="00003546" w:rsidRPr="00003546" w:rsidRDefault="00003546" w:rsidP="00003546">
      <w:pPr>
        <w:pStyle w:val="Bullet2"/>
      </w:pPr>
      <w:r w:rsidRPr="00003546">
        <w:t>seeks and actions feedback from service users and staff</w:t>
      </w:r>
    </w:p>
    <w:p w14:paraId="75F5E5E9" w14:textId="77777777" w:rsidR="00003546" w:rsidRPr="00003546" w:rsidRDefault="00003546" w:rsidP="00003546">
      <w:pPr>
        <w:pStyle w:val="Bullet2"/>
      </w:pPr>
      <w:r w:rsidRPr="00003546">
        <w:t>enables staff to learn from one another and build collective knowledge</w:t>
      </w:r>
    </w:p>
    <w:p w14:paraId="75820F68" w14:textId="77777777" w:rsidR="00003546" w:rsidRPr="00003546" w:rsidRDefault="00003546" w:rsidP="00003546">
      <w:pPr>
        <w:pStyle w:val="Bullet2"/>
      </w:pPr>
      <w:r w:rsidRPr="00003546">
        <w:t>actively provides the systems, resources, technology and time required for learning.</w:t>
      </w:r>
    </w:p>
    <w:p w14:paraId="1995FB0D" w14:textId="77777777" w:rsidR="00003546" w:rsidRPr="00003546" w:rsidRDefault="00003546" w:rsidP="00003546">
      <w:pPr>
        <w:pStyle w:val="Bullet1"/>
      </w:pPr>
      <w:r w:rsidRPr="00003546">
        <w:t xml:space="preserve">Promote and model continuing professional development and the maintenance of contemporary practice. </w:t>
      </w:r>
    </w:p>
    <w:p w14:paraId="29CCD55A" w14:textId="77777777" w:rsidR="00003546" w:rsidRPr="00003546" w:rsidRDefault="00003546" w:rsidP="00003546">
      <w:pPr>
        <w:pStyle w:val="Bullet1"/>
      </w:pPr>
      <w:r w:rsidRPr="00003546">
        <w:t>Integrate professional development activities as standard practice in the workplace rather than one-off events.</w:t>
      </w:r>
    </w:p>
    <w:p w14:paraId="1BAE3FE7" w14:textId="322196F1" w:rsidR="009C111E" w:rsidRDefault="00003546" w:rsidP="00003546">
      <w:pPr>
        <w:pStyle w:val="Bullet1"/>
      </w:pPr>
      <w:r w:rsidRPr="00003546">
        <w:t>Ensure staff understand the purpose of learning and development activities and their alignment with the organisation’s work and strategic direction.</w:t>
      </w:r>
    </w:p>
    <w:p w14:paraId="15F42D4F" w14:textId="2C1275AC" w:rsidR="00D01494" w:rsidRDefault="00D01494" w:rsidP="00D01494">
      <w:pPr>
        <w:pStyle w:val="Heading2"/>
      </w:pPr>
      <w:bookmarkStart w:id="18" w:name="_Toc229489751"/>
      <w:r>
        <w:lastRenderedPageBreak/>
        <w:t xml:space="preserve">Principle 6: </w:t>
      </w:r>
      <w:r w:rsidR="005B6851" w:rsidRPr="005B6851">
        <w:t>Support practitioners to prepare for a planned break in practice</w:t>
      </w:r>
      <w:bookmarkEnd w:id="18"/>
    </w:p>
    <w:p w14:paraId="6273FA8F" w14:textId="6390BD26" w:rsidR="009C111E" w:rsidRDefault="00A14EB0" w:rsidP="00A14EB0">
      <w:pPr>
        <w:pStyle w:val="Introtext"/>
      </w:pPr>
      <w:r w:rsidRPr="00A14EB0">
        <w:t>Demonstrating commitment to staff members’ careers can help your organisation attract and retain key talent and strengthen continuity.</w:t>
      </w:r>
    </w:p>
    <w:p w14:paraId="0839B0C6" w14:textId="1F40C494" w:rsidR="00BC10E4" w:rsidRPr="00BC10E4" w:rsidRDefault="00BC10E4" w:rsidP="00461A7A">
      <w:pPr>
        <w:pStyle w:val="Bullet1"/>
        <w:rPr>
          <w:u w:val="single"/>
        </w:rPr>
      </w:pPr>
      <w:r w:rsidRPr="00BC10E4">
        <w:t>Proactively engage staff members who are considering a break in practice. Provide tailored information about their options and potential impacts of time away from practice. For exempt practitioners under the MMQ Policy, ensure they understand what constitutes a ‘break in service’ requiring a RTP agreement on return.</w:t>
      </w:r>
    </w:p>
    <w:p w14:paraId="2BE34241" w14:textId="762367B7" w:rsidR="004206D0" w:rsidRPr="00C81075" w:rsidRDefault="00BC10E4" w:rsidP="005152FC">
      <w:pPr>
        <w:pStyle w:val="Bullet1"/>
        <w:spacing w:after="240"/>
        <w:rPr>
          <w:u w:val="single"/>
        </w:rPr>
      </w:pPr>
      <w:r w:rsidRPr="00BC10E4">
        <w:t>If the staff member plans to return to practice, consider how the organisation could help them stay connected and participate in specific professional development during their break, if they wish.</w:t>
      </w:r>
    </w:p>
    <w:p w14:paraId="0AB686D4" w14:textId="6DAE02E2" w:rsidR="004206D0" w:rsidRPr="00DB60CF" w:rsidRDefault="004206D0" w:rsidP="008F608B">
      <w:pPr>
        <w:pStyle w:val="Body"/>
        <w:pBdr>
          <w:top w:val="single" w:sz="36" w:space="1" w:color="DCCDE4"/>
          <w:left w:val="single" w:sz="36" w:space="4" w:color="DCCDE4"/>
          <w:bottom w:val="single" w:sz="36" w:space="1" w:color="DCCDE4"/>
          <w:right w:val="single" w:sz="36" w:space="4" w:color="DCCDE4"/>
          <w:between w:val="single" w:sz="36" w:space="1" w:color="DCCDE4"/>
          <w:bar w:val="single" w:sz="36" w:color="DCCDE4"/>
        </w:pBdr>
        <w:shd w:val="clear" w:color="auto" w:fill="DCCDE4"/>
        <w:rPr>
          <w:rStyle w:val="Emphasis"/>
          <w:b/>
          <w:i w:val="0"/>
          <w:color w:val="201547"/>
        </w:rPr>
      </w:pPr>
      <w:r w:rsidRPr="00DB60CF">
        <w:rPr>
          <w:rStyle w:val="Emphasis"/>
          <w:b/>
          <w:i w:val="0"/>
          <w:color w:val="201547"/>
        </w:rPr>
        <w:t xml:space="preserve">Case study 1: Anh </w:t>
      </w:r>
      <w:r w:rsidR="00D72F0B" w:rsidRPr="00DB60CF">
        <w:rPr>
          <w:rStyle w:val="Emphasis"/>
          <w:b/>
          <w:i w:val="0"/>
          <w:color w:val="201547"/>
        </w:rPr>
        <w:t>and</w:t>
      </w:r>
      <w:r w:rsidRPr="00DB60CF">
        <w:rPr>
          <w:rStyle w:val="Emphasis"/>
          <w:b/>
          <w:i w:val="0"/>
          <w:color w:val="201547"/>
        </w:rPr>
        <w:t xml:space="preserve"> Clara</w:t>
      </w:r>
    </w:p>
    <w:p w14:paraId="175F2359" w14:textId="77777777" w:rsidR="004206D0" w:rsidRPr="00DB60CF" w:rsidRDefault="004206D0" w:rsidP="008F608B">
      <w:pPr>
        <w:pStyle w:val="Body"/>
        <w:pBdr>
          <w:top w:val="single" w:sz="36" w:space="1" w:color="DCCDE4"/>
          <w:left w:val="single" w:sz="36" w:space="4" w:color="DCCDE4"/>
          <w:bottom w:val="single" w:sz="36" w:space="1" w:color="DCCDE4"/>
          <w:right w:val="single" w:sz="36" w:space="4" w:color="DCCDE4"/>
          <w:between w:val="single" w:sz="36" w:space="1" w:color="DCCDE4"/>
          <w:bar w:val="single" w:sz="36" w:color="DCCDE4"/>
        </w:pBdr>
        <w:shd w:val="clear" w:color="auto" w:fill="DCCDE4"/>
        <w:rPr>
          <w:rStyle w:val="Emphasis"/>
          <w:i w:val="0"/>
          <w:color w:val="201547"/>
        </w:rPr>
      </w:pPr>
      <w:r w:rsidRPr="00DB60CF">
        <w:rPr>
          <w:rStyle w:val="Emphasis"/>
          <w:i w:val="0"/>
          <w:color w:val="201547"/>
        </w:rPr>
        <w:t xml:space="preserve">Anh worked as a specialist family violence practitioner in four direct service roles between 2013-2022. After taking three years out of the paid workforce to raise her child, she has decided to return to practice. Anh applies for a managerial role with a community services organisation in her local area. </w:t>
      </w:r>
    </w:p>
    <w:p w14:paraId="736CFBD4" w14:textId="254A5F85" w:rsidR="000E7898" w:rsidRPr="000E7898" w:rsidRDefault="004206D0" w:rsidP="000E7898">
      <w:pPr>
        <w:pStyle w:val="Body"/>
        <w:pBdr>
          <w:top w:val="single" w:sz="36" w:space="1" w:color="DCCDE4"/>
          <w:left w:val="single" w:sz="36" w:space="4" w:color="DCCDE4"/>
          <w:bottom w:val="single" w:sz="36" w:space="1" w:color="DCCDE4"/>
          <w:right w:val="single" w:sz="36" w:space="4" w:color="DCCDE4"/>
          <w:between w:val="single" w:sz="36" w:space="1" w:color="DCCDE4"/>
          <w:bar w:val="single" w:sz="36" w:color="DCCDE4"/>
        </w:pBdr>
        <w:shd w:val="clear" w:color="auto" w:fill="DCCDE4"/>
        <w:rPr>
          <w:rStyle w:val="Emphasis"/>
          <w:i w:val="0"/>
          <w:color w:val="201547"/>
        </w:rPr>
      </w:pPr>
      <w:r w:rsidRPr="00DB60CF">
        <w:rPr>
          <w:rStyle w:val="Emphasis"/>
          <w:i w:val="0"/>
          <w:color w:val="201547"/>
        </w:rPr>
        <w:t xml:space="preserve">Despite feeling ready for a professional challenge, Anh is nervous about returning to the workforce. She worries her knowledge is out of date and she has lost credibility. At interview, the Executive Manager Clara explains the organisation’s RTP </w:t>
      </w:r>
      <w:proofErr w:type="gramStart"/>
      <w:r w:rsidRPr="00DB60CF">
        <w:rPr>
          <w:rStyle w:val="Emphasis"/>
          <w:i w:val="0"/>
          <w:color w:val="201547"/>
        </w:rPr>
        <w:t>process</w:t>
      </w:r>
      <w:proofErr w:type="gramEnd"/>
      <w:r w:rsidRPr="00DB60CF">
        <w:rPr>
          <w:rStyle w:val="Emphasis"/>
          <w:i w:val="0"/>
          <w:color w:val="201547"/>
        </w:rPr>
        <w:t xml:space="preserve"> and they discuss the supports available if Anh is successful in the role. Additionally, Clara notes Anh’s experience supporting LGBTIQA+ communities. Clara suggests Anh could mentor a junior staff member who is leading a LGBTIQA+ project as part of Anh’s RTP agreement. Anh is pleased the hiring organisation recognises her expertise and the additional value she could offer them. Clara’s suggestion boosts Anh’s confidence and her interest in the role.</w:t>
      </w:r>
    </w:p>
    <w:p w14:paraId="4FDEE11C" w14:textId="77777777" w:rsidR="000E7898" w:rsidRPr="005152FC" w:rsidRDefault="000E7898" w:rsidP="005152FC">
      <w:pPr>
        <w:pStyle w:val="Body"/>
        <w:rPr>
          <w:rStyle w:val="Emphasis"/>
          <w:i w:val="0"/>
          <w:iCs w:val="0"/>
        </w:rPr>
      </w:pPr>
    </w:p>
    <w:p w14:paraId="138B56EA" w14:textId="20FAD2CF" w:rsidR="00D72F0B" w:rsidRPr="00EF59FD" w:rsidRDefault="00D72F0B" w:rsidP="00EF59FD">
      <w:pPr>
        <w:pStyle w:val="Body"/>
        <w:pBdr>
          <w:top w:val="single" w:sz="36" w:space="1" w:color="DCCDE4"/>
          <w:left w:val="single" w:sz="36" w:space="4" w:color="DCCDE4"/>
          <w:bottom w:val="single" w:sz="36" w:space="1" w:color="DCCDE4"/>
          <w:right w:val="single" w:sz="36" w:space="4" w:color="DCCDE4"/>
        </w:pBdr>
        <w:shd w:val="clear" w:color="auto" w:fill="DCCDE4"/>
        <w:rPr>
          <w:rStyle w:val="Emphasis"/>
          <w:b/>
          <w:bCs/>
          <w:i w:val="0"/>
          <w:iCs w:val="0"/>
          <w:color w:val="201547"/>
        </w:rPr>
      </w:pPr>
      <w:r w:rsidRPr="00EF59FD">
        <w:rPr>
          <w:rStyle w:val="Emphasis"/>
          <w:b/>
          <w:bCs/>
          <w:i w:val="0"/>
          <w:iCs w:val="0"/>
          <w:color w:val="201547"/>
        </w:rPr>
        <w:t>Case study 2: Marj and Chris</w:t>
      </w:r>
    </w:p>
    <w:p w14:paraId="63921237" w14:textId="3F382F20" w:rsidR="00D72F0B" w:rsidRPr="00EF59FD" w:rsidRDefault="00D72F0B" w:rsidP="00EF59FD">
      <w:pPr>
        <w:pStyle w:val="Body"/>
        <w:pBdr>
          <w:top w:val="single" w:sz="36" w:space="1" w:color="DCCDE4"/>
          <w:left w:val="single" w:sz="36" w:space="4" w:color="DCCDE4"/>
          <w:bottom w:val="single" w:sz="36" w:space="1" w:color="DCCDE4"/>
          <w:right w:val="single" w:sz="36" w:space="4" w:color="DCCDE4"/>
        </w:pBdr>
        <w:shd w:val="clear" w:color="auto" w:fill="DCCDE4"/>
        <w:rPr>
          <w:rStyle w:val="Emphasis"/>
          <w:i w:val="0"/>
          <w:iCs w:val="0"/>
          <w:color w:val="201547"/>
        </w:rPr>
      </w:pPr>
      <w:r w:rsidRPr="00EF59FD">
        <w:rPr>
          <w:rStyle w:val="Emphasis"/>
          <w:i w:val="0"/>
          <w:iCs w:val="0"/>
          <w:color w:val="201547"/>
        </w:rPr>
        <w:t xml:space="preserve">Marj works as the HR Manager of a large organisation. Marj is preparing for a staff member Chris to return to the organisation in a specialist family violence response role. Chris has only been on leave for a year and holds a Bachelor of Community </w:t>
      </w:r>
      <w:r w:rsidR="00EC56AB" w:rsidRPr="00EF59FD">
        <w:rPr>
          <w:rStyle w:val="Emphasis"/>
          <w:i w:val="0"/>
          <w:iCs w:val="0"/>
          <w:color w:val="201547"/>
        </w:rPr>
        <w:t>Services,</w:t>
      </w:r>
      <w:r w:rsidRPr="00EF59FD">
        <w:rPr>
          <w:rStyle w:val="Emphasis"/>
          <w:i w:val="0"/>
          <w:iCs w:val="0"/>
          <w:color w:val="201547"/>
        </w:rPr>
        <w:t xml:space="preserve"> so they are not required to return under a RTP agreement. However, the organisation has undergone a lot of change in this time, including refining its service model and creating several new positions. Further, government has recently released new MARAM practice guidance. Chris has been backpacking for the year and is returning to a new team and manager. Marj thinks an RTP agreement will support Chris as they resume full-time work.</w:t>
      </w:r>
    </w:p>
    <w:p w14:paraId="75D1C58F" w14:textId="66A47F62" w:rsidR="00D72F0B" w:rsidRPr="00EF59FD" w:rsidRDefault="006D5B18" w:rsidP="00EF59FD">
      <w:pPr>
        <w:pStyle w:val="Body"/>
        <w:pBdr>
          <w:top w:val="single" w:sz="36" w:space="1" w:color="DCCDE4"/>
          <w:left w:val="single" w:sz="36" w:space="4" w:color="DCCDE4"/>
          <w:bottom w:val="single" w:sz="36" w:space="1" w:color="DCCDE4"/>
          <w:right w:val="single" w:sz="36" w:space="4" w:color="DCCDE4"/>
        </w:pBdr>
        <w:shd w:val="clear" w:color="auto" w:fill="DCCDE4"/>
        <w:rPr>
          <w:rStyle w:val="Emphasis"/>
          <w:i w:val="0"/>
          <w:iCs w:val="0"/>
          <w:color w:val="201547"/>
        </w:rPr>
      </w:pPr>
      <w:r w:rsidRPr="00EF59FD">
        <w:rPr>
          <w:rStyle w:val="Emphasis"/>
          <w:i w:val="0"/>
          <w:iCs w:val="0"/>
          <w:color w:val="201547"/>
        </w:rPr>
        <w:t>‘</w:t>
      </w:r>
      <w:r w:rsidR="00D72F0B" w:rsidRPr="00EF59FD">
        <w:rPr>
          <w:rStyle w:val="Emphasis"/>
          <w:i w:val="0"/>
          <w:iCs w:val="0"/>
          <w:color w:val="201547"/>
        </w:rPr>
        <w:t>For some, it’s not just re-entry to practice. It’s re-entry to the workplace.</w:t>
      </w:r>
      <w:r w:rsidRPr="00EF59FD">
        <w:rPr>
          <w:rStyle w:val="Emphasis"/>
          <w:i w:val="0"/>
          <w:iCs w:val="0"/>
          <w:color w:val="201547"/>
        </w:rPr>
        <w:t>’</w:t>
      </w:r>
    </w:p>
    <w:p w14:paraId="73003119" w14:textId="27D7F946" w:rsidR="009C111E" w:rsidRPr="00EF59FD" w:rsidRDefault="00D72F0B" w:rsidP="00EF59FD">
      <w:pPr>
        <w:pStyle w:val="Body"/>
        <w:pBdr>
          <w:top w:val="single" w:sz="36" w:space="1" w:color="DCCDE4"/>
          <w:left w:val="single" w:sz="36" w:space="4" w:color="DCCDE4"/>
          <w:bottom w:val="single" w:sz="36" w:space="1" w:color="DCCDE4"/>
          <w:right w:val="single" w:sz="36" w:space="4" w:color="DCCDE4"/>
        </w:pBdr>
        <w:shd w:val="clear" w:color="auto" w:fill="DCCDE4"/>
        <w:rPr>
          <w:rStyle w:val="Emphasis"/>
          <w:i w:val="0"/>
          <w:iCs w:val="0"/>
          <w:color w:val="201547"/>
        </w:rPr>
      </w:pPr>
      <w:r w:rsidRPr="00EF59FD">
        <w:rPr>
          <w:rStyle w:val="Emphasis"/>
          <w:i w:val="0"/>
          <w:iCs w:val="0"/>
          <w:color w:val="201547"/>
        </w:rPr>
        <w:t>Marj discusses the idea with Chris. Chris is excited to receive this additional, structured support. Marj, Chris and their line manager develop the RTP agreement together.</w:t>
      </w:r>
    </w:p>
    <w:p w14:paraId="374B018E" w14:textId="77777777" w:rsidR="005152FC" w:rsidRDefault="005152FC" w:rsidP="005152FC">
      <w:pPr>
        <w:pStyle w:val="Body"/>
        <w:rPr>
          <w:rStyle w:val="Emphasis"/>
          <w:b/>
          <w:bCs/>
          <w:i w:val="0"/>
          <w:color w:val="201547"/>
          <w:szCs w:val="18"/>
        </w:rPr>
      </w:pPr>
      <w:r>
        <w:rPr>
          <w:rStyle w:val="Emphasis"/>
          <w:b/>
          <w:bCs/>
          <w:i w:val="0"/>
        </w:rPr>
        <w:br w:type="page"/>
      </w:r>
    </w:p>
    <w:p w14:paraId="67EAFB21" w14:textId="69B747D1" w:rsidR="00EC79FF" w:rsidRPr="00930F6A" w:rsidRDefault="00EC79FF" w:rsidP="00EF59FD">
      <w:pPr>
        <w:pStyle w:val="Quotetext"/>
        <w:pBdr>
          <w:top w:val="single" w:sz="36" w:space="1" w:color="DCCDE4"/>
          <w:left w:val="single" w:sz="36" w:space="4" w:color="DCCDE4"/>
          <w:bottom w:val="single" w:sz="36" w:space="1" w:color="DCCDE4"/>
          <w:right w:val="single" w:sz="36" w:space="4" w:color="DCCDE4"/>
          <w:between w:val="single" w:sz="36" w:space="1" w:color="DCCDE4"/>
          <w:bar w:val="single" w:sz="36" w:color="DCCDE4"/>
        </w:pBdr>
        <w:shd w:val="clear" w:color="auto" w:fill="DCCDE4"/>
        <w:rPr>
          <w:rStyle w:val="Emphasis"/>
          <w:b/>
          <w:bCs/>
          <w:i w:val="0"/>
        </w:rPr>
      </w:pPr>
      <w:r w:rsidRPr="00930F6A">
        <w:rPr>
          <w:rStyle w:val="Emphasis"/>
          <w:b/>
          <w:bCs/>
          <w:i w:val="0"/>
        </w:rPr>
        <w:lastRenderedPageBreak/>
        <w:t>Case study 3: Heidi &amp; Steve</w:t>
      </w:r>
    </w:p>
    <w:p w14:paraId="3CB11581" w14:textId="77777777" w:rsidR="00EC79FF" w:rsidRPr="00475867" w:rsidRDefault="00EC79FF" w:rsidP="00EF59FD">
      <w:pPr>
        <w:pStyle w:val="Quotetext"/>
        <w:pBdr>
          <w:top w:val="single" w:sz="36" w:space="1" w:color="DCCDE4"/>
          <w:left w:val="single" w:sz="36" w:space="4" w:color="DCCDE4"/>
          <w:bottom w:val="single" w:sz="36" w:space="1" w:color="DCCDE4"/>
          <w:right w:val="single" w:sz="36" w:space="4" w:color="DCCDE4"/>
          <w:between w:val="single" w:sz="36" w:space="1" w:color="DCCDE4"/>
          <w:bar w:val="single" w:sz="36" w:color="DCCDE4"/>
        </w:pBdr>
        <w:shd w:val="clear" w:color="auto" w:fill="DCCDE4"/>
        <w:rPr>
          <w:rStyle w:val="Emphasis"/>
          <w:i w:val="0"/>
        </w:rPr>
      </w:pPr>
      <w:r w:rsidRPr="00475867">
        <w:rPr>
          <w:rStyle w:val="Emphasis"/>
          <w:i w:val="0"/>
        </w:rPr>
        <w:t xml:space="preserve">Heidi has been working as a specialist family violence practitioner in a small organisation for 12 years. Recently, as new practitioners have joined the organisation, Heidi has been reflecting on the volume of reform that has occurred since the Victorian Royal Commission into Family Violence. Heidi has only participated in mandatory training in this time. Heidi approaches her manager, Steve, who agrees the organisation will support Heidi to address the current skill and learning gaps in her practice. Steve refers to the organisation’s Return to Practice </w:t>
      </w:r>
      <w:proofErr w:type="gramStart"/>
      <w:r w:rsidRPr="00475867">
        <w:rPr>
          <w:rStyle w:val="Emphasis"/>
          <w:i w:val="0"/>
        </w:rPr>
        <w:t>process</w:t>
      </w:r>
      <w:proofErr w:type="gramEnd"/>
      <w:r w:rsidRPr="00475867">
        <w:rPr>
          <w:rStyle w:val="Emphasis"/>
          <w:i w:val="0"/>
        </w:rPr>
        <w:t xml:space="preserve"> and they develop a formal agreement, based on the Return to Practice template in this document, to guide Heidi’s learning. </w:t>
      </w:r>
    </w:p>
    <w:p w14:paraId="3919EFAE" w14:textId="25E44AAF" w:rsidR="00D72F0B" w:rsidRPr="00D72F0B" w:rsidRDefault="00FF0B86" w:rsidP="00FF0B86">
      <w:pPr>
        <w:pStyle w:val="Heading1"/>
      </w:pPr>
      <w:bookmarkStart w:id="19" w:name="_Identifying_a_practitioner’s"/>
      <w:bookmarkStart w:id="20" w:name="_Toc229489752"/>
      <w:bookmarkEnd w:id="19"/>
      <w:r>
        <w:t>Identifying a practitioner’s learning needs</w:t>
      </w:r>
      <w:bookmarkEnd w:id="20"/>
    </w:p>
    <w:p w14:paraId="3CE95C77" w14:textId="77777777" w:rsidR="00FF379F" w:rsidRPr="00FF379F" w:rsidRDefault="00FF379F" w:rsidP="00FF379F">
      <w:pPr>
        <w:pStyle w:val="Body"/>
      </w:pPr>
      <w:r w:rsidRPr="00FF379F">
        <w:t xml:space="preserve">There are many ways to identify a practitioner’s learning needs and the key activities for their RTP agreement. The hiring organisation and practitioner might each prepare some ideas for discussion at interview or in a subsequent meeting. Some organisations might use a standardised tool or develop a self-assessment form to assist discussions. </w:t>
      </w:r>
    </w:p>
    <w:p w14:paraId="5F8D2256" w14:textId="07D8F487" w:rsidR="00FF379F" w:rsidRPr="00FF379F" w:rsidRDefault="00FF379F" w:rsidP="00FF379F">
      <w:pPr>
        <w:pStyle w:val="Body"/>
      </w:pPr>
      <w:r w:rsidRPr="00FF379F">
        <w:t xml:space="preserve">Regardless of the approach, the key is to collaboratively identify the practitioner’s learning needs in the context of the role and organisation and document the plan to address them. </w:t>
      </w:r>
      <w:r w:rsidR="0081725A">
        <w:t xml:space="preserve">Tip: See </w:t>
      </w:r>
      <w:hyperlink w:anchor="_Return_to_Practice" w:history="1">
        <w:r w:rsidRPr="00777959">
          <w:rPr>
            <w:rStyle w:val="Hyperlink"/>
          </w:rPr>
          <w:t xml:space="preserve">RTP </w:t>
        </w:r>
        <w:r w:rsidR="0081725A" w:rsidRPr="00777959">
          <w:rPr>
            <w:rStyle w:val="Hyperlink"/>
          </w:rPr>
          <w:t>A</w:t>
        </w:r>
        <w:r w:rsidRPr="00777959">
          <w:rPr>
            <w:rStyle w:val="Hyperlink"/>
          </w:rPr>
          <w:t xml:space="preserve">greement </w:t>
        </w:r>
        <w:r w:rsidR="0081725A" w:rsidRPr="00777959">
          <w:rPr>
            <w:rStyle w:val="Hyperlink"/>
          </w:rPr>
          <w:t>T</w:t>
        </w:r>
        <w:r w:rsidRPr="00777959">
          <w:rPr>
            <w:rStyle w:val="Hyperlink"/>
          </w:rPr>
          <w:t>emplate</w:t>
        </w:r>
      </w:hyperlink>
      <w:r w:rsidR="00777959">
        <w:t xml:space="preserve">. </w:t>
      </w:r>
    </w:p>
    <w:p w14:paraId="446B26AB" w14:textId="77777777" w:rsidR="00FF379F" w:rsidRPr="00FF379F" w:rsidRDefault="00FF379F" w:rsidP="00FF379F">
      <w:pPr>
        <w:pStyle w:val="Body"/>
      </w:pPr>
      <w:r w:rsidRPr="00FF379F">
        <w:t xml:space="preserve">Tip: The revised </w:t>
      </w:r>
      <w:hyperlink r:id="rId20" w:history="1">
        <w:r w:rsidRPr="00FF379F">
          <w:rPr>
            <w:rStyle w:val="Hyperlink"/>
            <w:color w:val="auto"/>
            <w:u w:val="none"/>
          </w:rPr>
          <w:t>Responding to Family Violence Capability Framework</w:t>
        </w:r>
      </w:hyperlink>
      <w:r w:rsidRPr="00FF379F">
        <w:t xml:space="preserve"> is a critical guiding resource.</w:t>
      </w:r>
    </w:p>
    <w:p w14:paraId="5DB73766" w14:textId="77777777" w:rsidR="00FF379F" w:rsidRPr="00FF379F" w:rsidRDefault="00FF379F" w:rsidP="00FF379F">
      <w:pPr>
        <w:pStyle w:val="Body"/>
      </w:pPr>
      <w:r w:rsidRPr="00FF379F">
        <w:t>The following tips are intended to assist both hiring organisations and practitioners.</w:t>
      </w:r>
    </w:p>
    <w:p w14:paraId="58D5369E" w14:textId="77777777" w:rsidR="00FF379F" w:rsidRPr="00FF379F" w:rsidRDefault="00FF379F" w:rsidP="00FF379F">
      <w:pPr>
        <w:pStyle w:val="Body"/>
        <w:rPr>
          <w:b/>
          <w:bCs/>
        </w:rPr>
      </w:pPr>
      <w:r w:rsidRPr="00FF379F">
        <w:rPr>
          <w:b/>
          <w:bCs/>
        </w:rPr>
        <w:t xml:space="preserve">To consider the needs of the role and organisation, along with the </w:t>
      </w:r>
      <w:r w:rsidRPr="00FF379F">
        <w:rPr>
          <w:b/>
          <w:bCs/>
          <w:i/>
          <w:iCs/>
        </w:rPr>
        <w:t>Responding to Family Violence Capability Framework</w:t>
      </w:r>
      <w:r w:rsidRPr="00FF379F">
        <w:rPr>
          <w:b/>
          <w:bCs/>
        </w:rPr>
        <w:t>, you might like to review:</w:t>
      </w:r>
    </w:p>
    <w:p w14:paraId="069D4131" w14:textId="77777777" w:rsidR="00FF379F" w:rsidRPr="00FF379F" w:rsidRDefault="00FF379F" w:rsidP="00FF379F">
      <w:pPr>
        <w:pStyle w:val="Bullet1"/>
      </w:pPr>
      <w:r w:rsidRPr="00FF379F">
        <w:t xml:space="preserve">The Position Description: What are the key skills and knowledge required for the role? Where are the practitioner’s gaps? </w:t>
      </w:r>
    </w:p>
    <w:p w14:paraId="59DA9698" w14:textId="77777777" w:rsidR="00FF379F" w:rsidRPr="00FF379F" w:rsidRDefault="00FF379F" w:rsidP="00FF379F">
      <w:pPr>
        <w:pStyle w:val="Bullet1"/>
      </w:pPr>
      <w:r w:rsidRPr="00FF379F">
        <w:t xml:space="preserve">The organisation’s current Strategic Plan: How do the practitioner’s learning needs align with the organisation’s strategic priorities? What development opportunities would enable the practitioner to help achieve the organisation’s strategic goals? </w:t>
      </w:r>
    </w:p>
    <w:p w14:paraId="31D01BFD" w14:textId="77777777" w:rsidR="00FF379F" w:rsidRPr="00FF379F" w:rsidRDefault="00FF379F" w:rsidP="00FF379F">
      <w:pPr>
        <w:pStyle w:val="Bullet1"/>
      </w:pPr>
      <w:r w:rsidRPr="00FF379F">
        <w:t xml:space="preserve">A current organisational chart: Which teams will the role frequently engage with? What knowledge, skills or training would assist the practitioner to engage effectively with those teams? </w:t>
      </w:r>
    </w:p>
    <w:p w14:paraId="17CE796D" w14:textId="77777777" w:rsidR="00FF379F" w:rsidRPr="00FF379F" w:rsidRDefault="00FF379F" w:rsidP="00FF379F">
      <w:pPr>
        <w:pStyle w:val="Bullet1"/>
      </w:pPr>
      <w:r w:rsidRPr="00FF379F">
        <w:t xml:space="preserve">Current practice guidance and standards: Have there been updates to any relevant guidance or standards relating to practice? What changes may impact the practitioner's learning needs? </w:t>
      </w:r>
    </w:p>
    <w:p w14:paraId="67150D22" w14:textId="77777777" w:rsidR="00FF379F" w:rsidRPr="00FF379F" w:rsidRDefault="00FF379F" w:rsidP="00FF379F">
      <w:pPr>
        <w:pStyle w:val="Bullet1"/>
      </w:pPr>
      <w:r w:rsidRPr="00FF379F">
        <w:t xml:space="preserve">Organisational training priorities: What key training was recently delivered across the organisation? Would this training help the practitioner in their role and promote consistency across the workforce? </w:t>
      </w:r>
    </w:p>
    <w:p w14:paraId="2DA5B695" w14:textId="68FF0C63" w:rsidR="00FF379F" w:rsidRPr="00FF379F" w:rsidRDefault="00FF379F" w:rsidP="00FF379F">
      <w:pPr>
        <w:pStyle w:val="Body"/>
        <w:rPr>
          <w:b/>
          <w:bCs/>
        </w:rPr>
      </w:pPr>
      <w:r w:rsidRPr="00FF379F">
        <w:rPr>
          <w:b/>
          <w:bCs/>
        </w:rPr>
        <w:t xml:space="preserve">To consider the needs of the practitioner, you might ask </w:t>
      </w:r>
      <w:r w:rsidR="005F1B26">
        <w:rPr>
          <w:b/>
          <w:bCs/>
        </w:rPr>
        <w:t>/</w:t>
      </w:r>
      <w:r w:rsidRPr="00FF379F">
        <w:rPr>
          <w:b/>
          <w:bCs/>
        </w:rPr>
        <w:t xml:space="preserve"> reflect on:</w:t>
      </w:r>
    </w:p>
    <w:p w14:paraId="495A34D1" w14:textId="77777777" w:rsidR="00FF379F" w:rsidRPr="00FF379F" w:rsidRDefault="00FF379F" w:rsidP="00FF379F">
      <w:pPr>
        <w:pStyle w:val="Bullet1"/>
      </w:pPr>
      <w:r w:rsidRPr="00FF379F">
        <w:t>What are the practitioner’s key interest areas and career ambitions?</w:t>
      </w:r>
    </w:p>
    <w:p w14:paraId="24A902BB" w14:textId="77777777" w:rsidR="00FF379F" w:rsidRPr="00FF379F" w:rsidRDefault="00FF379F" w:rsidP="00FF379F">
      <w:pPr>
        <w:pStyle w:val="Bullet1"/>
      </w:pPr>
      <w:r w:rsidRPr="00FF379F">
        <w:t>Has the practitioner held a similar position before or is this a new area for them?</w:t>
      </w:r>
    </w:p>
    <w:p w14:paraId="02DA7A62" w14:textId="77777777" w:rsidR="00FF379F" w:rsidRPr="00FF379F" w:rsidRDefault="00FF379F" w:rsidP="00FF379F">
      <w:pPr>
        <w:pStyle w:val="Bullet1"/>
      </w:pPr>
      <w:r w:rsidRPr="00FF379F">
        <w:t>Has the practitioner undertaken any relevant training or professional development during their break from practice?</w:t>
      </w:r>
    </w:p>
    <w:p w14:paraId="1295A8CB" w14:textId="77777777" w:rsidR="00FF379F" w:rsidRPr="00FF379F" w:rsidRDefault="00FF379F" w:rsidP="00FF379F">
      <w:pPr>
        <w:pStyle w:val="Bullet1"/>
      </w:pPr>
      <w:r w:rsidRPr="00FF379F">
        <w:t>Where are the practitioner’s gaps in knowledge and skills?</w:t>
      </w:r>
    </w:p>
    <w:p w14:paraId="12792727" w14:textId="77777777" w:rsidR="00FF379F" w:rsidRPr="00FF379F" w:rsidRDefault="00FF379F" w:rsidP="00FF379F">
      <w:pPr>
        <w:pStyle w:val="Bullet1"/>
      </w:pPr>
      <w:r w:rsidRPr="00FF379F">
        <w:t xml:space="preserve">How does the practitioner like to learn? What formats and approaches work best for them? </w:t>
      </w:r>
    </w:p>
    <w:p w14:paraId="4CDFBE83" w14:textId="77777777" w:rsidR="00FF379F" w:rsidRPr="00FF379F" w:rsidRDefault="00FF379F" w:rsidP="00FF379F">
      <w:pPr>
        <w:pStyle w:val="Bullet1"/>
      </w:pPr>
      <w:r w:rsidRPr="00FF379F">
        <w:t>If the practitioner identifies as having lived experience of family violence, what learning approaches work best for them? If they would like to develop their leadership or advocacy skills in this space, how might the organisation support them?</w:t>
      </w:r>
    </w:p>
    <w:p w14:paraId="7E51807E" w14:textId="16D4851D" w:rsidR="00696B0E" w:rsidRDefault="00696B0E" w:rsidP="00696B0E">
      <w:pPr>
        <w:pStyle w:val="Heading1"/>
      </w:pPr>
      <w:bookmarkStart w:id="21" w:name="_Upskilling_activities"/>
      <w:bookmarkStart w:id="22" w:name="_Toc229489753"/>
      <w:bookmarkEnd w:id="21"/>
      <w:r>
        <w:lastRenderedPageBreak/>
        <w:t>Upskilling activities</w:t>
      </w:r>
      <w:bookmarkEnd w:id="22"/>
    </w:p>
    <w:p w14:paraId="55EF0C90" w14:textId="77777777" w:rsidR="00A15F15" w:rsidRPr="00A15F15" w:rsidRDefault="00A15F15" w:rsidP="00A15F15">
      <w:pPr>
        <w:pStyle w:val="Body"/>
      </w:pPr>
      <w:r w:rsidRPr="00A15F15">
        <w:t>This section provides examples of upskilling activities and approaches to help organisations and practitioners identify appropriate activities for RTP agreements.</w:t>
      </w:r>
    </w:p>
    <w:p w14:paraId="4EC1DD08" w14:textId="77777777" w:rsidR="00A15F15" w:rsidRPr="00A15F15" w:rsidRDefault="00A15F15" w:rsidP="00A15F15">
      <w:pPr>
        <w:pStyle w:val="Heading2"/>
      </w:pPr>
      <w:bookmarkStart w:id="23" w:name="_Toc229489754"/>
      <w:r w:rsidRPr="00A15F15">
        <w:t>Learning from and connecting with local Aboriginal services</w:t>
      </w:r>
      <w:bookmarkEnd w:id="23"/>
    </w:p>
    <w:p w14:paraId="7E496B3F" w14:textId="7AECB8C3" w:rsidR="00A15F15" w:rsidRPr="00A15F15" w:rsidRDefault="00A15F15" w:rsidP="00A15F15">
      <w:pPr>
        <w:pStyle w:val="Body"/>
      </w:pPr>
      <w:r w:rsidRPr="00A15F15">
        <w:t xml:space="preserve">Specialist family violence work requires contemporary knowledge and skills to work effectively and safely with Aboriginal and Torres Strait Islander people. All practitioners are expected to deliver culturally safe practice, including for Aboriginal and Torres Strait Islander people. Only clients of specialist family violence response services can determine if practice is culturally safe. </w:t>
      </w:r>
      <w:r w:rsidR="00957E24">
        <w:t>However,</w:t>
      </w:r>
      <w:r w:rsidRPr="00A15F15">
        <w:t xml:space="preserve"> practitioners and organisations can prioritise training on culturally responsive (or at least culturally competent) practice, supported by reflective and reflexive practice and regular reading.</w:t>
      </w:r>
    </w:p>
    <w:p w14:paraId="77289988" w14:textId="77777777" w:rsidR="00A15F15" w:rsidRDefault="00A15F15" w:rsidP="00A15F15">
      <w:pPr>
        <w:pStyle w:val="Body"/>
      </w:pPr>
      <w:r w:rsidRPr="00D90C95">
        <w:rPr>
          <w:b/>
          <w:bCs/>
        </w:rPr>
        <w:t>If you are not employed in an Aboriginal Community Controlled Organisation (ACCO), learn about your local ACCO’s services</w:t>
      </w:r>
      <w:r w:rsidRPr="00A15F15">
        <w:t xml:space="preserve">. You might follow your local ACCO on social media and attend public events they host. Make time to build relationships with ACCO workers, remaining cognisant of the cultural load of Aboriginal and Torres Strait Islander practitioners. Consider how you can learn from and with Aboriginal services without adding to cultural load. </w:t>
      </w:r>
    </w:p>
    <w:p w14:paraId="5E644FF6" w14:textId="77777777" w:rsidR="00CF1E63" w:rsidRPr="00A15F15" w:rsidRDefault="00CF1E63" w:rsidP="00CF1E63">
      <w:pPr>
        <w:pStyle w:val="Body"/>
      </w:pPr>
      <w:r w:rsidRPr="00CF1E63">
        <w:rPr>
          <w:b/>
          <w:bCs/>
        </w:rPr>
        <w:t>Spend time learning about the Traditional Owners and Aboriginal communities of the lands where you practise</w:t>
      </w:r>
      <w:r w:rsidRPr="00A15F15">
        <w:t xml:space="preserve">. Read about their historic connection to the local area. Visit local meeting places. </w:t>
      </w:r>
    </w:p>
    <w:p w14:paraId="19338B9A" w14:textId="77777777" w:rsidR="00D90C95" w:rsidRPr="00D90C95" w:rsidRDefault="00D90C95" w:rsidP="00D90C95">
      <w:pPr>
        <w:pStyle w:val="Heading2"/>
        <w:rPr>
          <w:rFonts w:eastAsia="Times"/>
        </w:rPr>
      </w:pPr>
      <w:bookmarkStart w:id="24" w:name="_Toc229489755"/>
      <w:r w:rsidRPr="00D90C95">
        <w:rPr>
          <w:rFonts w:eastAsia="Times"/>
        </w:rPr>
        <w:t>Supervision, mentoring and shadowing</w:t>
      </w:r>
      <w:bookmarkEnd w:id="24"/>
    </w:p>
    <w:p w14:paraId="697F3F60" w14:textId="15C0E04E" w:rsidR="00D90C95" w:rsidRPr="00D90C95" w:rsidRDefault="00D90C95" w:rsidP="00D90C95">
      <w:pPr>
        <w:pStyle w:val="Body"/>
      </w:pPr>
      <w:r w:rsidRPr="00D90C95">
        <w:rPr>
          <w:b/>
          <w:bCs/>
        </w:rPr>
        <w:t>Professional supervision</w:t>
      </w:r>
      <w:r w:rsidRPr="00D90C95">
        <w:t xml:space="preserve"> is essential in family violence </w:t>
      </w:r>
      <w:r w:rsidR="00E56633" w:rsidRPr="00D90C95">
        <w:t>work,</w:t>
      </w:r>
      <w:r w:rsidR="00D40FC8">
        <w:t xml:space="preserve"> and i</w:t>
      </w:r>
      <w:r w:rsidRPr="00D90C95">
        <w:t>t can be highly valuable to both supervisees and supervisors</w:t>
      </w:r>
      <w:r w:rsidR="00E56633">
        <w:rPr>
          <w:rStyle w:val="FootnoteReference"/>
        </w:rPr>
        <w:footnoteReference w:id="5"/>
      </w:r>
      <w:r w:rsidRPr="00D90C95">
        <w:t>.</w:t>
      </w:r>
      <w:r w:rsidR="007C6C76">
        <w:t xml:space="preserve"> </w:t>
      </w:r>
      <w:r w:rsidRPr="00D90C95">
        <w:t>Research shows a lack of supervision is a key challenge for returning practitioners in the health and social care sectors</w:t>
      </w:r>
      <w:r w:rsidR="00E56633">
        <w:rPr>
          <w:rStyle w:val="FootnoteReference"/>
        </w:rPr>
        <w:footnoteReference w:id="6"/>
      </w:r>
      <w:r w:rsidRPr="00D90C95">
        <w:t xml:space="preserve">. When delivered well, supervision can help returning practitioners update their knowledge, strengthen performance, build confidence and navigate the transition to a new workplace. </w:t>
      </w:r>
    </w:p>
    <w:p w14:paraId="51AF3B10" w14:textId="72E6733C" w:rsidR="00D90C95" w:rsidRPr="00D90C95" w:rsidRDefault="00D90C95" w:rsidP="00D90C95">
      <w:pPr>
        <w:pStyle w:val="Body"/>
      </w:pPr>
      <w:r w:rsidRPr="00D90C95">
        <w:t xml:space="preserve">The </w:t>
      </w:r>
      <w:r w:rsidRPr="00D90C95">
        <w:rPr>
          <w:i/>
          <w:iCs/>
        </w:rPr>
        <w:t xml:space="preserve">Best Practice Supervision Guidelines: Family violence, sexual assault and child wellbeing </w:t>
      </w:r>
      <w:r w:rsidRPr="00D90C95">
        <w:t>(‘supervision guidelines’) provide comprehensive information on supervision, including the different frameworks, models, supervision types and standards that can augment existing practices</w:t>
      </w:r>
      <w:r w:rsidR="00535E11">
        <w:rPr>
          <w:rStyle w:val="FootnoteReference"/>
        </w:rPr>
        <w:footnoteReference w:id="7"/>
      </w:r>
      <w:r w:rsidRPr="00D90C95">
        <w:t>.</w:t>
      </w:r>
    </w:p>
    <w:p w14:paraId="4A79B1F3" w14:textId="77777777" w:rsidR="00D90C95" w:rsidRPr="00D90C95" w:rsidRDefault="00D90C95" w:rsidP="00D90C95">
      <w:pPr>
        <w:pStyle w:val="Body"/>
      </w:pPr>
      <w:r w:rsidRPr="00D90C95">
        <w:t>Consider if a formal, one-on-one supervision arrangement with a skilled supervisor is available and appropriate. This type of supervision offers regular, scheduled support, consistent with a structured RTP process. Alternatively, live or group supervision may be more appropriate or feasible. Regardless of supervision type, supervisors should be trained and receive support that aligns with the supervision guidelines.</w:t>
      </w:r>
    </w:p>
    <w:p w14:paraId="39AC88A6" w14:textId="7255375F" w:rsidR="00D90C95" w:rsidRPr="00D90C95" w:rsidRDefault="00D90C95" w:rsidP="00D90C95">
      <w:pPr>
        <w:pStyle w:val="Body"/>
      </w:pPr>
      <w:r w:rsidRPr="00D90C95">
        <w:lastRenderedPageBreak/>
        <w:t>Where supervision opportunities are limited in rural and remote areas, building relationships with related services and local community can facilitate informal mentoring and peer learning, contributing to staff retention, greater knowledge sharing and increased competence</w:t>
      </w:r>
      <w:r w:rsidR="00D433F1">
        <w:rPr>
          <w:rStyle w:val="FootnoteReference"/>
        </w:rPr>
        <w:footnoteReference w:id="8"/>
      </w:r>
      <w:r w:rsidRPr="00D90C95">
        <w:t>.</w:t>
      </w:r>
    </w:p>
    <w:p w14:paraId="2B032C30" w14:textId="47C86E40" w:rsidR="00D90C95" w:rsidRPr="00D90C95" w:rsidRDefault="00D90C95" w:rsidP="00D90C95">
      <w:pPr>
        <w:pStyle w:val="Body"/>
      </w:pPr>
      <w:r w:rsidRPr="00D90C95">
        <w:rPr>
          <w:b/>
          <w:bCs/>
        </w:rPr>
        <w:t>Mentoring</w:t>
      </w:r>
      <w:r w:rsidRPr="00D90C95">
        <w:t xml:space="preserve"> is another key activity that has been found to support successful return to practice</w:t>
      </w:r>
      <w:r w:rsidR="00495E59">
        <w:rPr>
          <w:rStyle w:val="FootnoteReference"/>
        </w:rPr>
        <w:footnoteReference w:id="9"/>
      </w:r>
      <w:r w:rsidRPr="00D90C95">
        <w:t>.</w:t>
      </w:r>
      <w:r w:rsidR="007C6C76" w:rsidRPr="00D90C95">
        <w:t xml:space="preserve"> </w:t>
      </w:r>
      <w:r w:rsidRPr="00D90C95">
        <w:t xml:space="preserve">Mentors may be internal or external to the organisation. Mentors provide a regular, confidential space for mentee-directed discussion, with the mentor offering reflections and insights based on their own experience. While distinct from supervision, mentoring can help returning practitioners overcome common individual and organisational challenges of returning to practice. </w:t>
      </w:r>
    </w:p>
    <w:p w14:paraId="797C73BD" w14:textId="77777777" w:rsidR="007F7396" w:rsidRPr="007F7396" w:rsidRDefault="007F7396" w:rsidP="007F7396">
      <w:pPr>
        <w:pStyle w:val="Body"/>
      </w:pPr>
      <w:r w:rsidRPr="007F7396">
        <w:t>In some circumstances, reciprocal mentoring may be appropriate (e.g. where a practitioner is returning to practice after a short break in service and has past mentoring experience). Reciprocal mentoring involves two people entering a mentoring arrangement to take turns in the mentor and mentee roles over time.</w:t>
      </w:r>
    </w:p>
    <w:p w14:paraId="75DD84D8" w14:textId="7D3E875A" w:rsidR="00B73CFC" w:rsidRPr="007F7396" w:rsidRDefault="007F7396" w:rsidP="005152FC">
      <w:pPr>
        <w:pStyle w:val="Body"/>
        <w:spacing w:after="240"/>
      </w:pPr>
      <w:r w:rsidRPr="007F7396">
        <w:rPr>
          <w:b/>
          <w:bCs/>
        </w:rPr>
        <w:t>Shadowing</w:t>
      </w:r>
      <w:r w:rsidRPr="007F7396">
        <w:t xml:space="preserve"> another staff member for a day or week or during specific activities provides an immediate learning option and requires minimal resources. When combined with debriefing, shadowing also facilitates communication and connection between staff, enabling both parties to reflect on their approaches and learn from one another.</w:t>
      </w:r>
    </w:p>
    <w:p w14:paraId="2606CC22" w14:textId="685EB45A" w:rsidR="00DF6142" w:rsidRPr="00475867" w:rsidRDefault="00DF6142"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b/>
          <w:i w:val="0"/>
        </w:rPr>
      </w:pPr>
      <w:r w:rsidRPr="00475867">
        <w:rPr>
          <w:rStyle w:val="Emphasis"/>
          <w:b/>
          <w:i w:val="0"/>
        </w:rPr>
        <w:t>Case study 4: Paul and Omar</w:t>
      </w:r>
    </w:p>
    <w:p w14:paraId="6DD1EF2B" w14:textId="77777777" w:rsidR="00DF6142" w:rsidRPr="00475867" w:rsidRDefault="00DF6142"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i w:val="0"/>
        </w:rPr>
      </w:pPr>
      <w:r w:rsidRPr="00475867">
        <w:rPr>
          <w:rStyle w:val="Emphasis"/>
          <w:i w:val="0"/>
        </w:rPr>
        <w:t xml:space="preserve">Paul leads a small organisation in a regional area. Paul is hiring for a specialist family violence role in perpetrator services. Omar is an exempt practitioner who recently moved to the local area and applied for the role after six years’ break in service. After conducting interviews, Paul contacts Omar to confirm he is the preferred candidate. Paul reiterates that a RTP agreement would be required and they schedule a meeting to discuss the agreement. </w:t>
      </w:r>
    </w:p>
    <w:p w14:paraId="29D13504" w14:textId="77777777" w:rsidR="00DF6142" w:rsidRPr="00475867" w:rsidRDefault="00DF6142"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i w:val="0"/>
        </w:rPr>
      </w:pPr>
      <w:r w:rsidRPr="00475867">
        <w:rPr>
          <w:rStyle w:val="Emphasis"/>
          <w:i w:val="0"/>
        </w:rPr>
        <w:t>When they meet, Paul explains the organisation’s RTP process and its commitment to staff learning and development. The pair discuss Omar’s learning needs, based on their discussion at interview, the position’s key responsibilities and the broader skills Omar developed during his break in service.</w:t>
      </w:r>
    </w:p>
    <w:p w14:paraId="59EB9F9C" w14:textId="77777777" w:rsidR="00DF6142" w:rsidRPr="00475867" w:rsidRDefault="00DF6142"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i w:val="0"/>
        </w:rPr>
      </w:pPr>
      <w:r w:rsidRPr="00475867">
        <w:rPr>
          <w:rStyle w:val="Emphasis"/>
          <w:i w:val="0"/>
        </w:rPr>
        <w:t>Omar asks about the supervision that would be available to him. The organisation has one trained supervisor who delivers group supervision to the team. However, Paul has identified a staff member who could mentor Omar. Paul also suggests Omar could initially spend half a day a fortnight building relationships with partner organisations and health organisations in the local community to help him build his own ‘knowledge networks’.</w:t>
      </w:r>
    </w:p>
    <w:p w14:paraId="3F57169D" w14:textId="77777777" w:rsidR="00DF6142" w:rsidRPr="00475867" w:rsidRDefault="00DF6142"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i w:val="0"/>
        </w:rPr>
      </w:pPr>
      <w:r w:rsidRPr="00475867">
        <w:rPr>
          <w:rStyle w:val="Emphasis"/>
          <w:i w:val="0"/>
        </w:rPr>
        <w:t xml:space="preserve">Paul also suggests Omar represent the organisation at a quarterly meeting of perpetrator services - a meeting the organisation has previously not had capacity to attend. This will strengthen Omar’s knowledge, help him build relationships with other organisations and help the organisation stay informed of sector developments. </w:t>
      </w:r>
    </w:p>
    <w:p w14:paraId="3D87C4C7" w14:textId="6F39D1D3" w:rsidR="00696B0E" w:rsidRPr="00475867" w:rsidRDefault="00DF6142"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i w:val="0"/>
        </w:rPr>
      </w:pPr>
      <w:r w:rsidRPr="00475867">
        <w:rPr>
          <w:rStyle w:val="Emphasis"/>
          <w:i w:val="0"/>
        </w:rPr>
        <w:t xml:space="preserve">Omar is keen to establish professional connections in the local community. They agree Omar’s roster will account for the forums and meetings he attends in his first three months of employment. They agree to review the RTP at that time. </w:t>
      </w:r>
    </w:p>
    <w:p w14:paraId="267DAF69" w14:textId="77777777" w:rsidR="00DE3245" w:rsidRPr="00DE3245" w:rsidRDefault="00DE3245" w:rsidP="00DE3245">
      <w:pPr>
        <w:pStyle w:val="Heading2"/>
        <w:rPr>
          <w:rFonts w:eastAsia="Times"/>
        </w:rPr>
      </w:pPr>
      <w:bookmarkStart w:id="25" w:name="_Toc229489756"/>
      <w:r w:rsidRPr="00DE3245">
        <w:rPr>
          <w:rFonts w:eastAsia="Times"/>
        </w:rPr>
        <w:lastRenderedPageBreak/>
        <w:t>Workplace team-based learning</w:t>
      </w:r>
      <w:bookmarkEnd w:id="25"/>
    </w:p>
    <w:p w14:paraId="3EBF217E" w14:textId="2E2FD365" w:rsidR="00DE3245" w:rsidRPr="00DE3245" w:rsidRDefault="00DE3245" w:rsidP="00DE3245">
      <w:pPr>
        <w:pStyle w:val="Body"/>
      </w:pPr>
      <w:r w:rsidRPr="00DE3245">
        <w:t>Workplace team-based learning helps to build or refresh returning practitioners’ skills and knowledge</w:t>
      </w:r>
      <w:r w:rsidR="00E231FB">
        <w:rPr>
          <w:rStyle w:val="FootnoteReference"/>
        </w:rPr>
        <w:footnoteReference w:id="10"/>
      </w:r>
      <w:r w:rsidRPr="00DE3245">
        <w:t>. This type of learning builds relationships, promotes collaboration</w:t>
      </w:r>
      <w:r w:rsidR="008904F9">
        <w:t>,</w:t>
      </w:r>
      <w:r w:rsidRPr="00DE3245">
        <w:t xml:space="preserve"> and fosters collective change and improvement. There are many types of team-based or peer learning, with some examples below. </w:t>
      </w:r>
    </w:p>
    <w:p w14:paraId="4574AA27" w14:textId="77777777" w:rsidR="00DE3245" w:rsidRPr="00DE3245" w:rsidRDefault="00DE3245" w:rsidP="00DE3245">
      <w:pPr>
        <w:pStyle w:val="Body"/>
      </w:pPr>
      <w:r w:rsidRPr="00671653">
        <w:rPr>
          <w:b/>
          <w:bCs/>
        </w:rPr>
        <w:t>Reflective practice sessions</w:t>
      </w:r>
      <w:r w:rsidRPr="00DE3245">
        <w:t xml:space="preserve"> are commonly utilised in the sector. They enable practitioners to benefit from each other’s practice wisdom and deepen their working relationships, while examining, reflecting, analysing and learning in a safe environment. As above, these sessions can be a very important tool to develop and maintain culturally safe practices. </w:t>
      </w:r>
    </w:p>
    <w:p w14:paraId="27B069AB" w14:textId="3A0D84BC" w:rsidR="00DE3245" w:rsidRPr="00DE3245" w:rsidRDefault="00DE3245" w:rsidP="00DE3245">
      <w:pPr>
        <w:pStyle w:val="Body"/>
      </w:pPr>
      <w:r w:rsidRPr="00671653">
        <w:rPr>
          <w:b/>
          <w:bCs/>
        </w:rPr>
        <w:t>Action learning sets</w:t>
      </w:r>
      <w:r w:rsidRPr="00DE3245">
        <w:t xml:space="preserve"> involve a small group of peers with different backgrounds and specialisations meeting regularly to solve specific work challenges. Participants take turns presenting a specific challenge. Their peers ask probing questions rather than providing advice, assisting the person to clarify the issue and find their own solution</w:t>
      </w:r>
      <w:r w:rsidR="004F6DAD">
        <w:rPr>
          <w:rStyle w:val="FootnoteReference"/>
        </w:rPr>
        <w:footnoteReference w:id="11"/>
      </w:r>
      <w:r w:rsidRPr="00DE3245">
        <w:t>.</w:t>
      </w:r>
    </w:p>
    <w:p w14:paraId="35D2943F" w14:textId="65101803" w:rsidR="00DE3245" w:rsidRPr="00DE3245" w:rsidRDefault="00DE3245" w:rsidP="00DE3245">
      <w:pPr>
        <w:pStyle w:val="Body"/>
      </w:pPr>
      <w:r w:rsidRPr="00671653">
        <w:rPr>
          <w:b/>
          <w:bCs/>
        </w:rPr>
        <w:t>Shared facilitation of practice development activities</w:t>
      </w:r>
      <w:r w:rsidR="00671653">
        <w:rPr>
          <w:b/>
          <w:bCs/>
        </w:rPr>
        <w:t xml:space="preserve"> </w:t>
      </w:r>
      <w:r w:rsidR="004F6DAD">
        <w:t>involves</w:t>
      </w:r>
      <w:r w:rsidRPr="00DE3245">
        <w:t xml:space="preserve"> </w:t>
      </w:r>
      <w:r w:rsidR="00671653">
        <w:t>t</w:t>
      </w:r>
      <w:r w:rsidRPr="00DE3245">
        <w:t>eam members shar</w:t>
      </w:r>
      <w:r w:rsidR="00671653">
        <w:t>ing</w:t>
      </w:r>
      <w:r w:rsidRPr="00DE3245">
        <w:t xml:space="preserve"> the facilitation role (sometimes with an external facilitator) in structured development initiatives aimed at strengthening practice. The team undertakes the activity in their own work context. Joint facilitation allows practitioners to bring diverse perspectives to the initiative and build collective capacity, collaboration and reflection</w:t>
      </w:r>
      <w:r w:rsidR="000310F3">
        <w:rPr>
          <w:rStyle w:val="FootnoteReference"/>
        </w:rPr>
        <w:footnoteReference w:id="12"/>
      </w:r>
      <w:r w:rsidRPr="00DE3245">
        <w:t>.</w:t>
      </w:r>
    </w:p>
    <w:p w14:paraId="6A8E0788" w14:textId="77777777" w:rsidR="00DE3245" w:rsidRPr="00DE3245" w:rsidRDefault="00DE3245" w:rsidP="00DE3245">
      <w:pPr>
        <w:pStyle w:val="Body"/>
      </w:pPr>
      <w:r w:rsidRPr="00DE3245">
        <w:t>Consider what is feasible and beneficial for the returning practitioner and other staff in the organisation. In addition to the above:</w:t>
      </w:r>
    </w:p>
    <w:p w14:paraId="65C3D3A8" w14:textId="77777777" w:rsidR="00DE3245" w:rsidRPr="00DE3245" w:rsidRDefault="00DE3245" w:rsidP="00DE3245">
      <w:pPr>
        <w:pStyle w:val="Bullet1"/>
      </w:pPr>
      <w:r w:rsidRPr="00DE3245">
        <w:t>Beyond their direct team, could the returning practitioner observe a few reflective practice sessions of other teams to build their understanding of the organisational context and foster collaboration?</w:t>
      </w:r>
    </w:p>
    <w:p w14:paraId="249BB969" w14:textId="77777777" w:rsidR="00DE3245" w:rsidRPr="00DE3245" w:rsidRDefault="00DE3245" w:rsidP="00DE3245">
      <w:pPr>
        <w:pStyle w:val="Bullet1"/>
      </w:pPr>
      <w:r w:rsidRPr="00DE3245">
        <w:t>Could small groups of colleagues establish regular meetings to discuss specific practice challenges as a form of peer supervision?</w:t>
      </w:r>
    </w:p>
    <w:p w14:paraId="6E2A6720" w14:textId="46D76DC6" w:rsidR="00DE3245" w:rsidRPr="00DE3245" w:rsidRDefault="00DE3245" w:rsidP="00DE3245">
      <w:pPr>
        <w:pStyle w:val="Bullet1"/>
      </w:pPr>
      <w:r w:rsidRPr="00DE3245">
        <w:t>Could the returning practitioner organise lunchtime learning sessions, a staff study circle or book club on a key topic of interest?</w:t>
      </w:r>
    </w:p>
    <w:p w14:paraId="6BC3182E" w14:textId="490E7922" w:rsidR="00DE3245" w:rsidRPr="00DE3245" w:rsidRDefault="00DE3245" w:rsidP="00DE3245">
      <w:pPr>
        <w:pStyle w:val="Heading2"/>
        <w:rPr>
          <w:rFonts w:eastAsia="Times"/>
        </w:rPr>
      </w:pPr>
      <w:bookmarkStart w:id="26" w:name="_Toc229489757"/>
      <w:r w:rsidRPr="00DE3245">
        <w:rPr>
          <w:rFonts w:eastAsia="Times"/>
        </w:rPr>
        <w:t>Formal training</w:t>
      </w:r>
      <w:bookmarkEnd w:id="26"/>
    </w:p>
    <w:p w14:paraId="368389BC" w14:textId="77777777" w:rsidR="00DE3245" w:rsidRPr="00DE3245" w:rsidRDefault="00DE3245" w:rsidP="00DE3245">
      <w:pPr>
        <w:pStyle w:val="Body"/>
      </w:pPr>
      <w:r w:rsidRPr="00DE3245">
        <w:t xml:space="preserve">Formal training for returning practitioners can take many forms, depending on the needs of the individual, role and organisation. Training may be internal or external to the organisation, delivered in person, online or in self-paced modules and vary in duration, intensity and level of difficulty. It may be a formal course, refresher program, workshop, webinar or event. </w:t>
      </w:r>
    </w:p>
    <w:p w14:paraId="6F47AFDC" w14:textId="24C17689" w:rsidR="00DE3245" w:rsidRPr="00DE3245" w:rsidRDefault="00DE3245" w:rsidP="00DE3245">
      <w:pPr>
        <w:pStyle w:val="Body"/>
      </w:pPr>
      <w:r w:rsidRPr="00DE3245">
        <w:t>As above, consider the needs and preferred learning styles of the returning practitioner to determine what will work best. Also consider:</w:t>
      </w:r>
    </w:p>
    <w:p w14:paraId="2C327E76" w14:textId="77777777" w:rsidR="00DE3245" w:rsidRPr="00DE3245" w:rsidRDefault="00DE3245" w:rsidP="00DE3245">
      <w:pPr>
        <w:pStyle w:val="Bullet1"/>
        <w:rPr>
          <w:lang w:val="en-US"/>
        </w:rPr>
      </w:pPr>
      <w:r w:rsidRPr="00DE3245">
        <w:rPr>
          <w:lang w:val="en-US"/>
        </w:rPr>
        <w:lastRenderedPageBreak/>
        <w:t xml:space="preserve">What training has the </w:t>
      </w:r>
      <w:proofErr w:type="spellStart"/>
      <w:r w:rsidRPr="00DE3245">
        <w:rPr>
          <w:lang w:val="en-US"/>
        </w:rPr>
        <w:t>organisation</w:t>
      </w:r>
      <w:proofErr w:type="spellEnd"/>
      <w:r w:rsidRPr="00DE3245">
        <w:rPr>
          <w:lang w:val="en-US"/>
        </w:rPr>
        <w:t xml:space="preserve"> recently delivered to all staff that the returning practitioner would also benefit from?</w:t>
      </w:r>
    </w:p>
    <w:p w14:paraId="282A524E" w14:textId="77777777" w:rsidR="00DE3245" w:rsidRPr="00DE3245" w:rsidRDefault="00DE3245" w:rsidP="00DE3245">
      <w:pPr>
        <w:pStyle w:val="Bullet1"/>
        <w:rPr>
          <w:lang w:val="en-US"/>
        </w:rPr>
      </w:pPr>
      <w:r w:rsidRPr="00DE3245">
        <w:rPr>
          <w:lang w:val="en-US"/>
        </w:rPr>
        <w:t>What free training, such as MARAM, is currently available through the Department of Families, Fairness and Housing funded programs and peak bodies?</w:t>
      </w:r>
    </w:p>
    <w:p w14:paraId="7AA44137" w14:textId="77777777" w:rsidR="00DE3245" w:rsidRPr="00DE3245" w:rsidRDefault="00DE3245" w:rsidP="00DE3245">
      <w:pPr>
        <w:pStyle w:val="Bullet1"/>
        <w:rPr>
          <w:lang w:val="en-US"/>
        </w:rPr>
      </w:pPr>
      <w:r w:rsidRPr="00DE3245">
        <w:rPr>
          <w:lang w:val="en-US"/>
        </w:rPr>
        <w:t xml:space="preserve">Is the practitioner more likely to engage </w:t>
      </w:r>
      <w:proofErr w:type="gramStart"/>
      <w:r w:rsidRPr="00DE3245">
        <w:rPr>
          <w:lang w:val="en-US"/>
        </w:rPr>
        <w:t>with</w:t>
      </w:r>
      <w:proofErr w:type="gramEnd"/>
      <w:r w:rsidRPr="00DE3245">
        <w:rPr>
          <w:lang w:val="en-US"/>
        </w:rPr>
        <w:t xml:space="preserve"> training that offers a certificate of completion or a credit towards a graduate-level course?</w:t>
      </w:r>
    </w:p>
    <w:p w14:paraId="539FA94B" w14:textId="63AA5047" w:rsidR="00DE3245" w:rsidRPr="00AD3139" w:rsidRDefault="00DE3245" w:rsidP="00DF6142">
      <w:pPr>
        <w:pStyle w:val="Bullet1"/>
        <w:rPr>
          <w:rStyle w:val="Emphasis"/>
          <w:i w:val="0"/>
          <w:iCs w:val="0"/>
          <w:lang w:val="en-US"/>
        </w:rPr>
      </w:pPr>
      <w:r w:rsidRPr="00DE3245">
        <w:rPr>
          <w:lang w:val="en-US"/>
        </w:rPr>
        <w:t>What opportunities exist to proactively access grant or other financial support for employee professional development?</w:t>
      </w:r>
    </w:p>
    <w:p w14:paraId="06050C78" w14:textId="51F38261" w:rsidR="00AD3139" w:rsidRPr="00AD3139" w:rsidRDefault="00AD3139" w:rsidP="00614B44">
      <w:pPr>
        <w:pStyle w:val="Heading3"/>
        <w:rPr>
          <w:rFonts w:eastAsia="Times"/>
          <w:b/>
        </w:rPr>
      </w:pPr>
      <w:r>
        <w:rPr>
          <w:rStyle w:val="Heading3Char"/>
        </w:rPr>
        <w:t>Qu</w:t>
      </w:r>
      <w:r w:rsidRPr="00AD3139">
        <w:rPr>
          <w:rStyle w:val="Heading3Char"/>
        </w:rPr>
        <w:t>estions when choosing an external training course:</w:t>
      </w:r>
    </w:p>
    <w:p w14:paraId="0ABC1D35" w14:textId="77777777" w:rsidR="00AD3139" w:rsidRPr="00AD3139" w:rsidRDefault="00AD3139" w:rsidP="00AD3139">
      <w:pPr>
        <w:pStyle w:val="Bullet1"/>
      </w:pPr>
      <w:r w:rsidRPr="00AD3139">
        <w:t>Does the training focus on development areas and outcomes that are a priority to the practitioner and organisation?</w:t>
      </w:r>
    </w:p>
    <w:p w14:paraId="6DB923E9" w14:textId="77777777" w:rsidR="00AD3139" w:rsidRPr="00AD3139" w:rsidRDefault="00AD3139" w:rsidP="00AD3139">
      <w:pPr>
        <w:pStyle w:val="Bullet1"/>
      </w:pPr>
      <w:r w:rsidRPr="00AD3139">
        <w:t>Does the training reflect Victorian based legislation and practice requirements?</w:t>
      </w:r>
    </w:p>
    <w:p w14:paraId="72A3A18B" w14:textId="77777777" w:rsidR="00AD3139" w:rsidRPr="00AD3139" w:rsidRDefault="00AD3139" w:rsidP="00AD3139">
      <w:pPr>
        <w:pStyle w:val="Bullet1"/>
      </w:pPr>
      <w:r w:rsidRPr="00AD3139">
        <w:t xml:space="preserve">Does the content acknowledge and build on practitioners’ existing skills and expertise? </w:t>
      </w:r>
    </w:p>
    <w:p w14:paraId="0A79541A" w14:textId="77777777" w:rsidR="00AD3139" w:rsidRPr="00AD3139" w:rsidRDefault="00AD3139" w:rsidP="00AD3139">
      <w:pPr>
        <w:pStyle w:val="Bullet1"/>
      </w:pPr>
      <w:r w:rsidRPr="00AD3139">
        <w:t>Is the format interactive? Does it encourage peer learning? Are there opportunities for hands-on learning?</w:t>
      </w:r>
    </w:p>
    <w:p w14:paraId="6B9C0DA2" w14:textId="77777777" w:rsidR="00AD3139" w:rsidRPr="00AD3139" w:rsidRDefault="00AD3139" w:rsidP="00AD3139">
      <w:pPr>
        <w:pStyle w:val="Bullet1"/>
      </w:pPr>
      <w:r w:rsidRPr="00AD3139">
        <w:t>How are practitioners supported to translate their learning into the workplace? Is follow-up available to promote the retention and implementation of learning?</w:t>
      </w:r>
    </w:p>
    <w:p w14:paraId="5CC3F5CA" w14:textId="77777777" w:rsidR="00AD3139" w:rsidRPr="00AD3139" w:rsidRDefault="00AD3139" w:rsidP="00AD3139">
      <w:pPr>
        <w:pStyle w:val="Bullet1"/>
      </w:pPr>
      <w:r w:rsidRPr="00AD3139">
        <w:t>Does the training utilise a range of learning methods?</w:t>
      </w:r>
    </w:p>
    <w:p w14:paraId="64B91CA0" w14:textId="77777777" w:rsidR="00AD3139" w:rsidRPr="00AD3139" w:rsidRDefault="00AD3139" w:rsidP="00AD3139">
      <w:pPr>
        <w:pStyle w:val="Bullet1"/>
      </w:pPr>
      <w:r w:rsidRPr="00AD3139">
        <w:t xml:space="preserve">If the training is delivered online, what supports are provided to participants? Is the returning practitioner confident using the required platform / apps and comfortable with self-directed learning? </w:t>
      </w:r>
    </w:p>
    <w:p w14:paraId="2C8C0297" w14:textId="77777777" w:rsidR="00AD3139" w:rsidRPr="00AD3139" w:rsidRDefault="00AD3139" w:rsidP="00AD3139">
      <w:pPr>
        <w:pStyle w:val="Bullet1"/>
      </w:pPr>
      <w:r w:rsidRPr="00AD3139">
        <w:t xml:space="preserve">Has the course been evaluated and did the evaluation look beyond participant satisfaction? Importantly, what practice or client outcomes were achieved? </w:t>
      </w:r>
    </w:p>
    <w:p w14:paraId="124C13E1" w14:textId="77777777" w:rsidR="00AD3139" w:rsidRPr="00AD3139" w:rsidRDefault="00AD3139" w:rsidP="00AD3139">
      <w:pPr>
        <w:pStyle w:val="Bullet1"/>
      </w:pPr>
      <w:r w:rsidRPr="00AD3139">
        <w:t xml:space="preserve">What feedback has the training received from community sector organisations or other returning practitioners? </w:t>
      </w:r>
    </w:p>
    <w:p w14:paraId="7577F1C3" w14:textId="77777777" w:rsidR="00D610EA" w:rsidRPr="00D610EA" w:rsidRDefault="00D610EA" w:rsidP="00D610EA">
      <w:pPr>
        <w:pStyle w:val="Heading2"/>
        <w:rPr>
          <w:rFonts w:eastAsia="Times"/>
        </w:rPr>
      </w:pPr>
      <w:bookmarkStart w:id="27" w:name="_Toc229489758"/>
      <w:r w:rsidRPr="00D610EA">
        <w:rPr>
          <w:rFonts w:eastAsia="Times"/>
        </w:rPr>
        <w:t>Sector connections</w:t>
      </w:r>
      <w:bookmarkEnd w:id="27"/>
    </w:p>
    <w:p w14:paraId="1582BAF5" w14:textId="77777777" w:rsidR="00D610EA" w:rsidRPr="00D610EA" w:rsidRDefault="00D610EA" w:rsidP="00D610EA">
      <w:pPr>
        <w:pStyle w:val="Body"/>
      </w:pPr>
      <w:r w:rsidRPr="00D610EA">
        <w:t xml:space="preserve">There are regular opportunities throughout the year for specialist family violence practitioners to learn and connect at sector forums, conferences and other events. </w:t>
      </w:r>
    </w:p>
    <w:p w14:paraId="534AF8E2" w14:textId="77777777" w:rsidR="00D610EA" w:rsidRPr="00D610EA" w:rsidRDefault="00D610EA" w:rsidP="00D610EA">
      <w:pPr>
        <w:pStyle w:val="Body"/>
      </w:pPr>
      <w:r w:rsidRPr="00D610EA">
        <w:rPr>
          <w:b/>
          <w:bCs/>
        </w:rPr>
        <w:t>Communities of Practice</w:t>
      </w:r>
      <w:r w:rsidRPr="00D610EA">
        <w:t xml:space="preserve"> offer a regular, low-cost avenue to expand knowledge on key topics, strengthen practice and build supportive relationships with a consistent group of peers. </w:t>
      </w:r>
    </w:p>
    <w:p w14:paraId="7E3AD28F" w14:textId="77777777" w:rsidR="00D610EA" w:rsidRPr="00D610EA" w:rsidRDefault="00D610EA" w:rsidP="00321EDA">
      <w:pPr>
        <w:pStyle w:val="Bullet1"/>
        <w:rPr>
          <w:lang w:val="en-US"/>
        </w:rPr>
      </w:pPr>
      <w:r w:rsidRPr="00D610EA">
        <w:rPr>
          <w:lang w:val="en-US"/>
        </w:rPr>
        <w:t xml:space="preserve">What upcoming sector events could the returning practitioner attend that would address their learning needs </w:t>
      </w:r>
      <w:proofErr w:type="gramStart"/>
      <w:r w:rsidRPr="00D610EA">
        <w:rPr>
          <w:lang w:val="en-US"/>
        </w:rPr>
        <w:t>and also</w:t>
      </w:r>
      <w:proofErr w:type="gramEnd"/>
      <w:r w:rsidRPr="00D610EA">
        <w:rPr>
          <w:lang w:val="en-US"/>
        </w:rPr>
        <w:t xml:space="preserve"> benefit the </w:t>
      </w:r>
      <w:proofErr w:type="spellStart"/>
      <w:r w:rsidRPr="00D610EA">
        <w:rPr>
          <w:lang w:val="en-US"/>
        </w:rPr>
        <w:t>organisation</w:t>
      </w:r>
      <w:proofErr w:type="spellEnd"/>
      <w:r w:rsidRPr="00D610EA">
        <w:rPr>
          <w:lang w:val="en-US"/>
        </w:rPr>
        <w:t xml:space="preserve">? </w:t>
      </w:r>
    </w:p>
    <w:p w14:paraId="31ACBDB3" w14:textId="77777777" w:rsidR="00D610EA" w:rsidRPr="00D610EA" w:rsidRDefault="00D610EA" w:rsidP="00321EDA">
      <w:pPr>
        <w:pStyle w:val="Bullet1"/>
        <w:rPr>
          <w:lang w:val="en-US"/>
        </w:rPr>
      </w:pPr>
      <w:r w:rsidRPr="00D610EA">
        <w:rPr>
          <w:lang w:val="en-US"/>
        </w:rPr>
        <w:t>Is there a Community of Practice currently operating on a topic directly relevant to the practitioner’s learning needs?</w:t>
      </w:r>
    </w:p>
    <w:p w14:paraId="4AF63858" w14:textId="77777777" w:rsidR="00D610EA" w:rsidRPr="00D610EA" w:rsidRDefault="00D610EA" w:rsidP="00321EDA">
      <w:pPr>
        <w:pStyle w:val="Bullet1"/>
        <w:rPr>
          <w:lang w:val="en-US"/>
        </w:rPr>
      </w:pPr>
      <w:r w:rsidRPr="00D610EA">
        <w:rPr>
          <w:lang w:val="en-US"/>
        </w:rPr>
        <w:t>Is there a Community of Practice specifically for returning specialist family violence response practitioners that they could join?</w:t>
      </w:r>
    </w:p>
    <w:p w14:paraId="62DC6A46" w14:textId="77777777" w:rsidR="00D610EA" w:rsidRDefault="00D610EA" w:rsidP="00321EDA">
      <w:pPr>
        <w:pStyle w:val="Bullet1"/>
        <w:rPr>
          <w:lang w:val="en-US"/>
        </w:rPr>
      </w:pPr>
      <w:r w:rsidRPr="00D610EA">
        <w:rPr>
          <w:lang w:val="en-US"/>
        </w:rPr>
        <w:t xml:space="preserve">If not, could your </w:t>
      </w:r>
      <w:proofErr w:type="spellStart"/>
      <w:r w:rsidRPr="00D610EA">
        <w:rPr>
          <w:lang w:val="en-US"/>
        </w:rPr>
        <w:t>organisation</w:t>
      </w:r>
      <w:proofErr w:type="spellEnd"/>
      <w:r w:rsidRPr="00D610EA">
        <w:rPr>
          <w:lang w:val="en-US"/>
        </w:rPr>
        <w:t xml:space="preserve"> establish one and invite </w:t>
      </w:r>
      <w:proofErr w:type="spellStart"/>
      <w:r w:rsidRPr="00D610EA">
        <w:rPr>
          <w:lang w:val="en-US"/>
        </w:rPr>
        <w:t>organisations</w:t>
      </w:r>
      <w:proofErr w:type="spellEnd"/>
      <w:r w:rsidRPr="00D610EA">
        <w:rPr>
          <w:lang w:val="en-US"/>
        </w:rPr>
        <w:t xml:space="preserve"> with which you want to develop strategic partnerships?</w:t>
      </w:r>
    </w:p>
    <w:p w14:paraId="6C1D6125" w14:textId="43F3CD80" w:rsidR="005152FC" w:rsidRDefault="005152FC">
      <w:pPr>
        <w:spacing w:after="0" w:line="240" w:lineRule="auto"/>
        <w:rPr>
          <w:rFonts w:eastAsia="Times"/>
          <w:lang w:val="en-US"/>
        </w:rPr>
      </w:pPr>
      <w:r>
        <w:rPr>
          <w:lang w:val="en-US"/>
        </w:rPr>
        <w:br w:type="page"/>
      </w:r>
    </w:p>
    <w:p w14:paraId="5300433E" w14:textId="3993FB20" w:rsidR="004F65FC" w:rsidRPr="00C81075" w:rsidRDefault="004F65FC"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b/>
          <w:bCs/>
          <w:i w:val="0"/>
        </w:rPr>
      </w:pPr>
      <w:r w:rsidRPr="00C81075">
        <w:rPr>
          <w:rStyle w:val="Emphasis"/>
          <w:b/>
          <w:bCs/>
          <w:i w:val="0"/>
        </w:rPr>
        <w:lastRenderedPageBreak/>
        <w:t>Case study 4: Kylie and Yvonne</w:t>
      </w:r>
    </w:p>
    <w:p w14:paraId="4C2082C8" w14:textId="77777777" w:rsidR="004F65FC" w:rsidRPr="00475867" w:rsidRDefault="004F65FC"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i w:val="0"/>
        </w:rPr>
      </w:pPr>
      <w:r w:rsidRPr="00475867">
        <w:rPr>
          <w:rStyle w:val="Emphasis"/>
          <w:i w:val="0"/>
        </w:rPr>
        <w:t>Kylie worked in Aboriginal family violence services for eight years before taking two years’ leave in 2024 for personal reasons. She is now returning to practice in a part-time role.</w:t>
      </w:r>
    </w:p>
    <w:p w14:paraId="164603A8" w14:textId="77777777" w:rsidR="004F65FC" w:rsidRPr="00475867" w:rsidRDefault="004F65FC"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i w:val="0"/>
        </w:rPr>
      </w:pPr>
      <w:r w:rsidRPr="00475867">
        <w:rPr>
          <w:rStyle w:val="Emphasis"/>
          <w:i w:val="0"/>
        </w:rPr>
        <w:t xml:space="preserve">Kylie’s new employer provides a week-long orientation for all new staff, which includes dedicated time with each department. As a returning practitioner, Kylie and her manager Yvonne agree she will also undertake refresher comprehensive MARAM training working with people experiencing family violence and the newer MARAM comprehensive training working with people using family violence. They agree Kylie will also attend an upcoming sector forum as part of her RTP agreement. </w:t>
      </w:r>
    </w:p>
    <w:p w14:paraId="035A507F" w14:textId="5AB99C5B" w:rsidR="004F65FC" w:rsidRPr="00475867" w:rsidRDefault="004F65FC"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i w:val="0"/>
        </w:rPr>
      </w:pPr>
      <w:r w:rsidRPr="00475867">
        <w:rPr>
          <w:rStyle w:val="Emphasis"/>
          <w:i w:val="0"/>
        </w:rPr>
        <w:t xml:space="preserve">Kylie is excited to hear sector updates and reconnect with past colleagues at the forum. She offers to share her reflections of the event at an all-staff meeting and this becomes another activity in her RTP agreement. </w:t>
      </w:r>
    </w:p>
    <w:p w14:paraId="27C855D7" w14:textId="5555F464" w:rsidR="004F65FC" w:rsidRPr="00475867" w:rsidRDefault="004F65FC"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i w:val="0"/>
        </w:rPr>
      </w:pPr>
      <w:r w:rsidRPr="00475867">
        <w:rPr>
          <w:rStyle w:val="Emphasis"/>
          <w:i w:val="0"/>
        </w:rPr>
        <w:t xml:space="preserve">4 months later, Kylie and Yvonne review the RTP agreement. Kylie has completed the required MARAM training and shared her insights from the forum. She feels more confident in her practice. More broadly, her collaboration with other departments has led to greater information sharing between those areas and Yvonne’s team. </w:t>
      </w:r>
    </w:p>
    <w:p w14:paraId="470DB37D" w14:textId="4B91F39E" w:rsidR="00AD3139" w:rsidRPr="00475867" w:rsidRDefault="004F65FC" w:rsidP="00C81075">
      <w:pPr>
        <w:pStyle w:val="Quotetext"/>
        <w:pBdr>
          <w:top w:val="single" w:sz="36" w:space="1" w:color="DCCDE4"/>
          <w:left w:val="single" w:sz="36" w:space="4" w:color="DCCDE4"/>
          <w:bottom w:val="single" w:sz="36" w:space="1" w:color="DCCDE4"/>
          <w:right w:val="single" w:sz="36" w:space="4" w:color="DCCDE4"/>
        </w:pBdr>
        <w:shd w:val="clear" w:color="auto" w:fill="DCCDE4"/>
        <w:rPr>
          <w:rStyle w:val="Emphasis"/>
          <w:i w:val="0"/>
        </w:rPr>
      </w:pPr>
      <w:r w:rsidRPr="00475867">
        <w:rPr>
          <w:rStyle w:val="Emphasis"/>
          <w:i w:val="0"/>
        </w:rPr>
        <w:t>Kylie and Yvonne close off the RTP agreement and both comment that the RTP process was beneficial. Yvonne decides to utilise aspects of the process in the wider team’s professional development planning.</w:t>
      </w:r>
    </w:p>
    <w:p w14:paraId="2551F1A2" w14:textId="0DA3A986" w:rsidR="004F65FC" w:rsidRDefault="000C0DB6" w:rsidP="000C0DB6">
      <w:pPr>
        <w:pStyle w:val="Heading1"/>
        <w:rPr>
          <w:rStyle w:val="Emphasis"/>
          <w:i w:val="0"/>
          <w:iCs w:val="0"/>
        </w:rPr>
      </w:pPr>
      <w:bookmarkStart w:id="28" w:name="_Toc229489759"/>
      <w:r>
        <w:rPr>
          <w:rStyle w:val="Emphasis"/>
          <w:i w:val="0"/>
          <w:iCs w:val="0"/>
        </w:rPr>
        <w:t>Further reading</w:t>
      </w:r>
      <w:bookmarkEnd w:id="28"/>
    </w:p>
    <w:p w14:paraId="5E88343F" w14:textId="14957B29" w:rsidR="00684A16" w:rsidRDefault="00684A16" w:rsidP="00684A16">
      <w:pPr>
        <w:pStyle w:val="Heading2"/>
        <w:rPr>
          <w:rFonts w:eastAsia="Times"/>
        </w:rPr>
      </w:pPr>
      <w:bookmarkStart w:id="29" w:name="_Toc229489760"/>
      <w:r>
        <w:rPr>
          <w:rFonts w:eastAsia="Times"/>
        </w:rPr>
        <w:t>Key resources</w:t>
      </w:r>
      <w:bookmarkEnd w:id="29"/>
      <w:r>
        <w:rPr>
          <w:rFonts w:eastAsia="Times"/>
        </w:rPr>
        <w:t xml:space="preserve"> </w:t>
      </w:r>
    </w:p>
    <w:p w14:paraId="1043AF09" w14:textId="00CA649A" w:rsidR="00684A16" w:rsidRPr="00684A16" w:rsidRDefault="00684A16" w:rsidP="00684A16">
      <w:pPr>
        <w:pStyle w:val="Body"/>
      </w:pPr>
      <w:r w:rsidRPr="00684A16">
        <w:t xml:space="preserve">Department of Families, Fairness and Housing. (2026). </w:t>
      </w:r>
      <w:r w:rsidRPr="00684A16">
        <w:rPr>
          <w:i/>
          <w:iCs/>
        </w:rPr>
        <w:t>Mandatory Minimum Qualifications Policy.</w:t>
      </w:r>
      <w:r w:rsidRPr="00684A16">
        <w:t xml:space="preserve"> </w:t>
      </w:r>
    </w:p>
    <w:p w14:paraId="0F9EA452" w14:textId="77777777" w:rsidR="00684A16" w:rsidRPr="00684A16" w:rsidRDefault="00684A16" w:rsidP="00684A16">
      <w:pPr>
        <w:pStyle w:val="Body"/>
      </w:pPr>
      <w:r w:rsidRPr="00684A16">
        <w:t xml:space="preserve">Department of Families, Fairness and Housing (2025). </w:t>
      </w:r>
      <w:r w:rsidRPr="00684A16">
        <w:rPr>
          <w:i/>
          <w:iCs/>
        </w:rPr>
        <w:t>Responding to Family Violence Capability Framework</w:t>
      </w:r>
      <w:r w:rsidRPr="00684A16">
        <w:t>. State of Victoria, Australia.</w:t>
      </w:r>
    </w:p>
    <w:p w14:paraId="54128C2B" w14:textId="77777777" w:rsidR="00684A16" w:rsidRPr="00684A16" w:rsidRDefault="00684A16" w:rsidP="00684A16">
      <w:pPr>
        <w:pStyle w:val="Body"/>
      </w:pPr>
      <w:r w:rsidRPr="00684A16">
        <w:t xml:space="preserve">Department of Families, Fairness and Housing (2024). </w:t>
      </w:r>
      <w:r w:rsidRPr="00684A16">
        <w:rPr>
          <w:i/>
          <w:iCs/>
        </w:rPr>
        <w:t xml:space="preserve">Best Practice Supervision Guidelines: Family violence, sexual assault and child wellbeing. </w:t>
      </w:r>
      <w:r w:rsidRPr="00684A16">
        <w:t>State of Victoria, Australia.</w:t>
      </w:r>
    </w:p>
    <w:p w14:paraId="6698382B" w14:textId="77777777" w:rsidR="00684A16" w:rsidRPr="00684A16" w:rsidRDefault="00684A16" w:rsidP="00684A16">
      <w:pPr>
        <w:pStyle w:val="Body"/>
      </w:pPr>
      <w:r w:rsidRPr="00684A16">
        <w:t>Domestic Violence Victoria (2020</w:t>
      </w:r>
      <w:r w:rsidRPr="00684A16">
        <w:rPr>
          <w:i/>
          <w:iCs/>
        </w:rPr>
        <w:t>). Code of Practice: Principles and Standards for Specialist Family Violence Services for Victim survivors</w:t>
      </w:r>
      <w:r w:rsidRPr="00684A16">
        <w:t>. 2nd Edition. Melbourne: DV Vic.</w:t>
      </w:r>
    </w:p>
    <w:p w14:paraId="78AFAEB2" w14:textId="77777777" w:rsidR="00684A16" w:rsidRPr="00684A16" w:rsidRDefault="00684A16" w:rsidP="00684A16">
      <w:pPr>
        <w:pStyle w:val="Body"/>
      </w:pPr>
      <w:r w:rsidRPr="00684A16">
        <w:t xml:space="preserve">Family Safety Victoria. (2022). </w:t>
      </w:r>
      <w:r w:rsidRPr="00684A16">
        <w:rPr>
          <w:i/>
          <w:iCs/>
        </w:rPr>
        <w:t>Family Violence Case Management Program Requirements</w:t>
      </w:r>
      <w:r w:rsidRPr="00684A16">
        <w:t>.</w:t>
      </w:r>
      <w:r w:rsidRPr="00684A16">
        <w:rPr>
          <w:i/>
          <w:iCs/>
        </w:rPr>
        <w:t xml:space="preserve"> </w:t>
      </w:r>
      <w:r w:rsidRPr="00684A16">
        <w:t>State of Victoria, Australia.</w:t>
      </w:r>
    </w:p>
    <w:p w14:paraId="06CDE425" w14:textId="77777777" w:rsidR="00684A16" w:rsidRDefault="00684A16" w:rsidP="00684A16">
      <w:pPr>
        <w:pStyle w:val="Body"/>
      </w:pPr>
      <w:r w:rsidRPr="00684A16">
        <w:t xml:space="preserve">Family Safety Victoria. (2018). </w:t>
      </w:r>
      <w:r w:rsidRPr="00684A16">
        <w:rPr>
          <w:i/>
          <w:iCs/>
        </w:rPr>
        <w:t xml:space="preserve">The Family Violence Multi-Agency Risk Assessment and Management Framework. </w:t>
      </w:r>
      <w:r w:rsidRPr="00684A16">
        <w:t>State of Victoria, Australia.</w:t>
      </w:r>
    </w:p>
    <w:p w14:paraId="0AF20BE8" w14:textId="77777777" w:rsidR="00684A16" w:rsidRPr="00684A16" w:rsidRDefault="00684A16" w:rsidP="00684A16">
      <w:pPr>
        <w:pStyle w:val="Body"/>
      </w:pPr>
    </w:p>
    <w:p w14:paraId="02AA9820" w14:textId="77777777" w:rsidR="006777F0" w:rsidRDefault="006777F0" w:rsidP="00596644">
      <w:pPr>
        <w:pStyle w:val="Heading1"/>
        <w:sectPr w:rsidR="006777F0" w:rsidSect="00F15144">
          <w:headerReference w:type="even" r:id="rId21"/>
          <w:headerReference w:type="default" r:id="rId22"/>
          <w:footerReference w:type="even" r:id="rId23"/>
          <w:footerReference w:type="default" r:id="rId24"/>
          <w:pgSz w:w="11906" w:h="16838" w:code="9"/>
          <w:pgMar w:top="1418" w:right="1304" w:bottom="851" w:left="1304" w:header="680" w:footer="567" w:gutter="0"/>
          <w:cols w:space="340"/>
          <w:docGrid w:linePitch="360"/>
        </w:sectPr>
      </w:pPr>
    </w:p>
    <w:p w14:paraId="0835AD6B" w14:textId="45045640" w:rsidR="00684A16" w:rsidRDefault="006777F0" w:rsidP="00596644">
      <w:pPr>
        <w:pStyle w:val="Heading1"/>
      </w:pPr>
      <w:bookmarkStart w:id="30" w:name="_Return_to_Practice"/>
      <w:bookmarkStart w:id="31" w:name="_Toc229489761"/>
      <w:bookmarkEnd w:id="30"/>
      <w:r>
        <w:lastRenderedPageBreak/>
        <w:t>Return to Practice Agreement Template</w:t>
      </w:r>
      <w:bookmarkEnd w:id="31"/>
    </w:p>
    <w:p w14:paraId="0CCA0CF6" w14:textId="77777777" w:rsidR="00B37B8B" w:rsidRPr="00B37B8B" w:rsidRDefault="00B37B8B" w:rsidP="00B37B8B">
      <w:pPr>
        <w:pStyle w:val="Body"/>
        <w:rPr>
          <w:u w:val="single"/>
        </w:rPr>
      </w:pPr>
      <w:r w:rsidRPr="00B37B8B">
        <w:t xml:space="preserve">Practitioner name: </w:t>
      </w:r>
      <w:r w:rsidRPr="00B37B8B">
        <w:rPr>
          <w:u w:val="single"/>
        </w:rPr>
        <w:tab/>
      </w:r>
      <w:r w:rsidRPr="00B37B8B">
        <w:rPr>
          <w:u w:val="single"/>
        </w:rPr>
        <w:tab/>
      </w:r>
      <w:r w:rsidRPr="00B37B8B">
        <w:rPr>
          <w:u w:val="single"/>
        </w:rPr>
        <w:tab/>
      </w:r>
      <w:r w:rsidRPr="00B37B8B">
        <w:rPr>
          <w:u w:val="single"/>
        </w:rPr>
        <w:tab/>
      </w:r>
      <w:r w:rsidRPr="00B37B8B">
        <w:rPr>
          <w:u w:val="single"/>
        </w:rPr>
        <w:tab/>
      </w:r>
      <w:r w:rsidRPr="00B37B8B">
        <w:rPr>
          <w:u w:val="single"/>
        </w:rPr>
        <w:tab/>
      </w:r>
      <w:r w:rsidRPr="00B37B8B">
        <w:rPr>
          <w:u w:val="single"/>
        </w:rPr>
        <w:tab/>
      </w:r>
      <w:r w:rsidRPr="00B37B8B">
        <w:t xml:space="preserve"> </w:t>
      </w:r>
      <w:r w:rsidRPr="00B37B8B">
        <w:tab/>
      </w:r>
      <w:r w:rsidRPr="00B37B8B">
        <w:tab/>
      </w:r>
    </w:p>
    <w:p w14:paraId="3E5FF649" w14:textId="77777777" w:rsidR="00B37B8B" w:rsidRPr="00B37B8B" w:rsidRDefault="00B37B8B" w:rsidP="00B37B8B">
      <w:pPr>
        <w:pStyle w:val="Body"/>
        <w:rPr>
          <w:u w:val="single"/>
        </w:rPr>
      </w:pPr>
      <w:r w:rsidRPr="00B37B8B">
        <w:t xml:space="preserve">Role: </w:t>
      </w:r>
      <w:r w:rsidRPr="00B37B8B">
        <w:rPr>
          <w:u w:val="single"/>
        </w:rPr>
        <w:tab/>
      </w:r>
      <w:r w:rsidRPr="00B37B8B">
        <w:rPr>
          <w:u w:val="single"/>
        </w:rPr>
        <w:tab/>
      </w:r>
      <w:r w:rsidRPr="00B37B8B">
        <w:rPr>
          <w:u w:val="single"/>
        </w:rPr>
        <w:tab/>
      </w:r>
      <w:r w:rsidRPr="00B37B8B">
        <w:rPr>
          <w:u w:val="single"/>
        </w:rPr>
        <w:tab/>
      </w:r>
      <w:r w:rsidRPr="00B37B8B">
        <w:rPr>
          <w:u w:val="single"/>
        </w:rPr>
        <w:tab/>
      </w:r>
      <w:r w:rsidRPr="00B37B8B">
        <w:rPr>
          <w:u w:val="single"/>
        </w:rPr>
        <w:tab/>
      </w:r>
      <w:r w:rsidRPr="00B37B8B">
        <w:rPr>
          <w:u w:val="single"/>
        </w:rPr>
        <w:tab/>
      </w:r>
      <w:r w:rsidRPr="00B37B8B">
        <w:rPr>
          <w:u w:val="single"/>
        </w:rPr>
        <w:tab/>
      </w:r>
      <w:r w:rsidRPr="00B37B8B">
        <w:rPr>
          <w:u w:val="single"/>
        </w:rPr>
        <w:tab/>
      </w:r>
      <w:r w:rsidRPr="00B37B8B">
        <w:tab/>
      </w:r>
      <w:r w:rsidRPr="00B37B8B">
        <w:tab/>
      </w:r>
    </w:p>
    <w:p w14:paraId="02781BDA" w14:textId="77777777" w:rsidR="00B37B8B" w:rsidRPr="00B37B8B" w:rsidRDefault="00B37B8B" w:rsidP="00B37B8B">
      <w:pPr>
        <w:pStyle w:val="Body"/>
      </w:pPr>
    </w:p>
    <w:tbl>
      <w:tblPr>
        <w:tblStyle w:val="TableGrid"/>
        <w:tblW w:w="14601" w:type="dxa"/>
        <w:tblLook w:val="04A0" w:firstRow="1" w:lastRow="0" w:firstColumn="1" w:lastColumn="0" w:noHBand="0" w:noVBand="1"/>
      </w:tblPr>
      <w:tblGrid>
        <w:gridCol w:w="4537"/>
        <w:gridCol w:w="5103"/>
        <w:gridCol w:w="4961"/>
      </w:tblGrid>
      <w:tr w:rsidR="00614B44" w:rsidRPr="00C15FB0" w14:paraId="480D9CD5" w14:textId="77777777" w:rsidTr="00C15FB0">
        <w:trPr>
          <w:trHeight w:val="490"/>
        </w:trPr>
        <w:tc>
          <w:tcPr>
            <w:tcW w:w="4537" w:type="dxa"/>
            <w:hideMark/>
          </w:tcPr>
          <w:p w14:paraId="2E2ED7EA" w14:textId="77777777" w:rsidR="00C15FB0" w:rsidRPr="00C15FB0" w:rsidRDefault="00C15FB0" w:rsidP="00C15FB0">
            <w:pPr>
              <w:pStyle w:val="Tablecolhead"/>
              <w:shd w:val="clear" w:color="auto" w:fill="FFFFFF" w:themeFill="background1"/>
              <w:rPr>
                <w:rFonts w:eastAsia="Times"/>
                <w:lang w:val="en-US"/>
              </w:rPr>
            </w:pPr>
            <w:r w:rsidRPr="00C15FB0">
              <w:rPr>
                <w:rFonts w:eastAsia="Times"/>
                <w:lang w:val="en-US"/>
              </w:rPr>
              <w:t xml:space="preserve">Practitioner’s key learning needs </w:t>
            </w:r>
          </w:p>
        </w:tc>
        <w:tc>
          <w:tcPr>
            <w:tcW w:w="5103" w:type="dxa"/>
            <w:hideMark/>
          </w:tcPr>
          <w:p w14:paraId="561DEAB9" w14:textId="77777777" w:rsidR="00C15FB0" w:rsidRPr="00C15FB0" w:rsidRDefault="00C15FB0" w:rsidP="00C15FB0">
            <w:pPr>
              <w:pStyle w:val="Tablecolhead"/>
              <w:shd w:val="clear" w:color="auto" w:fill="FFFFFF" w:themeFill="background1"/>
              <w:rPr>
                <w:rFonts w:eastAsia="Times"/>
                <w:lang w:val="en-US"/>
              </w:rPr>
            </w:pPr>
            <w:r w:rsidRPr="00C15FB0">
              <w:rPr>
                <w:rFonts w:eastAsia="Times"/>
                <w:lang w:val="en-US"/>
              </w:rPr>
              <w:t>Upskilling activities to address key needs</w:t>
            </w:r>
          </w:p>
        </w:tc>
        <w:tc>
          <w:tcPr>
            <w:tcW w:w="4961" w:type="dxa"/>
            <w:hideMark/>
          </w:tcPr>
          <w:p w14:paraId="54C29652" w14:textId="77777777" w:rsidR="00C15FB0" w:rsidRPr="00C15FB0" w:rsidRDefault="00C15FB0" w:rsidP="00C15FB0">
            <w:pPr>
              <w:pStyle w:val="Tablecolhead"/>
              <w:shd w:val="clear" w:color="auto" w:fill="FFFFFF" w:themeFill="background1"/>
              <w:rPr>
                <w:rFonts w:eastAsia="Times"/>
                <w:lang w:val="en-US"/>
              </w:rPr>
            </w:pPr>
            <w:r w:rsidRPr="00C15FB0">
              <w:rPr>
                <w:rFonts w:eastAsia="Times"/>
                <w:lang w:val="en-US"/>
              </w:rPr>
              <w:t>When and how activities will be undertaken</w:t>
            </w:r>
          </w:p>
        </w:tc>
      </w:tr>
      <w:tr w:rsidR="00614B44" w:rsidRPr="00C15FB0" w14:paraId="378A190B" w14:textId="77777777" w:rsidTr="00C15FB0">
        <w:trPr>
          <w:trHeight w:val="74"/>
        </w:trPr>
        <w:tc>
          <w:tcPr>
            <w:tcW w:w="4537" w:type="dxa"/>
          </w:tcPr>
          <w:p w14:paraId="2360D849" w14:textId="77777777" w:rsidR="00C15FB0" w:rsidRPr="00C15FB0" w:rsidRDefault="00C15FB0" w:rsidP="00C15FB0">
            <w:pPr>
              <w:pStyle w:val="Tabletext"/>
            </w:pPr>
          </w:p>
        </w:tc>
        <w:tc>
          <w:tcPr>
            <w:tcW w:w="5103" w:type="dxa"/>
          </w:tcPr>
          <w:p w14:paraId="55561EC4" w14:textId="77777777" w:rsidR="00C15FB0" w:rsidRPr="00C15FB0" w:rsidRDefault="00C15FB0" w:rsidP="00C15FB0">
            <w:pPr>
              <w:pStyle w:val="Tabletext"/>
            </w:pPr>
          </w:p>
        </w:tc>
        <w:tc>
          <w:tcPr>
            <w:tcW w:w="4961" w:type="dxa"/>
          </w:tcPr>
          <w:p w14:paraId="63E73286" w14:textId="77777777" w:rsidR="00C15FB0" w:rsidRPr="00C15FB0" w:rsidRDefault="00C15FB0" w:rsidP="00C15FB0">
            <w:pPr>
              <w:pStyle w:val="Tabletext"/>
            </w:pPr>
          </w:p>
        </w:tc>
      </w:tr>
      <w:tr w:rsidR="00614B44" w:rsidRPr="00C15FB0" w14:paraId="0175B9DE" w14:textId="77777777" w:rsidTr="00C15FB0">
        <w:trPr>
          <w:trHeight w:val="56"/>
        </w:trPr>
        <w:tc>
          <w:tcPr>
            <w:tcW w:w="4537" w:type="dxa"/>
          </w:tcPr>
          <w:p w14:paraId="47EF9715" w14:textId="77777777" w:rsidR="00C15FB0" w:rsidRPr="00C15FB0" w:rsidRDefault="00C15FB0" w:rsidP="00C15FB0">
            <w:pPr>
              <w:pStyle w:val="Tabletext"/>
            </w:pPr>
          </w:p>
        </w:tc>
        <w:tc>
          <w:tcPr>
            <w:tcW w:w="5103" w:type="dxa"/>
          </w:tcPr>
          <w:p w14:paraId="4D83E389" w14:textId="77777777" w:rsidR="00C15FB0" w:rsidRPr="00C15FB0" w:rsidRDefault="00C15FB0" w:rsidP="00C15FB0">
            <w:pPr>
              <w:pStyle w:val="Tabletext"/>
            </w:pPr>
          </w:p>
        </w:tc>
        <w:tc>
          <w:tcPr>
            <w:tcW w:w="4961" w:type="dxa"/>
          </w:tcPr>
          <w:p w14:paraId="57BCCF9E" w14:textId="77777777" w:rsidR="00C15FB0" w:rsidRPr="00C15FB0" w:rsidRDefault="00C15FB0" w:rsidP="00C15FB0">
            <w:pPr>
              <w:pStyle w:val="Tabletext"/>
            </w:pPr>
          </w:p>
        </w:tc>
      </w:tr>
      <w:tr w:rsidR="00614B44" w:rsidRPr="00C15FB0" w14:paraId="2E14ECD7" w14:textId="77777777" w:rsidTr="00C15FB0">
        <w:trPr>
          <w:trHeight w:val="56"/>
        </w:trPr>
        <w:tc>
          <w:tcPr>
            <w:tcW w:w="4537" w:type="dxa"/>
          </w:tcPr>
          <w:p w14:paraId="1C68287B" w14:textId="77777777" w:rsidR="00C15FB0" w:rsidRPr="00C15FB0" w:rsidRDefault="00C15FB0" w:rsidP="00C15FB0">
            <w:pPr>
              <w:pStyle w:val="Tabletext"/>
            </w:pPr>
          </w:p>
        </w:tc>
        <w:tc>
          <w:tcPr>
            <w:tcW w:w="5103" w:type="dxa"/>
          </w:tcPr>
          <w:p w14:paraId="62E5BE50" w14:textId="77777777" w:rsidR="00C15FB0" w:rsidRPr="00C15FB0" w:rsidRDefault="00C15FB0" w:rsidP="00C15FB0">
            <w:pPr>
              <w:pStyle w:val="Tabletext"/>
            </w:pPr>
          </w:p>
        </w:tc>
        <w:tc>
          <w:tcPr>
            <w:tcW w:w="4961" w:type="dxa"/>
          </w:tcPr>
          <w:p w14:paraId="22C30148" w14:textId="77777777" w:rsidR="00C15FB0" w:rsidRPr="00C15FB0" w:rsidRDefault="00C15FB0" w:rsidP="00C15FB0">
            <w:pPr>
              <w:pStyle w:val="Tabletext"/>
            </w:pPr>
          </w:p>
        </w:tc>
      </w:tr>
      <w:tr w:rsidR="00614B44" w:rsidRPr="00C15FB0" w14:paraId="433E699F" w14:textId="77777777" w:rsidTr="00C15FB0">
        <w:trPr>
          <w:trHeight w:val="56"/>
        </w:trPr>
        <w:tc>
          <w:tcPr>
            <w:tcW w:w="4537" w:type="dxa"/>
          </w:tcPr>
          <w:p w14:paraId="73CECB18" w14:textId="77777777" w:rsidR="00C15FB0" w:rsidRPr="00C15FB0" w:rsidRDefault="00C15FB0" w:rsidP="00C15FB0">
            <w:pPr>
              <w:pStyle w:val="Tabletext"/>
            </w:pPr>
          </w:p>
        </w:tc>
        <w:tc>
          <w:tcPr>
            <w:tcW w:w="5103" w:type="dxa"/>
          </w:tcPr>
          <w:p w14:paraId="5F525380" w14:textId="77777777" w:rsidR="00C15FB0" w:rsidRPr="00C15FB0" w:rsidRDefault="00C15FB0" w:rsidP="00C15FB0">
            <w:pPr>
              <w:pStyle w:val="Tabletext"/>
            </w:pPr>
          </w:p>
        </w:tc>
        <w:tc>
          <w:tcPr>
            <w:tcW w:w="4961" w:type="dxa"/>
          </w:tcPr>
          <w:p w14:paraId="745A3209" w14:textId="77777777" w:rsidR="00C15FB0" w:rsidRPr="00C15FB0" w:rsidRDefault="00C15FB0" w:rsidP="00C15FB0">
            <w:pPr>
              <w:pStyle w:val="Tabletext"/>
            </w:pPr>
          </w:p>
        </w:tc>
      </w:tr>
    </w:tbl>
    <w:p w14:paraId="4C66D765" w14:textId="77777777" w:rsidR="00C15FB0" w:rsidRPr="00C15FB0" w:rsidRDefault="00C15FB0" w:rsidP="00C15FB0">
      <w:pPr>
        <w:pStyle w:val="Body"/>
        <w:shd w:val="clear" w:color="auto" w:fill="FFFFFF" w:themeFill="background1"/>
      </w:pPr>
    </w:p>
    <w:tbl>
      <w:tblPr>
        <w:tblStyle w:val="TableGrid"/>
        <w:tblW w:w="14601" w:type="dxa"/>
        <w:tblLook w:val="04A0" w:firstRow="1" w:lastRow="0" w:firstColumn="1" w:lastColumn="0" w:noHBand="0" w:noVBand="1"/>
      </w:tblPr>
      <w:tblGrid>
        <w:gridCol w:w="4537"/>
        <w:gridCol w:w="5103"/>
        <w:gridCol w:w="4961"/>
      </w:tblGrid>
      <w:tr w:rsidR="00614B44" w:rsidRPr="00C15FB0" w14:paraId="17780C0B" w14:textId="77777777" w:rsidTr="00C15FB0">
        <w:trPr>
          <w:trHeight w:val="490"/>
        </w:trPr>
        <w:tc>
          <w:tcPr>
            <w:tcW w:w="4537" w:type="dxa"/>
            <w:hideMark/>
          </w:tcPr>
          <w:p w14:paraId="20622758" w14:textId="77777777" w:rsidR="00C15FB0" w:rsidRPr="00C15FB0" w:rsidRDefault="00C15FB0" w:rsidP="00C15FB0">
            <w:pPr>
              <w:pStyle w:val="Tablecolhead"/>
              <w:rPr>
                <w:rFonts w:eastAsia="Times"/>
                <w:lang w:val="en-US"/>
              </w:rPr>
            </w:pPr>
            <w:r w:rsidRPr="00C15FB0">
              <w:rPr>
                <w:rFonts w:eastAsia="Times"/>
                <w:lang w:val="en-US"/>
              </w:rPr>
              <w:t xml:space="preserve">Practitioner skills or experience that can benefit the </w:t>
            </w:r>
            <w:proofErr w:type="spellStart"/>
            <w:r w:rsidRPr="00C15FB0">
              <w:rPr>
                <w:rFonts w:eastAsia="Times"/>
                <w:lang w:val="en-US"/>
              </w:rPr>
              <w:t>organisation</w:t>
            </w:r>
            <w:proofErr w:type="spellEnd"/>
          </w:p>
        </w:tc>
        <w:tc>
          <w:tcPr>
            <w:tcW w:w="5103" w:type="dxa"/>
            <w:hideMark/>
          </w:tcPr>
          <w:p w14:paraId="708C12CA" w14:textId="77777777" w:rsidR="00C15FB0" w:rsidRPr="00C15FB0" w:rsidRDefault="00C15FB0" w:rsidP="00C15FB0">
            <w:pPr>
              <w:pStyle w:val="Tablecolhead"/>
              <w:rPr>
                <w:rFonts w:eastAsia="Times"/>
                <w:lang w:val="en-US"/>
              </w:rPr>
            </w:pPr>
            <w:r w:rsidRPr="00C15FB0">
              <w:rPr>
                <w:rFonts w:eastAsia="Times"/>
                <w:lang w:val="en-US"/>
              </w:rPr>
              <w:t>Activities to leverage or share skills / experience with others</w:t>
            </w:r>
          </w:p>
        </w:tc>
        <w:tc>
          <w:tcPr>
            <w:tcW w:w="4961" w:type="dxa"/>
            <w:hideMark/>
          </w:tcPr>
          <w:p w14:paraId="48B9B596" w14:textId="77777777" w:rsidR="00C15FB0" w:rsidRPr="00C15FB0" w:rsidRDefault="00C15FB0" w:rsidP="00C15FB0">
            <w:pPr>
              <w:pStyle w:val="Tablecolhead"/>
              <w:rPr>
                <w:rFonts w:eastAsia="Times"/>
                <w:lang w:val="en-US"/>
              </w:rPr>
            </w:pPr>
            <w:r w:rsidRPr="00C15FB0">
              <w:rPr>
                <w:rFonts w:eastAsia="Times"/>
                <w:lang w:val="en-US"/>
              </w:rPr>
              <w:t>When and how activities will be undertaken</w:t>
            </w:r>
          </w:p>
        </w:tc>
      </w:tr>
      <w:tr w:rsidR="00614B44" w:rsidRPr="00C15FB0" w14:paraId="38B62230" w14:textId="77777777" w:rsidTr="00C15FB0">
        <w:trPr>
          <w:trHeight w:val="56"/>
        </w:trPr>
        <w:tc>
          <w:tcPr>
            <w:tcW w:w="4537" w:type="dxa"/>
          </w:tcPr>
          <w:p w14:paraId="142CC32C" w14:textId="77777777" w:rsidR="00C15FB0" w:rsidRPr="00C15FB0" w:rsidRDefault="00C15FB0" w:rsidP="00C15FB0">
            <w:pPr>
              <w:pStyle w:val="Tabletext"/>
              <w:rPr>
                <w:rFonts w:eastAsia="Times"/>
                <w:lang w:val="en-US"/>
              </w:rPr>
            </w:pPr>
          </w:p>
        </w:tc>
        <w:tc>
          <w:tcPr>
            <w:tcW w:w="5103" w:type="dxa"/>
          </w:tcPr>
          <w:p w14:paraId="14483532" w14:textId="77777777" w:rsidR="00C15FB0" w:rsidRPr="00C15FB0" w:rsidRDefault="00C15FB0" w:rsidP="00C15FB0">
            <w:pPr>
              <w:pStyle w:val="Tabletext"/>
              <w:rPr>
                <w:rFonts w:eastAsia="Times"/>
                <w:lang w:val="en-US"/>
              </w:rPr>
            </w:pPr>
          </w:p>
        </w:tc>
        <w:tc>
          <w:tcPr>
            <w:tcW w:w="4961" w:type="dxa"/>
          </w:tcPr>
          <w:p w14:paraId="312D7A35" w14:textId="77777777" w:rsidR="00C15FB0" w:rsidRPr="00C15FB0" w:rsidRDefault="00C15FB0" w:rsidP="00C15FB0">
            <w:pPr>
              <w:pStyle w:val="Tabletext"/>
              <w:rPr>
                <w:rFonts w:eastAsia="Times"/>
                <w:lang w:val="en-US"/>
              </w:rPr>
            </w:pPr>
          </w:p>
        </w:tc>
      </w:tr>
      <w:tr w:rsidR="00614B44" w:rsidRPr="00C15FB0" w14:paraId="646FEC62" w14:textId="77777777" w:rsidTr="00C15FB0">
        <w:trPr>
          <w:trHeight w:val="56"/>
        </w:trPr>
        <w:tc>
          <w:tcPr>
            <w:tcW w:w="4537" w:type="dxa"/>
          </w:tcPr>
          <w:p w14:paraId="3E4A6A99" w14:textId="77777777" w:rsidR="00C15FB0" w:rsidRPr="00C15FB0" w:rsidRDefault="00C15FB0" w:rsidP="00C15FB0">
            <w:pPr>
              <w:pStyle w:val="Tabletext"/>
              <w:rPr>
                <w:rFonts w:eastAsia="Times"/>
                <w:lang w:val="en-US"/>
              </w:rPr>
            </w:pPr>
          </w:p>
        </w:tc>
        <w:tc>
          <w:tcPr>
            <w:tcW w:w="5103" w:type="dxa"/>
          </w:tcPr>
          <w:p w14:paraId="47E83D48" w14:textId="77777777" w:rsidR="00C15FB0" w:rsidRPr="00C15FB0" w:rsidRDefault="00C15FB0" w:rsidP="00C15FB0">
            <w:pPr>
              <w:pStyle w:val="Tabletext"/>
              <w:rPr>
                <w:rFonts w:eastAsia="Times"/>
                <w:lang w:val="en-US"/>
              </w:rPr>
            </w:pPr>
          </w:p>
        </w:tc>
        <w:tc>
          <w:tcPr>
            <w:tcW w:w="4961" w:type="dxa"/>
          </w:tcPr>
          <w:p w14:paraId="3383DADC" w14:textId="77777777" w:rsidR="00C15FB0" w:rsidRPr="00C15FB0" w:rsidRDefault="00C15FB0" w:rsidP="00C15FB0">
            <w:pPr>
              <w:pStyle w:val="Tabletext"/>
              <w:rPr>
                <w:rFonts w:eastAsia="Times"/>
                <w:lang w:val="en-US"/>
              </w:rPr>
            </w:pPr>
          </w:p>
        </w:tc>
      </w:tr>
      <w:tr w:rsidR="00614B44" w:rsidRPr="00C15FB0" w14:paraId="3F245AC5" w14:textId="77777777" w:rsidTr="00C15FB0">
        <w:trPr>
          <w:trHeight w:val="56"/>
        </w:trPr>
        <w:tc>
          <w:tcPr>
            <w:tcW w:w="4537" w:type="dxa"/>
          </w:tcPr>
          <w:p w14:paraId="34CC49DD" w14:textId="77777777" w:rsidR="00C15FB0" w:rsidRPr="00C15FB0" w:rsidRDefault="00C15FB0" w:rsidP="00C15FB0">
            <w:pPr>
              <w:pStyle w:val="Tabletext"/>
              <w:rPr>
                <w:rFonts w:eastAsia="Times"/>
                <w:lang w:val="en-US"/>
              </w:rPr>
            </w:pPr>
          </w:p>
        </w:tc>
        <w:tc>
          <w:tcPr>
            <w:tcW w:w="5103" w:type="dxa"/>
          </w:tcPr>
          <w:p w14:paraId="1C3A6A18" w14:textId="77777777" w:rsidR="00C15FB0" w:rsidRPr="00C15FB0" w:rsidRDefault="00C15FB0" w:rsidP="00C15FB0">
            <w:pPr>
              <w:pStyle w:val="Tabletext"/>
              <w:rPr>
                <w:rFonts w:eastAsia="Times"/>
                <w:lang w:val="en-US"/>
              </w:rPr>
            </w:pPr>
          </w:p>
        </w:tc>
        <w:tc>
          <w:tcPr>
            <w:tcW w:w="4961" w:type="dxa"/>
          </w:tcPr>
          <w:p w14:paraId="0804E726" w14:textId="77777777" w:rsidR="00C15FB0" w:rsidRPr="00C15FB0" w:rsidRDefault="00C15FB0" w:rsidP="00C15FB0">
            <w:pPr>
              <w:pStyle w:val="Tabletext"/>
              <w:rPr>
                <w:rFonts w:eastAsia="Times"/>
                <w:lang w:val="en-US"/>
              </w:rPr>
            </w:pPr>
          </w:p>
        </w:tc>
      </w:tr>
      <w:tr w:rsidR="00614B44" w:rsidRPr="00C15FB0" w14:paraId="563F7902" w14:textId="77777777" w:rsidTr="00C15FB0">
        <w:trPr>
          <w:trHeight w:val="56"/>
        </w:trPr>
        <w:tc>
          <w:tcPr>
            <w:tcW w:w="4537" w:type="dxa"/>
          </w:tcPr>
          <w:p w14:paraId="70BB19B8" w14:textId="77777777" w:rsidR="00C15FB0" w:rsidRPr="00C15FB0" w:rsidRDefault="00C15FB0" w:rsidP="00C15FB0">
            <w:pPr>
              <w:pStyle w:val="Tabletext"/>
              <w:rPr>
                <w:rFonts w:eastAsia="Times"/>
                <w:lang w:val="en-US"/>
              </w:rPr>
            </w:pPr>
          </w:p>
        </w:tc>
        <w:tc>
          <w:tcPr>
            <w:tcW w:w="5103" w:type="dxa"/>
          </w:tcPr>
          <w:p w14:paraId="54D6A619" w14:textId="77777777" w:rsidR="00C15FB0" w:rsidRPr="00C15FB0" w:rsidRDefault="00C15FB0" w:rsidP="00C15FB0">
            <w:pPr>
              <w:pStyle w:val="Tabletext"/>
              <w:rPr>
                <w:rFonts w:eastAsia="Times"/>
                <w:lang w:val="en-US"/>
              </w:rPr>
            </w:pPr>
          </w:p>
        </w:tc>
        <w:tc>
          <w:tcPr>
            <w:tcW w:w="4961" w:type="dxa"/>
          </w:tcPr>
          <w:p w14:paraId="49AEE978" w14:textId="77777777" w:rsidR="00C15FB0" w:rsidRPr="00C15FB0" w:rsidRDefault="00C15FB0" w:rsidP="00C15FB0">
            <w:pPr>
              <w:pStyle w:val="Tabletext"/>
              <w:rPr>
                <w:rFonts w:eastAsia="Times"/>
                <w:lang w:val="en-US"/>
              </w:rPr>
            </w:pPr>
          </w:p>
        </w:tc>
      </w:tr>
    </w:tbl>
    <w:p w14:paraId="549DDA21" w14:textId="77777777" w:rsidR="006777F0" w:rsidRDefault="006777F0" w:rsidP="006777F0">
      <w:pPr>
        <w:pStyle w:val="Body"/>
      </w:pPr>
    </w:p>
    <w:p w14:paraId="527FDDD4" w14:textId="77777777" w:rsidR="00F8694A" w:rsidRPr="00F8694A" w:rsidRDefault="00F8694A" w:rsidP="00F8694A">
      <w:pPr>
        <w:pStyle w:val="Body"/>
      </w:pPr>
      <w:r w:rsidRPr="00F8694A">
        <w:rPr>
          <w:b/>
          <w:bCs/>
        </w:rPr>
        <w:t>Key staff members involved in this RTP agreement (as applicable)</w:t>
      </w:r>
      <w:r w:rsidRPr="00F8694A">
        <w:t>:</w:t>
      </w:r>
    </w:p>
    <w:p w14:paraId="0E6DE59C" w14:textId="77777777" w:rsidR="00F8694A" w:rsidRPr="00F8694A" w:rsidRDefault="00F8694A" w:rsidP="00F8694A">
      <w:pPr>
        <w:pStyle w:val="Body"/>
        <w:rPr>
          <w:u w:val="single"/>
        </w:rPr>
      </w:pPr>
      <w:r w:rsidRPr="00F8694A">
        <w:t xml:space="preserve">Line manager (name and role): </w:t>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p>
    <w:p w14:paraId="290E521D" w14:textId="77777777" w:rsidR="00F8694A" w:rsidRPr="00F8694A" w:rsidRDefault="00F8694A" w:rsidP="00F8694A">
      <w:pPr>
        <w:pStyle w:val="Body"/>
        <w:rPr>
          <w:u w:val="single"/>
        </w:rPr>
      </w:pPr>
      <w:r w:rsidRPr="00F8694A">
        <w:t xml:space="preserve">Supervisor (name and role): </w:t>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p>
    <w:p w14:paraId="2570DE1B" w14:textId="77777777" w:rsidR="00F8694A" w:rsidRPr="00F8694A" w:rsidRDefault="00F8694A" w:rsidP="00F8694A">
      <w:pPr>
        <w:pStyle w:val="Body"/>
        <w:rPr>
          <w:u w:val="single"/>
        </w:rPr>
      </w:pPr>
      <w:r w:rsidRPr="00F8694A">
        <w:t xml:space="preserve">Mentor (name and role): </w:t>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p>
    <w:p w14:paraId="760574CB" w14:textId="77777777" w:rsidR="00F8694A" w:rsidRPr="00F8694A" w:rsidRDefault="00F8694A" w:rsidP="00F8694A">
      <w:pPr>
        <w:pStyle w:val="Body"/>
        <w:rPr>
          <w:u w:val="single"/>
        </w:rPr>
      </w:pPr>
      <w:r w:rsidRPr="00F8694A">
        <w:t xml:space="preserve">Other (name and role): </w:t>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r w:rsidRPr="00F8694A">
        <w:rPr>
          <w:u w:val="single"/>
        </w:rPr>
        <w:tab/>
      </w:r>
    </w:p>
    <w:p w14:paraId="06408C04" w14:textId="77777777" w:rsidR="00FE1360" w:rsidRPr="00FE1360" w:rsidRDefault="00FE1360" w:rsidP="00FE1360">
      <w:pPr>
        <w:pStyle w:val="Body"/>
        <w:rPr>
          <w:u w:val="single"/>
        </w:rPr>
      </w:pPr>
      <w:r w:rsidRPr="00FE1360">
        <w:lastRenderedPageBreak/>
        <w:t xml:space="preserve">Expected duration of this RTP agreement: </w:t>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p>
    <w:p w14:paraId="754836A3" w14:textId="24E00FC8" w:rsidR="00FE1360" w:rsidRPr="00FE1360" w:rsidRDefault="00FE1360" w:rsidP="00FE1360">
      <w:pPr>
        <w:pStyle w:val="Body"/>
        <w:rPr>
          <w:u w:val="single"/>
        </w:rPr>
      </w:pPr>
      <w:r w:rsidRPr="00FE1360">
        <w:t xml:space="preserve">This agreement will be reviewed on or before </w:t>
      </w:r>
      <w:r w:rsidRPr="00FE1360">
        <w:rPr>
          <w:u w:val="single"/>
        </w:rPr>
        <w:tab/>
      </w:r>
      <w:r w:rsidRPr="00FE1360">
        <w:rPr>
          <w:u w:val="single"/>
        </w:rPr>
        <w:tab/>
      </w:r>
      <w:r w:rsidRPr="00FE1360">
        <w:rPr>
          <w:u w:val="single"/>
        </w:rPr>
        <w:tab/>
      </w:r>
      <w:r w:rsidRPr="00FE1360">
        <w:t xml:space="preserve">(date) by </w:t>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t>(parties)</w:t>
      </w:r>
      <w:r w:rsidR="00C2747C">
        <w:t xml:space="preserve"> and then </w:t>
      </w:r>
      <w:r w:rsidR="00C2747C" w:rsidRPr="00F8694A">
        <w:rPr>
          <w:u w:val="single"/>
        </w:rPr>
        <w:tab/>
      </w:r>
      <w:r w:rsidR="00C2747C" w:rsidRPr="00F8694A">
        <w:rPr>
          <w:u w:val="single"/>
        </w:rPr>
        <w:tab/>
      </w:r>
      <w:r w:rsidR="00C2747C" w:rsidRPr="00F8694A">
        <w:rPr>
          <w:u w:val="single"/>
        </w:rPr>
        <w:tab/>
      </w:r>
      <w:r w:rsidR="00C2747C">
        <w:t xml:space="preserve">(frequency) thereafter. </w:t>
      </w:r>
    </w:p>
    <w:p w14:paraId="6E650C77" w14:textId="77777777" w:rsidR="00FE1360" w:rsidRPr="00FE1360" w:rsidRDefault="00FE1360" w:rsidP="00FE1360">
      <w:pPr>
        <w:pStyle w:val="Body"/>
      </w:pPr>
      <w:r w:rsidRPr="00FE1360">
        <w:tab/>
      </w:r>
    </w:p>
    <w:p w14:paraId="359C17CF" w14:textId="77777777" w:rsidR="00FE1360" w:rsidRPr="00FE1360" w:rsidRDefault="00FE1360" w:rsidP="00FE1360">
      <w:pPr>
        <w:pStyle w:val="Body"/>
      </w:pPr>
      <w:r w:rsidRPr="00FE1360">
        <w:t>The practitioner and HR representative developed the contents of this agreement collaboratively and discussed it with the staff members listed above.</w:t>
      </w:r>
    </w:p>
    <w:p w14:paraId="404A2D4D" w14:textId="77777777" w:rsidR="00FE1360" w:rsidRPr="00FE1360" w:rsidRDefault="00FE1360" w:rsidP="00FE1360">
      <w:pPr>
        <w:pStyle w:val="Body"/>
      </w:pPr>
    </w:p>
    <w:p w14:paraId="78B8B949" w14:textId="77777777" w:rsidR="00FE1360" w:rsidRPr="00FE1360" w:rsidRDefault="00FE1360" w:rsidP="00FE1360">
      <w:pPr>
        <w:pStyle w:val="Body"/>
        <w:rPr>
          <w:b/>
          <w:bCs/>
        </w:rPr>
      </w:pPr>
      <w:r w:rsidRPr="00FE1360">
        <w:rPr>
          <w:b/>
          <w:bCs/>
        </w:rPr>
        <w:t>Signatures</w:t>
      </w:r>
    </w:p>
    <w:p w14:paraId="61A92F50" w14:textId="77777777" w:rsidR="00FE1360" w:rsidRPr="00FE1360" w:rsidRDefault="00FE1360" w:rsidP="00FE1360">
      <w:pPr>
        <w:pStyle w:val="Body"/>
        <w:rPr>
          <w:u w:val="single"/>
        </w:rPr>
      </w:pPr>
      <w:r w:rsidRPr="00FE1360">
        <w:t xml:space="preserve">Practitioner: </w:t>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tab/>
      </w:r>
      <w:r w:rsidRPr="00FE1360">
        <w:tab/>
        <w:t xml:space="preserve">HR representative: </w:t>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p>
    <w:p w14:paraId="3288EB67" w14:textId="77777777" w:rsidR="00FE1360" w:rsidRPr="00FE1360" w:rsidRDefault="00FE1360" w:rsidP="00FE1360">
      <w:pPr>
        <w:pStyle w:val="Body"/>
      </w:pPr>
      <w:r w:rsidRPr="00FE1360">
        <w:t xml:space="preserve">Name: </w:t>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tab/>
      </w:r>
      <w:r w:rsidRPr="00FE1360">
        <w:tab/>
        <w:t xml:space="preserve">Name: </w:t>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p>
    <w:p w14:paraId="49BB9201" w14:textId="77777777" w:rsidR="00FE1360" w:rsidRPr="00FE1360" w:rsidRDefault="00FE1360" w:rsidP="00FE1360">
      <w:pPr>
        <w:pStyle w:val="Body"/>
        <w:rPr>
          <w:u w:val="single"/>
        </w:rPr>
      </w:pPr>
      <w:r w:rsidRPr="00FE1360">
        <w:t xml:space="preserve">Date: </w:t>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tab/>
      </w:r>
      <w:r w:rsidRPr="00FE1360">
        <w:tab/>
        <w:t xml:space="preserve">Date: </w:t>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r w:rsidRPr="00FE1360">
        <w:rPr>
          <w:u w:val="single"/>
        </w:rPr>
        <w:tab/>
      </w:r>
    </w:p>
    <w:p w14:paraId="3BDD040F" w14:textId="77777777" w:rsidR="00FE1360" w:rsidRPr="00FE1360" w:rsidRDefault="00FE1360" w:rsidP="00FE1360">
      <w:pPr>
        <w:pStyle w:val="Body"/>
      </w:pPr>
    </w:p>
    <w:p w14:paraId="28F1892B" w14:textId="77777777" w:rsidR="00FE1360" w:rsidRPr="00FE1360" w:rsidRDefault="00FE1360" w:rsidP="00FE1360">
      <w:pPr>
        <w:pStyle w:val="Body"/>
      </w:pPr>
      <w:r w:rsidRPr="00FE1360">
        <w:t>Copies of the signed agreement to be provided to (list):</w:t>
      </w:r>
    </w:p>
    <w:p w14:paraId="7BE15DFC" w14:textId="77777777" w:rsidR="00FE1360" w:rsidRPr="00FE1360" w:rsidRDefault="00FE1360" w:rsidP="00FE1360">
      <w:pPr>
        <w:pStyle w:val="Bullet1"/>
      </w:pPr>
      <w:r w:rsidRPr="00FE1360">
        <w:t xml:space="preserve"> </w:t>
      </w:r>
    </w:p>
    <w:p w14:paraId="0FDF92E6" w14:textId="77777777" w:rsidR="00FE1360" w:rsidRPr="00FE1360" w:rsidRDefault="00FE1360" w:rsidP="00FE1360">
      <w:pPr>
        <w:pStyle w:val="Bullet1"/>
      </w:pPr>
    </w:p>
    <w:p w14:paraId="2135C082" w14:textId="77777777" w:rsidR="00F8694A" w:rsidRPr="006777F0" w:rsidRDefault="00F8694A" w:rsidP="006777F0">
      <w:pPr>
        <w:pStyle w:val="Body"/>
      </w:pPr>
    </w:p>
    <w:sectPr w:rsidR="00F8694A" w:rsidRPr="006777F0" w:rsidSect="006777F0">
      <w:pgSz w:w="16838" w:h="11906" w:orient="landscape" w:code="9"/>
      <w:pgMar w:top="1304" w:right="851" w:bottom="1304" w:left="1418"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BC78" w14:textId="77777777" w:rsidR="00662892" w:rsidRDefault="00662892">
      <w:r>
        <w:separator/>
      </w:r>
    </w:p>
    <w:p w14:paraId="5BF6F3F3" w14:textId="77777777" w:rsidR="00662892" w:rsidRDefault="00662892"/>
  </w:endnote>
  <w:endnote w:type="continuationSeparator" w:id="0">
    <w:p w14:paraId="2268AC65" w14:textId="77777777" w:rsidR="00662892" w:rsidRDefault="00662892">
      <w:r>
        <w:continuationSeparator/>
      </w:r>
    </w:p>
    <w:p w14:paraId="24AA6FB1" w14:textId="77777777" w:rsidR="00662892" w:rsidRDefault="00662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Sans Serif">
    <w:altName w:val="Times New Roman"/>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venir Light">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17E3"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1184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171184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560B"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4266C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4266C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90AB"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671C6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57671C6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80CC"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7D9B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E7D9B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E688" w14:textId="77777777"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119F4"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29119F4"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FA73D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47FA73D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8E8B" w14:textId="77777777" w:rsidR="00662892" w:rsidRDefault="00662892" w:rsidP="00207717">
      <w:pPr>
        <w:spacing w:before="120"/>
      </w:pPr>
      <w:r>
        <w:separator/>
      </w:r>
    </w:p>
  </w:footnote>
  <w:footnote w:type="continuationSeparator" w:id="0">
    <w:p w14:paraId="022FB26F" w14:textId="77777777" w:rsidR="00662892" w:rsidRDefault="00662892">
      <w:r>
        <w:continuationSeparator/>
      </w:r>
    </w:p>
    <w:p w14:paraId="7ADCEB7E" w14:textId="77777777" w:rsidR="00662892" w:rsidRDefault="00662892"/>
  </w:footnote>
  <w:footnote w:id="1">
    <w:p w14:paraId="3690BD96" w14:textId="61F9D9AB" w:rsidR="00D737A4" w:rsidRPr="007B525E" w:rsidRDefault="00D737A4">
      <w:pPr>
        <w:pStyle w:val="FootnoteText"/>
        <w:rPr>
          <w:lang w:val="en-US"/>
        </w:rPr>
      </w:pPr>
      <w:r w:rsidRPr="007B525E">
        <w:rPr>
          <w:rStyle w:val="FootnoteReference"/>
          <w:vertAlign w:val="baseline"/>
        </w:rPr>
        <w:footnoteRef/>
      </w:r>
      <w:r w:rsidRPr="007B525E">
        <w:t xml:space="preserve"> </w:t>
      </w:r>
      <w:r w:rsidR="007E5B1E" w:rsidRPr="007B525E">
        <w:rPr>
          <w:rStyle w:val="FootnoteReference"/>
          <w:vertAlign w:val="baseline"/>
        </w:rPr>
        <w:t xml:space="preserve">Department of Families, Fairness and Housing. (2026) Updated Mandatory Minimum Qualifications Policy. Accessed on 20 February 2026 at </w:t>
      </w:r>
      <w:hyperlink r:id="rId1" w:history="1">
        <w:r w:rsidR="007E5B1E" w:rsidRPr="007B525E">
          <w:rPr>
            <w:rStyle w:val="FootnoteReference"/>
            <w:vertAlign w:val="baseline"/>
          </w:rPr>
          <w:t>https://www.vic.gov.au/mandatory-minimum-qualifications-specialist-family-violence-practitioners</w:t>
        </w:r>
      </w:hyperlink>
      <w:r w:rsidR="007E5B1E" w:rsidRPr="007B525E">
        <w:t xml:space="preserve"> </w:t>
      </w:r>
    </w:p>
  </w:footnote>
  <w:footnote w:id="2">
    <w:p w14:paraId="4FAB3FA3" w14:textId="4A4919D0" w:rsidR="00BE1CD9" w:rsidRPr="007B525E" w:rsidRDefault="00BE1CD9">
      <w:pPr>
        <w:pStyle w:val="FootnoteText"/>
        <w:rPr>
          <w:rStyle w:val="FootnoteReference"/>
          <w:vertAlign w:val="baseline"/>
          <w:lang w:val="en-US"/>
        </w:rPr>
      </w:pPr>
      <w:r w:rsidRPr="007B525E">
        <w:rPr>
          <w:rStyle w:val="FootnoteReference"/>
          <w:vertAlign w:val="baseline"/>
        </w:rPr>
        <w:footnoteRef/>
      </w:r>
      <w:r w:rsidRPr="007B525E">
        <w:t xml:space="preserve"> </w:t>
      </w:r>
      <w:r w:rsidR="002126F0" w:rsidRPr="007B525E">
        <w:rPr>
          <w:rStyle w:val="FootnoteReference"/>
          <w:vertAlign w:val="baseline"/>
          <w:lang w:val="en-GB"/>
        </w:rPr>
        <w:t>Blythe, B., Heffernan, K., &amp; Walters, B. (2010). Best practices for developing child protection workers' skills: Domestic violence, substance abuse, and mental health training. Revista De Asistenta Sociala, (2), 51.</w:t>
      </w:r>
    </w:p>
  </w:footnote>
  <w:footnote w:id="3">
    <w:p w14:paraId="04DC5CA7" w14:textId="4B76FD84" w:rsidR="0016190A" w:rsidRPr="007B525E" w:rsidRDefault="0016190A">
      <w:pPr>
        <w:pStyle w:val="FootnoteText"/>
      </w:pPr>
      <w:r w:rsidRPr="007B525E">
        <w:rPr>
          <w:rStyle w:val="FootnoteReference"/>
          <w:vertAlign w:val="baseline"/>
        </w:rPr>
        <w:footnoteRef/>
      </w:r>
      <w:r w:rsidRPr="007B525E">
        <w:t xml:space="preserve"> </w:t>
      </w:r>
      <w:r w:rsidR="00F95CCC" w:rsidRPr="007B525E">
        <w:rPr>
          <w:rStyle w:val="FootnoteReference"/>
          <w:vertAlign w:val="baseline"/>
        </w:rPr>
        <w:t>Campbell, P., Duncan-Millar, J., Torrens, C., Pollock, A., &amp; Maxwell, M. (2019). Health and social care professionals return to practice: A systematic review. London, United Kingdom: Health and Care Professions Council.</w:t>
      </w:r>
    </w:p>
  </w:footnote>
  <w:footnote w:id="4">
    <w:p w14:paraId="1F8960D1" w14:textId="03438D76" w:rsidR="00FA2AF9" w:rsidRPr="00FA2AF9" w:rsidRDefault="00FA2AF9">
      <w:pPr>
        <w:pStyle w:val="FootnoteText"/>
        <w:rPr>
          <w:lang w:val="en-US"/>
        </w:rPr>
      </w:pPr>
      <w:r w:rsidRPr="007B525E">
        <w:rPr>
          <w:rStyle w:val="FootnoteReference"/>
          <w:vertAlign w:val="baseline"/>
        </w:rPr>
        <w:footnoteRef/>
      </w:r>
      <w:r w:rsidRPr="007B525E">
        <w:t xml:space="preserve"> </w:t>
      </w:r>
      <w:r w:rsidR="00C807EA" w:rsidRPr="007B525E">
        <w:rPr>
          <w:rStyle w:val="FootnoteReference"/>
          <w:vertAlign w:val="baseline"/>
        </w:rPr>
        <w:t>Department of Families, Fairness and Housing (2025). Responding to Family Violence Capability Framework. State of Victoria, Australia.</w:t>
      </w:r>
    </w:p>
  </w:footnote>
  <w:footnote w:id="5">
    <w:p w14:paraId="24A3BFCD" w14:textId="07F31748" w:rsidR="00E56633" w:rsidRPr="00E56633" w:rsidRDefault="00E56633">
      <w:pPr>
        <w:pStyle w:val="FootnoteText"/>
        <w:rPr>
          <w:lang w:val="en-US"/>
        </w:rPr>
      </w:pPr>
      <w:r w:rsidRPr="006F53FB">
        <w:rPr>
          <w:rStyle w:val="FootnoteReference"/>
          <w:vertAlign w:val="baseline"/>
        </w:rPr>
        <w:footnoteRef/>
      </w:r>
      <w:r>
        <w:t xml:space="preserve"> </w:t>
      </w:r>
      <w:r w:rsidR="00FC670F" w:rsidRPr="006F53FB">
        <w:rPr>
          <w:rStyle w:val="FootnoteReference"/>
          <w:vertAlign w:val="baseline"/>
        </w:rPr>
        <w:t>Cortis, N., Blaxland, M., Breckenridge, J., valentine, k. Mahoney, N., Chung, D., Cordier, R., Chen, Y., and Green, D. (2018). National Survey of Workers in the Domestic, Family and Sexual Violence Sectors (SPRC Report 5/2018). Sydney: Social Policy Research Centre and Gendered Violence Research Network, UNSW Sydney.</w:t>
      </w:r>
    </w:p>
  </w:footnote>
  <w:footnote w:id="6">
    <w:p w14:paraId="2369DA5E" w14:textId="20FF716F" w:rsidR="00E56633" w:rsidRPr="00E56633" w:rsidRDefault="00E56633">
      <w:pPr>
        <w:pStyle w:val="FootnoteText"/>
        <w:rPr>
          <w:lang w:val="en-US"/>
        </w:rPr>
      </w:pPr>
      <w:r w:rsidRPr="006F53FB">
        <w:rPr>
          <w:rStyle w:val="FootnoteReference"/>
          <w:vertAlign w:val="baseline"/>
        </w:rPr>
        <w:footnoteRef/>
      </w:r>
      <w:r>
        <w:t xml:space="preserve"> </w:t>
      </w:r>
      <w:r w:rsidR="00F7271C" w:rsidRPr="006F53FB">
        <w:rPr>
          <w:rStyle w:val="FootnoteReference"/>
          <w:vertAlign w:val="baseline"/>
        </w:rPr>
        <w:t>Campbell, P., Duncan-Millar, J., Torrens, C., Pollock, A., &amp; Maxwell, M. (2019). Health and social care professionals return to practice: A systematic review. London, United Kingdom: Health and Care Professions Council.</w:t>
      </w:r>
    </w:p>
  </w:footnote>
  <w:footnote w:id="7">
    <w:p w14:paraId="0DDFB651" w14:textId="692280A7" w:rsidR="00535E11" w:rsidRPr="00535E11" w:rsidRDefault="00535E11">
      <w:pPr>
        <w:pStyle w:val="FootnoteText"/>
        <w:rPr>
          <w:lang w:val="en-US"/>
        </w:rPr>
      </w:pPr>
      <w:r w:rsidRPr="006F53FB">
        <w:rPr>
          <w:rStyle w:val="FootnoteReference"/>
          <w:vertAlign w:val="baseline"/>
        </w:rPr>
        <w:footnoteRef/>
      </w:r>
      <w:r>
        <w:t xml:space="preserve"> </w:t>
      </w:r>
      <w:r w:rsidR="00E9716B" w:rsidRPr="006F53FB">
        <w:rPr>
          <w:rStyle w:val="FootnoteReference"/>
          <w:vertAlign w:val="baseline"/>
        </w:rPr>
        <w:t>Department of Families, Fairness and Housing (2024). Best Practice Supervision Guidelines: Family violence, sexual assault and child wellbeing. State of Victoria, Australia.</w:t>
      </w:r>
    </w:p>
  </w:footnote>
  <w:footnote w:id="8">
    <w:p w14:paraId="4A3A1D0A" w14:textId="75B85FB4" w:rsidR="00D433F1" w:rsidRPr="00D433F1" w:rsidRDefault="00D433F1">
      <w:pPr>
        <w:pStyle w:val="FootnoteText"/>
        <w:rPr>
          <w:lang w:val="en-US"/>
        </w:rPr>
      </w:pPr>
      <w:r w:rsidRPr="006F53FB">
        <w:rPr>
          <w:rStyle w:val="FootnoteReference"/>
          <w:vertAlign w:val="baseline"/>
        </w:rPr>
        <w:footnoteRef/>
      </w:r>
      <w:r>
        <w:t xml:space="preserve"> </w:t>
      </w:r>
      <w:r w:rsidR="00733B6F" w:rsidRPr="006F53FB">
        <w:rPr>
          <w:rStyle w:val="FootnoteReference"/>
          <w:vertAlign w:val="baseline"/>
        </w:rPr>
        <w:t>Moran, A. M., Coyle, J., Pope, R., Boxall, D., Nancarrow, S. A., &amp; Young, J. (2014). Supervision, support and mentoring interventions for health practitioners in rural and remote contexts: an integrative review and thematic synthesis of the literature to identify mechanisms for successful outcomes. Human resources for health, 12:10; Main, P. A. E., &amp; Anderson, S. (2023). Evidence for continuing professional development standards for regulated health practitioners in Australia: a systematic review. Human resources for health, 21(1), 23.</w:t>
      </w:r>
    </w:p>
  </w:footnote>
  <w:footnote w:id="9">
    <w:p w14:paraId="6F3A69A2" w14:textId="6C89A017" w:rsidR="00495E59" w:rsidRPr="00495E59" w:rsidRDefault="00495E59">
      <w:pPr>
        <w:pStyle w:val="FootnoteText"/>
        <w:rPr>
          <w:lang w:val="en-US"/>
        </w:rPr>
      </w:pPr>
      <w:r w:rsidRPr="00475867">
        <w:rPr>
          <w:rStyle w:val="FootnoteReference"/>
          <w:vertAlign w:val="baseline"/>
        </w:rPr>
        <w:footnoteRef/>
      </w:r>
      <w:r>
        <w:t xml:space="preserve"> </w:t>
      </w:r>
      <w:r w:rsidR="00AB7BB8" w:rsidRPr="00475867">
        <w:rPr>
          <w:rStyle w:val="FootnoteReference"/>
          <w:vertAlign w:val="baseline"/>
        </w:rPr>
        <w:t>Campbell, P., Duncan-Millar, J., Torrens, C., Pollock, A., &amp; Maxwell, M. (2019). Health and social care professionals return to practice: A systematic review. London, United Kingdom: Health and Care Professions Council.</w:t>
      </w:r>
    </w:p>
  </w:footnote>
  <w:footnote w:id="10">
    <w:p w14:paraId="7BCD942B" w14:textId="25E606A7" w:rsidR="00E231FB" w:rsidRPr="00C81075" w:rsidRDefault="00E231FB">
      <w:pPr>
        <w:pStyle w:val="FootnoteText"/>
        <w:rPr>
          <w:rStyle w:val="FootnoteReference"/>
          <w:vertAlign w:val="baseline"/>
          <w:lang w:val="en-US"/>
        </w:rPr>
      </w:pPr>
      <w:r w:rsidRPr="00C81075">
        <w:rPr>
          <w:rStyle w:val="FootnoteReference"/>
          <w:vertAlign w:val="baseline"/>
        </w:rPr>
        <w:footnoteRef/>
      </w:r>
      <w:r w:rsidRPr="00C81075">
        <w:t xml:space="preserve"> </w:t>
      </w:r>
      <w:r w:rsidR="00BB663A" w:rsidRPr="00C81075">
        <w:rPr>
          <w:rStyle w:val="FootnoteReference"/>
          <w:vertAlign w:val="baseline"/>
        </w:rPr>
        <w:t>Campbell, P., Duncan-Millar, J., Torrens, C., Pollock, A., &amp; Maxwell, M. (2019). Health and social care professionals return to practice: A systematic review. London, United Kingdom: Health and Care Professions Council; King R, Taylor B, Talpur A, Jackson C, Manley K, Ashby N, et al. (2021). Factors that optimise the impact of continuing professional development in nursing: a rapid evidence review. Nurse Educ Today, 98.</w:t>
      </w:r>
    </w:p>
  </w:footnote>
  <w:footnote w:id="11">
    <w:p w14:paraId="33A9F99D" w14:textId="779EFBE3" w:rsidR="004F6DAD" w:rsidRPr="00C81075" w:rsidRDefault="004F6DAD">
      <w:pPr>
        <w:pStyle w:val="FootnoteText"/>
        <w:rPr>
          <w:lang w:val="en-US"/>
        </w:rPr>
      </w:pPr>
      <w:r w:rsidRPr="00C81075">
        <w:rPr>
          <w:rStyle w:val="FootnoteReference"/>
          <w:vertAlign w:val="baseline"/>
        </w:rPr>
        <w:footnoteRef/>
      </w:r>
      <w:r w:rsidRPr="00C81075">
        <w:t xml:space="preserve"> </w:t>
      </w:r>
      <w:r w:rsidR="00192DA5" w:rsidRPr="00C81075">
        <w:rPr>
          <w:rStyle w:val="FootnoteReference"/>
          <w:vertAlign w:val="baseline"/>
        </w:rPr>
        <w:t>Rivas, K. and Murray, S. (2010). EXEMPLAR: our shared experience of implementing action learning sets in an acute clinical nursing setting: approach taken and lessons learned. Contemporary Nurse, 35(2), 182-187.; National Health Service, Learning handbook: Action learning sets. Accessed on 20 February 2026 at https://www.england.nhs.uk/improvement-hub/wp-content/uploads/sites/44/2015/08/learning-handbook-action-learning-sets.pdf</w:t>
      </w:r>
    </w:p>
  </w:footnote>
  <w:footnote w:id="12">
    <w:p w14:paraId="35762453" w14:textId="4A55A5AC" w:rsidR="000310F3" w:rsidRPr="000310F3" w:rsidRDefault="000310F3" w:rsidP="00F11F09">
      <w:pPr>
        <w:pStyle w:val="FootnoteText"/>
        <w:rPr>
          <w:lang w:val="en-US"/>
        </w:rPr>
      </w:pPr>
      <w:r w:rsidRPr="00C81075">
        <w:rPr>
          <w:rStyle w:val="FootnoteReference"/>
          <w:vertAlign w:val="baseline"/>
        </w:rPr>
        <w:footnoteRef/>
      </w:r>
      <w:r w:rsidRPr="00C81075">
        <w:t xml:space="preserve"> </w:t>
      </w:r>
      <w:r w:rsidR="00F11F09" w:rsidRPr="00C81075">
        <w:rPr>
          <w:rStyle w:val="FootnoteReference"/>
          <w:vertAlign w:val="baseline"/>
        </w:rPr>
        <w:t>Mulcahy, M., Lowry, C., Hoban, K., and Perry, L. (2018). Perspectives and experiences of nurses as</w:t>
      </w:r>
      <w:r w:rsidR="00953DD3" w:rsidRPr="00C81075">
        <w:t xml:space="preserve"> </w:t>
      </w:r>
      <w:r w:rsidR="00F11F09" w:rsidRPr="00C81075">
        <w:rPr>
          <w:rStyle w:val="FootnoteReference"/>
          <w:vertAlign w:val="baseline"/>
        </w:rPr>
        <w:t>facilitators within a Practice Development program. Collegian, 25(1), 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D556" w14:textId="7777777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578D" w14:textId="0C91AD60" w:rsidR="00562811" w:rsidRPr="001C7128" w:rsidRDefault="00913CFE" w:rsidP="001C7128">
    <w:pPr>
      <w:pStyle w:val="Header"/>
    </w:pPr>
    <w:r>
      <w:t>MMQ Return to Practice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017032439">
    <w:abstractNumId w:val="1"/>
  </w:num>
  <w:num w:numId="2" w16cid:durableId="1355963572">
    <w:abstractNumId w:val="4"/>
  </w:num>
  <w:num w:numId="3" w16cid:durableId="898395120">
    <w:abstractNumId w:val="3"/>
  </w:num>
  <w:num w:numId="4" w16cid:durableId="1510021562">
    <w:abstractNumId w:val="5"/>
  </w:num>
  <w:num w:numId="5" w16cid:durableId="320894444">
    <w:abstractNumId w:val="2"/>
  </w:num>
  <w:num w:numId="6" w16cid:durableId="67006398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FE"/>
    <w:rsid w:val="00000719"/>
    <w:rsid w:val="00002D68"/>
    <w:rsid w:val="000033F7"/>
    <w:rsid w:val="00003403"/>
    <w:rsid w:val="00003546"/>
    <w:rsid w:val="00005347"/>
    <w:rsid w:val="00006377"/>
    <w:rsid w:val="000072B6"/>
    <w:rsid w:val="0001021B"/>
    <w:rsid w:val="00011D89"/>
    <w:rsid w:val="000154FD"/>
    <w:rsid w:val="00020184"/>
    <w:rsid w:val="00020678"/>
    <w:rsid w:val="00022271"/>
    <w:rsid w:val="000235E8"/>
    <w:rsid w:val="00024D89"/>
    <w:rsid w:val="000250B6"/>
    <w:rsid w:val="0002738C"/>
    <w:rsid w:val="000310F3"/>
    <w:rsid w:val="00033D81"/>
    <w:rsid w:val="00033DC9"/>
    <w:rsid w:val="00037366"/>
    <w:rsid w:val="00041BF0"/>
    <w:rsid w:val="00042C8A"/>
    <w:rsid w:val="0004536B"/>
    <w:rsid w:val="00046B68"/>
    <w:rsid w:val="000527DD"/>
    <w:rsid w:val="00052CE7"/>
    <w:rsid w:val="00056EC4"/>
    <w:rsid w:val="000578B2"/>
    <w:rsid w:val="00060606"/>
    <w:rsid w:val="00060959"/>
    <w:rsid w:val="00060C8F"/>
    <w:rsid w:val="0006298A"/>
    <w:rsid w:val="000663CD"/>
    <w:rsid w:val="00070366"/>
    <w:rsid w:val="000733FE"/>
    <w:rsid w:val="00074219"/>
    <w:rsid w:val="00074ED5"/>
    <w:rsid w:val="0008170F"/>
    <w:rsid w:val="0008204A"/>
    <w:rsid w:val="000842C6"/>
    <w:rsid w:val="0008508E"/>
    <w:rsid w:val="00087951"/>
    <w:rsid w:val="0009113B"/>
    <w:rsid w:val="00093402"/>
    <w:rsid w:val="000939ED"/>
    <w:rsid w:val="00094DA3"/>
    <w:rsid w:val="00096CD1"/>
    <w:rsid w:val="000A012C"/>
    <w:rsid w:val="000A0EB9"/>
    <w:rsid w:val="000A186C"/>
    <w:rsid w:val="000A1EA4"/>
    <w:rsid w:val="000A2476"/>
    <w:rsid w:val="000A641A"/>
    <w:rsid w:val="000A667B"/>
    <w:rsid w:val="000B3EDB"/>
    <w:rsid w:val="000B543D"/>
    <w:rsid w:val="000B55F9"/>
    <w:rsid w:val="000B5BF7"/>
    <w:rsid w:val="000B6BC8"/>
    <w:rsid w:val="000C0303"/>
    <w:rsid w:val="000C0DB6"/>
    <w:rsid w:val="000C42EA"/>
    <w:rsid w:val="000C4546"/>
    <w:rsid w:val="000D02EC"/>
    <w:rsid w:val="000D1242"/>
    <w:rsid w:val="000D2ABA"/>
    <w:rsid w:val="000E0970"/>
    <w:rsid w:val="000E1C44"/>
    <w:rsid w:val="000E3CC7"/>
    <w:rsid w:val="000E6BD4"/>
    <w:rsid w:val="000E6D6D"/>
    <w:rsid w:val="000E7898"/>
    <w:rsid w:val="000F1F1E"/>
    <w:rsid w:val="000F2259"/>
    <w:rsid w:val="000F2DDA"/>
    <w:rsid w:val="000F2EA0"/>
    <w:rsid w:val="000F5213"/>
    <w:rsid w:val="00101001"/>
    <w:rsid w:val="00103276"/>
    <w:rsid w:val="0010392D"/>
    <w:rsid w:val="0010447F"/>
    <w:rsid w:val="00104FE3"/>
    <w:rsid w:val="00105FE8"/>
    <w:rsid w:val="0010714F"/>
    <w:rsid w:val="001075E3"/>
    <w:rsid w:val="001120C5"/>
    <w:rsid w:val="00120BD3"/>
    <w:rsid w:val="00122FEA"/>
    <w:rsid w:val="001232BD"/>
    <w:rsid w:val="00124ED5"/>
    <w:rsid w:val="001276FA"/>
    <w:rsid w:val="00137CE2"/>
    <w:rsid w:val="001447B3"/>
    <w:rsid w:val="00150D3C"/>
    <w:rsid w:val="00152073"/>
    <w:rsid w:val="00152329"/>
    <w:rsid w:val="00156598"/>
    <w:rsid w:val="0016190A"/>
    <w:rsid w:val="00161939"/>
    <w:rsid w:val="00161AA0"/>
    <w:rsid w:val="00161D2E"/>
    <w:rsid w:val="00161F3E"/>
    <w:rsid w:val="00162093"/>
    <w:rsid w:val="00162CA9"/>
    <w:rsid w:val="00162CDC"/>
    <w:rsid w:val="00165459"/>
    <w:rsid w:val="00165A57"/>
    <w:rsid w:val="001708A9"/>
    <w:rsid w:val="001712C2"/>
    <w:rsid w:val="00172BAF"/>
    <w:rsid w:val="00172ED0"/>
    <w:rsid w:val="0017674D"/>
    <w:rsid w:val="001771DD"/>
    <w:rsid w:val="00177995"/>
    <w:rsid w:val="00177A8C"/>
    <w:rsid w:val="00182238"/>
    <w:rsid w:val="0018244E"/>
    <w:rsid w:val="00183356"/>
    <w:rsid w:val="00186B33"/>
    <w:rsid w:val="00192DA5"/>
    <w:rsid w:val="00192F9D"/>
    <w:rsid w:val="00196EB8"/>
    <w:rsid w:val="00196EFB"/>
    <w:rsid w:val="001979FF"/>
    <w:rsid w:val="00197B17"/>
    <w:rsid w:val="001A1950"/>
    <w:rsid w:val="001A1C54"/>
    <w:rsid w:val="001A3ACE"/>
    <w:rsid w:val="001A6272"/>
    <w:rsid w:val="001B058F"/>
    <w:rsid w:val="001B6B96"/>
    <w:rsid w:val="001B738B"/>
    <w:rsid w:val="001C09DB"/>
    <w:rsid w:val="001C1859"/>
    <w:rsid w:val="001C277E"/>
    <w:rsid w:val="001C2A72"/>
    <w:rsid w:val="001C31B7"/>
    <w:rsid w:val="001C7128"/>
    <w:rsid w:val="001C77E8"/>
    <w:rsid w:val="001D0B75"/>
    <w:rsid w:val="001D39A5"/>
    <w:rsid w:val="001D3C09"/>
    <w:rsid w:val="001D44E8"/>
    <w:rsid w:val="001D5B14"/>
    <w:rsid w:val="001D60EC"/>
    <w:rsid w:val="001D6F59"/>
    <w:rsid w:val="001E44DF"/>
    <w:rsid w:val="001E562C"/>
    <w:rsid w:val="001E68A5"/>
    <w:rsid w:val="001E6BB0"/>
    <w:rsid w:val="001E7282"/>
    <w:rsid w:val="001E7CE9"/>
    <w:rsid w:val="001F3826"/>
    <w:rsid w:val="001F5540"/>
    <w:rsid w:val="001F6E46"/>
    <w:rsid w:val="001F7C91"/>
    <w:rsid w:val="002033B7"/>
    <w:rsid w:val="00206463"/>
    <w:rsid w:val="00206F2F"/>
    <w:rsid w:val="00207717"/>
    <w:rsid w:val="0021053D"/>
    <w:rsid w:val="00210A92"/>
    <w:rsid w:val="00212308"/>
    <w:rsid w:val="002126F0"/>
    <w:rsid w:val="00212B95"/>
    <w:rsid w:val="00215CC8"/>
    <w:rsid w:val="00216C03"/>
    <w:rsid w:val="002173A4"/>
    <w:rsid w:val="00220A1A"/>
    <w:rsid w:val="00220C04"/>
    <w:rsid w:val="0022278D"/>
    <w:rsid w:val="00222AA2"/>
    <w:rsid w:val="0022701F"/>
    <w:rsid w:val="00227C68"/>
    <w:rsid w:val="002333F5"/>
    <w:rsid w:val="00233724"/>
    <w:rsid w:val="002365B4"/>
    <w:rsid w:val="002432E1"/>
    <w:rsid w:val="00246207"/>
    <w:rsid w:val="00246C5E"/>
    <w:rsid w:val="00250960"/>
    <w:rsid w:val="002509D7"/>
    <w:rsid w:val="00251343"/>
    <w:rsid w:val="002536A4"/>
    <w:rsid w:val="00253A3E"/>
    <w:rsid w:val="00253EC4"/>
    <w:rsid w:val="00254F58"/>
    <w:rsid w:val="002600BD"/>
    <w:rsid w:val="002620BC"/>
    <w:rsid w:val="00262802"/>
    <w:rsid w:val="00262B43"/>
    <w:rsid w:val="00263A90"/>
    <w:rsid w:val="0026408B"/>
    <w:rsid w:val="00267ACB"/>
    <w:rsid w:val="00267C3E"/>
    <w:rsid w:val="002709BB"/>
    <w:rsid w:val="0027131C"/>
    <w:rsid w:val="00271807"/>
    <w:rsid w:val="002738B4"/>
    <w:rsid w:val="00273BAC"/>
    <w:rsid w:val="002763B3"/>
    <w:rsid w:val="002802E3"/>
    <w:rsid w:val="0028213D"/>
    <w:rsid w:val="00282A7F"/>
    <w:rsid w:val="00285C7B"/>
    <w:rsid w:val="002862F1"/>
    <w:rsid w:val="00287FB4"/>
    <w:rsid w:val="00291373"/>
    <w:rsid w:val="00291970"/>
    <w:rsid w:val="00292B33"/>
    <w:rsid w:val="00292E6C"/>
    <w:rsid w:val="0029597D"/>
    <w:rsid w:val="002962C3"/>
    <w:rsid w:val="0029752B"/>
    <w:rsid w:val="002A0A9C"/>
    <w:rsid w:val="002A483C"/>
    <w:rsid w:val="002B0C7C"/>
    <w:rsid w:val="002B1729"/>
    <w:rsid w:val="002B36C7"/>
    <w:rsid w:val="002B4DD4"/>
    <w:rsid w:val="002B5277"/>
    <w:rsid w:val="002B5375"/>
    <w:rsid w:val="002B5641"/>
    <w:rsid w:val="002B77C1"/>
    <w:rsid w:val="002C02D4"/>
    <w:rsid w:val="002C0ED7"/>
    <w:rsid w:val="002C2728"/>
    <w:rsid w:val="002C5B7C"/>
    <w:rsid w:val="002C5D39"/>
    <w:rsid w:val="002D1E0D"/>
    <w:rsid w:val="002D5006"/>
    <w:rsid w:val="002D7C61"/>
    <w:rsid w:val="002E01D0"/>
    <w:rsid w:val="002E161D"/>
    <w:rsid w:val="002E28A2"/>
    <w:rsid w:val="002E3100"/>
    <w:rsid w:val="002E6C95"/>
    <w:rsid w:val="002E7C36"/>
    <w:rsid w:val="002F3D32"/>
    <w:rsid w:val="002F5F31"/>
    <w:rsid w:val="002F5F46"/>
    <w:rsid w:val="00302216"/>
    <w:rsid w:val="00303890"/>
    <w:rsid w:val="00303E53"/>
    <w:rsid w:val="00305CC1"/>
    <w:rsid w:val="00306E5F"/>
    <w:rsid w:val="00307E14"/>
    <w:rsid w:val="00314054"/>
    <w:rsid w:val="00316F27"/>
    <w:rsid w:val="003214F1"/>
    <w:rsid w:val="00321EDA"/>
    <w:rsid w:val="00322E4B"/>
    <w:rsid w:val="0032757C"/>
    <w:rsid w:val="00327870"/>
    <w:rsid w:val="0033259D"/>
    <w:rsid w:val="003333D2"/>
    <w:rsid w:val="00334686"/>
    <w:rsid w:val="00337339"/>
    <w:rsid w:val="00340345"/>
    <w:rsid w:val="003406C6"/>
    <w:rsid w:val="003418CC"/>
    <w:rsid w:val="003434EE"/>
    <w:rsid w:val="003459BD"/>
    <w:rsid w:val="003504AB"/>
    <w:rsid w:val="00350D38"/>
    <w:rsid w:val="00351B36"/>
    <w:rsid w:val="00357B4E"/>
    <w:rsid w:val="00370278"/>
    <w:rsid w:val="003716FD"/>
    <w:rsid w:val="0037204B"/>
    <w:rsid w:val="003738AC"/>
    <w:rsid w:val="003744CF"/>
    <w:rsid w:val="00374717"/>
    <w:rsid w:val="0037676C"/>
    <w:rsid w:val="0037783B"/>
    <w:rsid w:val="00381043"/>
    <w:rsid w:val="003829E5"/>
    <w:rsid w:val="00386109"/>
    <w:rsid w:val="00386944"/>
    <w:rsid w:val="003956CC"/>
    <w:rsid w:val="00395BBE"/>
    <w:rsid w:val="00395C9A"/>
    <w:rsid w:val="0039648B"/>
    <w:rsid w:val="003A0853"/>
    <w:rsid w:val="003A1108"/>
    <w:rsid w:val="003A6B67"/>
    <w:rsid w:val="003B09D0"/>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247F"/>
    <w:rsid w:val="003E375C"/>
    <w:rsid w:val="003E4086"/>
    <w:rsid w:val="003E639E"/>
    <w:rsid w:val="003E71E5"/>
    <w:rsid w:val="003F0445"/>
    <w:rsid w:val="003F0CF0"/>
    <w:rsid w:val="003F14B1"/>
    <w:rsid w:val="003F2B20"/>
    <w:rsid w:val="003F3289"/>
    <w:rsid w:val="003F3C62"/>
    <w:rsid w:val="003F5CB9"/>
    <w:rsid w:val="003F7B2B"/>
    <w:rsid w:val="004013C7"/>
    <w:rsid w:val="00401FCF"/>
    <w:rsid w:val="00406285"/>
    <w:rsid w:val="004115A2"/>
    <w:rsid w:val="004120B7"/>
    <w:rsid w:val="004148F9"/>
    <w:rsid w:val="00417BF4"/>
    <w:rsid w:val="00417E86"/>
    <w:rsid w:val="004206D0"/>
    <w:rsid w:val="0042084E"/>
    <w:rsid w:val="00421EEF"/>
    <w:rsid w:val="00424D65"/>
    <w:rsid w:val="0042526D"/>
    <w:rsid w:val="00430393"/>
    <w:rsid w:val="004306BD"/>
    <w:rsid w:val="00431806"/>
    <w:rsid w:val="00431A70"/>
    <w:rsid w:val="00431AC5"/>
    <w:rsid w:val="00431F42"/>
    <w:rsid w:val="00432C45"/>
    <w:rsid w:val="00433C49"/>
    <w:rsid w:val="0044031C"/>
    <w:rsid w:val="00442C6C"/>
    <w:rsid w:val="00443CBE"/>
    <w:rsid w:val="00443E8A"/>
    <w:rsid w:val="004441BC"/>
    <w:rsid w:val="004468B4"/>
    <w:rsid w:val="00446D86"/>
    <w:rsid w:val="0045230A"/>
    <w:rsid w:val="00454AD0"/>
    <w:rsid w:val="00457337"/>
    <w:rsid w:val="00457B91"/>
    <w:rsid w:val="00461A7A"/>
    <w:rsid w:val="00462E3D"/>
    <w:rsid w:val="00465F89"/>
    <w:rsid w:val="00466E79"/>
    <w:rsid w:val="00470D7D"/>
    <w:rsid w:val="00472054"/>
    <w:rsid w:val="0047372D"/>
    <w:rsid w:val="00473BA3"/>
    <w:rsid w:val="004743DD"/>
    <w:rsid w:val="00474CEA"/>
    <w:rsid w:val="00475867"/>
    <w:rsid w:val="00483968"/>
    <w:rsid w:val="004841BE"/>
    <w:rsid w:val="00484F86"/>
    <w:rsid w:val="0048719C"/>
    <w:rsid w:val="00490746"/>
    <w:rsid w:val="00490852"/>
    <w:rsid w:val="0049155A"/>
    <w:rsid w:val="00491C9C"/>
    <w:rsid w:val="00492F30"/>
    <w:rsid w:val="004946F4"/>
    <w:rsid w:val="0049487E"/>
    <w:rsid w:val="00495E59"/>
    <w:rsid w:val="004A160D"/>
    <w:rsid w:val="004A3E81"/>
    <w:rsid w:val="004A4195"/>
    <w:rsid w:val="004A5A61"/>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D3D1A"/>
    <w:rsid w:val="004D491D"/>
    <w:rsid w:val="004D7D7C"/>
    <w:rsid w:val="004E1106"/>
    <w:rsid w:val="004E138F"/>
    <w:rsid w:val="004E1D25"/>
    <w:rsid w:val="004E29E7"/>
    <w:rsid w:val="004E4649"/>
    <w:rsid w:val="004E5C2B"/>
    <w:rsid w:val="004E7A8A"/>
    <w:rsid w:val="004F00DD"/>
    <w:rsid w:val="004F2133"/>
    <w:rsid w:val="004F4A78"/>
    <w:rsid w:val="004F5398"/>
    <w:rsid w:val="004F55F1"/>
    <w:rsid w:val="004F65FC"/>
    <w:rsid w:val="004F6936"/>
    <w:rsid w:val="004F6DAD"/>
    <w:rsid w:val="00501CB5"/>
    <w:rsid w:val="00503DC6"/>
    <w:rsid w:val="00505B1C"/>
    <w:rsid w:val="00506F5D"/>
    <w:rsid w:val="00510C37"/>
    <w:rsid w:val="005126D0"/>
    <w:rsid w:val="00514667"/>
    <w:rsid w:val="005152FC"/>
    <w:rsid w:val="0051568D"/>
    <w:rsid w:val="00526AC7"/>
    <w:rsid w:val="00526C15"/>
    <w:rsid w:val="005305F6"/>
    <w:rsid w:val="00535E11"/>
    <w:rsid w:val="00536499"/>
    <w:rsid w:val="0053693C"/>
    <w:rsid w:val="00542A03"/>
    <w:rsid w:val="00543903"/>
    <w:rsid w:val="00543BCC"/>
    <w:rsid w:val="00543F11"/>
    <w:rsid w:val="00545C8D"/>
    <w:rsid w:val="00546305"/>
    <w:rsid w:val="00547A95"/>
    <w:rsid w:val="0055119B"/>
    <w:rsid w:val="00551F5C"/>
    <w:rsid w:val="00561202"/>
    <w:rsid w:val="00562507"/>
    <w:rsid w:val="00562811"/>
    <w:rsid w:val="00572031"/>
    <w:rsid w:val="00572282"/>
    <w:rsid w:val="00573A41"/>
    <w:rsid w:val="00573CE3"/>
    <w:rsid w:val="005755F3"/>
    <w:rsid w:val="00576E84"/>
    <w:rsid w:val="00577E5E"/>
    <w:rsid w:val="00580394"/>
    <w:rsid w:val="005809CD"/>
    <w:rsid w:val="00582B8C"/>
    <w:rsid w:val="0058335F"/>
    <w:rsid w:val="00586250"/>
    <w:rsid w:val="0058757E"/>
    <w:rsid w:val="00590368"/>
    <w:rsid w:val="00596644"/>
    <w:rsid w:val="00596A4B"/>
    <w:rsid w:val="00596F09"/>
    <w:rsid w:val="00597507"/>
    <w:rsid w:val="005A1B59"/>
    <w:rsid w:val="005A479D"/>
    <w:rsid w:val="005B1C6D"/>
    <w:rsid w:val="005B21B6"/>
    <w:rsid w:val="005B3A08"/>
    <w:rsid w:val="005B4232"/>
    <w:rsid w:val="005B6851"/>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832"/>
    <w:rsid w:val="005F0775"/>
    <w:rsid w:val="005F0CF5"/>
    <w:rsid w:val="005F1B26"/>
    <w:rsid w:val="005F21EB"/>
    <w:rsid w:val="005F64CF"/>
    <w:rsid w:val="00602981"/>
    <w:rsid w:val="006041AD"/>
    <w:rsid w:val="00605908"/>
    <w:rsid w:val="00607850"/>
    <w:rsid w:val="00607EF7"/>
    <w:rsid w:val="00610D7C"/>
    <w:rsid w:val="00613414"/>
    <w:rsid w:val="00614B44"/>
    <w:rsid w:val="00614E81"/>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2892"/>
    <w:rsid w:val="0066302A"/>
    <w:rsid w:val="00667770"/>
    <w:rsid w:val="00670597"/>
    <w:rsid w:val="006706D0"/>
    <w:rsid w:val="00671653"/>
    <w:rsid w:val="00676FB9"/>
    <w:rsid w:val="00677574"/>
    <w:rsid w:val="006777F0"/>
    <w:rsid w:val="00680684"/>
    <w:rsid w:val="006812ED"/>
    <w:rsid w:val="00683878"/>
    <w:rsid w:val="00684380"/>
    <w:rsid w:val="0068454C"/>
    <w:rsid w:val="00684A16"/>
    <w:rsid w:val="00691B62"/>
    <w:rsid w:val="006933B5"/>
    <w:rsid w:val="00693546"/>
    <w:rsid w:val="00693553"/>
    <w:rsid w:val="00693D14"/>
    <w:rsid w:val="00696B0E"/>
    <w:rsid w:val="00696F27"/>
    <w:rsid w:val="006A18C2"/>
    <w:rsid w:val="006A2717"/>
    <w:rsid w:val="006A3383"/>
    <w:rsid w:val="006A4B35"/>
    <w:rsid w:val="006B077C"/>
    <w:rsid w:val="006B0C81"/>
    <w:rsid w:val="006B6803"/>
    <w:rsid w:val="006D0F16"/>
    <w:rsid w:val="006D2A3F"/>
    <w:rsid w:val="006D2FBC"/>
    <w:rsid w:val="006D3EF9"/>
    <w:rsid w:val="006D439F"/>
    <w:rsid w:val="006D5B18"/>
    <w:rsid w:val="006D6E34"/>
    <w:rsid w:val="006E138B"/>
    <w:rsid w:val="006E1867"/>
    <w:rsid w:val="006F0330"/>
    <w:rsid w:val="006F1FDC"/>
    <w:rsid w:val="006F4C97"/>
    <w:rsid w:val="006F53FB"/>
    <w:rsid w:val="006F6B76"/>
    <w:rsid w:val="006F6B8C"/>
    <w:rsid w:val="007013EF"/>
    <w:rsid w:val="007055BD"/>
    <w:rsid w:val="007173CA"/>
    <w:rsid w:val="007216AA"/>
    <w:rsid w:val="00721AB5"/>
    <w:rsid w:val="00721CFB"/>
    <w:rsid w:val="00721DEF"/>
    <w:rsid w:val="00724A43"/>
    <w:rsid w:val="007273AC"/>
    <w:rsid w:val="007277E8"/>
    <w:rsid w:val="00731AD4"/>
    <w:rsid w:val="007338B9"/>
    <w:rsid w:val="00733B6F"/>
    <w:rsid w:val="007346E4"/>
    <w:rsid w:val="00735564"/>
    <w:rsid w:val="00740F22"/>
    <w:rsid w:val="00741CF0"/>
    <w:rsid w:val="00741F1A"/>
    <w:rsid w:val="007426C2"/>
    <w:rsid w:val="007447DA"/>
    <w:rsid w:val="007450F8"/>
    <w:rsid w:val="0074696E"/>
    <w:rsid w:val="00750135"/>
    <w:rsid w:val="00750EC2"/>
    <w:rsid w:val="00752B28"/>
    <w:rsid w:val="007536BC"/>
    <w:rsid w:val="007541A9"/>
    <w:rsid w:val="00754E36"/>
    <w:rsid w:val="00763139"/>
    <w:rsid w:val="0076519D"/>
    <w:rsid w:val="00770F37"/>
    <w:rsid w:val="007711A0"/>
    <w:rsid w:val="00772D5E"/>
    <w:rsid w:val="0077463E"/>
    <w:rsid w:val="00776928"/>
    <w:rsid w:val="00776D56"/>
    <w:rsid w:val="00776E0F"/>
    <w:rsid w:val="007774B1"/>
    <w:rsid w:val="00777959"/>
    <w:rsid w:val="00777BE1"/>
    <w:rsid w:val="007805EC"/>
    <w:rsid w:val="00782222"/>
    <w:rsid w:val="007833D8"/>
    <w:rsid w:val="00785677"/>
    <w:rsid w:val="00786F16"/>
    <w:rsid w:val="00791BD7"/>
    <w:rsid w:val="007933F7"/>
    <w:rsid w:val="00796E20"/>
    <w:rsid w:val="00797C32"/>
    <w:rsid w:val="007A11E8"/>
    <w:rsid w:val="007A4D69"/>
    <w:rsid w:val="007B0914"/>
    <w:rsid w:val="007B1374"/>
    <w:rsid w:val="007B32E5"/>
    <w:rsid w:val="007B3DB9"/>
    <w:rsid w:val="007B525E"/>
    <w:rsid w:val="007B589F"/>
    <w:rsid w:val="007B6186"/>
    <w:rsid w:val="007B73BC"/>
    <w:rsid w:val="007C16E2"/>
    <w:rsid w:val="007C1838"/>
    <w:rsid w:val="007C20B9"/>
    <w:rsid w:val="007C21DB"/>
    <w:rsid w:val="007C6C76"/>
    <w:rsid w:val="007C7301"/>
    <w:rsid w:val="007C7859"/>
    <w:rsid w:val="007C7F28"/>
    <w:rsid w:val="007D1466"/>
    <w:rsid w:val="007D2BDE"/>
    <w:rsid w:val="007D2FB6"/>
    <w:rsid w:val="007D3A84"/>
    <w:rsid w:val="007D49EB"/>
    <w:rsid w:val="007D4BA1"/>
    <w:rsid w:val="007D5E1C"/>
    <w:rsid w:val="007E0DE2"/>
    <w:rsid w:val="007E3667"/>
    <w:rsid w:val="007E3B98"/>
    <w:rsid w:val="007E417A"/>
    <w:rsid w:val="007E5B1E"/>
    <w:rsid w:val="007F0C24"/>
    <w:rsid w:val="007F31B6"/>
    <w:rsid w:val="007F546C"/>
    <w:rsid w:val="007F625F"/>
    <w:rsid w:val="007F665E"/>
    <w:rsid w:val="007F7396"/>
    <w:rsid w:val="00800412"/>
    <w:rsid w:val="0080587B"/>
    <w:rsid w:val="00806468"/>
    <w:rsid w:val="008077C4"/>
    <w:rsid w:val="008119CA"/>
    <w:rsid w:val="008130C4"/>
    <w:rsid w:val="008155F0"/>
    <w:rsid w:val="00816735"/>
    <w:rsid w:val="00816760"/>
    <w:rsid w:val="0081725A"/>
    <w:rsid w:val="00820141"/>
    <w:rsid w:val="00820E0C"/>
    <w:rsid w:val="00823275"/>
    <w:rsid w:val="0082366F"/>
    <w:rsid w:val="00830DD8"/>
    <w:rsid w:val="00831B47"/>
    <w:rsid w:val="00833654"/>
    <w:rsid w:val="008338A2"/>
    <w:rsid w:val="00841AA9"/>
    <w:rsid w:val="008474FE"/>
    <w:rsid w:val="00853EE4"/>
    <w:rsid w:val="00855535"/>
    <w:rsid w:val="00857C5A"/>
    <w:rsid w:val="0086255E"/>
    <w:rsid w:val="008633F0"/>
    <w:rsid w:val="00863B7C"/>
    <w:rsid w:val="00867D9D"/>
    <w:rsid w:val="00872E0A"/>
    <w:rsid w:val="008731D0"/>
    <w:rsid w:val="00873594"/>
    <w:rsid w:val="00875285"/>
    <w:rsid w:val="00877635"/>
    <w:rsid w:val="00881461"/>
    <w:rsid w:val="00884B62"/>
    <w:rsid w:val="0088529C"/>
    <w:rsid w:val="00885924"/>
    <w:rsid w:val="00886ED6"/>
    <w:rsid w:val="00887903"/>
    <w:rsid w:val="008904F9"/>
    <w:rsid w:val="008912AA"/>
    <w:rsid w:val="008915A3"/>
    <w:rsid w:val="0089270A"/>
    <w:rsid w:val="00893AF6"/>
    <w:rsid w:val="00894BC4"/>
    <w:rsid w:val="00895C5B"/>
    <w:rsid w:val="00896890"/>
    <w:rsid w:val="008A28A8"/>
    <w:rsid w:val="008A5B32"/>
    <w:rsid w:val="008B2029"/>
    <w:rsid w:val="008B2EE4"/>
    <w:rsid w:val="008B3821"/>
    <w:rsid w:val="008B4D3D"/>
    <w:rsid w:val="008B5548"/>
    <w:rsid w:val="008B57C7"/>
    <w:rsid w:val="008C090C"/>
    <w:rsid w:val="008C2F92"/>
    <w:rsid w:val="008C3546"/>
    <w:rsid w:val="008C589D"/>
    <w:rsid w:val="008C6D51"/>
    <w:rsid w:val="008D2846"/>
    <w:rsid w:val="008D39CD"/>
    <w:rsid w:val="008D4236"/>
    <w:rsid w:val="008D462F"/>
    <w:rsid w:val="008D6DCF"/>
    <w:rsid w:val="008E0D5A"/>
    <w:rsid w:val="008E4376"/>
    <w:rsid w:val="008E7807"/>
    <w:rsid w:val="008E7A0A"/>
    <w:rsid w:val="008E7B49"/>
    <w:rsid w:val="008F59F6"/>
    <w:rsid w:val="008F608B"/>
    <w:rsid w:val="00900719"/>
    <w:rsid w:val="009017AC"/>
    <w:rsid w:val="00902A9A"/>
    <w:rsid w:val="00902D57"/>
    <w:rsid w:val="00904A1C"/>
    <w:rsid w:val="00905030"/>
    <w:rsid w:val="00906490"/>
    <w:rsid w:val="009111B2"/>
    <w:rsid w:val="00913CFE"/>
    <w:rsid w:val="009151F5"/>
    <w:rsid w:val="00917C0C"/>
    <w:rsid w:val="00920749"/>
    <w:rsid w:val="009219B9"/>
    <w:rsid w:val="00922D8D"/>
    <w:rsid w:val="009231DF"/>
    <w:rsid w:val="00924AE1"/>
    <w:rsid w:val="00924B57"/>
    <w:rsid w:val="00925C2A"/>
    <w:rsid w:val="009269B1"/>
    <w:rsid w:val="0092724D"/>
    <w:rsid w:val="009272B3"/>
    <w:rsid w:val="00930393"/>
    <w:rsid w:val="00930F6A"/>
    <w:rsid w:val="009315BE"/>
    <w:rsid w:val="009326DD"/>
    <w:rsid w:val="0093338F"/>
    <w:rsid w:val="00934158"/>
    <w:rsid w:val="00937BD9"/>
    <w:rsid w:val="00944A93"/>
    <w:rsid w:val="00950E2C"/>
    <w:rsid w:val="00951D50"/>
    <w:rsid w:val="009525EB"/>
    <w:rsid w:val="00953DD3"/>
    <w:rsid w:val="0095470B"/>
    <w:rsid w:val="00954874"/>
    <w:rsid w:val="0095615A"/>
    <w:rsid w:val="00957E24"/>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111E"/>
    <w:rsid w:val="009C245E"/>
    <w:rsid w:val="009C3CF1"/>
    <w:rsid w:val="009C5E77"/>
    <w:rsid w:val="009C7A7E"/>
    <w:rsid w:val="009D02E8"/>
    <w:rsid w:val="009D17A6"/>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4EB0"/>
    <w:rsid w:val="00A157B1"/>
    <w:rsid w:val="00A15F15"/>
    <w:rsid w:val="00A22229"/>
    <w:rsid w:val="00A24442"/>
    <w:rsid w:val="00A24ADA"/>
    <w:rsid w:val="00A316F7"/>
    <w:rsid w:val="00A31871"/>
    <w:rsid w:val="00A32577"/>
    <w:rsid w:val="00A330BB"/>
    <w:rsid w:val="00A446F5"/>
    <w:rsid w:val="00A44882"/>
    <w:rsid w:val="00A45125"/>
    <w:rsid w:val="00A501DD"/>
    <w:rsid w:val="00A54715"/>
    <w:rsid w:val="00A6061C"/>
    <w:rsid w:val="00A62D44"/>
    <w:rsid w:val="00A62EFA"/>
    <w:rsid w:val="00A669C7"/>
    <w:rsid w:val="00A67263"/>
    <w:rsid w:val="00A7161C"/>
    <w:rsid w:val="00A71CE4"/>
    <w:rsid w:val="00A72B46"/>
    <w:rsid w:val="00A763F2"/>
    <w:rsid w:val="00A77AA3"/>
    <w:rsid w:val="00A80972"/>
    <w:rsid w:val="00A8236D"/>
    <w:rsid w:val="00A84D5F"/>
    <w:rsid w:val="00A854EB"/>
    <w:rsid w:val="00A872E5"/>
    <w:rsid w:val="00A91406"/>
    <w:rsid w:val="00A94C06"/>
    <w:rsid w:val="00A96E65"/>
    <w:rsid w:val="00A96ECE"/>
    <w:rsid w:val="00A97C72"/>
    <w:rsid w:val="00AA310B"/>
    <w:rsid w:val="00AA4816"/>
    <w:rsid w:val="00AA63D4"/>
    <w:rsid w:val="00AA721C"/>
    <w:rsid w:val="00AA72AA"/>
    <w:rsid w:val="00AB06E8"/>
    <w:rsid w:val="00AB1CD3"/>
    <w:rsid w:val="00AB352F"/>
    <w:rsid w:val="00AB7BB8"/>
    <w:rsid w:val="00AC274B"/>
    <w:rsid w:val="00AC454C"/>
    <w:rsid w:val="00AC4764"/>
    <w:rsid w:val="00AC6D36"/>
    <w:rsid w:val="00AD06C8"/>
    <w:rsid w:val="00AD0CBA"/>
    <w:rsid w:val="00AD26E2"/>
    <w:rsid w:val="00AD3139"/>
    <w:rsid w:val="00AD6579"/>
    <w:rsid w:val="00AD784C"/>
    <w:rsid w:val="00AE126A"/>
    <w:rsid w:val="00AE1BAE"/>
    <w:rsid w:val="00AE3005"/>
    <w:rsid w:val="00AE3BD5"/>
    <w:rsid w:val="00AE59A0"/>
    <w:rsid w:val="00AF0C57"/>
    <w:rsid w:val="00AF26F3"/>
    <w:rsid w:val="00AF32A0"/>
    <w:rsid w:val="00AF5F04"/>
    <w:rsid w:val="00B00438"/>
    <w:rsid w:val="00B00672"/>
    <w:rsid w:val="00B01B4D"/>
    <w:rsid w:val="00B04489"/>
    <w:rsid w:val="00B06571"/>
    <w:rsid w:val="00B068BA"/>
    <w:rsid w:val="00B07217"/>
    <w:rsid w:val="00B12155"/>
    <w:rsid w:val="00B13851"/>
    <w:rsid w:val="00B138BE"/>
    <w:rsid w:val="00B13B1C"/>
    <w:rsid w:val="00B14B5F"/>
    <w:rsid w:val="00B21F90"/>
    <w:rsid w:val="00B22291"/>
    <w:rsid w:val="00B23F9A"/>
    <w:rsid w:val="00B2417B"/>
    <w:rsid w:val="00B24E6F"/>
    <w:rsid w:val="00B26CB5"/>
    <w:rsid w:val="00B2752E"/>
    <w:rsid w:val="00B307CC"/>
    <w:rsid w:val="00B326B7"/>
    <w:rsid w:val="00B3588E"/>
    <w:rsid w:val="00B37B8B"/>
    <w:rsid w:val="00B4198F"/>
    <w:rsid w:val="00B41F3D"/>
    <w:rsid w:val="00B431E8"/>
    <w:rsid w:val="00B44E00"/>
    <w:rsid w:val="00B45141"/>
    <w:rsid w:val="00B519CD"/>
    <w:rsid w:val="00B5273A"/>
    <w:rsid w:val="00B57329"/>
    <w:rsid w:val="00B60E61"/>
    <w:rsid w:val="00B62B50"/>
    <w:rsid w:val="00B635B7"/>
    <w:rsid w:val="00B63AE8"/>
    <w:rsid w:val="00B65950"/>
    <w:rsid w:val="00B6698D"/>
    <w:rsid w:val="00B66D83"/>
    <w:rsid w:val="00B672C0"/>
    <w:rsid w:val="00B676FD"/>
    <w:rsid w:val="00B678B6"/>
    <w:rsid w:val="00B7045D"/>
    <w:rsid w:val="00B73CFC"/>
    <w:rsid w:val="00B75646"/>
    <w:rsid w:val="00B7629E"/>
    <w:rsid w:val="00B82FC9"/>
    <w:rsid w:val="00B90729"/>
    <w:rsid w:val="00B907DA"/>
    <w:rsid w:val="00B94C5E"/>
    <w:rsid w:val="00B950BC"/>
    <w:rsid w:val="00B9714C"/>
    <w:rsid w:val="00BA29AD"/>
    <w:rsid w:val="00BA33CF"/>
    <w:rsid w:val="00BA3F8D"/>
    <w:rsid w:val="00BA5C38"/>
    <w:rsid w:val="00BB3B3D"/>
    <w:rsid w:val="00BB45BC"/>
    <w:rsid w:val="00BB663A"/>
    <w:rsid w:val="00BB7A10"/>
    <w:rsid w:val="00BC0C1A"/>
    <w:rsid w:val="00BC10E4"/>
    <w:rsid w:val="00BC60BE"/>
    <w:rsid w:val="00BC7468"/>
    <w:rsid w:val="00BC7D4F"/>
    <w:rsid w:val="00BC7ED7"/>
    <w:rsid w:val="00BD2850"/>
    <w:rsid w:val="00BE1CD9"/>
    <w:rsid w:val="00BE2304"/>
    <w:rsid w:val="00BE28D2"/>
    <w:rsid w:val="00BE4A64"/>
    <w:rsid w:val="00BE5E43"/>
    <w:rsid w:val="00BF557D"/>
    <w:rsid w:val="00BF658D"/>
    <w:rsid w:val="00BF7F58"/>
    <w:rsid w:val="00C00C08"/>
    <w:rsid w:val="00C01381"/>
    <w:rsid w:val="00C01AB1"/>
    <w:rsid w:val="00C026A0"/>
    <w:rsid w:val="00C039C6"/>
    <w:rsid w:val="00C045C7"/>
    <w:rsid w:val="00C06137"/>
    <w:rsid w:val="00C06929"/>
    <w:rsid w:val="00C079B8"/>
    <w:rsid w:val="00C10037"/>
    <w:rsid w:val="00C115E1"/>
    <w:rsid w:val="00C123EA"/>
    <w:rsid w:val="00C12A49"/>
    <w:rsid w:val="00C12B05"/>
    <w:rsid w:val="00C133EE"/>
    <w:rsid w:val="00C149D0"/>
    <w:rsid w:val="00C15017"/>
    <w:rsid w:val="00C15D95"/>
    <w:rsid w:val="00C15FB0"/>
    <w:rsid w:val="00C171A0"/>
    <w:rsid w:val="00C26588"/>
    <w:rsid w:val="00C26745"/>
    <w:rsid w:val="00C2747C"/>
    <w:rsid w:val="00C27B8A"/>
    <w:rsid w:val="00C27DE9"/>
    <w:rsid w:val="00C32989"/>
    <w:rsid w:val="00C33388"/>
    <w:rsid w:val="00C34338"/>
    <w:rsid w:val="00C35484"/>
    <w:rsid w:val="00C368F0"/>
    <w:rsid w:val="00C4173A"/>
    <w:rsid w:val="00C478D4"/>
    <w:rsid w:val="00C50DED"/>
    <w:rsid w:val="00C52217"/>
    <w:rsid w:val="00C54DCA"/>
    <w:rsid w:val="00C602FF"/>
    <w:rsid w:val="00C60411"/>
    <w:rsid w:val="00C61174"/>
    <w:rsid w:val="00C6148F"/>
    <w:rsid w:val="00C621B1"/>
    <w:rsid w:val="00C62F7A"/>
    <w:rsid w:val="00C63477"/>
    <w:rsid w:val="00C63B9C"/>
    <w:rsid w:val="00C6682F"/>
    <w:rsid w:val="00C67BF4"/>
    <w:rsid w:val="00C7275E"/>
    <w:rsid w:val="00C731AF"/>
    <w:rsid w:val="00C74C5D"/>
    <w:rsid w:val="00C76BDF"/>
    <w:rsid w:val="00C807EA"/>
    <w:rsid w:val="00C81075"/>
    <w:rsid w:val="00C81E73"/>
    <w:rsid w:val="00C863C4"/>
    <w:rsid w:val="00C870A8"/>
    <w:rsid w:val="00C90DAB"/>
    <w:rsid w:val="00C91229"/>
    <w:rsid w:val="00C920EA"/>
    <w:rsid w:val="00C93C3E"/>
    <w:rsid w:val="00CA12E3"/>
    <w:rsid w:val="00CA1476"/>
    <w:rsid w:val="00CA6611"/>
    <w:rsid w:val="00CA6AE6"/>
    <w:rsid w:val="00CA782F"/>
    <w:rsid w:val="00CB187B"/>
    <w:rsid w:val="00CB2835"/>
    <w:rsid w:val="00CB2D8F"/>
    <w:rsid w:val="00CB3285"/>
    <w:rsid w:val="00CB4500"/>
    <w:rsid w:val="00CB48A7"/>
    <w:rsid w:val="00CB5EA8"/>
    <w:rsid w:val="00CC0C72"/>
    <w:rsid w:val="00CC2BFD"/>
    <w:rsid w:val="00CC6F40"/>
    <w:rsid w:val="00CD3476"/>
    <w:rsid w:val="00CD64DF"/>
    <w:rsid w:val="00CD768F"/>
    <w:rsid w:val="00CE225F"/>
    <w:rsid w:val="00CE3D41"/>
    <w:rsid w:val="00CF1E63"/>
    <w:rsid w:val="00CF230C"/>
    <w:rsid w:val="00CF2F50"/>
    <w:rsid w:val="00CF6198"/>
    <w:rsid w:val="00CF6401"/>
    <w:rsid w:val="00D01494"/>
    <w:rsid w:val="00D02919"/>
    <w:rsid w:val="00D03B90"/>
    <w:rsid w:val="00D04C61"/>
    <w:rsid w:val="00D05B8D"/>
    <w:rsid w:val="00D05B9B"/>
    <w:rsid w:val="00D065A2"/>
    <w:rsid w:val="00D079AA"/>
    <w:rsid w:val="00D07F00"/>
    <w:rsid w:val="00D1130F"/>
    <w:rsid w:val="00D1571F"/>
    <w:rsid w:val="00D17B72"/>
    <w:rsid w:val="00D24BDF"/>
    <w:rsid w:val="00D3121D"/>
    <w:rsid w:val="00D3185C"/>
    <w:rsid w:val="00D3205F"/>
    <w:rsid w:val="00D3318E"/>
    <w:rsid w:val="00D33E72"/>
    <w:rsid w:val="00D35BD6"/>
    <w:rsid w:val="00D361B5"/>
    <w:rsid w:val="00D4066D"/>
    <w:rsid w:val="00D40FC8"/>
    <w:rsid w:val="00D411A2"/>
    <w:rsid w:val="00D433F1"/>
    <w:rsid w:val="00D44917"/>
    <w:rsid w:val="00D45353"/>
    <w:rsid w:val="00D454F5"/>
    <w:rsid w:val="00D4606D"/>
    <w:rsid w:val="00D50B9C"/>
    <w:rsid w:val="00D513AF"/>
    <w:rsid w:val="00D529F4"/>
    <w:rsid w:val="00D52D73"/>
    <w:rsid w:val="00D52E58"/>
    <w:rsid w:val="00D53D02"/>
    <w:rsid w:val="00D56B20"/>
    <w:rsid w:val="00D578B3"/>
    <w:rsid w:val="00D610EA"/>
    <w:rsid w:val="00D618F4"/>
    <w:rsid w:val="00D6288E"/>
    <w:rsid w:val="00D63636"/>
    <w:rsid w:val="00D640AD"/>
    <w:rsid w:val="00D661D6"/>
    <w:rsid w:val="00D66680"/>
    <w:rsid w:val="00D714CC"/>
    <w:rsid w:val="00D72F0B"/>
    <w:rsid w:val="00D737A4"/>
    <w:rsid w:val="00D73CE7"/>
    <w:rsid w:val="00D74F8B"/>
    <w:rsid w:val="00D75EA7"/>
    <w:rsid w:val="00D77252"/>
    <w:rsid w:val="00D81ADF"/>
    <w:rsid w:val="00D81F21"/>
    <w:rsid w:val="00D826AD"/>
    <w:rsid w:val="00D83D06"/>
    <w:rsid w:val="00D8532D"/>
    <w:rsid w:val="00D864F2"/>
    <w:rsid w:val="00D871E3"/>
    <w:rsid w:val="00D90A4C"/>
    <w:rsid w:val="00D90C95"/>
    <w:rsid w:val="00D943F8"/>
    <w:rsid w:val="00D95470"/>
    <w:rsid w:val="00D96B55"/>
    <w:rsid w:val="00D97603"/>
    <w:rsid w:val="00DA2619"/>
    <w:rsid w:val="00DA4239"/>
    <w:rsid w:val="00DA588C"/>
    <w:rsid w:val="00DA65DE"/>
    <w:rsid w:val="00DB0B61"/>
    <w:rsid w:val="00DB1474"/>
    <w:rsid w:val="00DB2962"/>
    <w:rsid w:val="00DB52FB"/>
    <w:rsid w:val="00DB60CF"/>
    <w:rsid w:val="00DC00C1"/>
    <w:rsid w:val="00DC013B"/>
    <w:rsid w:val="00DC090B"/>
    <w:rsid w:val="00DC1679"/>
    <w:rsid w:val="00DC219B"/>
    <w:rsid w:val="00DC2CF1"/>
    <w:rsid w:val="00DC2DC7"/>
    <w:rsid w:val="00DC3A7C"/>
    <w:rsid w:val="00DC4FCF"/>
    <w:rsid w:val="00DC50E0"/>
    <w:rsid w:val="00DC6386"/>
    <w:rsid w:val="00DD1130"/>
    <w:rsid w:val="00DD1951"/>
    <w:rsid w:val="00DD1D4B"/>
    <w:rsid w:val="00DD487D"/>
    <w:rsid w:val="00DD4E83"/>
    <w:rsid w:val="00DD567D"/>
    <w:rsid w:val="00DD59DF"/>
    <w:rsid w:val="00DD6628"/>
    <w:rsid w:val="00DD6945"/>
    <w:rsid w:val="00DE2D04"/>
    <w:rsid w:val="00DE3245"/>
    <w:rsid w:val="00DE3250"/>
    <w:rsid w:val="00DE6028"/>
    <w:rsid w:val="00DE6C85"/>
    <w:rsid w:val="00DE78A3"/>
    <w:rsid w:val="00DF1A71"/>
    <w:rsid w:val="00DF341C"/>
    <w:rsid w:val="00DF50FC"/>
    <w:rsid w:val="00DF6142"/>
    <w:rsid w:val="00DF68C7"/>
    <w:rsid w:val="00DF731A"/>
    <w:rsid w:val="00E04BBB"/>
    <w:rsid w:val="00E06B75"/>
    <w:rsid w:val="00E11332"/>
    <w:rsid w:val="00E11352"/>
    <w:rsid w:val="00E1638F"/>
    <w:rsid w:val="00E170DC"/>
    <w:rsid w:val="00E17546"/>
    <w:rsid w:val="00E210B5"/>
    <w:rsid w:val="00E231FB"/>
    <w:rsid w:val="00E261B3"/>
    <w:rsid w:val="00E26818"/>
    <w:rsid w:val="00E27FFC"/>
    <w:rsid w:val="00E30335"/>
    <w:rsid w:val="00E30B15"/>
    <w:rsid w:val="00E33237"/>
    <w:rsid w:val="00E35F51"/>
    <w:rsid w:val="00E360E0"/>
    <w:rsid w:val="00E40181"/>
    <w:rsid w:val="00E47C4D"/>
    <w:rsid w:val="00E54950"/>
    <w:rsid w:val="00E5536B"/>
    <w:rsid w:val="00E55FB3"/>
    <w:rsid w:val="00E56633"/>
    <w:rsid w:val="00E56A01"/>
    <w:rsid w:val="00E5741D"/>
    <w:rsid w:val="00E629A1"/>
    <w:rsid w:val="00E6794C"/>
    <w:rsid w:val="00E71591"/>
    <w:rsid w:val="00E71CEB"/>
    <w:rsid w:val="00E7449F"/>
    <w:rsid w:val="00E7474F"/>
    <w:rsid w:val="00E80DE3"/>
    <w:rsid w:val="00E82C55"/>
    <w:rsid w:val="00E8787E"/>
    <w:rsid w:val="00E92AC3"/>
    <w:rsid w:val="00E93B20"/>
    <w:rsid w:val="00E93EAC"/>
    <w:rsid w:val="00E9716B"/>
    <w:rsid w:val="00EA2709"/>
    <w:rsid w:val="00EA2F6A"/>
    <w:rsid w:val="00EB00E0"/>
    <w:rsid w:val="00EB05D5"/>
    <w:rsid w:val="00EB4631"/>
    <w:rsid w:val="00EB4BC7"/>
    <w:rsid w:val="00EC059F"/>
    <w:rsid w:val="00EC15BB"/>
    <w:rsid w:val="00EC1F24"/>
    <w:rsid w:val="00EC22F6"/>
    <w:rsid w:val="00EC3DB9"/>
    <w:rsid w:val="00EC4524"/>
    <w:rsid w:val="00EC56AB"/>
    <w:rsid w:val="00EC79FF"/>
    <w:rsid w:val="00ED2765"/>
    <w:rsid w:val="00ED5B9B"/>
    <w:rsid w:val="00ED6BAD"/>
    <w:rsid w:val="00ED7141"/>
    <w:rsid w:val="00ED7447"/>
    <w:rsid w:val="00ED7762"/>
    <w:rsid w:val="00EE00D6"/>
    <w:rsid w:val="00EE11E7"/>
    <w:rsid w:val="00EE1488"/>
    <w:rsid w:val="00EE29AD"/>
    <w:rsid w:val="00EE3E24"/>
    <w:rsid w:val="00EE4D5D"/>
    <w:rsid w:val="00EE5131"/>
    <w:rsid w:val="00EF109B"/>
    <w:rsid w:val="00EF201C"/>
    <w:rsid w:val="00EF2C72"/>
    <w:rsid w:val="00EF36AF"/>
    <w:rsid w:val="00EF3CD1"/>
    <w:rsid w:val="00EF59A3"/>
    <w:rsid w:val="00EF59FD"/>
    <w:rsid w:val="00EF608F"/>
    <w:rsid w:val="00EF6675"/>
    <w:rsid w:val="00F0063D"/>
    <w:rsid w:val="00F00F9C"/>
    <w:rsid w:val="00F01E5F"/>
    <w:rsid w:val="00F024F3"/>
    <w:rsid w:val="00F02ABA"/>
    <w:rsid w:val="00F0437A"/>
    <w:rsid w:val="00F101B8"/>
    <w:rsid w:val="00F11037"/>
    <w:rsid w:val="00F11F09"/>
    <w:rsid w:val="00F148B0"/>
    <w:rsid w:val="00F15144"/>
    <w:rsid w:val="00F16F1B"/>
    <w:rsid w:val="00F250A9"/>
    <w:rsid w:val="00F267AF"/>
    <w:rsid w:val="00F30FF4"/>
    <w:rsid w:val="00F3122E"/>
    <w:rsid w:val="00F32368"/>
    <w:rsid w:val="00F331AD"/>
    <w:rsid w:val="00F35287"/>
    <w:rsid w:val="00F40A70"/>
    <w:rsid w:val="00F43A37"/>
    <w:rsid w:val="00F44E04"/>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1F4C"/>
    <w:rsid w:val="00F7271C"/>
    <w:rsid w:val="00F72C2C"/>
    <w:rsid w:val="00F741F2"/>
    <w:rsid w:val="00F76CAB"/>
    <w:rsid w:val="00F772C6"/>
    <w:rsid w:val="00F815B5"/>
    <w:rsid w:val="00F85195"/>
    <w:rsid w:val="00F857D4"/>
    <w:rsid w:val="00F868E3"/>
    <w:rsid w:val="00F8694A"/>
    <w:rsid w:val="00F86DA2"/>
    <w:rsid w:val="00F9208C"/>
    <w:rsid w:val="00F938BA"/>
    <w:rsid w:val="00F95CCC"/>
    <w:rsid w:val="00F97919"/>
    <w:rsid w:val="00FA230B"/>
    <w:rsid w:val="00FA2AF9"/>
    <w:rsid w:val="00FA2C46"/>
    <w:rsid w:val="00FA3525"/>
    <w:rsid w:val="00FA5A53"/>
    <w:rsid w:val="00FB0C51"/>
    <w:rsid w:val="00FB1F6E"/>
    <w:rsid w:val="00FB4769"/>
    <w:rsid w:val="00FB4CDA"/>
    <w:rsid w:val="00FB6481"/>
    <w:rsid w:val="00FB6D36"/>
    <w:rsid w:val="00FC0965"/>
    <w:rsid w:val="00FC0F81"/>
    <w:rsid w:val="00FC252F"/>
    <w:rsid w:val="00FC31E6"/>
    <w:rsid w:val="00FC395C"/>
    <w:rsid w:val="00FC5E8E"/>
    <w:rsid w:val="00FC670F"/>
    <w:rsid w:val="00FC6DB7"/>
    <w:rsid w:val="00FD3766"/>
    <w:rsid w:val="00FD3D05"/>
    <w:rsid w:val="00FD47C4"/>
    <w:rsid w:val="00FE1360"/>
    <w:rsid w:val="00FE2DCF"/>
    <w:rsid w:val="00FE331E"/>
    <w:rsid w:val="00FE3FA7"/>
    <w:rsid w:val="00FE4081"/>
    <w:rsid w:val="00FE6E6D"/>
    <w:rsid w:val="00FF0B86"/>
    <w:rsid w:val="00FF2A4E"/>
    <w:rsid w:val="00FF2FCE"/>
    <w:rsid w:val="00FF379F"/>
    <w:rsid w:val="00FF4F7D"/>
    <w:rsid w:val="00FF6D9D"/>
    <w:rsid w:val="00FF7620"/>
    <w:rsid w:val="00FF7DD5"/>
    <w:rsid w:val="0AC1D3C6"/>
    <w:rsid w:val="2F5C76FC"/>
    <w:rsid w:val="35BADF19"/>
    <w:rsid w:val="36F6DCC7"/>
    <w:rsid w:val="3C75B9F1"/>
    <w:rsid w:val="63336D18"/>
    <w:rsid w:val="6737FE0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51E34C"/>
  <w15:docId w15:val="{7B90F8CC-F6D6-434D-84BB-1E876FED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6F53FB"/>
    <w:rPr>
      <w:sz w:val="18"/>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573A41"/>
    <w:pPr>
      <w:spacing w:before="60" w:after="60" w:line="220" w:lineRule="atLeast"/>
    </w:pPr>
    <w:rPr>
      <w:rFonts w:eastAsia="MS Gothic" w:cs="Arial"/>
      <w:sz w:val="20"/>
      <w:szCs w:val="16"/>
    </w:rPr>
  </w:style>
  <w:style w:type="character" w:customStyle="1" w:styleId="FootnoteTextChar">
    <w:name w:val="Footnote Text Char"/>
    <w:link w:val="FootnoteText"/>
    <w:uiPriority w:val="8"/>
    <w:rsid w:val="004A4195"/>
    <w:rPr>
      <w:rFonts w:ascii="Arial" w:eastAsia="MS Gothic" w:hAnsi="Arial" w:cs="Arial"/>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8E0D5A"/>
    <w:rPr>
      <w:color w:val="201547"/>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A763F2"/>
    <w:pPr>
      <w:numPr>
        <w:numId w:val="4"/>
      </w:numPr>
      <w:ind w:left="284" w:hanging="284"/>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Caption">
    <w:name w:val="caption"/>
    <w:basedOn w:val="Normal"/>
    <w:next w:val="Normal"/>
    <w:uiPriority w:val="35"/>
    <w:unhideWhenUsed/>
    <w:qFormat/>
    <w:rsid w:val="00CF6401"/>
    <w:pPr>
      <w:spacing w:before="240" w:line="250" w:lineRule="atLeast"/>
    </w:pPr>
    <w:rPr>
      <w:b/>
      <w:iCs/>
      <w:color w:val="000000" w:themeColor="text1"/>
      <w:szCs w:val="18"/>
    </w:rPr>
  </w:style>
  <w:style w:type="character" w:styleId="Emphasis">
    <w:name w:val="Emphasis"/>
    <w:basedOn w:val="DefaultParagraphFont"/>
    <w:uiPriority w:val="20"/>
    <w:rsid w:val="00D737A4"/>
    <w:rPr>
      <w:i/>
      <w:iCs/>
    </w:rPr>
  </w:style>
  <w:style w:type="paragraph" w:styleId="ListParagraph">
    <w:name w:val="List Paragraph"/>
    <w:basedOn w:val="Normal"/>
    <w:uiPriority w:val="72"/>
    <w:semiHidden/>
    <w:qFormat/>
    <w:rsid w:val="002738B4"/>
    <w:pPr>
      <w:ind w:left="720"/>
      <w:contextualSpacing/>
    </w:pPr>
  </w:style>
  <w:style w:type="character" w:customStyle="1" w:styleId="HeadingChar">
    <w:name w:val="Heading Char"/>
    <w:basedOn w:val="DefaultParagraphFont"/>
    <w:link w:val="Heading"/>
    <w:locked/>
    <w:rsid w:val="004206D0"/>
    <w:rPr>
      <w:rFonts w:ascii="Times Sans Serif" w:eastAsiaTheme="minorEastAsia" w:hAnsi="Times Sans Serif" w:cs="Times Sans Serif"/>
      <w:color w:val="596B61"/>
      <w:sz w:val="22"/>
      <w:szCs w:val="22"/>
      <w:lang w:eastAsia="zh-CN"/>
    </w:rPr>
  </w:style>
  <w:style w:type="paragraph" w:customStyle="1" w:styleId="Heading">
    <w:name w:val="Heading"/>
    <w:basedOn w:val="Normal"/>
    <w:link w:val="HeadingChar"/>
    <w:qFormat/>
    <w:rsid w:val="004206D0"/>
    <w:pPr>
      <w:spacing w:after="160" w:line="256" w:lineRule="auto"/>
      <w:ind w:left="360" w:right="324"/>
    </w:pPr>
    <w:rPr>
      <w:rFonts w:ascii="Times Sans Serif" w:eastAsiaTheme="minorEastAsia" w:hAnsi="Times Sans Serif" w:cs="Times Sans Serif"/>
      <w:color w:val="596B6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reativecommons.org/licenses/by/4.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https://www.vic.gov.au/responding-family-violence-capability-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cwe@dffh.vic.gov.au"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ic.gov.au/mandatory-minimum-qualifications-specialist-family-violence-practition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mandatory-minimum-qualifications-specialist-family-violence-practitio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teal%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51EDB20BE31409279BAB145E91DB0" ma:contentTypeVersion="12" ma:contentTypeDescription="Create a new document." ma:contentTypeScope="" ma:versionID="eb752cfef45d29cc122133062d0907e8">
  <xsd:schema xmlns:xsd="http://www.w3.org/2001/XMLSchema" xmlns:xs="http://www.w3.org/2001/XMLSchema" xmlns:p="http://schemas.microsoft.com/office/2006/metadata/properties" xmlns:ns2="5c1e3233-5f37-4d45-9994-af6cd1ac05d9" xmlns:ns3="807d706e-499e-4fe7-bd89-51ae0876d68a" targetNamespace="http://schemas.microsoft.com/office/2006/metadata/properties" ma:root="true" ma:fieldsID="08d321c9e642e10862b102e78482d59b" ns2:_="" ns3:_="">
    <xsd:import namespace="5c1e3233-5f37-4d45-9994-af6cd1ac05d9"/>
    <xsd:import namespace="807d706e-499e-4fe7-bd89-51ae0876d6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e3233-5f37-4d45-9994-af6cd1ac0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7d706e-499e-4fe7-bd89-51ae0876d6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ec7856-626e-444d-9ce0-c4b6a0585dc1}" ma:internalName="TaxCatchAll" ma:showField="CatchAllData" ma:web="807d706e-499e-4fe7-bd89-51ae0876d6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7d706e-499e-4fe7-bd89-51ae0876d68a" xsi:nil="true"/>
    <lcf76f155ced4ddcb4097134ff3c332f xmlns="5c1e3233-5f37-4d45-9994-af6cd1ac05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BC15-BE2D-42A8-B30F-5E863C8B6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e3233-5f37-4d45-9994-af6cd1ac05d9"/>
    <ds:schemaRef ds:uri="807d706e-499e-4fe7-bd89-51ae0876d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07d706e-499e-4fe7-bd89-51ae0876d68a"/>
    <ds:schemaRef ds:uri="5c1e3233-5f37-4d45-9994-af6cd1ac05d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DFFH%20teal%20report.dotx</Template>
  <TotalTime>323</TotalTime>
  <Pages>1</Pages>
  <Words>6234</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MMQ Policy Return to Practice Guidelines </vt:lpstr>
    </vt:vector>
  </TitlesOfParts>
  <Company>Victoria State Government, Department of Families, Fairness and Housing</Company>
  <LinksUpToDate>false</LinksUpToDate>
  <CharactersWithSpaces>41691</CharactersWithSpaces>
  <SharedDoc>false</SharedDoc>
  <HyperlinkBase/>
  <HLinks>
    <vt:vector size="192" baseType="variant">
      <vt:variant>
        <vt:i4>3014757</vt:i4>
      </vt:variant>
      <vt:variant>
        <vt:i4>168</vt:i4>
      </vt:variant>
      <vt:variant>
        <vt:i4>0</vt:i4>
      </vt:variant>
      <vt:variant>
        <vt:i4>5</vt:i4>
      </vt:variant>
      <vt:variant>
        <vt:lpwstr>https://www.vic.gov.au/responding-family-violence-capability-framework</vt:lpwstr>
      </vt:variant>
      <vt:variant>
        <vt:lpwstr/>
      </vt:variant>
      <vt:variant>
        <vt:i4>4325490</vt:i4>
      </vt:variant>
      <vt:variant>
        <vt:i4>165</vt:i4>
      </vt:variant>
      <vt:variant>
        <vt:i4>0</vt:i4>
      </vt:variant>
      <vt:variant>
        <vt:i4>5</vt:i4>
      </vt:variant>
      <vt:variant>
        <vt:lpwstr/>
      </vt:variant>
      <vt:variant>
        <vt:lpwstr>_Return_to_Practice</vt:lpwstr>
      </vt:variant>
      <vt:variant>
        <vt:i4>4915284</vt:i4>
      </vt:variant>
      <vt:variant>
        <vt:i4>162</vt:i4>
      </vt:variant>
      <vt:variant>
        <vt:i4>0</vt:i4>
      </vt:variant>
      <vt:variant>
        <vt:i4>5</vt:i4>
      </vt:variant>
      <vt:variant>
        <vt:lpwstr/>
      </vt:variant>
      <vt:variant>
        <vt:lpwstr>_Upskilling_activities</vt:lpwstr>
      </vt:variant>
      <vt:variant>
        <vt:i4>4915284</vt:i4>
      </vt:variant>
      <vt:variant>
        <vt:i4>159</vt:i4>
      </vt:variant>
      <vt:variant>
        <vt:i4>0</vt:i4>
      </vt:variant>
      <vt:variant>
        <vt:i4>5</vt:i4>
      </vt:variant>
      <vt:variant>
        <vt:lpwstr/>
      </vt:variant>
      <vt:variant>
        <vt:lpwstr>_Upskilling_activities</vt:lpwstr>
      </vt:variant>
      <vt:variant>
        <vt:i4>544407590</vt:i4>
      </vt:variant>
      <vt:variant>
        <vt:i4>156</vt:i4>
      </vt:variant>
      <vt:variant>
        <vt:i4>0</vt:i4>
      </vt:variant>
      <vt:variant>
        <vt:i4>5</vt:i4>
      </vt:variant>
      <vt:variant>
        <vt:lpwstr/>
      </vt:variant>
      <vt:variant>
        <vt:lpwstr>_Identifying_a_practitioner’s</vt:lpwstr>
      </vt:variant>
      <vt:variant>
        <vt:i4>1703995</vt:i4>
      </vt:variant>
      <vt:variant>
        <vt:i4>149</vt:i4>
      </vt:variant>
      <vt:variant>
        <vt:i4>0</vt:i4>
      </vt:variant>
      <vt:variant>
        <vt:i4>5</vt:i4>
      </vt:variant>
      <vt:variant>
        <vt:lpwstr/>
      </vt:variant>
      <vt:variant>
        <vt:lpwstr>_Toc226965938</vt:lpwstr>
      </vt:variant>
      <vt:variant>
        <vt:i4>1703995</vt:i4>
      </vt:variant>
      <vt:variant>
        <vt:i4>143</vt:i4>
      </vt:variant>
      <vt:variant>
        <vt:i4>0</vt:i4>
      </vt:variant>
      <vt:variant>
        <vt:i4>5</vt:i4>
      </vt:variant>
      <vt:variant>
        <vt:lpwstr/>
      </vt:variant>
      <vt:variant>
        <vt:lpwstr>_Toc226965937</vt:lpwstr>
      </vt:variant>
      <vt:variant>
        <vt:i4>1703995</vt:i4>
      </vt:variant>
      <vt:variant>
        <vt:i4>137</vt:i4>
      </vt:variant>
      <vt:variant>
        <vt:i4>0</vt:i4>
      </vt:variant>
      <vt:variant>
        <vt:i4>5</vt:i4>
      </vt:variant>
      <vt:variant>
        <vt:lpwstr/>
      </vt:variant>
      <vt:variant>
        <vt:lpwstr>_Toc226965936</vt:lpwstr>
      </vt:variant>
      <vt:variant>
        <vt:i4>1703995</vt:i4>
      </vt:variant>
      <vt:variant>
        <vt:i4>131</vt:i4>
      </vt:variant>
      <vt:variant>
        <vt:i4>0</vt:i4>
      </vt:variant>
      <vt:variant>
        <vt:i4>5</vt:i4>
      </vt:variant>
      <vt:variant>
        <vt:lpwstr/>
      </vt:variant>
      <vt:variant>
        <vt:lpwstr>_Toc226965935</vt:lpwstr>
      </vt:variant>
      <vt:variant>
        <vt:i4>1703995</vt:i4>
      </vt:variant>
      <vt:variant>
        <vt:i4>125</vt:i4>
      </vt:variant>
      <vt:variant>
        <vt:i4>0</vt:i4>
      </vt:variant>
      <vt:variant>
        <vt:i4>5</vt:i4>
      </vt:variant>
      <vt:variant>
        <vt:lpwstr/>
      </vt:variant>
      <vt:variant>
        <vt:lpwstr>_Toc226965934</vt:lpwstr>
      </vt:variant>
      <vt:variant>
        <vt:i4>1703995</vt:i4>
      </vt:variant>
      <vt:variant>
        <vt:i4>119</vt:i4>
      </vt:variant>
      <vt:variant>
        <vt:i4>0</vt:i4>
      </vt:variant>
      <vt:variant>
        <vt:i4>5</vt:i4>
      </vt:variant>
      <vt:variant>
        <vt:lpwstr/>
      </vt:variant>
      <vt:variant>
        <vt:lpwstr>_Toc226965933</vt:lpwstr>
      </vt:variant>
      <vt:variant>
        <vt:i4>1703995</vt:i4>
      </vt:variant>
      <vt:variant>
        <vt:i4>113</vt:i4>
      </vt:variant>
      <vt:variant>
        <vt:i4>0</vt:i4>
      </vt:variant>
      <vt:variant>
        <vt:i4>5</vt:i4>
      </vt:variant>
      <vt:variant>
        <vt:lpwstr/>
      </vt:variant>
      <vt:variant>
        <vt:lpwstr>_Toc226965932</vt:lpwstr>
      </vt:variant>
      <vt:variant>
        <vt:i4>1703995</vt:i4>
      </vt:variant>
      <vt:variant>
        <vt:i4>107</vt:i4>
      </vt:variant>
      <vt:variant>
        <vt:i4>0</vt:i4>
      </vt:variant>
      <vt:variant>
        <vt:i4>5</vt:i4>
      </vt:variant>
      <vt:variant>
        <vt:lpwstr/>
      </vt:variant>
      <vt:variant>
        <vt:lpwstr>_Toc226965931</vt:lpwstr>
      </vt:variant>
      <vt:variant>
        <vt:i4>1703995</vt:i4>
      </vt:variant>
      <vt:variant>
        <vt:i4>101</vt:i4>
      </vt:variant>
      <vt:variant>
        <vt:i4>0</vt:i4>
      </vt:variant>
      <vt:variant>
        <vt:i4>5</vt:i4>
      </vt:variant>
      <vt:variant>
        <vt:lpwstr/>
      </vt:variant>
      <vt:variant>
        <vt:lpwstr>_Toc226965930</vt:lpwstr>
      </vt:variant>
      <vt:variant>
        <vt:i4>1769531</vt:i4>
      </vt:variant>
      <vt:variant>
        <vt:i4>95</vt:i4>
      </vt:variant>
      <vt:variant>
        <vt:i4>0</vt:i4>
      </vt:variant>
      <vt:variant>
        <vt:i4>5</vt:i4>
      </vt:variant>
      <vt:variant>
        <vt:lpwstr/>
      </vt:variant>
      <vt:variant>
        <vt:lpwstr>_Toc226965929</vt:lpwstr>
      </vt:variant>
      <vt:variant>
        <vt:i4>1769531</vt:i4>
      </vt:variant>
      <vt:variant>
        <vt:i4>89</vt:i4>
      </vt:variant>
      <vt:variant>
        <vt:i4>0</vt:i4>
      </vt:variant>
      <vt:variant>
        <vt:i4>5</vt:i4>
      </vt:variant>
      <vt:variant>
        <vt:lpwstr/>
      </vt:variant>
      <vt:variant>
        <vt:lpwstr>_Toc226965928</vt:lpwstr>
      </vt:variant>
      <vt:variant>
        <vt:i4>1769531</vt:i4>
      </vt:variant>
      <vt:variant>
        <vt:i4>83</vt:i4>
      </vt:variant>
      <vt:variant>
        <vt:i4>0</vt:i4>
      </vt:variant>
      <vt:variant>
        <vt:i4>5</vt:i4>
      </vt:variant>
      <vt:variant>
        <vt:lpwstr/>
      </vt:variant>
      <vt:variant>
        <vt:lpwstr>_Toc226965927</vt:lpwstr>
      </vt:variant>
      <vt:variant>
        <vt:i4>1769531</vt:i4>
      </vt:variant>
      <vt:variant>
        <vt:i4>77</vt:i4>
      </vt:variant>
      <vt:variant>
        <vt:i4>0</vt:i4>
      </vt:variant>
      <vt:variant>
        <vt:i4>5</vt:i4>
      </vt:variant>
      <vt:variant>
        <vt:lpwstr/>
      </vt:variant>
      <vt:variant>
        <vt:lpwstr>_Toc226965926</vt:lpwstr>
      </vt:variant>
      <vt:variant>
        <vt:i4>1769531</vt:i4>
      </vt:variant>
      <vt:variant>
        <vt:i4>71</vt:i4>
      </vt:variant>
      <vt:variant>
        <vt:i4>0</vt:i4>
      </vt:variant>
      <vt:variant>
        <vt:i4>5</vt:i4>
      </vt:variant>
      <vt:variant>
        <vt:lpwstr/>
      </vt:variant>
      <vt:variant>
        <vt:lpwstr>_Toc226965925</vt:lpwstr>
      </vt:variant>
      <vt:variant>
        <vt:i4>1769531</vt:i4>
      </vt:variant>
      <vt:variant>
        <vt:i4>65</vt:i4>
      </vt:variant>
      <vt:variant>
        <vt:i4>0</vt:i4>
      </vt:variant>
      <vt:variant>
        <vt:i4>5</vt:i4>
      </vt:variant>
      <vt:variant>
        <vt:lpwstr/>
      </vt:variant>
      <vt:variant>
        <vt:lpwstr>_Toc226965924</vt:lpwstr>
      </vt:variant>
      <vt:variant>
        <vt:i4>1769531</vt:i4>
      </vt:variant>
      <vt:variant>
        <vt:i4>59</vt:i4>
      </vt:variant>
      <vt:variant>
        <vt:i4>0</vt:i4>
      </vt:variant>
      <vt:variant>
        <vt:i4>5</vt:i4>
      </vt:variant>
      <vt:variant>
        <vt:lpwstr/>
      </vt:variant>
      <vt:variant>
        <vt:lpwstr>_Toc226965923</vt:lpwstr>
      </vt:variant>
      <vt:variant>
        <vt:i4>1769531</vt:i4>
      </vt:variant>
      <vt:variant>
        <vt:i4>53</vt:i4>
      </vt:variant>
      <vt:variant>
        <vt:i4>0</vt:i4>
      </vt:variant>
      <vt:variant>
        <vt:i4>5</vt:i4>
      </vt:variant>
      <vt:variant>
        <vt:lpwstr/>
      </vt:variant>
      <vt:variant>
        <vt:lpwstr>_Toc226965922</vt:lpwstr>
      </vt:variant>
      <vt:variant>
        <vt:i4>1769531</vt:i4>
      </vt:variant>
      <vt:variant>
        <vt:i4>47</vt:i4>
      </vt:variant>
      <vt:variant>
        <vt:i4>0</vt:i4>
      </vt:variant>
      <vt:variant>
        <vt:i4>5</vt:i4>
      </vt:variant>
      <vt:variant>
        <vt:lpwstr/>
      </vt:variant>
      <vt:variant>
        <vt:lpwstr>_Toc226965921</vt:lpwstr>
      </vt:variant>
      <vt:variant>
        <vt:i4>1769531</vt:i4>
      </vt:variant>
      <vt:variant>
        <vt:i4>41</vt:i4>
      </vt:variant>
      <vt:variant>
        <vt:i4>0</vt:i4>
      </vt:variant>
      <vt:variant>
        <vt:i4>5</vt:i4>
      </vt:variant>
      <vt:variant>
        <vt:lpwstr/>
      </vt:variant>
      <vt:variant>
        <vt:lpwstr>_Toc226965920</vt:lpwstr>
      </vt:variant>
      <vt:variant>
        <vt:i4>1572923</vt:i4>
      </vt:variant>
      <vt:variant>
        <vt:i4>35</vt:i4>
      </vt:variant>
      <vt:variant>
        <vt:i4>0</vt:i4>
      </vt:variant>
      <vt:variant>
        <vt:i4>5</vt:i4>
      </vt:variant>
      <vt:variant>
        <vt:lpwstr/>
      </vt:variant>
      <vt:variant>
        <vt:lpwstr>_Toc226965919</vt:lpwstr>
      </vt:variant>
      <vt:variant>
        <vt:i4>1572923</vt:i4>
      </vt:variant>
      <vt:variant>
        <vt:i4>29</vt:i4>
      </vt:variant>
      <vt:variant>
        <vt:i4>0</vt:i4>
      </vt:variant>
      <vt:variant>
        <vt:i4>5</vt:i4>
      </vt:variant>
      <vt:variant>
        <vt:lpwstr/>
      </vt:variant>
      <vt:variant>
        <vt:lpwstr>_Toc226965918</vt:lpwstr>
      </vt:variant>
      <vt:variant>
        <vt:i4>1572923</vt:i4>
      </vt:variant>
      <vt:variant>
        <vt:i4>23</vt:i4>
      </vt:variant>
      <vt:variant>
        <vt:i4>0</vt:i4>
      </vt:variant>
      <vt:variant>
        <vt:i4>5</vt:i4>
      </vt:variant>
      <vt:variant>
        <vt:lpwstr/>
      </vt:variant>
      <vt:variant>
        <vt:lpwstr>_Toc226965917</vt:lpwstr>
      </vt:variant>
      <vt:variant>
        <vt:i4>1572923</vt:i4>
      </vt:variant>
      <vt:variant>
        <vt:i4>17</vt:i4>
      </vt:variant>
      <vt:variant>
        <vt:i4>0</vt:i4>
      </vt:variant>
      <vt:variant>
        <vt:i4>5</vt:i4>
      </vt:variant>
      <vt:variant>
        <vt:lpwstr/>
      </vt:variant>
      <vt:variant>
        <vt:lpwstr>_Toc226965916</vt:lpwstr>
      </vt:variant>
      <vt:variant>
        <vt:i4>1572923</vt:i4>
      </vt:variant>
      <vt:variant>
        <vt:i4>11</vt:i4>
      </vt:variant>
      <vt:variant>
        <vt:i4>0</vt:i4>
      </vt:variant>
      <vt:variant>
        <vt:i4>5</vt:i4>
      </vt:variant>
      <vt:variant>
        <vt:lpwstr/>
      </vt:variant>
      <vt:variant>
        <vt:lpwstr>_Toc226965915</vt:lpwstr>
      </vt:variant>
      <vt:variant>
        <vt:i4>5505035</vt:i4>
      </vt:variant>
      <vt:variant>
        <vt:i4>6</vt:i4>
      </vt:variant>
      <vt:variant>
        <vt:i4>0</vt:i4>
      </vt:variant>
      <vt:variant>
        <vt:i4>5</vt:i4>
      </vt:variant>
      <vt:variant>
        <vt:lpwstr>https://www.vic.gov.au/mandatory-minimum-qualifications-specialist-family-violence-practitioners</vt:lpwstr>
      </vt:variant>
      <vt:variant>
        <vt:lpwstr/>
      </vt:variant>
      <vt:variant>
        <vt:i4>3866646</vt:i4>
      </vt:variant>
      <vt:variant>
        <vt:i4>3</vt:i4>
      </vt:variant>
      <vt:variant>
        <vt:i4>0</vt:i4>
      </vt:variant>
      <vt:variant>
        <vt:i4>5</vt:i4>
      </vt:variant>
      <vt:variant>
        <vt:lpwstr>mailto:cwe@dffh.vic.gov.au</vt:lpwstr>
      </vt:variant>
      <vt:variant>
        <vt:lpwstr/>
      </vt:variant>
      <vt:variant>
        <vt:i4>5505035</vt:i4>
      </vt:variant>
      <vt:variant>
        <vt:i4>0</vt:i4>
      </vt:variant>
      <vt:variant>
        <vt:i4>0</vt:i4>
      </vt:variant>
      <vt:variant>
        <vt:i4>5</vt:i4>
      </vt:variant>
      <vt:variant>
        <vt:lpwstr>https://www.vic.gov.au/mandatory-minimum-qualifications-specialist-family-violence-practitioners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MMQ Policy Return to Practice Guidelines </dc:title>
  <dc:subject>Return to practice guidelines for specialist family violence practitioners</dc:subject>
  <dc:creator>System Reform, Workforce and Engagement </dc:creator>
  <cp:keywords>MMQ Policy, return to practice, family violence specialist requirements</cp:keywords>
  <cp:lastPrinted>2021-01-30T00:27:00Z</cp:lastPrinted>
  <dcterms:created xsi:type="dcterms:W3CDTF">2026-04-10T17:54:00Z</dcterms:created>
  <dcterms:modified xsi:type="dcterms:W3CDTF">2026-05-12T04:53:00Z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0x01010012E51EDB20BE31409279BAB145E91DB0</vt:lpwstr>
  </property>
  <property fmtid="{D5CDD505-2E9C-101B-9397-08002B2CF9AE}" pid="4" name="version">
    <vt:lpwstr>2026v2 23052026</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GrammarlyDocumentId">
    <vt:lpwstr>79901b1e-17a2-4cda-a096-8d0af5e09f41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