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BE85" w14:textId="77777777" w:rsidR="004625F8" w:rsidRDefault="004625F8" w:rsidP="004625F8">
      <w:pPr>
        <w:pStyle w:val="Subtitle"/>
        <w:jc w:val="left"/>
        <w:rPr>
          <w:rFonts w:asciiTheme="minorHAnsi" w:hAnsiTheme="minorHAnsi"/>
          <w:b w:val="0"/>
          <w:color w:val="33C8CC" w:themeColor="accent2"/>
          <w:sz w:val="40"/>
          <w:szCs w:val="40"/>
        </w:rPr>
      </w:pPr>
      <w:bookmarkStart w:id="0" w:name="_Toc442780672"/>
    </w:p>
    <w:p w14:paraId="2A34B9EB" w14:textId="77777777" w:rsidR="004625F8" w:rsidRDefault="004625F8" w:rsidP="004625F8">
      <w:pPr>
        <w:pStyle w:val="Subtitle"/>
        <w:jc w:val="left"/>
        <w:rPr>
          <w:rFonts w:asciiTheme="minorHAnsi" w:hAnsiTheme="minorHAnsi"/>
          <w:b w:val="0"/>
          <w:color w:val="33C8CC" w:themeColor="accent2"/>
          <w:sz w:val="40"/>
          <w:szCs w:val="40"/>
        </w:rPr>
      </w:pPr>
    </w:p>
    <w:p w14:paraId="5EF158D2" w14:textId="6C2AC481" w:rsidR="002408EC" w:rsidRPr="002408EC" w:rsidRDefault="004625F8" w:rsidP="004625F8">
      <w:pPr>
        <w:pStyle w:val="Subtitle"/>
        <w:jc w:val="left"/>
        <w:sectPr w:rsidR="002408EC" w:rsidRPr="002408EC" w:rsidSect="0055454A">
          <w:footerReference w:type="even" r:id="rId7"/>
          <w:footerReference w:type="default" r:id="rId8"/>
          <w:headerReference w:type="first" r:id="rId9"/>
          <w:footerReference w:type="first" r:id="rId10"/>
          <w:pgSz w:w="11906" w:h="16838" w:code="9"/>
          <w:pgMar w:top="811" w:right="936" w:bottom="1729" w:left="1134" w:header="448" w:footer="459" w:gutter="0"/>
          <w:cols w:space="708"/>
          <w:titlePg/>
          <w:docGrid w:linePitch="360"/>
        </w:sectPr>
      </w:pPr>
      <w:r w:rsidRPr="004625F8">
        <w:rPr>
          <w:rFonts w:asciiTheme="minorHAnsi" w:hAnsiTheme="minorHAnsi"/>
          <w:b w:val="0"/>
          <w:color w:val="33C8CC" w:themeColor="accent2"/>
          <w:sz w:val="40"/>
          <w:szCs w:val="40"/>
        </w:rPr>
        <w:t>Performance Standar</w:t>
      </w:r>
      <w:r w:rsidR="00D71670">
        <w:rPr>
          <w:rFonts w:asciiTheme="minorHAnsi" w:hAnsiTheme="minorHAnsi"/>
          <w:b w:val="0"/>
          <w:color w:val="33C8CC" w:themeColor="accent2"/>
          <w:sz w:val="40"/>
          <w:szCs w:val="40"/>
        </w:rPr>
        <w:t>ds</w:t>
      </w:r>
    </w:p>
    <w:bookmarkEnd w:id="0"/>
    <w:p w14:paraId="792CED84" w14:textId="7FD5E4B2" w:rsidR="004625F8" w:rsidRDefault="004625F8" w:rsidP="004625F8">
      <w:pPr>
        <w:pStyle w:val="Heading1"/>
      </w:pPr>
      <w:r>
        <w:t xml:space="preserve">Standard 1 </w:t>
      </w:r>
      <w:r w:rsidR="004C01DE">
        <w:t>–</w:t>
      </w:r>
      <w:r>
        <w:t xml:space="preserve"> Tenant </w:t>
      </w:r>
      <w:r w:rsidR="00AD7CB7">
        <w:t>and</w:t>
      </w:r>
      <w:r>
        <w:t xml:space="preserve"> housing services</w:t>
      </w:r>
    </w:p>
    <w:p w14:paraId="075F6FFB" w14:textId="77777777" w:rsidR="004625F8" w:rsidRPr="00180C0E" w:rsidRDefault="004625F8" w:rsidP="00180C0E">
      <w:pPr>
        <w:pStyle w:val="Heading2"/>
      </w:pPr>
      <w:r w:rsidRPr="00180C0E">
        <w:rPr>
          <w:rStyle w:val="Heading3Char"/>
          <w:sz w:val="24"/>
          <w:szCs w:val="24"/>
        </w:rPr>
        <w:t>Outcome:</w:t>
      </w:r>
      <w:r w:rsidRPr="00180C0E">
        <w:t xml:space="preserve"> </w:t>
      </w:r>
    </w:p>
    <w:p w14:paraId="4BA0DA90" w14:textId="3BF2EDF2" w:rsidR="004625F8" w:rsidRPr="00347D78" w:rsidRDefault="004625F8" w:rsidP="004625F8">
      <w:pPr>
        <w:rPr>
          <w:sz w:val="20"/>
          <w:szCs w:val="22"/>
        </w:rPr>
      </w:pPr>
      <w:r w:rsidRPr="00347D78">
        <w:rPr>
          <w:sz w:val="20"/>
          <w:szCs w:val="22"/>
        </w:rPr>
        <w:t xml:space="preserve">Providers support stable tenancies and deliver quality housing services that comply with the </w:t>
      </w:r>
      <w:r w:rsidRPr="002F7DDD">
        <w:rPr>
          <w:i/>
          <w:iCs/>
          <w:sz w:val="20"/>
          <w:szCs w:val="22"/>
        </w:rPr>
        <w:t>Housing Act</w:t>
      </w:r>
      <w:r w:rsidR="003642AE" w:rsidRPr="002F7DDD">
        <w:rPr>
          <w:i/>
          <w:iCs/>
          <w:sz w:val="20"/>
          <w:szCs w:val="22"/>
        </w:rPr>
        <w:t xml:space="preserve"> 1983 </w:t>
      </w:r>
      <w:r w:rsidR="003642AE">
        <w:rPr>
          <w:sz w:val="20"/>
          <w:szCs w:val="22"/>
        </w:rPr>
        <w:t>(Vic)</w:t>
      </w:r>
      <w:r w:rsidRPr="00347D78">
        <w:rPr>
          <w:sz w:val="20"/>
          <w:szCs w:val="22"/>
        </w:rPr>
        <w:t xml:space="preserve"> and </w:t>
      </w:r>
      <w:r w:rsidRPr="002F7DDD">
        <w:rPr>
          <w:i/>
          <w:iCs/>
          <w:sz w:val="20"/>
          <w:szCs w:val="22"/>
        </w:rPr>
        <w:t>Residential Tenancies Act</w:t>
      </w:r>
      <w:r w:rsidR="002F7DDD" w:rsidRPr="002F7DDD">
        <w:rPr>
          <w:i/>
          <w:iCs/>
          <w:sz w:val="20"/>
          <w:szCs w:val="22"/>
        </w:rPr>
        <w:t xml:space="preserve"> 1997</w:t>
      </w:r>
      <w:r w:rsidR="002F7DDD">
        <w:rPr>
          <w:sz w:val="20"/>
          <w:szCs w:val="22"/>
        </w:rPr>
        <w:t xml:space="preserve"> (Vic)</w:t>
      </w:r>
      <w:r w:rsidRPr="00347D78">
        <w:rPr>
          <w:sz w:val="20"/>
          <w:szCs w:val="22"/>
        </w:rPr>
        <w:t>.</w:t>
      </w:r>
    </w:p>
    <w:p w14:paraId="74ED98A8" w14:textId="77777777" w:rsidR="004625F8" w:rsidRPr="005627B6" w:rsidRDefault="004625F8" w:rsidP="006C7292">
      <w:pPr>
        <w:pStyle w:val="Heading2"/>
      </w:pPr>
      <w:r w:rsidRPr="005627B6">
        <w:t>Requirements:</w:t>
      </w:r>
    </w:p>
    <w:p w14:paraId="5A0656C5" w14:textId="77777777" w:rsidR="004625F8" w:rsidRPr="00347D78" w:rsidRDefault="004625F8" w:rsidP="00347D78">
      <w:pPr>
        <w:pStyle w:val="Numpara"/>
        <w:ind w:left="357" w:hanging="357"/>
        <w:contextualSpacing w:val="0"/>
        <w:rPr>
          <w:sz w:val="20"/>
          <w:szCs w:val="22"/>
        </w:rPr>
      </w:pPr>
      <w:r w:rsidRPr="00347D78">
        <w:rPr>
          <w:sz w:val="20"/>
          <w:szCs w:val="22"/>
        </w:rPr>
        <w:t>Maintain fair, consistent and transparent tenancy management processes that comply with relevant law and policy.</w:t>
      </w:r>
    </w:p>
    <w:p w14:paraId="403BB994" w14:textId="77777777" w:rsidR="004625F8" w:rsidRPr="00347D78" w:rsidRDefault="004625F8" w:rsidP="00347D78">
      <w:pPr>
        <w:pStyle w:val="Numpara"/>
        <w:ind w:left="357" w:hanging="357"/>
        <w:contextualSpacing w:val="0"/>
        <w:rPr>
          <w:sz w:val="20"/>
          <w:szCs w:val="22"/>
        </w:rPr>
      </w:pPr>
      <w:r w:rsidRPr="00347D78">
        <w:rPr>
          <w:sz w:val="20"/>
          <w:szCs w:val="22"/>
        </w:rPr>
        <w:t>Provide responsive and accessible customer service, with clear service standards and multiple contact options.</w:t>
      </w:r>
    </w:p>
    <w:p w14:paraId="4E4B3FD3" w14:textId="77777777" w:rsidR="004625F8" w:rsidRPr="00347D78" w:rsidRDefault="004625F8" w:rsidP="00347D78">
      <w:pPr>
        <w:pStyle w:val="Numpara"/>
        <w:ind w:left="357" w:hanging="357"/>
        <w:contextualSpacing w:val="0"/>
        <w:rPr>
          <w:sz w:val="20"/>
          <w:szCs w:val="22"/>
        </w:rPr>
      </w:pPr>
      <w:r w:rsidRPr="00347D78">
        <w:rPr>
          <w:sz w:val="20"/>
          <w:szCs w:val="22"/>
        </w:rPr>
        <w:t>Manage allocations effectively and efficiently so applicants are housed promptly in homes suited to their needs.</w:t>
      </w:r>
    </w:p>
    <w:p w14:paraId="37DC726C" w14:textId="77777777" w:rsidR="004625F8" w:rsidRPr="00347D78" w:rsidRDefault="004625F8" w:rsidP="00347D78">
      <w:pPr>
        <w:pStyle w:val="Numpara"/>
        <w:ind w:left="357" w:hanging="357"/>
        <w:contextualSpacing w:val="0"/>
        <w:rPr>
          <w:sz w:val="20"/>
          <w:szCs w:val="22"/>
        </w:rPr>
      </w:pPr>
      <w:r w:rsidRPr="00347D78">
        <w:rPr>
          <w:sz w:val="20"/>
          <w:szCs w:val="22"/>
        </w:rPr>
        <w:t>Set, explain and apply rents and charges lawfully and transparently, providing tenants with clear information.</w:t>
      </w:r>
    </w:p>
    <w:p w14:paraId="1F1E5AE0" w14:textId="77777777" w:rsidR="004625F8" w:rsidRPr="00347D78" w:rsidRDefault="004625F8" w:rsidP="00347D78">
      <w:pPr>
        <w:pStyle w:val="Numpara"/>
        <w:ind w:left="357" w:hanging="357"/>
        <w:contextualSpacing w:val="0"/>
        <w:rPr>
          <w:sz w:val="20"/>
          <w:szCs w:val="22"/>
        </w:rPr>
      </w:pPr>
      <w:r w:rsidRPr="00347D78">
        <w:rPr>
          <w:sz w:val="20"/>
          <w:szCs w:val="22"/>
        </w:rPr>
        <w:t>Support tenancy sustainment through early intervention and referral to support services.</w:t>
      </w:r>
    </w:p>
    <w:p w14:paraId="5707531B" w14:textId="48BFAEFF" w:rsidR="004625F8" w:rsidRPr="002F7DDD" w:rsidRDefault="004625F8" w:rsidP="004625F8">
      <w:pPr>
        <w:pStyle w:val="Numpara"/>
        <w:ind w:left="357" w:hanging="357"/>
        <w:contextualSpacing w:val="0"/>
        <w:rPr>
          <w:sz w:val="20"/>
          <w:szCs w:val="22"/>
        </w:rPr>
      </w:pPr>
      <w:r w:rsidRPr="00347D78">
        <w:rPr>
          <w:sz w:val="20"/>
          <w:szCs w:val="22"/>
        </w:rPr>
        <w:t>Manage tenancy disputes lawfully and proportionately, ensuring eviction is a last resort and tenants with complex needs are supported.</w:t>
      </w:r>
    </w:p>
    <w:p w14:paraId="4F0C217A" w14:textId="6F3D96DE" w:rsidR="004625F8" w:rsidRDefault="004625F8" w:rsidP="004625F8">
      <w:pPr>
        <w:pStyle w:val="Heading1"/>
      </w:pPr>
      <w:r>
        <w:t xml:space="preserve">Standard 2 </w:t>
      </w:r>
      <w:r w:rsidR="004C01DE">
        <w:t>–</w:t>
      </w:r>
      <w:r>
        <w:t xml:space="preserve"> Housing assets</w:t>
      </w:r>
    </w:p>
    <w:p w14:paraId="0605C6DC" w14:textId="77777777" w:rsidR="004625F8" w:rsidRPr="006C7292" w:rsidRDefault="004625F8" w:rsidP="006C7292">
      <w:pPr>
        <w:pStyle w:val="Heading2"/>
      </w:pPr>
      <w:r w:rsidRPr="006C7292">
        <w:rPr>
          <w:rStyle w:val="Heading3Char"/>
          <w:sz w:val="24"/>
          <w:szCs w:val="24"/>
        </w:rPr>
        <w:t>Outcome:</w:t>
      </w:r>
      <w:r w:rsidRPr="006C7292">
        <w:t xml:space="preserve"> </w:t>
      </w:r>
    </w:p>
    <w:p w14:paraId="1F6D2A07" w14:textId="7357AFF2" w:rsidR="004625F8" w:rsidRPr="00347D78" w:rsidRDefault="004625F8" w:rsidP="004625F8">
      <w:pPr>
        <w:rPr>
          <w:sz w:val="20"/>
          <w:szCs w:val="22"/>
        </w:rPr>
      </w:pPr>
      <w:r w:rsidRPr="00347D78">
        <w:rPr>
          <w:sz w:val="20"/>
          <w:szCs w:val="22"/>
        </w:rPr>
        <w:t>Homes are safe and well-maintained across their life cycle.</w:t>
      </w:r>
    </w:p>
    <w:p w14:paraId="39F206D1" w14:textId="77777777" w:rsidR="004625F8" w:rsidRPr="005627B6" w:rsidRDefault="004625F8" w:rsidP="006C7292">
      <w:pPr>
        <w:pStyle w:val="Heading2"/>
      </w:pPr>
      <w:r w:rsidRPr="005627B6">
        <w:t>Requirements:</w:t>
      </w:r>
    </w:p>
    <w:p w14:paraId="6F338C51" w14:textId="77777777" w:rsidR="004625F8" w:rsidRPr="00347D78" w:rsidRDefault="004625F8" w:rsidP="00347D78">
      <w:pPr>
        <w:pStyle w:val="Numpara"/>
        <w:numPr>
          <w:ilvl w:val="0"/>
          <w:numId w:val="24"/>
        </w:numPr>
        <w:contextualSpacing w:val="0"/>
        <w:rPr>
          <w:sz w:val="20"/>
          <w:szCs w:val="22"/>
        </w:rPr>
      </w:pPr>
      <w:r w:rsidRPr="00347D78">
        <w:rPr>
          <w:sz w:val="20"/>
          <w:szCs w:val="22"/>
        </w:rPr>
        <w:t>Maintain and implement a documented asset strategy and long-term plan aligned to tenant needs and financial capacity.</w:t>
      </w:r>
    </w:p>
    <w:p w14:paraId="16EF19AA" w14:textId="0EFC55D8" w:rsidR="004625F8" w:rsidRPr="00347D78" w:rsidRDefault="004625F8" w:rsidP="00347D78">
      <w:pPr>
        <w:pStyle w:val="Numpara"/>
        <w:ind w:left="357" w:hanging="357"/>
        <w:contextualSpacing w:val="0"/>
        <w:rPr>
          <w:sz w:val="20"/>
        </w:rPr>
      </w:pPr>
      <w:r w:rsidRPr="17DC1EE7">
        <w:rPr>
          <w:sz w:val="20"/>
        </w:rPr>
        <w:t>Monitor housing condition</w:t>
      </w:r>
      <w:r w:rsidR="004F6AA4" w:rsidRPr="17DC1EE7">
        <w:rPr>
          <w:sz w:val="20"/>
        </w:rPr>
        <w:t xml:space="preserve"> </w:t>
      </w:r>
      <w:r w:rsidRPr="17DC1EE7">
        <w:rPr>
          <w:sz w:val="20"/>
        </w:rPr>
        <w:t xml:space="preserve">and maintenance </w:t>
      </w:r>
      <w:r w:rsidR="3A155B1A" w:rsidRPr="17DC1EE7">
        <w:rPr>
          <w:sz w:val="20"/>
        </w:rPr>
        <w:t>costs and</w:t>
      </w:r>
      <w:r w:rsidRPr="17DC1EE7">
        <w:rPr>
          <w:sz w:val="20"/>
        </w:rPr>
        <w:t xml:space="preserve"> use insights to optimise outcomes across the life of the asset.</w:t>
      </w:r>
    </w:p>
    <w:p w14:paraId="0A549A53" w14:textId="77777777" w:rsidR="004625F8" w:rsidRPr="00347D78" w:rsidRDefault="004625F8" w:rsidP="00347D78">
      <w:pPr>
        <w:pStyle w:val="Numpara"/>
        <w:ind w:left="357" w:hanging="357"/>
        <w:contextualSpacing w:val="0"/>
        <w:rPr>
          <w:sz w:val="20"/>
          <w:szCs w:val="22"/>
        </w:rPr>
      </w:pPr>
      <w:r w:rsidRPr="00347D78">
        <w:rPr>
          <w:sz w:val="20"/>
          <w:szCs w:val="22"/>
        </w:rPr>
        <w:t xml:space="preserve">Maintain compliance with all building, property safety and essential services obligations, and keep accurate compliance records. </w:t>
      </w:r>
    </w:p>
    <w:p w14:paraId="1EB295A0" w14:textId="77777777" w:rsidR="004625F8" w:rsidRPr="00347D78" w:rsidRDefault="004625F8" w:rsidP="00347D78">
      <w:pPr>
        <w:pStyle w:val="Numpara"/>
        <w:ind w:left="357" w:hanging="357"/>
        <w:contextualSpacing w:val="0"/>
        <w:rPr>
          <w:sz w:val="20"/>
          <w:szCs w:val="22"/>
        </w:rPr>
      </w:pPr>
      <w:r w:rsidRPr="00347D78">
        <w:rPr>
          <w:sz w:val="20"/>
          <w:szCs w:val="22"/>
        </w:rPr>
        <w:t>Deliver timely responsive repairs and planned maintenance so that housing is kept at or above required standards.</w:t>
      </w:r>
    </w:p>
    <w:p w14:paraId="6A6B27C4" w14:textId="78859943" w:rsidR="00D71670" w:rsidRPr="00347D78" w:rsidRDefault="004625F8" w:rsidP="00347D78">
      <w:pPr>
        <w:pStyle w:val="Numpara"/>
        <w:ind w:left="357" w:hanging="357"/>
        <w:contextualSpacing w:val="0"/>
        <w:rPr>
          <w:sz w:val="20"/>
          <w:szCs w:val="22"/>
        </w:rPr>
      </w:pPr>
      <w:r w:rsidRPr="00347D78">
        <w:rPr>
          <w:sz w:val="20"/>
          <w:szCs w:val="22"/>
        </w:rPr>
        <w:t>Ensure asset planning and upgra</w:t>
      </w:r>
      <w:r w:rsidR="00271013" w:rsidRPr="00347D78">
        <w:rPr>
          <w:sz w:val="20"/>
          <w:szCs w:val="22"/>
        </w:rPr>
        <w:t xml:space="preserve">des </w:t>
      </w:r>
      <w:r w:rsidRPr="00347D78">
        <w:rPr>
          <w:sz w:val="20"/>
          <w:szCs w:val="22"/>
        </w:rPr>
        <w:t>consider energy efficiency, climate resilience, and environmental sustainability, consistent with relevant laws and government policy.</w:t>
      </w:r>
    </w:p>
    <w:p w14:paraId="6EEB6E8E" w14:textId="55CA9A18" w:rsidR="004625F8" w:rsidRDefault="004625F8" w:rsidP="004625F8">
      <w:pPr>
        <w:pStyle w:val="Heading1"/>
      </w:pPr>
      <w:r>
        <w:lastRenderedPageBreak/>
        <w:t xml:space="preserve">Standard 3 </w:t>
      </w:r>
      <w:r w:rsidR="00CA426A">
        <w:t>–</w:t>
      </w:r>
      <w:r>
        <w:t xml:space="preserve"> Engagement </w:t>
      </w:r>
      <w:r w:rsidR="00AD7CB7">
        <w:t>and</w:t>
      </w:r>
      <w:r>
        <w:t xml:space="preserve"> community cohesion</w:t>
      </w:r>
    </w:p>
    <w:p w14:paraId="711D18AC" w14:textId="77777777" w:rsidR="004625F8" w:rsidRPr="006C7292" w:rsidRDefault="004625F8" w:rsidP="006C7292">
      <w:pPr>
        <w:pStyle w:val="Heading2"/>
      </w:pPr>
      <w:r w:rsidRPr="006C7292">
        <w:rPr>
          <w:rStyle w:val="Heading3Char"/>
          <w:sz w:val="24"/>
          <w:szCs w:val="24"/>
        </w:rPr>
        <w:t>Outcome:</w:t>
      </w:r>
      <w:r w:rsidRPr="006C7292">
        <w:t xml:space="preserve"> </w:t>
      </w:r>
    </w:p>
    <w:p w14:paraId="58FD389E" w14:textId="1C43D3B2" w:rsidR="004625F8" w:rsidRPr="00180C0E" w:rsidRDefault="004625F8" w:rsidP="004625F8">
      <w:pPr>
        <w:rPr>
          <w:sz w:val="20"/>
          <w:szCs w:val="22"/>
        </w:rPr>
      </w:pPr>
      <w:r w:rsidRPr="00180C0E">
        <w:rPr>
          <w:sz w:val="20"/>
          <w:szCs w:val="22"/>
        </w:rPr>
        <w:t>Providers engage meaningfully with tenants and stakeholders, contribute to safe, inclusive neighbourhoods, and work with partners to improve local outcomes.</w:t>
      </w:r>
    </w:p>
    <w:p w14:paraId="0571E922" w14:textId="77777777" w:rsidR="004625F8" w:rsidRPr="005627B6" w:rsidRDefault="004625F8" w:rsidP="006C7292">
      <w:pPr>
        <w:pStyle w:val="Heading2"/>
      </w:pPr>
      <w:r w:rsidRPr="005627B6">
        <w:t>Requirements:</w:t>
      </w:r>
    </w:p>
    <w:p w14:paraId="7E0967C2" w14:textId="77777777" w:rsidR="004625F8" w:rsidRPr="00180C0E" w:rsidRDefault="004625F8" w:rsidP="00180C0E">
      <w:pPr>
        <w:pStyle w:val="Numpara"/>
        <w:numPr>
          <w:ilvl w:val="0"/>
          <w:numId w:val="26"/>
        </w:numPr>
        <w:contextualSpacing w:val="0"/>
        <w:rPr>
          <w:sz w:val="20"/>
          <w:szCs w:val="22"/>
        </w:rPr>
      </w:pPr>
      <w:r w:rsidRPr="00180C0E">
        <w:rPr>
          <w:sz w:val="20"/>
          <w:szCs w:val="22"/>
        </w:rPr>
        <w:t>Engage tenants meaningfully in decisions that affect them.</w:t>
      </w:r>
    </w:p>
    <w:p w14:paraId="49DE7656" w14:textId="77777777" w:rsidR="004625F8" w:rsidRPr="00180C0E" w:rsidRDefault="004625F8" w:rsidP="00180C0E">
      <w:pPr>
        <w:pStyle w:val="Numpara"/>
        <w:ind w:left="357" w:hanging="357"/>
        <w:contextualSpacing w:val="0"/>
        <w:rPr>
          <w:sz w:val="20"/>
          <w:szCs w:val="22"/>
        </w:rPr>
      </w:pPr>
      <w:r w:rsidRPr="00180C0E">
        <w:rPr>
          <w:sz w:val="20"/>
          <w:szCs w:val="22"/>
        </w:rPr>
        <w:t>Provide accurate, accessible information on rights, services, standards and how to engage or complain.</w:t>
      </w:r>
    </w:p>
    <w:p w14:paraId="766E9AA1" w14:textId="7A4928B8" w:rsidR="004625F8" w:rsidRPr="00180C0E" w:rsidRDefault="004625F8" w:rsidP="00180C0E">
      <w:pPr>
        <w:pStyle w:val="Numpara"/>
        <w:ind w:left="357" w:hanging="357"/>
        <w:contextualSpacing w:val="0"/>
        <w:rPr>
          <w:sz w:val="20"/>
          <w:szCs w:val="22"/>
        </w:rPr>
      </w:pPr>
      <w:r w:rsidRPr="00180C0E">
        <w:rPr>
          <w:sz w:val="20"/>
          <w:szCs w:val="22"/>
        </w:rPr>
        <w:t>Provide effective processes for complaints, appeals, and feedback that are easy to use, timely, and fair, and that drive improvement</w:t>
      </w:r>
      <w:r w:rsidR="002F2786" w:rsidRPr="00180C0E">
        <w:rPr>
          <w:sz w:val="20"/>
          <w:szCs w:val="22"/>
        </w:rPr>
        <w:t>.</w:t>
      </w:r>
    </w:p>
    <w:p w14:paraId="0C2F0715" w14:textId="77777777" w:rsidR="004625F8" w:rsidRPr="00180C0E" w:rsidRDefault="004625F8" w:rsidP="00180C0E">
      <w:pPr>
        <w:pStyle w:val="Numpara"/>
        <w:ind w:left="357" w:hanging="357"/>
        <w:contextualSpacing w:val="0"/>
        <w:rPr>
          <w:sz w:val="20"/>
          <w:szCs w:val="22"/>
        </w:rPr>
      </w:pPr>
      <w:r w:rsidRPr="00180C0E">
        <w:rPr>
          <w:sz w:val="20"/>
          <w:szCs w:val="22"/>
        </w:rPr>
        <w:t>Address anti-social behaviour affecting or involving tenants through timely, proportionate action and partnership with relevant bodies.</w:t>
      </w:r>
    </w:p>
    <w:p w14:paraId="032F5606" w14:textId="77777777" w:rsidR="004625F8" w:rsidRPr="00180C0E" w:rsidRDefault="004625F8" w:rsidP="00180C0E">
      <w:pPr>
        <w:pStyle w:val="Numpara"/>
        <w:ind w:left="357" w:hanging="357"/>
        <w:contextualSpacing w:val="0"/>
        <w:rPr>
          <w:sz w:val="20"/>
          <w:szCs w:val="22"/>
        </w:rPr>
      </w:pPr>
      <w:r w:rsidRPr="00180C0E">
        <w:rPr>
          <w:sz w:val="20"/>
          <w:szCs w:val="22"/>
        </w:rPr>
        <w:t>Engage with tenants and local stakeholders where relevant to support safety, inclusion and community cohesion.</w:t>
      </w:r>
    </w:p>
    <w:p w14:paraId="0E6151A2" w14:textId="445464B2" w:rsidR="004625F8" w:rsidRDefault="004625F8" w:rsidP="00D71670">
      <w:pPr>
        <w:pStyle w:val="Heading1"/>
      </w:pPr>
      <w:r>
        <w:t xml:space="preserve">Standard 4 </w:t>
      </w:r>
      <w:r w:rsidR="00CA426A">
        <w:t xml:space="preserve">– </w:t>
      </w:r>
      <w:r>
        <w:t xml:space="preserve">Governance </w:t>
      </w:r>
      <w:r w:rsidR="00AD7CB7">
        <w:t>and</w:t>
      </w:r>
      <w:r>
        <w:t xml:space="preserve"> Board accountability</w:t>
      </w:r>
    </w:p>
    <w:p w14:paraId="286CA8AA" w14:textId="77777777" w:rsidR="00E20286" w:rsidRPr="006C7292" w:rsidRDefault="00E20286" w:rsidP="00E20286">
      <w:pPr>
        <w:pStyle w:val="Heading2"/>
      </w:pPr>
      <w:r w:rsidRPr="006C7292">
        <w:rPr>
          <w:rStyle w:val="Heading3Char"/>
          <w:sz w:val="24"/>
          <w:szCs w:val="24"/>
        </w:rPr>
        <w:t>Outcome:</w:t>
      </w:r>
      <w:r w:rsidRPr="006C7292">
        <w:t xml:space="preserve"> </w:t>
      </w:r>
    </w:p>
    <w:p w14:paraId="6B8F5B85" w14:textId="4D8DCDD5" w:rsidR="00E20286" w:rsidRPr="00180C0E" w:rsidRDefault="00E20286" w:rsidP="00E20286">
      <w:pPr>
        <w:rPr>
          <w:sz w:val="20"/>
          <w:szCs w:val="22"/>
        </w:rPr>
      </w:pPr>
      <w:r w:rsidRPr="00180C0E">
        <w:rPr>
          <w:sz w:val="20"/>
          <w:szCs w:val="22"/>
        </w:rPr>
        <w:t>Governance is effective, lawful and transparent, with competent oversight of strategy, risk and performance.</w:t>
      </w:r>
    </w:p>
    <w:p w14:paraId="098034AC" w14:textId="77777777" w:rsidR="004625F8" w:rsidRPr="005627B6" w:rsidRDefault="004625F8" w:rsidP="006C7292">
      <w:pPr>
        <w:pStyle w:val="Heading2"/>
      </w:pPr>
      <w:r w:rsidRPr="005627B6">
        <w:t>Requirements:</w:t>
      </w:r>
    </w:p>
    <w:p w14:paraId="16715007" w14:textId="77777777" w:rsidR="004625F8" w:rsidRPr="00180C0E" w:rsidRDefault="004625F8" w:rsidP="00180C0E">
      <w:pPr>
        <w:pStyle w:val="Numpara"/>
        <w:numPr>
          <w:ilvl w:val="0"/>
          <w:numId w:val="28"/>
        </w:numPr>
        <w:contextualSpacing w:val="0"/>
        <w:rPr>
          <w:sz w:val="20"/>
          <w:szCs w:val="22"/>
        </w:rPr>
      </w:pPr>
      <w:r w:rsidRPr="00180C0E">
        <w:rPr>
          <w:sz w:val="20"/>
          <w:szCs w:val="22"/>
        </w:rPr>
        <w:t xml:space="preserve">Maintain a capable governing body with the skills, diversity and information needed to discharge its duties. </w:t>
      </w:r>
    </w:p>
    <w:p w14:paraId="1417D019" w14:textId="77777777" w:rsidR="004625F8" w:rsidRPr="00180C0E" w:rsidRDefault="004625F8" w:rsidP="00180C0E">
      <w:pPr>
        <w:pStyle w:val="Numpara"/>
        <w:numPr>
          <w:ilvl w:val="0"/>
          <w:numId w:val="26"/>
        </w:numPr>
        <w:contextualSpacing w:val="0"/>
        <w:rPr>
          <w:sz w:val="20"/>
          <w:szCs w:val="22"/>
        </w:rPr>
      </w:pPr>
      <w:r w:rsidRPr="00180C0E">
        <w:rPr>
          <w:sz w:val="20"/>
          <w:szCs w:val="22"/>
        </w:rPr>
        <w:t>Set strategy and manage risk; oversee performance, compliance, and the integrity of reporting.</w:t>
      </w:r>
    </w:p>
    <w:p w14:paraId="7097015B" w14:textId="77777777" w:rsidR="004625F8" w:rsidRPr="00180C0E" w:rsidRDefault="004625F8" w:rsidP="00180C0E">
      <w:pPr>
        <w:pStyle w:val="Numpara"/>
        <w:numPr>
          <w:ilvl w:val="0"/>
          <w:numId w:val="26"/>
        </w:numPr>
        <w:contextualSpacing w:val="0"/>
        <w:rPr>
          <w:sz w:val="20"/>
          <w:szCs w:val="22"/>
        </w:rPr>
      </w:pPr>
      <w:r w:rsidRPr="00180C0E">
        <w:rPr>
          <w:sz w:val="20"/>
          <w:szCs w:val="22"/>
        </w:rPr>
        <w:t>Ensure policies, delegations and controls, including for conflicts, related-party and group-entity dealings, support lawful, ethical decision-making and protect tenant rights.</w:t>
      </w:r>
    </w:p>
    <w:p w14:paraId="6C1BFBB0" w14:textId="77777777" w:rsidR="004625F8" w:rsidRPr="00180C0E" w:rsidRDefault="004625F8" w:rsidP="00180C0E">
      <w:pPr>
        <w:pStyle w:val="Numpara"/>
        <w:numPr>
          <w:ilvl w:val="0"/>
          <w:numId w:val="26"/>
        </w:numPr>
        <w:contextualSpacing w:val="0"/>
        <w:rPr>
          <w:sz w:val="20"/>
          <w:szCs w:val="22"/>
        </w:rPr>
      </w:pPr>
      <w:r w:rsidRPr="00180C0E">
        <w:rPr>
          <w:sz w:val="20"/>
          <w:szCs w:val="22"/>
        </w:rPr>
        <w:t>Obtain independent assurance (e.g. audits or reviews) commensurate with size and risk, and act on findings promptly.</w:t>
      </w:r>
    </w:p>
    <w:p w14:paraId="0893840E" w14:textId="77777777" w:rsidR="004625F8" w:rsidRPr="00180C0E" w:rsidRDefault="004625F8" w:rsidP="00180C0E">
      <w:pPr>
        <w:pStyle w:val="Numpara"/>
        <w:numPr>
          <w:ilvl w:val="0"/>
          <w:numId w:val="26"/>
        </w:numPr>
        <w:contextualSpacing w:val="0"/>
        <w:rPr>
          <w:sz w:val="20"/>
          <w:szCs w:val="22"/>
        </w:rPr>
      </w:pPr>
      <w:r w:rsidRPr="00180C0E">
        <w:rPr>
          <w:sz w:val="20"/>
          <w:szCs w:val="22"/>
        </w:rPr>
        <w:t>Ensure transparency and accountability to tenants, funders and the Registrar.</w:t>
      </w:r>
    </w:p>
    <w:p w14:paraId="1E3DBCF8" w14:textId="6CF1E5AC" w:rsidR="004625F8" w:rsidRPr="00180C0E" w:rsidRDefault="004625F8" w:rsidP="00180C0E">
      <w:pPr>
        <w:pStyle w:val="Numpara"/>
        <w:numPr>
          <w:ilvl w:val="0"/>
          <w:numId w:val="26"/>
        </w:numPr>
        <w:contextualSpacing w:val="0"/>
        <w:rPr>
          <w:sz w:val="20"/>
          <w:szCs w:val="22"/>
        </w:rPr>
      </w:pPr>
      <w:r w:rsidRPr="00180C0E">
        <w:rPr>
          <w:sz w:val="20"/>
          <w:szCs w:val="22"/>
        </w:rPr>
        <w:t>Comply with legal requirements and relevant government policies</w:t>
      </w:r>
      <w:r w:rsidR="00883DD5">
        <w:rPr>
          <w:sz w:val="20"/>
          <w:szCs w:val="22"/>
        </w:rPr>
        <w:t>, including where functions are outsourced</w:t>
      </w:r>
      <w:r w:rsidRPr="00180C0E">
        <w:rPr>
          <w:sz w:val="20"/>
          <w:szCs w:val="22"/>
        </w:rPr>
        <w:t>.</w:t>
      </w:r>
    </w:p>
    <w:p w14:paraId="41872C31" w14:textId="77777777" w:rsidR="004625F8" w:rsidRDefault="004625F8" w:rsidP="004625F8"/>
    <w:p w14:paraId="79B7332E" w14:textId="77777777" w:rsidR="004625F8" w:rsidRDefault="004625F8" w:rsidP="004625F8">
      <w:r>
        <w:t> </w:t>
      </w:r>
    </w:p>
    <w:p w14:paraId="4AA283B9" w14:textId="77777777" w:rsidR="002F7DDD" w:rsidRDefault="002F7DDD">
      <w:pPr>
        <w:keepLines w:val="0"/>
        <w:spacing w:before="0" w:after="200"/>
        <w:rPr>
          <w:rFonts w:asciiTheme="majorHAnsi" w:eastAsiaTheme="majorEastAsia" w:hAnsiTheme="majorHAnsi" w:cstheme="majorBidi"/>
          <w:color w:val="1EB6EC" w:themeColor="accent1"/>
          <w:sz w:val="28"/>
          <w:szCs w:val="28"/>
        </w:rPr>
      </w:pPr>
      <w:r>
        <w:br w:type="page"/>
      </w:r>
    </w:p>
    <w:p w14:paraId="043374AF" w14:textId="64F4273C" w:rsidR="004625F8" w:rsidRDefault="004625F8" w:rsidP="00D71670">
      <w:pPr>
        <w:pStyle w:val="Heading1"/>
      </w:pPr>
      <w:r>
        <w:lastRenderedPageBreak/>
        <w:t xml:space="preserve">Standard 5 </w:t>
      </w:r>
      <w:r w:rsidR="00CA426A">
        <w:t>–</w:t>
      </w:r>
      <w:r>
        <w:t xml:space="preserve"> Probity </w:t>
      </w:r>
      <w:r w:rsidR="00AD7CB7">
        <w:t>and</w:t>
      </w:r>
      <w:r>
        <w:t xml:space="preserve"> ethical conduct</w:t>
      </w:r>
    </w:p>
    <w:p w14:paraId="058C7169" w14:textId="77777777" w:rsidR="00D71670" w:rsidRPr="00DC2FFC" w:rsidRDefault="004625F8" w:rsidP="00DC2FFC">
      <w:pPr>
        <w:pStyle w:val="Heading2"/>
      </w:pPr>
      <w:r w:rsidRPr="00DC2FFC">
        <w:rPr>
          <w:rStyle w:val="Heading3Char"/>
          <w:sz w:val="24"/>
          <w:szCs w:val="24"/>
        </w:rPr>
        <w:t>Outcome:</w:t>
      </w:r>
      <w:r w:rsidRPr="00DC2FFC">
        <w:t xml:space="preserve"> </w:t>
      </w:r>
    </w:p>
    <w:p w14:paraId="4510128C" w14:textId="3F038830" w:rsidR="004625F8" w:rsidRPr="00E20286" w:rsidRDefault="004625F8" w:rsidP="004625F8">
      <w:pPr>
        <w:rPr>
          <w:sz w:val="20"/>
          <w:szCs w:val="22"/>
        </w:rPr>
      </w:pPr>
      <w:r w:rsidRPr="00E20286">
        <w:rPr>
          <w:sz w:val="20"/>
          <w:szCs w:val="22"/>
        </w:rPr>
        <w:t>High standards of integrity protect tenants, public resources and sector reputation.</w:t>
      </w:r>
    </w:p>
    <w:p w14:paraId="14A46ED0" w14:textId="77777777" w:rsidR="004625F8" w:rsidRPr="006C7292" w:rsidRDefault="004625F8" w:rsidP="00DC2FFC">
      <w:pPr>
        <w:pStyle w:val="Heading2"/>
      </w:pPr>
      <w:r w:rsidRPr="006C7292">
        <w:t>Requirements:</w:t>
      </w:r>
    </w:p>
    <w:p w14:paraId="033BCEE6" w14:textId="77777777" w:rsidR="004625F8" w:rsidRPr="00E20286" w:rsidRDefault="004625F8" w:rsidP="00E20286">
      <w:pPr>
        <w:pStyle w:val="Numpara"/>
        <w:numPr>
          <w:ilvl w:val="0"/>
          <w:numId w:val="30"/>
        </w:numPr>
        <w:contextualSpacing w:val="0"/>
        <w:rPr>
          <w:sz w:val="20"/>
          <w:szCs w:val="22"/>
        </w:rPr>
      </w:pPr>
      <w:r w:rsidRPr="00E20286">
        <w:rPr>
          <w:sz w:val="20"/>
          <w:szCs w:val="22"/>
        </w:rPr>
        <w:t>Prevent, detect and respond to fraud, corruption and misconduct, and maintain appropriate controls and training.</w:t>
      </w:r>
    </w:p>
    <w:p w14:paraId="287CFCE9" w14:textId="77777777" w:rsidR="004625F8" w:rsidRPr="00E20286" w:rsidRDefault="004625F8" w:rsidP="00E20286">
      <w:pPr>
        <w:pStyle w:val="Numpara"/>
        <w:numPr>
          <w:ilvl w:val="0"/>
          <w:numId w:val="26"/>
        </w:numPr>
        <w:contextualSpacing w:val="0"/>
        <w:rPr>
          <w:sz w:val="20"/>
          <w:szCs w:val="22"/>
        </w:rPr>
      </w:pPr>
      <w:r w:rsidRPr="00E20286">
        <w:rPr>
          <w:sz w:val="20"/>
          <w:szCs w:val="22"/>
        </w:rPr>
        <w:t>Identify and manage conflicts of interest, and manage gifts, benefits and hospitality transparently.</w:t>
      </w:r>
    </w:p>
    <w:p w14:paraId="5DFF48B1" w14:textId="77777777" w:rsidR="004625F8" w:rsidRPr="00E20286" w:rsidRDefault="004625F8" w:rsidP="00E20286">
      <w:pPr>
        <w:pStyle w:val="Numpara"/>
        <w:numPr>
          <w:ilvl w:val="0"/>
          <w:numId w:val="26"/>
        </w:numPr>
        <w:contextualSpacing w:val="0"/>
        <w:rPr>
          <w:sz w:val="20"/>
          <w:szCs w:val="22"/>
        </w:rPr>
      </w:pPr>
      <w:r w:rsidRPr="00E20286">
        <w:rPr>
          <w:sz w:val="20"/>
          <w:szCs w:val="22"/>
        </w:rPr>
        <w:t>Procure goods and services fairly and competitively, with value for money and appropriate due diligence.</w:t>
      </w:r>
    </w:p>
    <w:p w14:paraId="25949B2C" w14:textId="77777777" w:rsidR="004625F8" w:rsidRPr="00E20286" w:rsidRDefault="004625F8" w:rsidP="00E20286">
      <w:pPr>
        <w:pStyle w:val="Numpara"/>
        <w:numPr>
          <w:ilvl w:val="0"/>
          <w:numId w:val="26"/>
        </w:numPr>
        <w:contextualSpacing w:val="0"/>
        <w:rPr>
          <w:sz w:val="20"/>
          <w:szCs w:val="22"/>
        </w:rPr>
      </w:pPr>
      <w:r w:rsidRPr="00E20286">
        <w:rPr>
          <w:sz w:val="20"/>
          <w:szCs w:val="22"/>
        </w:rPr>
        <w:t>Protect whistleblowers and investigate disclosures appropriately.</w:t>
      </w:r>
    </w:p>
    <w:p w14:paraId="5111BDE7" w14:textId="77777777" w:rsidR="004625F8" w:rsidRDefault="004625F8" w:rsidP="00D71670">
      <w:pPr>
        <w:ind w:left="340"/>
      </w:pPr>
    </w:p>
    <w:p w14:paraId="30AF155F" w14:textId="3B4D8EFA" w:rsidR="004625F8" w:rsidRDefault="004625F8" w:rsidP="00D71670">
      <w:pPr>
        <w:pStyle w:val="Heading1"/>
      </w:pPr>
      <w:r>
        <w:t xml:space="preserve">Standard 6 </w:t>
      </w:r>
      <w:r w:rsidR="00CA426A">
        <w:t>–</w:t>
      </w:r>
      <w:r>
        <w:t xml:space="preserve"> Management, risk </w:t>
      </w:r>
      <w:r w:rsidR="00AD7CB7">
        <w:t>and</w:t>
      </w:r>
      <w:r>
        <w:t xml:space="preserve"> oversight</w:t>
      </w:r>
    </w:p>
    <w:p w14:paraId="087EDCA8" w14:textId="77777777" w:rsidR="00D71670" w:rsidRPr="00DC2FFC" w:rsidRDefault="004625F8" w:rsidP="00DC2FFC">
      <w:pPr>
        <w:pStyle w:val="Heading2"/>
      </w:pPr>
      <w:r w:rsidRPr="00DC2FFC">
        <w:rPr>
          <w:rStyle w:val="Heading3Char"/>
          <w:sz w:val="24"/>
          <w:szCs w:val="24"/>
        </w:rPr>
        <w:t>Outcome:</w:t>
      </w:r>
      <w:r w:rsidRPr="00DC2FFC">
        <w:t xml:space="preserve"> </w:t>
      </w:r>
    </w:p>
    <w:p w14:paraId="47D397CE" w14:textId="79AD4D64" w:rsidR="004625F8" w:rsidRPr="00CB7CEA" w:rsidRDefault="004625F8" w:rsidP="004625F8">
      <w:pPr>
        <w:rPr>
          <w:sz w:val="20"/>
          <w:szCs w:val="22"/>
        </w:rPr>
      </w:pPr>
      <w:r w:rsidRPr="00CB7CEA">
        <w:rPr>
          <w:sz w:val="20"/>
          <w:szCs w:val="22"/>
        </w:rPr>
        <w:t>Structures, systems and capability underpin reliable service delivery and sound risk management.</w:t>
      </w:r>
    </w:p>
    <w:p w14:paraId="1B739FD1" w14:textId="77777777" w:rsidR="004625F8" w:rsidRDefault="004625F8" w:rsidP="00DC2FFC">
      <w:pPr>
        <w:pStyle w:val="Heading2"/>
      </w:pPr>
      <w:r>
        <w:t>Requirements:</w:t>
      </w:r>
    </w:p>
    <w:p w14:paraId="3DC6D092" w14:textId="77777777" w:rsidR="004625F8" w:rsidRPr="00CE7BED" w:rsidRDefault="004625F8" w:rsidP="00CE7BED">
      <w:pPr>
        <w:pStyle w:val="Numpara"/>
        <w:numPr>
          <w:ilvl w:val="0"/>
          <w:numId w:val="32"/>
        </w:numPr>
        <w:contextualSpacing w:val="0"/>
        <w:rPr>
          <w:sz w:val="20"/>
          <w:szCs w:val="22"/>
        </w:rPr>
      </w:pPr>
      <w:r w:rsidRPr="00CE7BED">
        <w:rPr>
          <w:sz w:val="20"/>
          <w:szCs w:val="22"/>
        </w:rPr>
        <w:t xml:space="preserve">Maintain a fit-for-purpose organisational structure, policies, systems and workforce. </w:t>
      </w:r>
    </w:p>
    <w:p w14:paraId="0F3C3AFF" w14:textId="39926328" w:rsidR="004625F8" w:rsidRPr="00CE7BED" w:rsidRDefault="004625F8" w:rsidP="00CE7BED">
      <w:pPr>
        <w:pStyle w:val="Numpara"/>
        <w:numPr>
          <w:ilvl w:val="0"/>
          <w:numId w:val="26"/>
        </w:numPr>
        <w:contextualSpacing w:val="0"/>
        <w:rPr>
          <w:sz w:val="20"/>
          <w:szCs w:val="22"/>
        </w:rPr>
      </w:pPr>
      <w:r w:rsidRPr="00CE7BED">
        <w:rPr>
          <w:sz w:val="20"/>
          <w:szCs w:val="22"/>
        </w:rPr>
        <w:t xml:space="preserve">Actively identify, manage and report risks, including financial, service, health </w:t>
      </w:r>
      <w:r w:rsidR="00833514">
        <w:rPr>
          <w:sz w:val="20"/>
          <w:szCs w:val="22"/>
        </w:rPr>
        <w:t>and</w:t>
      </w:r>
      <w:r w:rsidRPr="00CE7BED">
        <w:rPr>
          <w:sz w:val="20"/>
          <w:szCs w:val="22"/>
        </w:rPr>
        <w:t xml:space="preserve"> safety, ICT and cyber security risks.</w:t>
      </w:r>
    </w:p>
    <w:p w14:paraId="14B006D5" w14:textId="77777777" w:rsidR="004625F8" w:rsidRPr="00CE7BED" w:rsidRDefault="004625F8" w:rsidP="00CE7BED">
      <w:pPr>
        <w:pStyle w:val="Numpara"/>
        <w:numPr>
          <w:ilvl w:val="0"/>
          <w:numId w:val="26"/>
        </w:numPr>
        <w:contextualSpacing w:val="0"/>
        <w:rPr>
          <w:sz w:val="20"/>
          <w:szCs w:val="22"/>
        </w:rPr>
      </w:pPr>
      <w:r w:rsidRPr="00CE7BED">
        <w:rPr>
          <w:sz w:val="20"/>
          <w:szCs w:val="22"/>
        </w:rPr>
        <w:t>Store and handle information securely and lawfully, protecting personal and sensitive data.</w:t>
      </w:r>
    </w:p>
    <w:p w14:paraId="4002C3B7" w14:textId="77777777" w:rsidR="004625F8" w:rsidRPr="00CE7BED" w:rsidRDefault="004625F8" w:rsidP="00CE7BED">
      <w:pPr>
        <w:pStyle w:val="Numpara"/>
        <w:numPr>
          <w:ilvl w:val="0"/>
          <w:numId w:val="26"/>
        </w:numPr>
        <w:contextualSpacing w:val="0"/>
        <w:rPr>
          <w:sz w:val="20"/>
          <w:szCs w:val="22"/>
        </w:rPr>
      </w:pPr>
      <w:r w:rsidRPr="00CE7BED">
        <w:rPr>
          <w:sz w:val="20"/>
          <w:szCs w:val="22"/>
        </w:rPr>
        <w:t>Oversee the performance of third parties (including ICT and maintenance providers) to ensure service quality and compliance.</w:t>
      </w:r>
    </w:p>
    <w:p w14:paraId="451B0F02" w14:textId="77777777" w:rsidR="004625F8" w:rsidRPr="00CE7BED" w:rsidRDefault="004625F8" w:rsidP="00CE7BED">
      <w:pPr>
        <w:pStyle w:val="Numpara"/>
        <w:numPr>
          <w:ilvl w:val="0"/>
          <w:numId w:val="26"/>
        </w:numPr>
        <w:contextualSpacing w:val="0"/>
        <w:rPr>
          <w:sz w:val="20"/>
          <w:szCs w:val="22"/>
        </w:rPr>
      </w:pPr>
      <w:r w:rsidRPr="00CE7BED">
        <w:rPr>
          <w:sz w:val="20"/>
          <w:szCs w:val="22"/>
        </w:rPr>
        <w:t>Continuously improve service delivery through internal performance monitoring and timely operational adjustments.</w:t>
      </w:r>
    </w:p>
    <w:p w14:paraId="3A1B9D2A" w14:textId="77777777" w:rsidR="004625F8" w:rsidRPr="00CE7BED" w:rsidRDefault="004625F8" w:rsidP="00CE7BED">
      <w:pPr>
        <w:pStyle w:val="Numpara"/>
        <w:numPr>
          <w:ilvl w:val="0"/>
          <w:numId w:val="26"/>
        </w:numPr>
        <w:contextualSpacing w:val="0"/>
        <w:rPr>
          <w:sz w:val="20"/>
          <w:szCs w:val="22"/>
        </w:rPr>
      </w:pPr>
      <w:r w:rsidRPr="00CE7BED">
        <w:rPr>
          <w:sz w:val="20"/>
          <w:szCs w:val="22"/>
        </w:rPr>
        <w:t>Use tenant feedback, complaints and performance data to drive continuous improvement in housing services and outcomes.</w:t>
      </w:r>
    </w:p>
    <w:p w14:paraId="50691B24" w14:textId="77777777" w:rsidR="004625F8" w:rsidRPr="00CE7BED" w:rsidRDefault="004625F8" w:rsidP="00CE7BED">
      <w:pPr>
        <w:pStyle w:val="Numpara"/>
        <w:numPr>
          <w:ilvl w:val="0"/>
          <w:numId w:val="26"/>
        </w:numPr>
        <w:contextualSpacing w:val="0"/>
        <w:rPr>
          <w:sz w:val="20"/>
          <w:szCs w:val="22"/>
        </w:rPr>
      </w:pPr>
      <w:r w:rsidRPr="00CE7BED">
        <w:rPr>
          <w:sz w:val="20"/>
          <w:szCs w:val="22"/>
        </w:rPr>
        <w:t>Submit complete, accurate and timely regulatory data to the Housing Registrar, retaining supporting evidence.</w:t>
      </w:r>
    </w:p>
    <w:p w14:paraId="6B430779" w14:textId="77777777" w:rsidR="004625F8" w:rsidRDefault="004625F8" w:rsidP="004625F8"/>
    <w:p w14:paraId="52830249" w14:textId="77777777" w:rsidR="002F7DDD" w:rsidRDefault="002F7DDD">
      <w:pPr>
        <w:keepLines w:val="0"/>
        <w:spacing w:before="0" w:after="200"/>
        <w:rPr>
          <w:rFonts w:asciiTheme="majorHAnsi" w:eastAsiaTheme="majorEastAsia" w:hAnsiTheme="majorHAnsi" w:cstheme="majorBidi"/>
          <w:color w:val="1EB6EC" w:themeColor="accent1"/>
          <w:sz w:val="28"/>
          <w:szCs w:val="28"/>
        </w:rPr>
      </w:pPr>
      <w:r>
        <w:br w:type="page"/>
      </w:r>
    </w:p>
    <w:p w14:paraId="05828D2B" w14:textId="57A43B47" w:rsidR="004625F8" w:rsidRDefault="004625F8" w:rsidP="009C53BE">
      <w:pPr>
        <w:pStyle w:val="Heading1"/>
      </w:pPr>
      <w:r>
        <w:lastRenderedPageBreak/>
        <w:t xml:space="preserve">Standard 7 </w:t>
      </w:r>
      <w:r w:rsidR="00CA426A">
        <w:t>–</w:t>
      </w:r>
      <w:r>
        <w:t xml:space="preserve"> Financial viability</w:t>
      </w:r>
    </w:p>
    <w:p w14:paraId="3D82A056" w14:textId="77777777" w:rsidR="00D71670" w:rsidRPr="00DC2FFC" w:rsidRDefault="004625F8" w:rsidP="00DC2FFC">
      <w:pPr>
        <w:pStyle w:val="Heading2"/>
      </w:pPr>
      <w:r w:rsidRPr="00DC2FFC">
        <w:rPr>
          <w:rStyle w:val="Heading3Char"/>
          <w:sz w:val="24"/>
          <w:szCs w:val="24"/>
        </w:rPr>
        <w:t>Outcome:</w:t>
      </w:r>
      <w:r w:rsidRPr="00DC2FFC">
        <w:t xml:space="preserve"> </w:t>
      </w:r>
    </w:p>
    <w:p w14:paraId="7C6E66C9" w14:textId="38B2C6D5" w:rsidR="004625F8" w:rsidRPr="00CB7CEA" w:rsidRDefault="004625F8" w:rsidP="004625F8">
      <w:pPr>
        <w:rPr>
          <w:sz w:val="20"/>
          <w:szCs w:val="22"/>
        </w:rPr>
      </w:pPr>
      <w:r w:rsidRPr="00CB7CEA">
        <w:rPr>
          <w:sz w:val="20"/>
          <w:szCs w:val="22"/>
        </w:rPr>
        <w:t>The provider remains financially viable at all times.</w:t>
      </w:r>
    </w:p>
    <w:p w14:paraId="326A27C1" w14:textId="77777777" w:rsidR="004625F8" w:rsidRDefault="004625F8" w:rsidP="00DC2FFC">
      <w:pPr>
        <w:pStyle w:val="Heading2"/>
      </w:pPr>
      <w:r>
        <w:t>Requirements:</w:t>
      </w:r>
    </w:p>
    <w:p w14:paraId="2D83DEF9" w14:textId="77777777" w:rsidR="004625F8" w:rsidRPr="00CE7BED" w:rsidRDefault="004625F8" w:rsidP="00CE7BED">
      <w:pPr>
        <w:pStyle w:val="Numpara"/>
        <w:numPr>
          <w:ilvl w:val="0"/>
          <w:numId w:val="35"/>
        </w:numPr>
        <w:contextualSpacing w:val="0"/>
        <w:rPr>
          <w:sz w:val="20"/>
          <w:szCs w:val="22"/>
        </w:rPr>
      </w:pPr>
      <w:r w:rsidRPr="00CE7BED">
        <w:rPr>
          <w:sz w:val="20"/>
          <w:szCs w:val="22"/>
        </w:rPr>
        <w:t>Maintain adequate solvency, liquidity and cash reserves to meet all financial obligations.</w:t>
      </w:r>
    </w:p>
    <w:p w14:paraId="370DB15A" w14:textId="77777777" w:rsidR="004625F8" w:rsidRPr="00CE7BED" w:rsidRDefault="004625F8" w:rsidP="00CE7BED">
      <w:pPr>
        <w:pStyle w:val="Numpara"/>
        <w:numPr>
          <w:ilvl w:val="0"/>
          <w:numId w:val="26"/>
        </w:numPr>
        <w:contextualSpacing w:val="0"/>
        <w:rPr>
          <w:sz w:val="20"/>
          <w:szCs w:val="22"/>
        </w:rPr>
      </w:pPr>
      <w:r w:rsidRPr="00CE7BED">
        <w:rPr>
          <w:sz w:val="20"/>
          <w:szCs w:val="22"/>
        </w:rPr>
        <w:t>Prepare budgets and forecasts based on sound assumptions. Monitor actual results against budgets and forecasts and take timely action to address material variances.</w:t>
      </w:r>
    </w:p>
    <w:p w14:paraId="23599AB2" w14:textId="77777777" w:rsidR="004625F8" w:rsidRPr="00CE7BED" w:rsidRDefault="004625F8" w:rsidP="00CE7BED">
      <w:pPr>
        <w:pStyle w:val="Numpara"/>
        <w:numPr>
          <w:ilvl w:val="0"/>
          <w:numId w:val="26"/>
        </w:numPr>
        <w:contextualSpacing w:val="0"/>
        <w:rPr>
          <w:sz w:val="20"/>
          <w:szCs w:val="22"/>
        </w:rPr>
      </w:pPr>
      <w:r w:rsidRPr="00CE7BED">
        <w:rPr>
          <w:sz w:val="20"/>
          <w:szCs w:val="22"/>
        </w:rPr>
        <w:t>Manage and monitor financial risks – including counterparty/credit, project funding adequacy, interest rate, covenant and refinancing risks – supported by appropriate stress testing, mitigation strategies and contingency planning.</w:t>
      </w:r>
    </w:p>
    <w:p w14:paraId="3F905FB4" w14:textId="77777777" w:rsidR="004625F8" w:rsidRPr="00CE7BED" w:rsidRDefault="004625F8" w:rsidP="00CE7BED">
      <w:pPr>
        <w:pStyle w:val="Numpara"/>
        <w:numPr>
          <w:ilvl w:val="0"/>
          <w:numId w:val="26"/>
        </w:numPr>
        <w:contextualSpacing w:val="0"/>
        <w:rPr>
          <w:sz w:val="20"/>
          <w:szCs w:val="22"/>
        </w:rPr>
      </w:pPr>
      <w:r w:rsidRPr="00CE7BED">
        <w:rPr>
          <w:sz w:val="20"/>
          <w:szCs w:val="22"/>
        </w:rPr>
        <w:t>Optimise revenue through effective management of tenancies, tenant mix, and, where appropriate, diversified income streams. Manage expenditure efficiently through effective use of resources.</w:t>
      </w:r>
    </w:p>
    <w:p w14:paraId="20B44958" w14:textId="77777777" w:rsidR="004625F8" w:rsidRPr="00CE7BED" w:rsidRDefault="004625F8" w:rsidP="00CE7BED">
      <w:pPr>
        <w:pStyle w:val="Numpara"/>
        <w:numPr>
          <w:ilvl w:val="0"/>
          <w:numId w:val="26"/>
        </w:numPr>
        <w:contextualSpacing w:val="0"/>
        <w:rPr>
          <w:sz w:val="20"/>
          <w:szCs w:val="22"/>
        </w:rPr>
      </w:pPr>
      <w:r w:rsidRPr="00CE7BED">
        <w:rPr>
          <w:sz w:val="20"/>
          <w:szCs w:val="22"/>
        </w:rPr>
        <w:t>Produce accurate and timely financial reports and comply with audit and regulatory reporting requirements.</w:t>
      </w:r>
    </w:p>
    <w:p w14:paraId="3F6E7D5A" w14:textId="77777777" w:rsidR="004625F8" w:rsidRDefault="004625F8" w:rsidP="004625F8"/>
    <w:p w14:paraId="0CCBAB02" w14:textId="5083FA65" w:rsidR="004625F8" w:rsidRDefault="004625F8" w:rsidP="00D71670">
      <w:pPr>
        <w:pStyle w:val="Heading1"/>
      </w:pPr>
      <w:r>
        <w:t xml:space="preserve">Standard 8 </w:t>
      </w:r>
      <w:r w:rsidR="00CB7CEA">
        <w:t>–</w:t>
      </w:r>
      <w:r>
        <w:t xml:space="preserve"> </w:t>
      </w:r>
      <w:r w:rsidR="00CB7CEA">
        <w:t>Aboriginal c</w:t>
      </w:r>
      <w:r>
        <w:t xml:space="preserve">ultural safety, equity </w:t>
      </w:r>
      <w:r w:rsidR="00AD7CB7">
        <w:t>and</w:t>
      </w:r>
      <w:r>
        <w:t xml:space="preserve"> inclusion</w:t>
      </w:r>
    </w:p>
    <w:p w14:paraId="2955ECDF" w14:textId="0F4532C0" w:rsidR="005438B4" w:rsidRPr="00DC2FFC" w:rsidRDefault="005438B4" w:rsidP="005438B4">
      <w:pPr>
        <w:pStyle w:val="Heading2"/>
      </w:pPr>
      <w:r w:rsidRPr="00DC2FFC">
        <w:rPr>
          <w:rStyle w:val="Heading3Char"/>
          <w:sz w:val="24"/>
          <w:szCs w:val="24"/>
        </w:rPr>
        <w:t>Outcome:</w:t>
      </w:r>
      <w:r w:rsidRPr="00DC2FFC">
        <w:t xml:space="preserve"> </w:t>
      </w:r>
    </w:p>
    <w:p w14:paraId="7C6C1FE0" w14:textId="606CE739" w:rsidR="004625F8" w:rsidRDefault="00D4134C" w:rsidP="004625F8">
      <w:r w:rsidRPr="005438B4">
        <w:rPr>
          <w:sz w:val="20"/>
          <w:szCs w:val="22"/>
        </w:rPr>
        <w:t>Services, homes and engagement recognise Aboriginal self-determination, are culturally safe, trauma-informed and inclusive.</w:t>
      </w:r>
    </w:p>
    <w:p w14:paraId="5B0FBE66" w14:textId="77777777" w:rsidR="004625F8" w:rsidRDefault="004625F8" w:rsidP="00DC2FFC">
      <w:pPr>
        <w:pStyle w:val="Heading2"/>
      </w:pPr>
      <w:r>
        <w:t>Requirements:</w:t>
      </w:r>
    </w:p>
    <w:p w14:paraId="38E14116" w14:textId="2C033DF6" w:rsidR="005627B6" w:rsidRPr="0017049F" w:rsidRDefault="005627B6" w:rsidP="0017049F">
      <w:pPr>
        <w:pStyle w:val="Numpara"/>
        <w:numPr>
          <w:ilvl w:val="0"/>
          <w:numId w:val="37"/>
        </w:numPr>
        <w:contextualSpacing w:val="0"/>
        <w:rPr>
          <w:sz w:val="20"/>
          <w:szCs w:val="22"/>
        </w:rPr>
      </w:pPr>
      <w:r w:rsidRPr="0017049F">
        <w:rPr>
          <w:sz w:val="20"/>
          <w:szCs w:val="22"/>
        </w:rPr>
        <w:t>Maintain genuine, ongoing partnerships with A</w:t>
      </w:r>
      <w:r w:rsidR="0017049F">
        <w:rPr>
          <w:sz w:val="20"/>
          <w:szCs w:val="22"/>
        </w:rPr>
        <w:t xml:space="preserve">boriginal </w:t>
      </w:r>
      <w:r w:rsidRPr="0017049F">
        <w:rPr>
          <w:sz w:val="20"/>
          <w:szCs w:val="22"/>
        </w:rPr>
        <w:t>C</w:t>
      </w:r>
      <w:r w:rsidR="0017049F">
        <w:rPr>
          <w:sz w:val="20"/>
          <w:szCs w:val="22"/>
        </w:rPr>
        <w:t xml:space="preserve">ommunity </w:t>
      </w:r>
      <w:r w:rsidRPr="0017049F">
        <w:rPr>
          <w:sz w:val="20"/>
          <w:szCs w:val="22"/>
        </w:rPr>
        <w:t>C</w:t>
      </w:r>
      <w:r w:rsidR="0017049F">
        <w:rPr>
          <w:sz w:val="20"/>
          <w:szCs w:val="22"/>
        </w:rPr>
        <w:t xml:space="preserve">ontrolled </w:t>
      </w:r>
      <w:r w:rsidRPr="0017049F">
        <w:rPr>
          <w:sz w:val="20"/>
          <w:szCs w:val="22"/>
        </w:rPr>
        <w:t>O</w:t>
      </w:r>
      <w:r w:rsidR="0017049F">
        <w:rPr>
          <w:sz w:val="20"/>
          <w:szCs w:val="22"/>
        </w:rPr>
        <w:t>rganisation</w:t>
      </w:r>
      <w:r w:rsidRPr="0017049F">
        <w:rPr>
          <w:sz w:val="20"/>
          <w:szCs w:val="22"/>
        </w:rPr>
        <w:t>s, community, and Aboriginal housing and homelessness services, with clear roles, referral pathways, information-sharing arrangements and protocols for engagement.</w:t>
      </w:r>
    </w:p>
    <w:p w14:paraId="19E8BCDB" w14:textId="0BC61EFA" w:rsidR="005627B6" w:rsidRPr="000A6A8A" w:rsidRDefault="005627B6" w:rsidP="07B63998">
      <w:pPr>
        <w:pStyle w:val="Numpara"/>
        <w:contextualSpacing w:val="0"/>
        <w:rPr>
          <w:sz w:val="20"/>
        </w:rPr>
      </w:pPr>
      <w:r w:rsidRPr="07B63998">
        <w:rPr>
          <w:sz w:val="20"/>
        </w:rPr>
        <w:t>Design and deliver all tenant-facing processes – including allocations, arrears management, complaints, notices to vacate and dispute resolution – in ways that are culturally safe, trauma</w:t>
      </w:r>
      <w:r w:rsidR="2FD8A4CA" w:rsidRPr="07B63998">
        <w:rPr>
          <w:sz w:val="20"/>
        </w:rPr>
        <w:t>-</w:t>
      </w:r>
      <w:r w:rsidRPr="07B63998">
        <w:rPr>
          <w:sz w:val="20"/>
        </w:rPr>
        <w:t>informed, and recognise kinship, cultural obligations and connection to community and country.</w:t>
      </w:r>
    </w:p>
    <w:p w14:paraId="10A1D336" w14:textId="7185F5B9" w:rsidR="005627B6" w:rsidRPr="000A6A8A" w:rsidRDefault="005627B6" w:rsidP="000A6A8A">
      <w:pPr>
        <w:pStyle w:val="Numpara"/>
        <w:numPr>
          <w:ilvl w:val="0"/>
          <w:numId w:val="26"/>
        </w:numPr>
        <w:contextualSpacing w:val="0"/>
        <w:rPr>
          <w:sz w:val="20"/>
          <w:szCs w:val="22"/>
        </w:rPr>
      </w:pPr>
      <w:r w:rsidRPr="000A6A8A">
        <w:rPr>
          <w:sz w:val="20"/>
          <w:szCs w:val="22"/>
        </w:rPr>
        <w:t>Prevent, identify and respond to racism, discrimination, and culturally unsafe practices by staff, contractors and other tenants, and provide accessible, culturally safe ways for Aboriginal tenants and applicants to raise concerns and have them addressed promptly and fairly.</w:t>
      </w:r>
    </w:p>
    <w:p w14:paraId="2B307431" w14:textId="3AD39265" w:rsidR="005627B6" w:rsidRPr="000A6A8A" w:rsidRDefault="005627B6" w:rsidP="000A6A8A">
      <w:pPr>
        <w:pStyle w:val="Numpara"/>
        <w:numPr>
          <w:ilvl w:val="0"/>
          <w:numId w:val="26"/>
        </w:numPr>
        <w:contextualSpacing w:val="0"/>
        <w:rPr>
          <w:sz w:val="20"/>
          <w:szCs w:val="22"/>
        </w:rPr>
      </w:pPr>
      <w:r w:rsidRPr="000A6A8A">
        <w:rPr>
          <w:sz w:val="20"/>
          <w:szCs w:val="22"/>
        </w:rPr>
        <w:t>Build and maintain Aboriginal cultural safety and anti-racism capability across the Board, leadership and staff through ongoing training – beyond one-off awareness sessions – and embed culturally safe practice into internal and external operations.</w:t>
      </w:r>
    </w:p>
    <w:p w14:paraId="4A347B03" w14:textId="6F24ACFD" w:rsidR="00822DEC" w:rsidRPr="000A6A8A" w:rsidRDefault="005627B6" w:rsidP="000A6A8A">
      <w:pPr>
        <w:pStyle w:val="Numpara"/>
        <w:numPr>
          <w:ilvl w:val="0"/>
          <w:numId w:val="26"/>
        </w:numPr>
        <w:contextualSpacing w:val="0"/>
        <w:rPr>
          <w:sz w:val="20"/>
          <w:szCs w:val="22"/>
        </w:rPr>
      </w:pPr>
      <w:r w:rsidRPr="000A6A8A">
        <w:rPr>
          <w:sz w:val="20"/>
          <w:szCs w:val="22"/>
        </w:rPr>
        <w:t>Plan and design housing assets that support connection to Country, family, culture and Aboriginal services, where possible. Ensure offices and shared spaces are welcoming and visibly respectful of Aboriginal culture, guided by local Aboriginal input.</w:t>
      </w:r>
    </w:p>
    <w:sectPr w:rsidR="00822DEC" w:rsidRPr="000A6A8A" w:rsidSect="00812A3C">
      <w:type w:val="continuous"/>
      <w:pgSz w:w="11906" w:h="16838" w:code="9"/>
      <w:pgMar w:top="2269" w:right="936" w:bottom="1729" w:left="1134" w:header="706"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10E5" w14:textId="77777777" w:rsidR="00C24337" w:rsidRDefault="00C24337" w:rsidP="009E5956">
      <w:r>
        <w:separator/>
      </w:r>
    </w:p>
  </w:endnote>
  <w:endnote w:type="continuationSeparator" w:id="0">
    <w:p w14:paraId="6F43E9F3" w14:textId="77777777" w:rsidR="00C24337" w:rsidRDefault="00C24337" w:rsidP="009E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B613" w14:textId="5BB1DA68" w:rsidR="00555DA4" w:rsidRDefault="000756EC">
    <w:pPr>
      <w:pStyle w:val="Footer"/>
    </w:pPr>
    <w:r>
      <mc:AlternateContent>
        <mc:Choice Requires="wps">
          <w:drawing>
            <wp:anchor distT="0" distB="0" distL="0" distR="0" simplePos="0" relativeHeight="251662336" behindDoc="0" locked="0" layoutInCell="1" allowOverlap="1" wp14:anchorId="5114BCD2" wp14:editId="5F7A51FA">
              <wp:simplePos x="635" y="635"/>
              <wp:positionH relativeFrom="page">
                <wp:align>left</wp:align>
              </wp:positionH>
              <wp:positionV relativeFrom="page">
                <wp:align>bottom</wp:align>
              </wp:positionV>
              <wp:extent cx="824865" cy="462915"/>
              <wp:effectExtent l="0" t="0" r="13335" b="0"/>
              <wp:wrapNone/>
              <wp:docPr id="143173030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62915"/>
                      </a:xfrm>
                      <a:prstGeom prst="rect">
                        <a:avLst/>
                      </a:prstGeom>
                      <a:noFill/>
                      <a:ln>
                        <a:noFill/>
                      </a:ln>
                    </wps:spPr>
                    <wps:txbx>
                      <w:txbxContent>
                        <w:p w14:paraId="48D2FC06" w14:textId="611B554F" w:rsidR="000756EC" w:rsidRPr="000756EC" w:rsidRDefault="000756EC" w:rsidP="000756EC">
                          <w:pPr>
                            <w:spacing w:after="0"/>
                            <w:rPr>
                              <w:rFonts w:ascii="Aptos" w:eastAsia="Aptos" w:hAnsi="Aptos" w:cs="Aptos"/>
                              <w:noProof/>
                              <w:color w:val="000000"/>
                              <w:sz w:val="22"/>
                              <w:szCs w:val="22"/>
                            </w:rPr>
                          </w:pPr>
                          <w:r w:rsidRPr="000756E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14BCD2" id="_x0000_t202" coordsize="21600,21600" o:spt="202" path="m,l,21600r21600,l21600,xe">
              <v:stroke joinstyle="miter"/>
              <v:path gradientshapeok="t" o:connecttype="rect"/>
            </v:shapetype>
            <v:shape id="Text Box 9" o:spid="_x0000_s1026" type="#_x0000_t202" alt="OFFICIAL" style="position:absolute;margin-left:0;margin-top:0;width:64.95pt;height:36.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" filled="f" stroked="f">
              <v:fill o:detectmouseclick="t"/>
              <v:textbox style="mso-fit-shape-to-text:t" inset="20pt,0,0,15pt">
                <w:txbxContent>
                  <w:p w14:paraId="48D2FC06" w14:textId="611B554F" w:rsidR="000756EC" w:rsidRPr="000756EC" w:rsidRDefault="000756EC" w:rsidP="000756EC">
                    <w:pPr>
                      <w:spacing w:after="0"/>
                      <w:rPr>
                        <w:rFonts w:ascii="Aptos" w:eastAsia="Aptos" w:hAnsi="Aptos" w:cs="Aptos"/>
                        <w:noProof/>
                        <w:color w:val="000000"/>
                        <w:sz w:val="22"/>
                        <w:szCs w:val="22"/>
                      </w:rPr>
                    </w:pPr>
                    <w:r w:rsidRPr="000756EC">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91F6" w14:textId="2D1D34C7" w:rsidR="00522F8A" w:rsidRPr="00EB6557" w:rsidRDefault="000756EC" w:rsidP="009E5956">
    <w:pPr>
      <w:pStyle w:val="Footer"/>
      <w:rPr>
        <w:rStyle w:val="PageNumber"/>
        <w:b/>
        <w:bCs/>
        <w:color w:val="auto"/>
      </w:rPr>
    </w:pPr>
    <w:r>
      <mc:AlternateContent>
        <mc:Choice Requires="wps">
          <w:drawing>
            <wp:anchor distT="0" distB="0" distL="0" distR="0" simplePos="0" relativeHeight="251663360" behindDoc="0" locked="0" layoutInCell="1" allowOverlap="1" wp14:anchorId="547E7934" wp14:editId="0BDB3343">
              <wp:simplePos x="635" y="635"/>
              <wp:positionH relativeFrom="page">
                <wp:align>left</wp:align>
              </wp:positionH>
              <wp:positionV relativeFrom="page">
                <wp:align>bottom</wp:align>
              </wp:positionV>
              <wp:extent cx="824865" cy="462915"/>
              <wp:effectExtent l="0" t="0" r="13335" b="0"/>
              <wp:wrapNone/>
              <wp:docPr id="82732289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62915"/>
                      </a:xfrm>
                      <a:prstGeom prst="rect">
                        <a:avLst/>
                      </a:prstGeom>
                      <a:noFill/>
                      <a:ln>
                        <a:noFill/>
                      </a:ln>
                    </wps:spPr>
                    <wps:txbx>
                      <w:txbxContent>
                        <w:p w14:paraId="00D03F08" w14:textId="500EBE38" w:rsidR="000756EC" w:rsidRPr="000756EC" w:rsidRDefault="000756EC" w:rsidP="000756EC">
                          <w:pPr>
                            <w:spacing w:after="0"/>
                            <w:rPr>
                              <w:rFonts w:ascii="Aptos" w:eastAsia="Aptos" w:hAnsi="Aptos" w:cs="Aptos"/>
                              <w:noProof/>
                              <w:color w:val="000000"/>
                              <w:sz w:val="22"/>
                              <w:szCs w:val="22"/>
                            </w:rPr>
                          </w:pPr>
                          <w:r w:rsidRPr="000756E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7E7934" id="_x0000_t202" coordsize="21600,21600" o:spt="202" path="m,l,21600r21600,l21600,xe">
              <v:stroke joinstyle="miter"/>
              <v:path gradientshapeok="t" o:connecttype="rect"/>
            </v:shapetype>
            <v:shape id="Text Box 10" o:spid="_x0000_s1027" type="#_x0000_t202" alt="OFFICIAL" style="position:absolute;margin-left:0;margin-top:0;width:64.95pt;height:36.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" filled="f" stroked="f">
              <v:fill o:detectmouseclick="t"/>
              <v:textbox style="mso-fit-shape-to-text:t" inset="20pt,0,0,15pt">
                <w:txbxContent>
                  <w:p w14:paraId="00D03F08" w14:textId="500EBE38" w:rsidR="000756EC" w:rsidRPr="000756EC" w:rsidRDefault="000756EC" w:rsidP="000756EC">
                    <w:pPr>
                      <w:spacing w:after="0"/>
                      <w:rPr>
                        <w:rFonts w:ascii="Aptos" w:eastAsia="Aptos" w:hAnsi="Aptos" w:cs="Aptos"/>
                        <w:noProof/>
                        <w:color w:val="000000"/>
                        <w:sz w:val="22"/>
                        <w:szCs w:val="22"/>
                      </w:rPr>
                    </w:pPr>
                    <w:r w:rsidRPr="000756EC">
                      <w:rPr>
                        <w:rFonts w:ascii="Aptos" w:eastAsia="Aptos" w:hAnsi="Aptos" w:cs="Aptos"/>
                        <w:noProof/>
                        <w:color w:val="000000"/>
                        <w:sz w:val="22"/>
                        <w:szCs w:val="22"/>
                      </w:rPr>
                      <w:t>OFFICIAL</w:t>
                    </w:r>
                  </w:p>
                </w:txbxContent>
              </v:textbox>
              <w10:wrap anchorx="page" anchory="page"/>
            </v:shape>
          </w:pict>
        </mc:Fallback>
      </mc:AlternateContent>
    </w:r>
    <w:r w:rsidR="000A5354">
      <w:drawing>
        <wp:anchor distT="0" distB="0" distL="114300" distR="114300" simplePos="0" relativeHeight="251659264" behindDoc="1" locked="0" layoutInCell="1" allowOverlap="1" wp14:anchorId="0C44827C" wp14:editId="3B4E738A">
          <wp:simplePos x="0" y="0"/>
          <wp:positionH relativeFrom="margin">
            <wp:posOffset>-709105</wp:posOffset>
          </wp:positionH>
          <wp:positionV relativeFrom="paragraph">
            <wp:posOffset>-877570</wp:posOffset>
          </wp:positionV>
          <wp:extent cx="7549515" cy="1409065"/>
          <wp:effectExtent l="0" t="0" r="0" b="635"/>
          <wp:wrapNone/>
          <wp:docPr id="1111924512" name="Picture 111192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Letterhead.png"/>
                  <pic:cNvPicPr/>
                </pic:nvPicPr>
                <pic:blipFill rotWithShape="1">
                  <a:blip r:embed="rId1">
                    <a:extLst>
                      <a:ext uri="{28A0092B-C50C-407E-A947-70E740481C1C}">
                        <a14:useLocalDpi xmlns:a14="http://schemas.microsoft.com/office/drawing/2010/main" val="0"/>
                      </a:ext>
                    </a:extLst>
                  </a:blip>
                  <a:srcRect t="86802"/>
                  <a:stretch/>
                </pic:blipFill>
                <pic:spPr bwMode="auto">
                  <a:xfrm>
                    <a:off x="0" y="0"/>
                    <a:ext cx="7549515" cy="1409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1C72" w:rsidRPr="00AE7D95">
      <w:tab/>
    </w:r>
    <w:r w:rsidR="00491C72" w:rsidRPr="00CE68B9">
      <w:fldChar w:fldCharType="begin"/>
    </w:r>
    <w:r w:rsidR="00491C72" w:rsidRPr="00CE68B9">
      <w:instrText xml:space="preserve"> page </w:instrText>
    </w:r>
    <w:r w:rsidR="00491C72" w:rsidRPr="00CE68B9">
      <w:fldChar w:fldCharType="separate"/>
    </w:r>
    <w:r w:rsidR="00491C72" w:rsidRPr="00CE68B9">
      <w:t>2</w:t>
    </w:r>
    <w:r w:rsidR="00491C72" w:rsidRPr="00CE68B9">
      <w:fldChar w:fldCharType="end"/>
    </w:r>
  </w:p>
  <w:p w14:paraId="1D3B7CB6" w14:textId="77777777" w:rsidR="00522F8A" w:rsidRPr="00C022F9" w:rsidRDefault="00522F8A" w:rsidP="009E5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8AA0" w14:textId="0A446976" w:rsidR="00973844" w:rsidRDefault="000756EC" w:rsidP="009E5956">
    <w:pPr>
      <w:pStyle w:val="Footer"/>
    </w:pPr>
    <w:r>
      <mc:AlternateContent>
        <mc:Choice Requires="wps">
          <w:drawing>
            <wp:anchor distT="0" distB="0" distL="0" distR="0" simplePos="0" relativeHeight="251661312" behindDoc="0" locked="0" layoutInCell="1" allowOverlap="1" wp14:anchorId="7D8E84B8" wp14:editId="6BDD6300">
              <wp:simplePos x="635" y="635"/>
              <wp:positionH relativeFrom="page">
                <wp:align>left</wp:align>
              </wp:positionH>
              <wp:positionV relativeFrom="page">
                <wp:align>bottom</wp:align>
              </wp:positionV>
              <wp:extent cx="824865" cy="462915"/>
              <wp:effectExtent l="0" t="0" r="13335" b="0"/>
              <wp:wrapNone/>
              <wp:docPr id="3847944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62915"/>
                      </a:xfrm>
                      <a:prstGeom prst="rect">
                        <a:avLst/>
                      </a:prstGeom>
                      <a:noFill/>
                      <a:ln>
                        <a:noFill/>
                      </a:ln>
                    </wps:spPr>
                    <wps:txbx>
                      <w:txbxContent>
                        <w:p w14:paraId="43B04EDF" w14:textId="5DCE8917" w:rsidR="000756EC" w:rsidRPr="000756EC" w:rsidRDefault="000756EC" w:rsidP="000756EC">
                          <w:pPr>
                            <w:spacing w:after="0"/>
                            <w:rPr>
                              <w:rFonts w:ascii="Aptos" w:eastAsia="Aptos" w:hAnsi="Aptos" w:cs="Aptos"/>
                              <w:noProof/>
                              <w:color w:val="000000"/>
                              <w:sz w:val="22"/>
                              <w:szCs w:val="22"/>
                            </w:rPr>
                          </w:pPr>
                          <w:r w:rsidRPr="000756E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8E84B8" id="_x0000_t202" coordsize="21600,21600" o:spt="202" path="m,l,21600r21600,l21600,xe">
              <v:stroke joinstyle="miter"/>
              <v:path gradientshapeok="t" o:connecttype="rect"/>
            </v:shapetype>
            <v:shape id="Text Box 8" o:spid="_x0000_s1028" type="#_x0000_t202" alt="OFFICIAL" style="position:absolute;margin-left:0;margin-top:0;width:64.95pt;height:36.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" filled="f" stroked="f">
              <v:fill o:detectmouseclick="t"/>
              <v:textbox style="mso-fit-shape-to-text:t" inset="20pt,0,0,15pt">
                <w:txbxContent>
                  <w:p w14:paraId="43B04EDF" w14:textId="5DCE8917" w:rsidR="000756EC" w:rsidRPr="000756EC" w:rsidRDefault="000756EC" w:rsidP="000756EC">
                    <w:pPr>
                      <w:spacing w:after="0"/>
                      <w:rPr>
                        <w:rFonts w:ascii="Aptos" w:eastAsia="Aptos" w:hAnsi="Aptos" w:cs="Aptos"/>
                        <w:noProof/>
                        <w:color w:val="000000"/>
                        <w:sz w:val="22"/>
                        <w:szCs w:val="22"/>
                      </w:rPr>
                    </w:pPr>
                    <w:r w:rsidRPr="000756EC">
                      <w:rPr>
                        <w:rFonts w:ascii="Aptos" w:eastAsia="Aptos" w:hAnsi="Aptos" w:cs="Aptos"/>
                        <w:noProof/>
                        <w:color w:val="000000"/>
                        <w:sz w:val="22"/>
                        <w:szCs w:val="22"/>
                      </w:rPr>
                      <w:t>OFFICIAL</w:t>
                    </w:r>
                  </w:p>
                </w:txbxContent>
              </v:textbox>
              <w10:wrap anchorx="page" anchory="page"/>
            </v:shape>
          </w:pict>
        </mc:Fallback>
      </mc:AlternateContent>
    </w:r>
    <w:r w:rsidR="00F3376C">
      <mc:AlternateContent>
        <mc:Choice Requires="wps">
          <w:drawing>
            <wp:anchor distT="0" distB="0" distL="114300" distR="114300" simplePos="0" relativeHeight="251654144" behindDoc="0" locked="0" layoutInCell="1" allowOverlap="1" wp14:anchorId="1A14EDC6" wp14:editId="2FF28871">
              <wp:simplePos x="0" y="0"/>
              <wp:positionH relativeFrom="column">
                <wp:posOffset>-664431</wp:posOffset>
              </wp:positionH>
              <wp:positionV relativeFrom="paragraph">
                <wp:posOffset>-520921</wp:posOffset>
              </wp:positionV>
              <wp:extent cx="1161288" cy="950976"/>
              <wp:effectExtent l="0" t="0" r="1270" b="1905"/>
              <wp:wrapNone/>
              <wp:docPr id="1" name="Rectangle 1"/>
              <wp:cNvGraphicFramePr/>
              <a:graphic xmlns:a="http://schemas.openxmlformats.org/drawingml/2006/main">
                <a:graphicData uri="http://schemas.microsoft.com/office/word/2010/wordprocessingShape">
                  <wps:wsp>
                    <wps:cNvSpPr/>
                    <wps:spPr>
                      <a:xfrm>
                        <a:off x="0" y="0"/>
                        <a:ext cx="1161288" cy="9509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72081" id="Rectangle 1" o:spid="_x0000_s1026" style="position:absolute;margin-left:-52.3pt;margin-top:-41pt;width:91.45pt;height:7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" fillcolor="white [3212]" stroked="f" strokeweight="2pt"/>
          </w:pict>
        </mc:Fallback>
      </mc:AlternateContent>
    </w:r>
    <w:r w:rsidR="00F3376C" w:rsidRPr="00D31120">
      <w:rPr>
        <w:color w:val="auto"/>
      </w:rPr>
      <w:drawing>
        <wp:anchor distT="0" distB="0" distL="114300" distR="114300" simplePos="0" relativeHeight="251655168" behindDoc="0" locked="0" layoutInCell="1" allowOverlap="1" wp14:anchorId="066923C8" wp14:editId="0A8E6323">
          <wp:simplePos x="0" y="0"/>
          <wp:positionH relativeFrom="page">
            <wp:posOffset>0</wp:posOffset>
          </wp:positionH>
          <wp:positionV relativeFrom="paragraph">
            <wp:posOffset>-1029970</wp:posOffset>
          </wp:positionV>
          <wp:extent cx="7543800" cy="1444752"/>
          <wp:effectExtent l="0" t="0" r="0" b="3175"/>
          <wp:wrapNone/>
          <wp:docPr id="390113585" name="Picture 3901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 infosheet.png"/>
                  <pic:cNvPicPr/>
                </pic:nvPicPr>
                <pic:blipFill rotWithShape="1">
                  <a:blip r:embed="rId1">
                    <a:extLst>
                      <a:ext uri="{28A0092B-C50C-407E-A947-70E740481C1C}">
                        <a14:useLocalDpi xmlns:a14="http://schemas.microsoft.com/office/drawing/2010/main" val="0"/>
                      </a:ext>
                    </a:extLst>
                  </a:blip>
                  <a:srcRect t="86418"/>
                  <a:stretch/>
                </pic:blipFill>
                <pic:spPr bwMode="auto">
                  <a:xfrm>
                    <a:off x="0" y="0"/>
                    <a:ext cx="7543800" cy="1444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7D95">
      <w:drawing>
        <wp:anchor distT="0" distB="0" distL="114300" distR="114300" simplePos="0" relativeHeight="251660288" behindDoc="0" locked="0" layoutInCell="1" allowOverlap="1" wp14:anchorId="137DE107" wp14:editId="5F2E7C91">
          <wp:simplePos x="0" y="0"/>
          <wp:positionH relativeFrom="margin">
            <wp:align>right</wp:align>
          </wp:positionH>
          <wp:positionV relativeFrom="paragraph">
            <wp:posOffset>-325120</wp:posOffset>
          </wp:positionV>
          <wp:extent cx="1536065" cy="457200"/>
          <wp:effectExtent l="0" t="0" r="6985" b="0"/>
          <wp:wrapNone/>
          <wp:docPr id="65560562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
                    <a:extLst>
                      <a:ext uri="{28A0092B-C50C-407E-A947-70E740481C1C}">
                        <a14:useLocalDpi xmlns:a14="http://schemas.microsoft.com/office/drawing/2010/main" val="0"/>
                      </a:ext>
                    </a:extLst>
                  </a:blip>
                  <a:stretch>
                    <a:fillRect/>
                  </a:stretch>
                </pic:blipFill>
                <pic:spPr>
                  <a:xfrm>
                    <a:off x="0" y="0"/>
                    <a:ext cx="1536065"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D5AA" w14:textId="77777777" w:rsidR="00C24337" w:rsidRDefault="00C24337" w:rsidP="009E5956">
      <w:r>
        <w:separator/>
      </w:r>
    </w:p>
  </w:footnote>
  <w:footnote w:type="continuationSeparator" w:id="0">
    <w:p w14:paraId="72841F1D" w14:textId="77777777" w:rsidR="00C24337" w:rsidRDefault="00C24337" w:rsidP="009E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4DFB" w14:textId="14B11110" w:rsidR="00091790" w:rsidRDefault="00C9298C" w:rsidP="007F5863">
    <w:pPr>
      <w:pStyle w:val="Header"/>
      <w:jc w:val="right"/>
    </w:pPr>
    <w:r>
      <w:rPr>
        <w:noProof/>
      </w:rPr>
      <w:drawing>
        <wp:anchor distT="0" distB="0" distL="114300" distR="114300" simplePos="0" relativeHeight="251658240" behindDoc="1" locked="0" layoutInCell="1" allowOverlap="1" wp14:anchorId="1D81CFAB" wp14:editId="1808864D">
          <wp:simplePos x="0" y="0"/>
          <wp:positionH relativeFrom="column">
            <wp:posOffset>-95250</wp:posOffset>
          </wp:positionH>
          <wp:positionV relativeFrom="paragraph">
            <wp:posOffset>57150</wp:posOffset>
          </wp:positionV>
          <wp:extent cx="2112537" cy="1084868"/>
          <wp:effectExtent l="0" t="0" r="0" b="0"/>
          <wp:wrapNone/>
          <wp:docPr id="1849415014" name="Picture 18494150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using Registrar logo RGB_full.png"/>
                  <pic:cNvPicPr/>
                </pic:nvPicPr>
                <pic:blipFill>
                  <a:blip r:embed="rId1">
                    <a:extLst>
                      <a:ext uri="{28A0092B-C50C-407E-A947-70E740481C1C}">
                        <a14:useLocalDpi xmlns:a14="http://schemas.microsoft.com/office/drawing/2010/main" val="0"/>
                      </a:ext>
                    </a:extLst>
                  </a:blip>
                  <a:stretch>
                    <a:fillRect/>
                  </a:stretch>
                </pic:blipFill>
                <pic:spPr>
                  <a:xfrm>
                    <a:off x="0" y="0"/>
                    <a:ext cx="2112537" cy="1084868"/>
                  </a:xfrm>
                  <a:prstGeom prst="rect">
                    <a:avLst/>
                  </a:prstGeom>
                </pic:spPr>
              </pic:pic>
            </a:graphicData>
          </a:graphic>
          <wp14:sizeRelH relativeFrom="margin">
            <wp14:pctWidth>0</wp14:pctWidth>
          </wp14:sizeRelH>
          <wp14:sizeRelV relativeFrom="margin">
            <wp14:pctHeight>0</wp14:pctHeight>
          </wp14:sizeRelV>
        </wp:anchor>
      </w:drawing>
    </w:r>
    <w:r w:rsidR="000917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00FD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26A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0A9C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26DD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4D8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8AE7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FA11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2AA4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1EC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8069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470FF"/>
    <w:multiLevelType w:val="hybridMultilevel"/>
    <w:tmpl w:val="655E4C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E93EA6"/>
    <w:multiLevelType w:val="hybridMultilevel"/>
    <w:tmpl w:val="6A70C5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6D3A6A"/>
    <w:multiLevelType w:val="multilevel"/>
    <w:tmpl w:val="E9749DC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4" w15:restartNumberingAfterBreak="0">
    <w:nsid w:val="477D53EB"/>
    <w:multiLevelType w:val="hybridMultilevel"/>
    <w:tmpl w:val="6BF88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B63B9E"/>
    <w:multiLevelType w:val="hybridMultilevel"/>
    <w:tmpl w:val="9A400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26724E"/>
    <w:multiLevelType w:val="hybridMultilevel"/>
    <w:tmpl w:val="C504C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546688"/>
    <w:multiLevelType w:val="hybridMultilevel"/>
    <w:tmpl w:val="09101C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2785C31"/>
    <w:multiLevelType w:val="hybridMultilevel"/>
    <w:tmpl w:val="09101C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298682664">
    <w:abstractNumId w:val="13"/>
  </w:num>
  <w:num w:numId="2" w16cid:durableId="1955672620">
    <w:abstractNumId w:val="19"/>
  </w:num>
  <w:num w:numId="3" w16cid:durableId="849106961">
    <w:abstractNumId w:val="20"/>
  </w:num>
  <w:num w:numId="4" w16cid:durableId="1416901014">
    <w:abstractNumId w:val="11"/>
  </w:num>
  <w:num w:numId="5" w16cid:durableId="1973166356">
    <w:abstractNumId w:val="9"/>
  </w:num>
  <w:num w:numId="6" w16cid:durableId="1873225508">
    <w:abstractNumId w:val="7"/>
  </w:num>
  <w:num w:numId="7" w16cid:durableId="1918899862">
    <w:abstractNumId w:val="6"/>
  </w:num>
  <w:num w:numId="8" w16cid:durableId="936403009">
    <w:abstractNumId w:val="5"/>
  </w:num>
  <w:num w:numId="9" w16cid:durableId="1655915109">
    <w:abstractNumId w:val="4"/>
  </w:num>
  <w:num w:numId="10" w16cid:durableId="136993770">
    <w:abstractNumId w:val="8"/>
  </w:num>
  <w:num w:numId="11" w16cid:durableId="2146116129">
    <w:abstractNumId w:val="3"/>
  </w:num>
  <w:num w:numId="12" w16cid:durableId="737368001">
    <w:abstractNumId w:val="2"/>
  </w:num>
  <w:num w:numId="13" w16cid:durableId="2048599861">
    <w:abstractNumId w:val="1"/>
  </w:num>
  <w:num w:numId="14" w16cid:durableId="313024770">
    <w:abstractNumId w:val="0"/>
  </w:num>
  <w:num w:numId="15" w16cid:durableId="1362970030">
    <w:abstractNumId w:val="19"/>
    <w:lvlOverride w:ilvl="0">
      <w:startOverride w:val="1"/>
    </w:lvlOverride>
  </w:num>
  <w:num w:numId="16" w16cid:durableId="612515051">
    <w:abstractNumId w:val="14"/>
  </w:num>
  <w:num w:numId="17" w16cid:durableId="570892054">
    <w:abstractNumId w:val="15"/>
  </w:num>
  <w:num w:numId="18" w16cid:durableId="2138066320">
    <w:abstractNumId w:val="16"/>
  </w:num>
  <w:num w:numId="19" w16cid:durableId="1583023067">
    <w:abstractNumId w:val="10"/>
  </w:num>
  <w:num w:numId="20" w16cid:durableId="931356046">
    <w:abstractNumId w:val="18"/>
  </w:num>
  <w:num w:numId="21" w16cid:durableId="1167864228">
    <w:abstractNumId w:val="12"/>
  </w:num>
  <w:num w:numId="22" w16cid:durableId="747851409">
    <w:abstractNumId w:val="17"/>
  </w:num>
  <w:num w:numId="23" w16cid:durableId="1706950777">
    <w:abstractNumId w:val="19"/>
  </w:num>
  <w:num w:numId="24" w16cid:durableId="97142959">
    <w:abstractNumId w:val="19"/>
    <w:lvlOverride w:ilvl="0">
      <w:startOverride w:val="1"/>
    </w:lvlOverride>
  </w:num>
  <w:num w:numId="25" w16cid:durableId="1757171189">
    <w:abstractNumId w:val="19"/>
  </w:num>
  <w:num w:numId="26" w16cid:durableId="526255685">
    <w:abstractNumId w:val="19"/>
    <w:lvlOverride w:ilvl="0">
      <w:startOverride w:val="1"/>
    </w:lvlOverride>
  </w:num>
  <w:num w:numId="27" w16cid:durableId="1385056283">
    <w:abstractNumId w:val="19"/>
  </w:num>
  <w:num w:numId="28" w16cid:durableId="1781727427">
    <w:abstractNumId w:val="19"/>
    <w:lvlOverride w:ilvl="0">
      <w:startOverride w:val="1"/>
    </w:lvlOverride>
  </w:num>
  <w:num w:numId="29" w16cid:durableId="1061899963">
    <w:abstractNumId w:val="19"/>
  </w:num>
  <w:num w:numId="30" w16cid:durableId="1386218997">
    <w:abstractNumId w:val="19"/>
    <w:lvlOverride w:ilvl="0">
      <w:startOverride w:val="1"/>
    </w:lvlOverride>
  </w:num>
  <w:num w:numId="31" w16cid:durableId="1248998117">
    <w:abstractNumId w:val="19"/>
  </w:num>
  <w:num w:numId="32" w16cid:durableId="736394616">
    <w:abstractNumId w:val="19"/>
    <w:lvlOverride w:ilvl="0">
      <w:startOverride w:val="1"/>
    </w:lvlOverride>
  </w:num>
  <w:num w:numId="33" w16cid:durableId="287399517">
    <w:abstractNumId w:val="19"/>
  </w:num>
  <w:num w:numId="34" w16cid:durableId="1547718396">
    <w:abstractNumId w:val="19"/>
  </w:num>
  <w:num w:numId="35" w16cid:durableId="2010987116">
    <w:abstractNumId w:val="19"/>
    <w:lvlOverride w:ilvl="0">
      <w:startOverride w:val="1"/>
    </w:lvlOverride>
  </w:num>
  <w:num w:numId="36" w16cid:durableId="522670223">
    <w:abstractNumId w:val="19"/>
  </w:num>
  <w:num w:numId="37" w16cid:durableId="558636686">
    <w:abstractNumId w:val="19"/>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F8"/>
    <w:rsid w:val="0000358F"/>
    <w:rsid w:val="00003984"/>
    <w:rsid w:val="00004843"/>
    <w:rsid w:val="000050D9"/>
    <w:rsid w:val="00006B04"/>
    <w:rsid w:val="00010109"/>
    <w:rsid w:val="000101ED"/>
    <w:rsid w:val="000102C1"/>
    <w:rsid w:val="00011DCC"/>
    <w:rsid w:val="0001224F"/>
    <w:rsid w:val="00012F6F"/>
    <w:rsid w:val="00014213"/>
    <w:rsid w:val="00014B55"/>
    <w:rsid w:val="00014FFB"/>
    <w:rsid w:val="0001796D"/>
    <w:rsid w:val="00020E3E"/>
    <w:rsid w:val="00021027"/>
    <w:rsid w:val="000224AE"/>
    <w:rsid w:val="00023BF3"/>
    <w:rsid w:val="00026811"/>
    <w:rsid w:val="00026C24"/>
    <w:rsid w:val="00030708"/>
    <w:rsid w:val="0003138A"/>
    <w:rsid w:val="000345BE"/>
    <w:rsid w:val="00034D4E"/>
    <w:rsid w:val="000407C0"/>
    <w:rsid w:val="00043296"/>
    <w:rsid w:val="0004356D"/>
    <w:rsid w:val="000437FE"/>
    <w:rsid w:val="0004525C"/>
    <w:rsid w:val="00045296"/>
    <w:rsid w:val="0004533D"/>
    <w:rsid w:val="000526F2"/>
    <w:rsid w:val="00055A22"/>
    <w:rsid w:val="00057D70"/>
    <w:rsid w:val="00061800"/>
    <w:rsid w:val="00064BF9"/>
    <w:rsid w:val="00070738"/>
    <w:rsid w:val="00070FBC"/>
    <w:rsid w:val="00071081"/>
    <w:rsid w:val="000727C8"/>
    <w:rsid w:val="0007290D"/>
    <w:rsid w:val="00072A2A"/>
    <w:rsid w:val="00073BAB"/>
    <w:rsid w:val="000756EC"/>
    <w:rsid w:val="000759B1"/>
    <w:rsid w:val="00075E6C"/>
    <w:rsid w:val="00077DF7"/>
    <w:rsid w:val="00080B3B"/>
    <w:rsid w:val="0008224F"/>
    <w:rsid w:val="00086397"/>
    <w:rsid w:val="00090171"/>
    <w:rsid w:val="000901A0"/>
    <w:rsid w:val="00090E1E"/>
    <w:rsid w:val="00090F7F"/>
    <w:rsid w:val="00091790"/>
    <w:rsid w:val="00093E9C"/>
    <w:rsid w:val="0009704B"/>
    <w:rsid w:val="000A3B6A"/>
    <w:rsid w:val="000A4871"/>
    <w:rsid w:val="000A5354"/>
    <w:rsid w:val="000A6A8A"/>
    <w:rsid w:val="000B29AD"/>
    <w:rsid w:val="000B38AC"/>
    <w:rsid w:val="000B5CFD"/>
    <w:rsid w:val="000C2CA8"/>
    <w:rsid w:val="000C3808"/>
    <w:rsid w:val="000C5FB7"/>
    <w:rsid w:val="000C6142"/>
    <w:rsid w:val="000C6372"/>
    <w:rsid w:val="000C6A60"/>
    <w:rsid w:val="000D03A8"/>
    <w:rsid w:val="000D33BB"/>
    <w:rsid w:val="000D3A93"/>
    <w:rsid w:val="000D593F"/>
    <w:rsid w:val="000D6B29"/>
    <w:rsid w:val="000D6C31"/>
    <w:rsid w:val="000E29CD"/>
    <w:rsid w:val="000E392D"/>
    <w:rsid w:val="000F040E"/>
    <w:rsid w:val="000F1B06"/>
    <w:rsid w:val="000F4288"/>
    <w:rsid w:val="000F59D2"/>
    <w:rsid w:val="000F7165"/>
    <w:rsid w:val="00100300"/>
    <w:rsid w:val="00100697"/>
    <w:rsid w:val="00100CE5"/>
    <w:rsid w:val="00102379"/>
    <w:rsid w:val="001065D6"/>
    <w:rsid w:val="0010784D"/>
    <w:rsid w:val="0011347E"/>
    <w:rsid w:val="00115456"/>
    <w:rsid w:val="00120A80"/>
    <w:rsid w:val="00121252"/>
    <w:rsid w:val="00123F9F"/>
    <w:rsid w:val="00124609"/>
    <w:rsid w:val="001251E3"/>
    <w:rsid w:val="001254CE"/>
    <w:rsid w:val="00125514"/>
    <w:rsid w:val="00126AF9"/>
    <w:rsid w:val="00126CC7"/>
    <w:rsid w:val="00132857"/>
    <w:rsid w:val="00134CEA"/>
    <w:rsid w:val="00135B5A"/>
    <w:rsid w:val="00136ED7"/>
    <w:rsid w:val="00141B2C"/>
    <w:rsid w:val="0014205B"/>
    <w:rsid w:val="001422CC"/>
    <w:rsid w:val="00146DC2"/>
    <w:rsid w:val="001473BF"/>
    <w:rsid w:val="001528E7"/>
    <w:rsid w:val="0015430D"/>
    <w:rsid w:val="0015635E"/>
    <w:rsid w:val="001576FC"/>
    <w:rsid w:val="001617B6"/>
    <w:rsid w:val="00161B24"/>
    <w:rsid w:val="00162D6F"/>
    <w:rsid w:val="00163F9E"/>
    <w:rsid w:val="00165E66"/>
    <w:rsid w:val="001671DF"/>
    <w:rsid w:val="00167681"/>
    <w:rsid w:val="0017049F"/>
    <w:rsid w:val="0017234C"/>
    <w:rsid w:val="00173460"/>
    <w:rsid w:val="00173788"/>
    <w:rsid w:val="00174C67"/>
    <w:rsid w:val="00176079"/>
    <w:rsid w:val="00176C97"/>
    <w:rsid w:val="00180C0E"/>
    <w:rsid w:val="001832A9"/>
    <w:rsid w:val="00194941"/>
    <w:rsid w:val="00196E80"/>
    <w:rsid w:val="00197B43"/>
    <w:rsid w:val="001A0687"/>
    <w:rsid w:val="001A0C3F"/>
    <w:rsid w:val="001A3DD1"/>
    <w:rsid w:val="001A56B9"/>
    <w:rsid w:val="001A6B54"/>
    <w:rsid w:val="001C3DC0"/>
    <w:rsid w:val="001C61E0"/>
    <w:rsid w:val="001C69C4"/>
    <w:rsid w:val="001C7BAE"/>
    <w:rsid w:val="001D1D6A"/>
    <w:rsid w:val="001D477E"/>
    <w:rsid w:val="001D4BBB"/>
    <w:rsid w:val="001D54B8"/>
    <w:rsid w:val="001D717E"/>
    <w:rsid w:val="001D71AB"/>
    <w:rsid w:val="001D7D05"/>
    <w:rsid w:val="001E03C3"/>
    <w:rsid w:val="001E31FA"/>
    <w:rsid w:val="001E64F6"/>
    <w:rsid w:val="001F0CCD"/>
    <w:rsid w:val="001F164E"/>
    <w:rsid w:val="002004AC"/>
    <w:rsid w:val="00200BB3"/>
    <w:rsid w:val="0020318D"/>
    <w:rsid w:val="002054C2"/>
    <w:rsid w:val="0021076F"/>
    <w:rsid w:val="002115CB"/>
    <w:rsid w:val="00211BE0"/>
    <w:rsid w:val="00216A2C"/>
    <w:rsid w:val="00222BEB"/>
    <w:rsid w:val="002233BB"/>
    <w:rsid w:val="00223F6C"/>
    <w:rsid w:val="00225ACE"/>
    <w:rsid w:val="00225E60"/>
    <w:rsid w:val="00227C39"/>
    <w:rsid w:val="0023202C"/>
    <w:rsid w:val="00236203"/>
    <w:rsid w:val="0023665D"/>
    <w:rsid w:val="002408EC"/>
    <w:rsid w:val="00244973"/>
    <w:rsid w:val="00245043"/>
    <w:rsid w:val="002465B0"/>
    <w:rsid w:val="00251681"/>
    <w:rsid w:val="00254932"/>
    <w:rsid w:val="00257398"/>
    <w:rsid w:val="002576CA"/>
    <w:rsid w:val="00257760"/>
    <w:rsid w:val="002621FC"/>
    <w:rsid w:val="00265E84"/>
    <w:rsid w:val="002667F2"/>
    <w:rsid w:val="00271013"/>
    <w:rsid w:val="0027170D"/>
    <w:rsid w:val="002744B0"/>
    <w:rsid w:val="00275D79"/>
    <w:rsid w:val="0027729E"/>
    <w:rsid w:val="0028090A"/>
    <w:rsid w:val="00280CFF"/>
    <w:rsid w:val="00280E8C"/>
    <w:rsid w:val="002812FD"/>
    <w:rsid w:val="00282FF5"/>
    <w:rsid w:val="00286DA3"/>
    <w:rsid w:val="0029089C"/>
    <w:rsid w:val="00290F38"/>
    <w:rsid w:val="00292D36"/>
    <w:rsid w:val="00294A4F"/>
    <w:rsid w:val="002957A7"/>
    <w:rsid w:val="00297281"/>
    <w:rsid w:val="002A14CC"/>
    <w:rsid w:val="002A1D60"/>
    <w:rsid w:val="002A3D3C"/>
    <w:rsid w:val="002A79F7"/>
    <w:rsid w:val="002B61F4"/>
    <w:rsid w:val="002C069D"/>
    <w:rsid w:val="002C07BE"/>
    <w:rsid w:val="002C3C05"/>
    <w:rsid w:val="002C493B"/>
    <w:rsid w:val="002C544C"/>
    <w:rsid w:val="002C54E0"/>
    <w:rsid w:val="002C6609"/>
    <w:rsid w:val="002C6F1F"/>
    <w:rsid w:val="002D13EB"/>
    <w:rsid w:val="002D6E42"/>
    <w:rsid w:val="002D711A"/>
    <w:rsid w:val="002D7336"/>
    <w:rsid w:val="002E3396"/>
    <w:rsid w:val="002E4699"/>
    <w:rsid w:val="002F20AD"/>
    <w:rsid w:val="002F2786"/>
    <w:rsid w:val="002F6F83"/>
    <w:rsid w:val="002F7A85"/>
    <w:rsid w:val="002F7DDD"/>
    <w:rsid w:val="00302206"/>
    <w:rsid w:val="00303407"/>
    <w:rsid w:val="00303E59"/>
    <w:rsid w:val="00305A5C"/>
    <w:rsid w:val="00306D0D"/>
    <w:rsid w:val="003072C6"/>
    <w:rsid w:val="0031149C"/>
    <w:rsid w:val="00313BAD"/>
    <w:rsid w:val="00316CCE"/>
    <w:rsid w:val="00317E00"/>
    <w:rsid w:val="003220F1"/>
    <w:rsid w:val="003235B3"/>
    <w:rsid w:val="00323BE0"/>
    <w:rsid w:val="00323CC6"/>
    <w:rsid w:val="00324C85"/>
    <w:rsid w:val="00327E01"/>
    <w:rsid w:val="00330A9A"/>
    <w:rsid w:val="003316A5"/>
    <w:rsid w:val="00334C54"/>
    <w:rsid w:val="00334CAA"/>
    <w:rsid w:val="00337A1E"/>
    <w:rsid w:val="00340E48"/>
    <w:rsid w:val="00347D78"/>
    <w:rsid w:val="00357165"/>
    <w:rsid w:val="0035796D"/>
    <w:rsid w:val="003603DB"/>
    <w:rsid w:val="00362848"/>
    <w:rsid w:val="003642AE"/>
    <w:rsid w:val="0037309A"/>
    <w:rsid w:val="0037405F"/>
    <w:rsid w:val="003754A7"/>
    <w:rsid w:val="00375A78"/>
    <w:rsid w:val="00375EE3"/>
    <w:rsid w:val="00377144"/>
    <w:rsid w:val="003778FC"/>
    <w:rsid w:val="00383038"/>
    <w:rsid w:val="00383A2F"/>
    <w:rsid w:val="00384808"/>
    <w:rsid w:val="0038771C"/>
    <w:rsid w:val="00390CF3"/>
    <w:rsid w:val="00390E03"/>
    <w:rsid w:val="00392A8F"/>
    <w:rsid w:val="0039405B"/>
    <w:rsid w:val="0039616A"/>
    <w:rsid w:val="0039781C"/>
    <w:rsid w:val="003A0153"/>
    <w:rsid w:val="003A1C92"/>
    <w:rsid w:val="003A21A8"/>
    <w:rsid w:val="003A4E9C"/>
    <w:rsid w:val="003A541A"/>
    <w:rsid w:val="003A5797"/>
    <w:rsid w:val="003A6923"/>
    <w:rsid w:val="003A7D9D"/>
    <w:rsid w:val="003B0292"/>
    <w:rsid w:val="003B762F"/>
    <w:rsid w:val="003C0779"/>
    <w:rsid w:val="003C1A49"/>
    <w:rsid w:val="003C2C67"/>
    <w:rsid w:val="003C2EA2"/>
    <w:rsid w:val="003C4E7C"/>
    <w:rsid w:val="003C5BA4"/>
    <w:rsid w:val="003D0075"/>
    <w:rsid w:val="003D071F"/>
    <w:rsid w:val="003D1589"/>
    <w:rsid w:val="003D1CFA"/>
    <w:rsid w:val="003D1FB6"/>
    <w:rsid w:val="003D26F9"/>
    <w:rsid w:val="003D4415"/>
    <w:rsid w:val="003D6D5B"/>
    <w:rsid w:val="003E3E26"/>
    <w:rsid w:val="003E4DC6"/>
    <w:rsid w:val="003E6162"/>
    <w:rsid w:val="003E7F40"/>
    <w:rsid w:val="003F0235"/>
    <w:rsid w:val="003F1295"/>
    <w:rsid w:val="003F5068"/>
    <w:rsid w:val="003F76FC"/>
    <w:rsid w:val="004002EB"/>
    <w:rsid w:val="00400D70"/>
    <w:rsid w:val="00401F24"/>
    <w:rsid w:val="00404D6A"/>
    <w:rsid w:val="00405C57"/>
    <w:rsid w:val="0040612D"/>
    <w:rsid w:val="00407BE8"/>
    <w:rsid w:val="0041689E"/>
    <w:rsid w:val="004209DE"/>
    <w:rsid w:val="00420B42"/>
    <w:rsid w:val="004213BE"/>
    <w:rsid w:val="004235A6"/>
    <w:rsid w:val="004236C8"/>
    <w:rsid w:val="00423984"/>
    <w:rsid w:val="0042734D"/>
    <w:rsid w:val="00427681"/>
    <w:rsid w:val="00433C45"/>
    <w:rsid w:val="00433DB7"/>
    <w:rsid w:val="00442119"/>
    <w:rsid w:val="00447153"/>
    <w:rsid w:val="00450562"/>
    <w:rsid w:val="004513E8"/>
    <w:rsid w:val="00453551"/>
    <w:rsid w:val="00453750"/>
    <w:rsid w:val="004561F1"/>
    <w:rsid w:val="00456941"/>
    <w:rsid w:val="00457475"/>
    <w:rsid w:val="004625F8"/>
    <w:rsid w:val="004669E3"/>
    <w:rsid w:val="00467677"/>
    <w:rsid w:val="004702EA"/>
    <w:rsid w:val="00476BF3"/>
    <w:rsid w:val="00476D7A"/>
    <w:rsid w:val="00482D02"/>
    <w:rsid w:val="004863C4"/>
    <w:rsid w:val="00491C72"/>
    <w:rsid w:val="00494946"/>
    <w:rsid w:val="004A094A"/>
    <w:rsid w:val="004A28DA"/>
    <w:rsid w:val="004A7519"/>
    <w:rsid w:val="004B41CA"/>
    <w:rsid w:val="004B59E8"/>
    <w:rsid w:val="004B781F"/>
    <w:rsid w:val="004B799A"/>
    <w:rsid w:val="004C01DE"/>
    <w:rsid w:val="004C09A7"/>
    <w:rsid w:val="004C0CFA"/>
    <w:rsid w:val="004C1415"/>
    <w:rsid w:val="004C5B10"/>
    <w:rsid w:val="004C7125"/>
    <w:rsid w:val="004D0304"/>
    <w:rsid w:val="004D3518"/>
    <w:rsid w:val="004D4D59"/>
    <w:rsid w:val="004D62D6"/>
    <w:rsid w:val="004E041F"/>
    <w:rsid w:val="004E28FB"/>
    <w:rsid w:val="004E4255"/>
    <w:rsid w:val="004E5776"/>
    <w:rsid w:val="004F013A"/>
    <w:rsid w:val="004F300B"/>
    <w:rsid w:val="004F4661"/>
    <w:rsid w:val="004F4672"/>
    <w:rsid w:val="004F5FB8"/>
    <w:rsid w:val="004F662C"/>
    <w:rsid w:val="004F6AA4"/>
    <w:rsid w:val="00500C77"/>
    <w:rsid w:val="00503EBE"/>
    <w:rsid w:val="00504286"/>
    <w:rsid w:val="0051058B"/>
    <w:rsid w:val="005116A5"/>
    <w:rsid w:val="005129A3"/>
    <w:rsid w:val="00513D74"/>
    <w:rsid w:val="005143EA"/>
    <w:rsid w:val="0051658C"/>
    <w:rsid w:val="005214BD"/>
    <w:rsid w:val="00521635"/>
    <w:rsid w:val="005226F8"/>
    <w:rsid w:val="0052276D"/>
    <w:rsid w:val="00522F8A"/>
    <w:rsid w:val="00525D6D"/>
    <w:rsid w:val="00526217"/>
    <w:rsid w:val="00526599"/>
    <w:rsid w:val="0053356F"/>
    <w:rsid w:val="0053416C"/>
    <w:rsid w:val="005346DC"/>
    <w:rsid w:val="00536289"/>
    <w:rsid w:val="005366D0"/>
    <w:rsid w:val="00541C2F"/>
    <w:rsid w:val="0054274C"/>
    <w:rsid w:val="005437F2"/>
    <w:rsid w:val="005438B4"/>
    <w:rsid w:val="00544B4E"/>
    <w:rsid w:val="00550F93"/>
    <w:rsid w:val="00553B92"/>
    <w:rsid w:val="0055454A"/>
    <w:rsid w:val="00555DA4"/>
    <w:rsid w:val="00556DDE"/>
    <w:rsid w:val="005570BE"/>
    <w:rsid w:val="00557160"/>
    <w:rsid w:val="00561091"/>
    <w:rsid w:val="005620E5"/>
    <w:rsid w:val="0056243C"/>
    <w:rsid w:val="005627B6"/>
    <w:rsid w:val="00563527"/>
    <w:rsid w:val="00566B5C"/>
    <w:rsid w:val="005701DA"/>
    <w:rsid w:val="005708CE"/>
    <w:rsid w:val="005807EF"/>
    <w:rsid w:val="0058124E"/>
    <w:rsid w:val="0058197C"/>
    <w:rsid w:val="0058353A"/>
    <w:rsid w:val="00584301"/>
    <w:rsid w:val="005875A3"/>
    <w:rsid w:val="00590C1D"/>
    <w:rsid w:val="00591438"/>
    <w:rsid w:val="00594053"/>
    <w:rsid w:val="005950D9"/>
    <w:rsid w:val="005A2A5E"/>
    <w:rsid w:val="005A3416"/>
    <w:rsid w:val="005A55D2"/>
    <w:rsid w:val="005A61D6"/>
    <w:rsid w:val="005A63AD"/>
    <w:rsid w:val="005A65D8"/>
    <w:rsid w:val="005A68F2"/>
    <w:rsid w:val="005A6BA6"/>
    <w:rsid w:val="005B27FE"/>
    <w:rsid w:val="005B3461"/>
    <w:rsid w:val="005C001C"/>
    <w:rsid w:val="005C0242"/>
    <w:rsid w:val="005C19B1"/>
    <w:rsid w:val="005C29A2"/>
    <w:rsid w:val="005C2CE4"/>
    <w:rsid w:val="005C2E10"/>
    <w:rsid w:val="005C3E6D"/>
    <w:rsid w:val="005C405B"/>
    <w:rsid w:val="005C7BDA"/>
    <w:rsid w:val="005D41E9"/>
    <w:rsid w:val="005D6A7C"/>
    <w:rsid w:val="005E292E"/>
    <w:rsid w:val="005E5BCC"/>
    <w:rsid w:val="005E5E21"/>
    <w:rsid w:val="005F03B7"/>
    <w:rsid w:val="005F2A80"/>
    <w:rsid w:val="005F331D"/>
    <w:rsid w:val="005F4AFF"/>
    <w:rsid w:val="005F61DF"/>
    <w:rsid w:val="005F7702"/>
    <w:rsid w:val="006023F9"/>
    <w:rsid w:val="006052A7"/>
    <w:rsid w:val="006053D1"/>
    <w:rsid w:val="00610559"/>
    <w:rsid w:val="00614965"/>
    <w:rsid w:val="00614FFA"/>
    <w:rsid w:val="006164EE"/>
    <w:rsid w:val="006207D1"/>
    <w:rsid w:val="00621EE5"/>
    <w:rsid w:val="0062400B"/>
    <w:rsid w:val="00626A1E"/>
    <w:rsid w:val="0063036F"/>
    <w:rsid w:val="006321FC"/>
    <w:rsid w:val="00632680"/>
    <w:rsid w:val="00633071"/>
    <w:rsid w:val="006332F6"/>
    <w:rsid w:val="00633AA0"/>
    <w:rsid w:val="00633EE6"/>
    <w:rsid w:val="00634550"/>
    <w:rsid w:val="0063586A"/>
    <w:rsid w:val="006361E7"/>
    <w:rsid w:val="006364C2"/>
    <w:rsid w:val="00640CB4"/>
    <w:rsid w:val="00641096"/>
    <w:rsid w:val="006455EF"/>
    <w:rsid w:val="00646271"/>
    <w:rsid w:val="00647918"/>
    <w:rsid w:val="00651616"/>
    <w:rsid w:val="00652625"/>
    <w:rsid w:val="006534B2"/>
    <w:rsid w:val="00656000"/>
    <w:rsid w:val="0065615D"/>
    <w:rsid w:val="00657011"/>
    <w:rsid w:val="00661567"/>
    <w:rsid w:val="00664A98"/>
    <w:rsid w:val="006650B5"/>
    <w:rsid w:val="006651B1"/>
    <w:rsid w:val="00665778"/>
    <w:rsid w:val="0067188D"/>
    <w:rsid w:val="006738C4"/>
    <w:rsid w:val="006805B9"/>
    <w:rsid w:val="00680743"/>
    <w:rsid w:val="00687A02"/>
    <w:rsid w:val="00691C09"/>
    <w:rsid w:val="006946F9"/>
    <w:rsid w:val="00694B4C"/>
    <w:rsid w:val="00697FDF"/>
    <w:rsid w:val="006A0EEE"/>
    <w:rsid w:val="006A46C3"/>
    <w:rsid w:val="006A5B34"/>
    <w:rsid w:val="006A5E74"/>
    <w:rsid w:val="006A5F5B"/>
    <w:rsid w:val="006A7D35"/>
    <w:rsid w:val="006A7D80"/>
    <w:rsid w:val="006B18A3"/>
    <w:rsid w:val="006B46D4"/>
    <w:rsid w:val="006B77DA"/>
    <w:rsid w:val="006C02C3"/>
    <w:rsid w:val="006C49BD"/>
    <w:rsid w:val="006C5705"/>
    <w:rsid w:val="006C6B8F"/>
    <w:rsid w:val="006C7292"/>
    <w:rsid w:val="006C77A9"/>
    <w:rsid w:val="006E1843"/>
    <w:rsid w:val="006E605E"/>
    <w:rsid w:val="006E6679"/>
    <w:rsid w:val="006E7537"/>
    <w:rsid w:val="006E78B1"/>
    <w:rsid w:val="006F070F"/>
    <w:rsid w:val="006F11DA"/>
    <w:rsid w:val="006F4D90"/>
    <w:rsid w:val="006F6693"/>
    <w:rsid w:val="006F6746"/>
    <w:rsid w:val="006F6888"/>
    <w:rsid w:val="0070447B"/>
    <w:rsid w:val="00705F18"/>
    <w:rsid w:val="00707FE8"/>
    <w:rsid w:val="00711DDD"/>
    <w:rsid w:val="00713933"/>
    <w:rsid w:val="007207E3"/>
    <w:rsid w:val="00723E25"/>
    <w:rsid w:val="0072434E"/>
    <w:rsid w:val="00724962"/>
    <w:rsid w:val="00724A0F"/>
    <w:rsid w:val="0073072C"/>
    <w:rsid w:val="007320B4"/>
    <w:rsid w:val="00732162"/>
    <w:rsid w:val="00732DD8"/>
    <w:rsid w:val="00733109"/>
    <w:rsid w:val="00736732"/>
    <w:rsid w:val="00737146"/>
    <w:rsid w:val="00741933"/>
    <w:rsid w:val="00741C78"/>
    <w:rsid w:val="00742712"/>
    <w:rsid w:val="00744024"/>
    <w:rsid w:val="00747F1B"/>
    <w:rsid w:val="00750CBE"/>
    <w:rsid w:val="007528EE"/>
    <w:rsid w:val="007562CB"/>
    <w:rsid w:val="007608E6"/>
    <w:rsid w:val="007609FA"/>
    <w:rsid w:val="00761D21"/>
    <w:rsid w:val="007638BF"/>
    <w:rsid w:val="007645C8"/>
    <w:rsid w:val="0076585B"/>
    <w:rsid w:val="00765A07"/>
    <w:rsid w:val="00766B5A"/>
    <w:rsid w:val="00770DE7"/>
    <w:rsid w:val="00772DA5"/>
    <w:rsid w:val="00773DF5"/>
    <w:rsid w:val="00781DE4"/>
    <w:rsid w:val="007828BE"/>
    <w:rsid w:val="00782993"/>
    <w:rsid w:val="007834F2"/>
    <w:rsid w:val="00791020"/>
    <w:rsid w:val="00791CAF"/>
    <w:rsid w:val="007A207D"/>
    <w:rsid w:val="007A2921"/>
    <w:rsid w:val="007A2E6A"/>
    <w:rsid w:val="007A5F82"/>
    <w:rsid w:val="007B0559"/>
    <w:rsid w:val="007B0B39"/>
    <w:rsid w:val="007B141C"/>
    <w:rsid w:val="007B59A8"/>
    <w:rsid w:val="007B6E8F"/>
    <w:rsid w:val="007B75A4"/>
    <w:rsid w:val="007C7388"/>
    <w:rsid w:val="007D0FF5"/>
    <w:rsid w:val="007D1622"/>
    <w:rsid w:val="007D175E"/>
    <w:rsid w:val="007D3FAD"/>
    <w:rsid w:val="007D6C99"/>
    <w:rsid w:val="007E3BE6"/>
    <w:rsid w:val="007E55C4"/>
    <w:rsid w:val="007E6D7C"/>
    <w:rsid w:val="007E79BC"/>
    <w:rsid w:val="007F1A4C"/>
    <w:rsid w:val="007F28BF"/>
    <w:rsid w:val="007F5863"/>
    <w:rsid w:val="007F65C9"/>
    <w:rsid w:val="007F7846"/>
    <w:rsid w:val="00801D3C"/>
    <w:rsid w:val="0080211F"/>
    <w:rsid w:val="008022C3"/>
    <w:rsid w:val="008041E6"/>
    <w:rsid w:val="00804206"/>
    <w:rsid w:val="00804AA7"/>
    <w:rsid w:val="008065D2"/>
    <w:rsid w:val="008104FB"/>
    <w:rsid w:val="0081174E"/>
    <w:rsid w:val="00812A3C"/>
    <w:rsid w:val="008130C0"/>
    <w:rsid w:val="00815453"/>
    <w:rsid w:val="00817807"/>
    <w:rsid w:val="0082180A"/>
    <w:rsid w:val="0082194C"/>
    <w:rsid w:val="008220C4"/>
    <w:rsid w:val="008222FF"/>
    <w:rsid w:val="00822DEC"/>
    <w:rsid w:val="008241FF"/>
    <w:rsid w:val="00824E81"/>
    <w:rsid w:val="00827B9B"/>
    <w:rsid w:val="008309AD"/>
    <w:rsid w:val="00833514"/>
    <w:rsid w:val="0083527E"/>
    <w:rsid w:val="0083754A"/>
    <w:rsid w:val="00841100"/>
    <w:rsid w:val="008411E9"/>
    <w:rsid w:val="00841C1A"/>
    <w:rsid w:val="0084200F"/>
    <w:rsid w:val="00843B2C"/>
    <w:rsid w:val="008448EE"/>
    <w:rsid w:val="008471C4"/>
    <w:rsid w:val="00854FD9"/>
    <w:rsid w:val="0085787F"/>
    <w:rsid w:val="00863198"/>
    <w:rsid w:val="00867862"/>
    <w:rsid w:val="00876232"/>
    <w:rsid w:val="00883DD5"/>
    <w:rsid w:val="008861DD"/>
    <w:rsid w:val="00891562"/>
    <w:rsid w:val="00892839"/>
    <w:rsid w:val="008938DD"/>
    <w:rsid w:val="00893C35"/>
    <w:rsid w:val="0089477E"/>
    <w:rsid w:val="00894BE7"/>
    <w:rsid w:val="00896F8A"/>
    <w:rsid w:val="008A08F0"/>
    <w:rsid w:val="008A2A0A"/>
    <w:rsid w:val="008A4900"/>
    <w:rsid w:val="008A61CF"/>
    <w:rsid w:val="008A6DC4"/>
    <w:rsid w:val="008B5BC0"/>
    <w:rsid w:val="008B7F8F"/>
    <w:rsid w:val="008C3C34"/>
    <w:rsid w:val="008C4103"/>
    <w:rsid w:val="008C54DE"/>
    <w:rsid w:val="008D0281"/>
    <w:rsid w:val="008D69EA"/>
    <w:rsid w:val="008D6F4A"/>
    <w:rsid w:val="008D7C5B"/>
    <w:rsid w:val="008E3C4E"/>
    <w:rsid w:val="008E49B3"/>
    <w:rsid w:val="008E5908"/>
    <w:rsid w:val="008F1280"/>
    <w:rsid w:val="008F3031"/>
    <w:rsid w:val="008F4ABE"/>
    <w:rsid w:val="008F6910"/>
    <w:rsid w:val="008F6D45"/>
    <w:rsid w:val="00900755"/>
    <w:rsid w:val="00903052"/>
    <w:rsid w:val="0090379A"/>
    <w:rsid w:val="009054D8"/>
    <w:rsid w:val="00910F2C"/>
    <w:rsid w:val="00912582"/>
    <w:rsid w:val="00913859"/>
    <w:rsid w:val="0091596A"/>
    <w:rsid w:val="00923C46"/>
    <w:rsid w:val="00925E4A"/>
    <w:rsid w:val="0093073A"/>
    <w:rsid w:val="00931B83"/>
    <w:rsid w:val="009413FF"/>
    <w:rsid w:val="00943569"/>
    <w:rsid w:val="00946A59"/>
    <w:rsid w:val="00947338"/>
    <w:rsid w:val="00951D41"/>
    <w:rsid w:val="00955F90"/>
    <w:rsid w:val="00956692"/>
    <w:rsid w:val="0095742C"/>
    <w:rsid w:val="00957A0B"/>
    <w:rsid w:val="00960A2F"/>
    <w:rsid w:val="009612EC"/>
    <w:rsid w:val="00963C04"/>
    <w:rsid w:val="009674B9"/>
    <w:rsid w:val="0096774E"/>
    <w:rsid w:val="00971409"/>
    <w:rsid w:val="00973844"/>
    <w:rsid w:val="00973A16"/>
    <w:rsid w:val="00976F29"/>
    <w:rsid w:val="009817BA"/>
    <w:rsid w:val="009834C0"/>
    <w:rsid w:val="00984C95"/>
    <w:rsid w:val="00986AAC"/>
    <w:rsid w:val="00986D5C"/>
    <w:rsid w:val="00990CDE"/>
    <w:rsid w:val="009951B1"/>
    <w:rsid w:val="00996269"/>
    <w:rsid w:val="009A1DA2"/>
    <w:rsid w:val="009A3704"/>
    <w:rsid w:val="009A3D3B"/>
    <w:rsid w:val="009A4739"/>
    <w:rsid w:val="009A52F9"/>
    <w:rsid w:val="009A590A"/>
    <w:rsid w:val="009A674F"/>
    <w:rsid w:val="009B199C"/>
    <w:rsid w:val="009B2A7A"/>
    <w:rsid w:val="009B4DD8"/>
    <w:rsid w:val="009B54C8"/>
    <w:rsid w:val="009B61AE"/>
    <w:rsid w:val="009B61F1"/>
    <w:rsid w:val="009B62E0"/>
    <w:rsid w:val="009B6844"/>
    <w:rsid w:val="009C027B"/>
    <w:rsid w:val="009C17CD"/>
    <w:rsid w:val="009C2345"/>
    <w:rsid w:val="009C2C1A"/>
    <w:rsid w:val="009C2EF4"/>
    <w:rsid w:val="009C3D88"/>
    <w:rsid w:val="009C53BE"/>
    <w:rsid w:val="009C6538"/>
    <w:rsid w:val="009C6B1F"/>
    <w:rsid w:val="009D07D3"/>
    <w:rsid w:val="009D1ADA"/>
    <w:rsid w:val="009D581D"/>
    <w:rsid w:val="009D6E35"/>
    <w:rsid w:val="009D7F09"/>
    <w:rsid w:val="009E08BE"/>
    <w:rsid w:val="009E1964"/>
    <w:rsid w:val="009E3858"/>
    <w:rsid w:val="009E40D8"/>
    <w:rsid w:val="009E5956"/>
    <w:rsid w:val="009E70DD"/>
    <w:rsid w:val="009E7F3E"/>
    <w:rsid w:val="009F0CD6"/>
    <w:rsid w:val="009F1D55"/>
    <w:rsid w:val="009F2ED9"/>
    <w:rsid w:val="009F3231"/>
    <w:rsid w:val="009F5C58"/>
    <w:rsid w:val="00A00D71"/>
    <w:rsid w:val="00A023A0"/>
    <w:rsid w:val="00A03FAF"/>
    <w:rsid w:val="00A05B66"/>
    <w:rsid w:val="00A07F66"/>
    <w:rsid w:val="00A10E1D"/>
    <w:rsid w:val="00A1227A"/>
    <w:rsid w:val="00A128AD"/>
    <w:rsid w:val="00A14B15"/>
    <w:rsid w:val="00A1562B"/>
    <w:rsid w:val="00A16EC3"/>
    <w:rsid w:val="00A170F4"/>
    <w:rsid w:val="00A177D2"/>
    <w:rsid w:val="00A20F16"/>
    <w:rsid w:val="00A23001"/>
    <w:rsid w:val="00A246D7"/>
    <w:rsid w:val="00A2559E"/>
    <w:rsid w:val="00A25FD9"/>
    <w:rsid w:val="00A30B01"/>
    <w:rsid w:val="00A30E9B"/>
    <w:rsid w:val="00A36B89"/>
    <w:rsid w:val="00A37769"/>
    <w:rsid w:val="00A4138F"/>
    <w:rsid w:val="00A41A7F"/>
    <w:rsid w:val="00A41C5E"/>
    <w:rsid w:val="00A45B98"/>
    <w:rsid w:val="00A46BA8"/>
    <w:rsid w:val="00A47634"/>
    <w:rsid w:val="00A554ED"/>
    <w:rsid w:val="00A5684C"/>
    <w:rsid w:val="00A56985"/>
    <w:rsid w:val="00A612FE"/>
    <w:rsid w:val="00A6263A"/>
    <w:rsid w:val="00A62CBA"/>
    <w:rsid w:val="00A64CCE"/>
    <w:rsid w:val="00A71076"/>
    <w:rsid w:val="00A75865"/>
    <w:rsid w:val="00A966CF"/>
    <w:rsid w:val="00A969DB"/>
    <w:rsid w:val="00AA18B3"/>
    <w:rsid w:val="00AA1B42"/>
    <w:rsid w:val="00AA26B8"/>
    <w:rsid w:val="00AA3BFA"/>
    <w:rsid w:val="00AA6FB5"/>
    <w:rsid w:val="00AB04C1"/>
    <w:rsid w:val="00AB3FE2"/>
    <w:rsid w:val="00AC0E1E"/>
    <w:rsid w:val="00AC300C"/>
    <w:rsid w:val="00AC4C1D"/>
    <w:rsid w:val="00AC53D3"/>
    <w:rsid w:val="00AC5508"/>
    <w:rsid w:val="00AC7DE3"/>
    <w:rsid w:val="00AD3322"/>
    <w:rsid w:val="00AD6BCE"/>
    <w:rsid w:val="00AD7CB7"/>
    <w:rsid w:val="00AD7E4E"/>
    <w:rsid w:val="00AE0BEF"/>
    <w:rsid w:val="00AE0C2F"/>
    <w:rsid w:val="00AE1DC1"/>
    <w:rsid w:val="00AE360D"/>
    <w:rsid w:val="00AE3B5B"/>
    <w:rsid w:val="00AE7D95"/>
    <w:rsid w:val="00AF12B3"/>
    <w:rsid w:val="00AF1C34"/>
    <w:rsid w:val="00AF34DE"/>
    <w:rsid w:val="00AF4D58"/>
    <w:rsid w:val="00AF60CB"/>
    <w:rsid w:val="00AF6666"/>
    <w:rsid w:val="00AF7632"/>
    <w:rsid w:val="00B013A2"/>
    <w:rsid w:val="00B058B0"/>
    <w:rsid w:val="00B10154"/>
    <w:rsid w:val="00B11D9E"/>
    <w:rsid w:val="00B11E41"/>
    <w:rsid w:val="00B11F02"/>
    <w:rsid w:val="00B13231"/>
    <w:rsid w:val="00B154F0"/>
    <w:rsid w:val="00B15901"/>
    <w:rsid w:val="00B17583"/>
    <w:rsid w:val="00B21010"/>
    <w:rsid w:val="00B23871"/>
    <w:rsid w:val="00B24246"/>
    <w:rsid w:val="00B24FCC"/>
    <w:rsid w:val="00B32B4E"/>
    <w:rsid w:val="00B33D71"/>
    <w:rsid w:val="00B36929"/>
    <w:rsid w:val="00B457F6"/>
    <w:rsid w:val="00B65968"/>
    <w:rsid w:val="00B669A2"/>
    <w:rsid w:val="00B706B3"/>
    <w:rsid w:val="00B71ABD"/>
    <w:rsid w:val="00B81B44"/>
    <w:rsid w:val="00B81C11"/>
    <w:rsid w:val="00B81F25"/>
    <w:rsid w:val="00B838DD"/>
    <w:rsid w:val="00B9053B"/>
    <w:rsid w:val="00B92DB9"/>
    <w:rsid w:val="00B94434"/>
    <w:rsid w:val="00B957B7"/>
    <w:rsid w:val="00B97A50"/>
    <w:rsid w:val="00BA12B1"/>
    <w:rsid w:val="00BA24B1"/>
    <w:rsid w:val="00BA33CA"/>
    <w:rsid w:val="00BA4C98"/>
    <w:rsid w:val="00BB5369"/>
    <w:rsid w:val="00BB660E"/>
    <w:rsid w:val="00BB7242"/>
    <w:rsid w:val="00BC2E11"/>
    <w:rsid w:val="00BC302F"/>
    <w:rsid w:val="00BC3422"/>
    <w:rsid w:val="00BC4811"/>
    <w:rsid w:val="00BD0A77"/>
    <w:rsid w:val="00BD2669"/>
    <w:rsid w:val="00BD4C4B"/>
    <w:rsid w:val="00BD70C5"/>
    <w:rsid w:val="00BE1D1D"/>
    <w:rsid w:val="00BE2EF8"/>
    <w:rsid w:val="00BE60CD"/>
    <w:rsid w:val="00BF29EE"/>
    <w:rsid w:val="00BF3437"/>
    <w:rsid w:val="00BF343E"/>
    <w:rsid w:val="00BF3B71"/>
    <w:rsid w:val="00BF48DC"/>
    <w:rsid w:val="00BF5DB8"/>
    <w:rsid w:val="00C0055C"/>
    <w:rsid w:val="00C015B9"/>
    <w:rsid w:val="00C01D85"/>
    <w:rsid w:val="00C021FA"/>
    <w:rsid w:val="00C022F9"/>
    <w:rsid w:val="00C028CC"/>
    <w:rsid w:val="00C02CEC"/>
    <w:rsid w:val="00C032EA"/>
    <w:rsid w:val="00C050BE"/>
    <w:rsid w:val="00C06A0A"/>
    <w:rsid w:val="00C06EB5"/>
    <w:rsid w:val="00C1145F"/>
    <w:rsid w:val="00C1253E"/>
    <w:rsid w:val="00C155F8"/>
    <w:rsid w:val="00C1566D"/>
    <w:rsid w:val="00C172FA"/>
    <w:rsid w:val="00C20CEE"/>
    <w:rsid w:val="00C24337"/>
    <w:rsid w:val="00C26CE0"/>
    <w:rsid w:val="00C333C8"/>
    <w:rsid w:val="00C34ECB"/>
    <w:rsid w:val="00C4134F"/>
    <w:rsid w:val="00C4597C"/>
    <w:rsid w:val="00C509F0"/>
    <w:rsid w:val="00C632EE"/>
    <w:rsid w:val="00C637E1"/>
    <w:rsid w:val="00C65FDD"/>
    <w:rsid w:val="00C6609B"/>
    <w:rsid w:val="00C70D50"/>
    <w:rsid w:val="00C73ADF"/>
    <w:rsid w:val="00C74B71"/>
    <w:rsid w:val="00C74B83"/>
    <w:rsid w:val="00C80DCF"/>
    <w:rsid w:val="00C8243E"/>
    <w:rsid w:val="00C84052"/>
    <w:rsid w:val="00C875AF"/>
    <w:rsid w:val="00C9073A"/>
    <w:rsid w:val="00C907D7"/>
    <w:rsid w:val="00C90878"/>
    <w:rsid w:val="00C9096C"/>
    <w:rsid w:val="00C92338"/>
    <w:rsid w:val="00C9298C"/>
    <w:rsid w:val="00C96B98"/>
    <w:rsid w:val="00C9706F"/>
    <w:rsid w:val="00CA1A5C"/>
    <w:rsid w:val="00CA24D2"/>
    <w:rsid w:val="00CA2ED8"/>
    <w:rsid w:val="00CA426A"/>
    <w:rsid w:val="00CA4ABE"/>
    <w:rsid w:val="00CA6781"/>
    <w:rsid w:val="00CA7C3A"/>
    <w:rsid w:val="00CB0CB0"/>
    <w:rsid w:val="00CB2673"/>
    <w:rsid w:val="00CB30DB"/>
    <w:rsid w:val="00CB5AA5"/>
    <w:rsid w:val="00CB5C60"/>
    <w:rsid w:val="00CB7A25"/>
    <w:rsid w:val="00CB7CEA"/>
    <w:rsid w:val="00CC2DB2"/>
    <w:rsid w:val="00CC3ECE"/>
    <w:rsid w:val="00CC63F8"/>
    <w:rsid w:val="00CD0307"/>
    <w:rsid w:val="00CD12E8"/>
    <w:rsid w:val="00CD3D1B"/>
    <w:rsid w:val="00CD772F"/>
    <w:rsid w:val="00CE2110"/>
    <w:rsid w:val="00CE378A"/>
    <w:rsid w:val="00CE62B3"/>
    <w:rsid w:val="00CE68B9"/>
    <w:rsid w:val="00CE7BED"/>
    <w:rsid w:val="00CF01A6"/>
    <w:rsid w:val="00CF0E3E"/>
    <w:rsid w:val="00CF44DD"/>
    <w:rsid w:val="00CF6AC3"/>
    <w:rsid w:val="00CF7DCA"/>
    <w:rsid w:val="00D02B86"/>
    <w:rsid w:val="00D04128"/>
    <w:rsid w:val="00D0726C"/>
    <w:rsid w:val="00D07907"/>
    <w:rsid w:val="00D13948"/>
    <w:rsid w:val="00D211E9"/>
    <w:rsid w:val="00D2312F"/>
    <w:rsid w:val="00D269C1"/>
    <w:rsid w:val="00D31120"/>
    <w:rsid w:val="00D3293B"/>
    <w:rsid w:val="00D375EC"/>
    <w:rsid w:val="00D40368"/>
    <w:rsid w:val="00D4134C"/>
    <w:rsid w:val="00D43235"/>
    <w:rsid w:val="00D44953"/>
    <w:rsid w:val="00D53818"/>
    <w:rsid w:val="00D542F3"/>
    <w:rsid w:val="00D543E5"/>
    <w:rsid w:val="00D54B19"/>
    <w:rsid w:val="00D5644B"/>
    <w:rsid w:val="00D56BB1"/>
    <w:rsid w:val="00D56E25"/>
    <w:rsid w:val="00D57E41"/>
    <w:rsid w:val="00D61E93"/>
    <w:rsid w:val="00D63D34"/>
    <w:rsid w:val="00D6449C"/>
    <w:rsid w:val="00D64FFF"/>
    <w:rsid w:val="00D657E4"/>
    <w:rsid w:val="00D67F4C"/>
    <w:rsid w:val="00D71670"/>
    <w:rsid w:val="00D71896"/>
    <w:rsid w:val="00D718D7"/>
    <w:rsid w:val="00D71BBB"/>
    <w:rsid w:val="00D73212"/>
    <w:rsid w:val="00D74DA7"/>
    <w:rsid w:val="00D8090A"/>
    <w:rsid w:val="00D814B7"/>
    <w:rsid w:val="00D81BA5"/>
    <w:rsid w:val="00D82C5B"/>
    <w:rsid w:val="00D86E10"/>
    <w:rsid w:val="00D87022"/>
    <w:rsid w:val="00D87242"/>
    <w:rsid w:val="00D90688"/>
    <w:rsid w:val="00D90889"/>
    <w:rsid w:val="00D9591D"/>
    <w:rsid w:val="00D96578"/>
    <w:rsid w:val="00D97410"/>
    <w:rsid w:val="00DA349F"/>
    <w:rsid w:val="00DA3AAD"/>
    <w:rsid w:val="00DA3AE9"/>
    <w:rsid w:val="00DA4525"/>
    <w:rsid w:val="00DA565C"/>
    <w:rsid w:val="00DB2EA9"/>
    <w:rsid w:val="00DB3117"/>
    <w:rsid w:val="00DB312B"/>
    <w:rsid w:val="00DB3BAD"/>
    <w:rsid w:val="00DB4426"/>
    <w:rsid w:val="00DB49C1"/>
    <w:rsid w:val="00DB75D4"/>
    <w:rsid w:val="00DB7BAE"/>
    <w:rsid w:val="00DC2FFC"/>
    <w:rsid w:val="00DC5654"/>
    <w:rsid w:val="00DC58F9"/>
    <w:rsid w:val="00DC658F"/>
    <w:rsid w:val="00DC679C"/>
    <w:rsid w:val="00DC684E"/>
    <w:rsid w:val="00DC6A60"/>
    <w:rsid w:val="00DD02B9"/>
    <w:rsid w:val="00DD10AA"/>
    <w:rsid w:val="00DD1EE6"/>
    <w:rsid w:val="00DD2000"/>
    <w:rsid w:val="00DD3B73"/>
    <w:rsid w:val="00DD3FE7"/>
    <w:rsid w:val="00DD5054"/>
    <w:rsid w:val="00DE4123"/>
    <w:rsid w:val="00DE60CC"/>
    <w:rsid w:val="00DF1E60"/>
    <w:rsid w:val="00DF3DB8"/>
    <w:rsid w:val="00DF46A7"/>
    <w:rsid w:val="00E0151A"/>
    <w:rsid w:val="00E01742"/>
    <w:rsid w:val="00E037F5"/>
    <w:rsid w:val="00E06DB9"/>
    <w:rsid w:val="00E07195"/>
    <w:rsid w:val="00E1109F"/>
    <w:rsid w:val="00E12221"/>
    <w:rsid w:val="00E12319"/>
    <w:rsid w:val="00E175AA"/>
    <w:rsid w:val="00E17809"/>
    <w:rsid w:val="00E20286"/>
    <w:rsid w:val="00E21D3C"/>
    <w:rsid w:val="00E22B46"/>
    <w:rsid w:val="00E263DB"/>
    <w:rsid w:val="00E26B32"/>
    <w:rsid w:val="00E26CEF"/>
    <w:rsid w:val="00E2714E"/>
    <w:rsid w:val="00E31424"/>
    <w:rsid w:val="00E31444"/>
    <w:rsid w:val="00E31698"/>
    <w:rsid w:val="00E3397A"/>
    <w:rsid w:val="00E358CE"/>
    <w:rsid w:val="00E406CF"/>
    <w:rsid w:val="00E407B6"/>
    <w:rsid w:val="00E41EF1"/>
    <w:rsid w:val="00E42942"/>
    <w:rsid w:val="00E44A18"/>
    <w:rsid w:val="00E468A6"/>
    <w:rsid w:val="00E56BBE"/>
    <w:rsid w:val="00E576AB"/>
    <w:rsid w:val="00E63F18"/>
    <w:rsid w:val="00E6789D"/>
    <w:rsid w:val="00E71BDF"/>
    <w:rsid w:val="00E72A58"/>
    <w:rsid w:val="00E734FC"/>
    <w:rsid w:val="00E74593"/>
    <w:rsid w:val="00E762C7"/>
    <w:rsid w:val="00E76586"/>
    <w:rsid w:val="00E83538"/>
    <w:rsid w:val="00E83CA7"/>
    <w:rsid w:val="00E844B4"/>
    <w:rsid w:val="00E84C5A"/>
    <w:rsid w:val="00E86FCF"/>
    <w:rsid w:val="00E87A78"/>
    <w:rsid w:val="00E91F2F"/>
    <w:rsid w:val="00E924C9"/>
    <w:rsid w:val="00E92DBA"/>
    <w:rsid w:val="00E94291"/>
    <w:rsid w:val="00E962D3"/>
    <w:rsid w:val="00E97FD3"/>
    <w:rsid w:val="00EA217A"/>
    <w:rsid w:val="00EA2E56"/>
    <w:rsid w:val="00EB3192"/>
    <w:rsid w:val="00EB3335"/>
    <w:rsid w:val="00EB3D18"/>
    <w:rsid w:val="00EB4DFA"/>
    <w:rsid w:val="00EB5274"/>
    <w:rsid w:val="00EB6557"/>
    <w:rsid w:val="00EB6D5F"/>
    <w:rsid w:val="00EC0200"/>
    <w:rsid w:val="00EC171D"/>
    <w:rsid w:val="00EC17C0"/>
    <w:rsid w:val="00EC2964"/>
    <w:rsid w:val="00EC2DBC"/>
    <w:rsid w:val="00EC43D4"/>
    <w:rsid w:val="00EC4B2A"/>
    <w:rsid w:val="00EC7999"/>
    <w:rsid w:val="00ED0EB1"/>
    <w:rsid w:val="00ED1A08"/>
    <w:rsid w:val="00ED1F18"/>
    <w:rsid w:val="00ED3611"/>
    <w:rsid w:val="00ED487E"/>
    <w:rsid w:val="00ED55DC"/>
    <w:rsid w:val="00ED7343"/>
    <w:rsid w:val="00EE22C3"/>
    <w:rsid w:val="00EE767A"/>
    <w:rsid w:val="00EE7706"/>
    <w:rsid w:val="00EE7A0D"/>
    <w:rsid w:val="00EF0D21"/>
    <w:rsid w:val="00EF0E69"/>
    <w:rsid w:val="00EF1722"/>
    <w:rsid w:val="00EF2984"/>
    <w:rsid w:val="00EF3CFA"/>
    <w:rsid w:val="00F012B4"/>
    <w:rsid w:val="00F03071"/>
    <w:rsid w:val="00F116AF"/>
    <w:rsid w:val="00F11816"/>
    <w:rsid w:val="00F119E5"/>
    <w:rsid w:val="00F14075"/>
    <w:rsid w:val="00F15AF0"/>
    <w:rsid w:val="00F17CE1"/>
    <w:rsid w:val="00F17E96"/>
    <w:rsid w:val="00F2115C"/>
    <w:rsid w:val="00F21CA5"/>
    <w:rsid w:val="00F22ABA"/>
    <w:rsid w:val="00F24407"/>
    <w:rsid w:val="00F2584C"/>
    <w:rsid w:val="00F2676B"/>
    <w:rsid w:val="00F2690B"/>
    <w:rsid w:val="00F26EB7"/>
    <w:rsid w:val="00F27377"/>
    <w:rsid w:val="00F31FD3"/>
    <w:rsid w:val="00F32DDD"/>
    <w:rsid w:val="00F3376C"/>
    <w:rsid w:val="00F353EC"/>
    <w:rsid w:val="00F36B12"/>
    <w:rsid w:val="00F378F2"/>
    <w:rsid w:val="00F417C3"/>
    <w:rsid w:val="00F4234B"/>
    <w:rsid w:val="00F43326"/>
    <w:rsid w:val="00F4430B"/>
    <w:rsid w:val="00F45597"/>
    <w:rsid w:val="00F45F6E"/>
    <w:rsid w:val="00F5152F"/>
    <w:rsid w:val="00F51555"/>
    <w:rsid w:val="00F528B2"/>
    <w:rsid w:val="00F608B9"/>
    <w:rsid w:val="00F60F9F"/>
    <w:rsid w:val="00F61589"/>
    <w:rsid w:val="00F61CD6"/>
    <w:rsid w:val="00F644CE"/>
    <w:rsid w:val="00F64F08"/>
    <w:rsid w:val="00F70013"/>
    <w:rsid w:val="00F734F5"/>
    <w:rsid w:val="00F80E1F"/>
    <w:rsid w:val="00F836CD"/>
    <w:rsid w:val="00F90863"/>
    <w:rsid w:val="00F95B31"/>
    <w:rsid w:val="00F9664A"/>
    <w:rsid w:val="00F966B1"/>
    <w:rsid w:val="00F97D48"/>
    <w:rsid w:val="00FA0311"/>
    <w:rsid w:val="00FA3619"/>
    <w:rsid w:val="00FA4BD0"/>
    <w:rsid w:val="00FB1FBA"/>
    <w:rsid w:val="00FB717B"/>
    <w:rsid w:val="00FC3F5E"/>
    <w:rsid w:val="00FC42E5"/>
    <w:rsid w:val="00FC618C"/>
    <w:rsid w:val="00FC6920"/>
    <w:rsid w:val="00FD0A11"/>
    <w:rsid w:val="00FD1561"/>
    <w:rsid w:val="00FD1665"/>
    <w:rsid w:val="00FD2E5B"/>
    <w:rsid w:val="00FD36D3"/>
    <w:rsid w:val="00FD640F"/>
    <w:rsid w:val="00FD6B4C"/>
    <w:rsid w:val="00FD6BE9"/>
    <w:rsid w:val="00FE24E9"/>
    <w:rsid w:val="00FE5063"/>
    <w:rsid w:val="00FE7676"/>
    <w:rsid w:val="00FE7E5C"/>
    <w:rsid w:val="00FF1A5E"/>
    <w:rsid w:val="00FF2E57"/>
    <w:rsid w:val="00FF4E99"/>
    <w:rsid w:val="07B63998"/>
    <w:rsid w:val="17DC1EE7"/>
    <w:rsid w:val="2FD8A4CA"/>
    <w:rsid w:val="3A155B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8D44"/>
  <w15:docId w15:val="{4E57AC73-3A1C-4F08-B65A-AACA907F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E20286"/>
    <w:pPr>
      <w:keepLines/>
      <w:spacing w:before="120" w:after="120"/>
    </w:pPr>
    <w:rPr>
      <w:color w:val="000000" w:themeColor="text1"/>
      <w:sz w:val="18"/>
    </w:rPr>
  </w:style>
  <w:style w:type="paragraph" w:styleId="Heading1">
    <w:name w:val="heading 1"/>
    <w:next w:val="Normal"/>
    <w:link w:val="Heading1Char"/>
    <w:qFormat/>
    <w:rsid w:val="009E5956"/>
    <w:pPr>
      <w:keepNext/>
      <w:keepLines/>
      <w:spacing w:before="240" w:after="240"/>
      <w:outlineLvl w:val="0"/>
    </w:pPr>
    <w:rPr>
      <w:rFonts w:asciiTheme="majorHAnsi" w:eastAsiaTheme="majorEastAsia" w:hAnsiTheme="majorHAnsi" w:cstheme="majorBidi"/>
      <w:color w:val="1EB6EC" w:themeColor="accent1"/>
      <w:sz w:val="28"/>
      <w:szCs w:val="28"/>
    </w:rPr>
  </w:style>
  <w:style w:type="paragraph" w:styleId="Heading2">
    <w:name w:val="heading 2"/>
    <w:basedOn w:val="Normal"/>
    <w:next w:val="Normal"/>
    <w:link w:val="Heading2Char"/>
    <w:qFormat/>
    <w:rsid w:val="009E5956"/>
    <w:pPr>
      <w:keepNext/>
      <w:spacing w:before="200" w:after="40"/>
      <w:outlineLvl w:val="1"/>
    </w:pPr>
    <w:rPr>
      <w:rFonts w:asciiTheme="majorHAnsi" w:eastAsiaTheme="majorEastAsia" w:hAnsiTheme="majorHAnsi" w:cstheme="majorBidi"/>
      <w:b/>
      <w:bCs/>
      <w:color w:val="53565A" w:themeColor="text2"/>
      <w:sz w:val="24"/>
      <w:szCs w:val="24"/>
    </w:rPr>
  </w:style>
  <w:style w:type="paragraph" w:styleId="Heading3">
    <w:name w:val="heading 3"/>
    <w:basedOn w:val="Normal"/>
    <w:next w:val="Normal"/>
    <w:link w:val="Heading3Char"/>
    <w:qFormat/>
    <w:rsid w:val="009E5956"/>
    <w:pPr>
      <w:keepNext/>
      <w:spacing w:before="240" w:after="0"/>
      <w:outlineLvl w:val="2"/>
    </w:pPr>
    <w:rPr>
      <w:rFonts w:asciiTheme="majorHAnsi" w:eastAsiaTheme="majorEastAsia" w:hAnsiTheme="majorHAnsi" w:cstheme="majorBidi"/>
      <w:color w:val="53565A" w:themeColor="text2"/>
      <w:sz w:val="22"/>
      <w:szCs w:val="22"/>
    </w:rPr>
  </w:style>
  <w:style w:type="paragraph" w:styleId="Heading4">
    <w:name w:val="heading 4"/>
    <w:basedOn w:val="Normal"/>
    <w:next w:val="Normal"/>
    <w:link w:val="Heading4Char"/>
    <w:semiHidden/>
    <w:qFormat/>
    <w:rsid w:val="000224AE"/>
    <w:pPr>
      <w:keepNext/>
      <w:outlineLvl w:val="3"/>
    </w:pPr>
    <w:rPr>
      <w:rFonts w:asciiTheme="majorHAnsi" w:eastAsiaTheme="majorEastAsia" w:hAnsiTheme="majorHAnsi" w:cstheme="majorBidi"/>
      <w:b/>
      <w:bCs/>
      <w:iCs/>
      <w:color w:val="53565A" w:themeColor="text2"/>
      <w:sz w:val="21"/>
      <w:szCs w:val="21"/>
    </w:rPr>
  </w:style>
  <w:style w:type="paragraph" w:styleId="Heading5">
    <w:name w:val="heading 5"/>
    <w:basedOn w:val="Normal"/>
    <w:next w:val="Normal"/>
    <w:link w:val="Heading5Char"/>
    <w:semiHidden/>
    <w:rsid w:val="00553B92"/>
    <w:pPr>
      <w:keepNext/>
      <w:spacing w:before="60" w:after="60"/>
      <w:outlineLvl w:val="4"/>
    </w:pPr>
    <w:rPr>
      <w:rFonts w:asciiTheme="majorHAnsi" w:eastAsiaTheme="majorEastAsia" w:hAnsiTheme="majorHAnsi" w:cstheme="majorBidi"/>
      <w:b/>
      <w:bCs/>
      <w:color w:val="53565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95E1E3" w:themeColor="accent4"/>
        <w:left w:val="single" w:sz="8" w:space="0" w:color="95E1E3" w:themeColor="accent4"/>
        <w:bottom w:val="single" w:sz="8" w:space="0" w:color="95E1E3" w:themeColor="accent4"/>
        <w:right w:val="single" w:sz="8" w:space="0" w:color="95E1E3" w:themeColor="accent4"/>
      </w:tblBorders>
    </w:tblPr>
    <w:tblStylePr w:type="firstRow">
      <w:pPr>
        <w:spacing w:before="0" w:after="0" w:line="240" w:lineRule="auto"/>
      </w:pPr>
      <w:rPr>
        <w:b/>
        <w:bCs/>
        <w:color w:val="FFFFFF" w:themeColor="background1"/>
      </w:rPr>
      <w:tblPr/>
      <w:tcPr>
        <w:shd w:val="clear" w:color="auto" w:fill="95E1E3" w:themeFill="accent4"/>
      </w:tcPr>
    </w:tblStylePr>
    <w:tblStylePr w:type="lastRow">
      <w:pPr>
        <w:spacing w:before="0" w:after="0" w:line="240" w:lineRule="auto"/>
      </w:pPr>
      <w:rPr>
        <w:b/>
        <w:bCs/>
      </w:rPr>
      <w:tblPr/>
      <w:tcPr>
        <w:tcBorders>
          <w:top w:val="double" w:sz="6" w:space="0" w:color="95E1E3" w:themeColor="accent4"/>
          <w:left w:val="single" w:sz="8" w:space="0" w:color="95E1E3" w:themeColor="accent4"/>
          <w:bottom w:val="single" w:sz="8" w:space="0" w:color="95E1E3" w:themeColor="accent4"/>
          <w:right w:val="single" w:sz="8" w:space="0" w:color="95E1E3" w:themeColor="accent4"/>
        </w:tcBorders>
      </w:tcPr>
    </w:tblStylePr>
    <w:tblStylePr w:type="firstCol">
      <w:rPr>
        <w:b/>
        <w:bCs/>
      </w:rPr>
    </w:tblStylePr>
    <w:tblStylePr w:type="lastCol">
      <w:rPr>
        <w:b/>
        <w:bCs/>
      </w:rPr>
    </w:tblStylePr>
    <w:tblStylePr w:type="band1Vert">
      <w:tblPr/>
      <w:tcPr>
        <w:tcBorders>
          <w:top w:val="single" w:sz="8" w:space="0" w:color="95E1E3" w:themeColor="accent4"/>
          <w:left w:val="single" w:sz="8" w:space="0" w:color="95E1E3" w:themeColor="accent4"/>
          <w:bottom w:val="single" w:sz="8" w:space="0" w:color="95E1E3" w:themeColor="accent4"/>
          <w:right w:val="single" w:sz="8" w:space="0" w:color="95E1E3" w:themeColor="accent4"/>
        </w:tcBorders>
      </w:tcPr>
    </w:tblStylePr>
    <w:tblStylePr w:type="band1Horz">
      <w:tblPr/>
      <w:tcPr>
        <w:tcBorders>
          <w:top w:val="single" w:sz="8" w:space="0" w:color="95E1E3" w:themeColor="accent4"/>
          <w:left w:val="single" w:sz="8" w:space="0" w:color="95E1E3" w:themeColor="accent4"/>
          <w:bottom w:val="single" w:sz="8" w:space="0" w:color="95E1E3" w:themeColor="accent4"/>
          <w:right w:val="single" w:sz="8" w:space="0" w:color="95E1E3"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1EB6EC" w:themeColor="accent1"/>
        <w:left w:val="single" w:sz="8" w:space="0" w:color="1EB6EC" w:themeColor="accent1"/>
        <w:bottom w:val="single" w:sz="8" w:space="0" w:color="1EB6EC" w:themeColor="accent1"/>
        <w:right w:val="single" w:sz="8" w:space="0" w:color="1EB6EC" w:themeColor="accent1"/>
      </w:tblBorders>
    </w:tblPr>
    <w:tblStylePr w:type="firstRow">
      <w:pPr>
        <w:spacing w:before="0" w:after="0" w:line="240" w:lineRule="auto"/>
      </w:pPr>
      <w:rPr>
        <w:b/>
        <w:bCs/>
        <w:color w:val="FFFFFF" w:themeColor="background1"/>
      </w:rPr>
      <w:tblPr/>
      <w:tcPr>
        <w:shd w:val="clear" w:color="auto" w:fill="1EB6EC" w:themeFill="accent1"/>
      </w:tcPr>
    </w:tblStylePr>
    <w:tblStylePr w:type="lastRow">
      <w:pPr>
        <w:spacing w:before="0" w:after="0" w:line="240" w:lineRule="auto"/>
      </w:pPr>
      <w:rPr>
        <w:b/>
        <w:bCs/>
      </w:rPr>
      <w:tblPr/>
      <w:tcPr>
        <w:tcBorders>
          <w:top w:val="double" w:sz="6" w:space="0" w:color="1EB6EC" w:themeColor="accent1"/>
          <w:left w:val="single" w:sz="8" w:space="0" w:color="1EB6EC" w:themeColor="accent1"/>
          <w:bottom w:val="single" w:sz="8" w:space="0" w:color="1EB6EC" w:themeColor="accent1"/>
          <w:right w:val="single" w:sz="8" w:space="0" w:color="1EB6EC" w:themeColor="accent1"/>
        </w:tcBorders>
      </w:tcPr>
    </w:tblStylePr>
    <w:tblStylePr w:type="firstCol">
      <w:rPr>
        <w:b/>
        <w:bCs/>
      </w:rPr>
    </w:tblStylePr>
    <w:tblStylePr w:type="lastCol">
      <w:rPr>
        <w:b/>
        <w:bCs/>
      </w:rPr>
    </w:tblStylePr>
    <w:tblStylePr w:type="band1Vert">
      <w:tblPr/>
      <w:tcPr>
        <w:tcBorders>
          <w:top w:val="single" w:sz="8" w:space="0" w:color="1EB6EC" w:themeColor="accent1"/>
          <w:left w:val="single" w:sz="8" w:space="0" w:color="1EB6EC" w:themeColor="accent1"/>
          <w:bottom w:val="single" w:sz="8" w:space="0" w:color="1EB6EC" w:themeColor="accent1"/>
          <w:right w:val="single" w:sz="8" w:space="0" w:color="1EB6EC" w:themeColor="accent1"/>
        </w:tcBorders>
      </w:tcPr>
    </w:tblStylePr>
    <w:tblStylePr w:type="band1Horz">
      <w:tblPr/>
      <w:tcPr>
        <w:tcBorders>
          <w:top w:val="single" w:sz="8" w:space="0" w:color="1EB6EC" w:themeColor="accent1"/>
          <w:left w:val="single" w:sz="8" w:space="0" w:color="1EB6EC" w:themeColor="accent1"/>
          <w:bottom w:val="single" w:sz="8" w:space="0" w:color="1EB6EC" w:themeColor="accent1"/>
          <w:right w:val="single" w:sz="8" w:space="0" w:color="1EB6EC" w:themeColor="accent1"/>
        </w:tcBorders>
      </w:tcPr>
    </w:tblStylePr>
  </w:style>
  <w:style w:type="paragraph" w:styleId="TOC1">
    <w:name w:val="toc 1"/>
    <w:basedOn w:val="Normal"/>
    <w:next w:val="Normal"/>
    <w:uiPriority w:val="39"/>
    <w:semiHidden/>
    <w:rsid w:val="00522F8A"/>
    <w:pPr>
      <w:pBdr>
        <w:bottom w:val="single" w:sz="12" w:space="4" w:color="auto"/>
      </w:pBdr>
      <w:tabs>
        <w:tab w:val="right" w:pos="9000"/>
      </w:tabs>
      <w:ind w:right="26"/>
    </w:pPr>
    <w:rPr>
      <w:sz w:val="24"/>
      <w:szCs w:val="24"/>
    </w:rPr>
  </w:style>
  <w:style w:type="paragraph" w:styleId="TOC2">
    <w:name w:val="toc 2"/>
    <w:next w:val="Normal"/>
    <w:uiPriority w:val="39"/>
    <w:semiHidden/>
    <w:rsid w:val="00522F8A"/>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522F8A"/>
    <w:pPr>
      <w:tabs>
        <w:tab w:val="right" w:pos="9000"/>
      </w:tabs>
      <w:spacing w:before="0"/>
      <w:ind w:left="450" w:right="432"/>
      <w:contextualSpacing/>
    </w:pPr>
    <w:rPr>
      <w:noProof/>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9E5956"/>
    <w:rPr>
      <w:rFonts w:asciiTheme="majorHAnsi" w:eastAsiaTheme="majorEastAsia" w:hAnsiTheme="majorHAnsi" w:cstheme="majorBidi"/>
      <w:color w:val="1EB6EC" w:themeColor="accent1"/>
      <w:sz w:val="28"/>
      <w:szCs w:val="28"/>
    </w:rPr>
  </w:style>
  <w:style w:type="character" w:customStyle="1" w:styleId="Heading2Char">
    <w:name w:val="Heading 2 Char"/>
    <w:basedOn w:val="DefaultParagraphFont"/>
    <w:link w:val="Heading2"/>
    <w:rsid w:val="009E5956"/>
    <w:rPr>
      <w:rFonts w:asciiTheme="majorHAnsi" w:eastAsiaTheme="majorEastAsia" w:hAnsiTheme="majorHAnsi" w:cstheme="majorBidi"/>
      <w:b/>
      <w:bCs/>
      <w:color w:val="53565A" w:themeColor="text2"/>
      <w:sz w:val="24"/>
      <w:szCs w:val="24"/>
    </w:rPr>
  </w:style>
  <w:style w:type="paragraph" w:customStyle="1" w:styleId="Bullet1">
    <w:name w:val="Bullet 1"/>
    <w:uiPriority w:val="1"/>
    <w:qFormat/>
    <w:rsid w:val="009E5956"/>
    <w:pPr>
      <w:keepLines/>
      <w:numPr>
        <w:numId w:val="1"/>
      </w:numPr>
      <w:spacing w:before="40" w:after="40" w:line="252" w:lineRule="auto"/>
      <w:contextualSpacing/>
    </w:pPr>
    <w:rPr>
      <w:rFonts w:eastAsia="Times New Roman" w:cs="Calibri"/>
      <w:color w:val="000000" w:themeColor="text1"/>
      <w:sz w:val="18"/>
    </w:rPr>
  </w:style>
  <w:style w:type="paragraph" w:customStyle="1" w:styleId="Bullet2">
    <w:name w:val="Bullet 2"/>
    <w:basedOn w:val="Bullet1"/>
    <w:uiPriority w:val="1"/>
    <w:qFormat/>
    <w:rsid w:val="009E5956"/>
    <w:pPr>
      <w:numPr>
        <w:ilvl w:val="1"/>
      </w:numPr>
    </w:pPr>
  </w:style>
  <w:style w:type="paragraph" w:customStyle="1" w:styleId="Bulletindent">
    <w:name w:val="Bullet indent"/>
    <w:basedOn w:val="Bullet2"/>
    <w:uiPriority w:val="9"/>
    <w:semiHidden/>
    <w:qFormat/>
    <w:rsid w:val="00BB660E"/>
    <w:pPr>
      <w:numPr>
        <w:ilvl w:val="2"/>
      </w:numPr>
      <w:spacing w:line="264" w:lineRule="auto"/>
    </w:pPr>
  </w:style>
  <w:style w:type="paragraph" w:customStyle="1" w:styleId="Heading1numbered">
    <w:name w:val="Heading 1 numbered"/>
    <w:basedOn w:val="Heading1"/>
    <w:next w:val="NormalIndent"/>
    <w:uiPriority w:val="8"/>
    <w:semiHidden/>
    <w:qFormat/>
    <w:rsid w:val="00522F8A"/>
    <w:pPr>
      <w:numPr>
        <w:ilvl w:val="2"/>
        <w:numId w:val="3"/>
      </w:numPr>
    </w:pPr>
  </w:style>
  <w:style w:type="paragraph" w:customStyle="1" w:styleId="Heading2numbered">
    <w:name w:val="Heading 2 numbered"/>
    <w:basedOn w:val="Heading2"/>
    <w:next w:val="NormalIndent"/>
    <w:uiPriority w:val="8"/>
    <w:semiHidden/>
    <w:qFormat/>
    <w:rsid w:val="00522F8A"/>
    <w:pPr>
      <w:numPr>
        <w:ilvl w:val="3"/>
        <w:numId w:val="3"/>
      </w:numPr>
    </w:pPr>
  </w:style>
  <w:style w:type="paragraph" w:customStyle="1" w:styleId="Heading3numbered">
    <w:name w:val="Heading 3 numbered"/>
    <w:basedOn w:val="Heading3"/>
    <w:next w:val="NormalIndent"/>
    <w:uiPriority w:val="8"/>
    <w:semiHidden/>
    <w:qFormat/>
    <w:rsid w:val="00522F8A"/>
    <w:pPr>
      <w:numPr>
        <w:ilvl w:val="4"/>
        <w:numId w:val="3"/>
      </w:numPr>
    </w:pPr>
  </w:style>
  <w:style w:type="character" w:customStyle="1" w:styleId="Heading3Char">
    <w:name w:val="Heading 3 Char"/>
    <w:basedOn w:val="DefaultParagraphFont"/>
    <w:link w:val="Heading3"/>
    <w:rsid w:val="009E5956"/>
    <w:rPr>
      <w:rFonts w:asciiTheme="majorHAnsi" w:eastAsiaTheme="majorEastAsia" w:hAnsiTheme="majorHAnsi" w:cstheme="majorBidi"/>
      <w:color w:val="53565A" w:themeColor="text2"/>
      <w:sz w:val="22"/>
      <w:szCs w:val="22"/>
    </w:rPr>
  </w:style>
  <w:style w:type="paragraph" w:customStyle="1" w:styleId="Heading4numbered">
    <w:name w:val="Heading 4 numbered"/>
    <w:basedOn w:val="Heading4"/>
    <w:next w:val="NormalIndent"/>
    <w:uiPriority w:val="8"/>
    <w:semiHidden/>
    <w:qFormat/>
    <w:rsid w:val="00522F8A"/>
    <w:pPr>
      <w:numPr>
        <w:ilvl w:val="5"/>
        <w:numId w:val="3"/>
      </w:numPr>
    </w:pPr>
  </w:style>
  <w:style w:type="character" w:customStyle="1" w:styleId="Heading4Char">
    <w:name w:val="Heading 4 Char"/>
    <w:basedOn w:val="DefaultParagraphFont"/>
    <w:link w:val="Heading4"/>
    <w:semiHidden/>
    <w:rsid w:val="000224AE"/>
    <w:rPr>
      <w:rFonts w:asciiTheme="majorHAnsi" w:eastAsiaTheme="majorEastAsia" w:hAnsiTheme="majorHAnsi" w:cstheme="majorBidi"/>
      <w:b/>
      <w:bCs/>
      <w:iCs/>
      <w:color w:val="53565A" w:themeColor="text2"/>
      <w:sz w:val="21"/>
      <w:szCs w:val="21"/>
    </w:rPr>
  </w:style>
  <w:style w:type="paragraph" w:styleId="NormalIndent">
    <w:name w:val="Normal Indent"/>
    <w:basedOn w:val="Normal"/>
    <w:uiPriority w:val="9"/>
    <w:semiHidden/>
    <w:qFormat/>
    <w:rsid w:val="00BB660E"/>
    <w:pPr>
      <w:ind w:left="792"/>
    </w:pPr>
  </w:style>
  <w:style w:type="paragraph" w:customStyle="1" w:styleId="NoteNormal">
    <w:name w:val="Note Normal"/>
    <w:basedOn w:val="Normal"/>
    <w:qFormat/>
    <w:rsid w:val="00522F8A"/>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DD02B9"/>
    <w:pPr>
      <w:spacing w:after="440" w:line="240" w:lineRule="auto"/>
      <w:ind w:right="-170"/>
      <w:jc w:val="right"/>
    </w:pPr>
    <w:rPr>
      <w:rFonts w:asciiTheme="majorHAnsi" w:eastAsia="Times New Roman" w:hAnsiTheme="majorHAnsi" w:cstheme="majorHAnsi"/>
      <w:b/>
      <w:bCs/>
      <w:color w:val="53565A" w:themeColor="text2"/>
      <w:sz w:val="22"/>
      <w:szCs w:val="22"/>
    </w:rPr>
  </w:style>
  <w:style w:type="character" w:customStyle="1" w:styleId="SubtitleChar">
    <w:name w:val="Subtitle Char"/>
    <w:basedOn w:val="DefaultParagraphFont"/>
    <w:link w:val="Subtitle"/>
    <w:uiPriority w:val="45"/>
    <w:rsid w:val="00DD02B9"/>
    <w:rPr>
      <w:rFonts w:asciiTheme="majorHAnsi" w:eastAsia="Times New Roman" w:hAnsiTheme="majorHAnsi" w:cstheme="majorHAnsi"/>
      <w:b/>
      <w:bCs/>
      <w:color w:val="53565A" w:themeColor="text2"/>
      <w:sz w:val="22"/>
      <w:szCs w:val="2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E5956"/>
    <w:pPr>
      <w:spacing w:before="1600" w:after="400" w:line="240" w:lineRule="auto"/>
      <w:ind w:right="296"/>
    </w:pPr>
    <w:rPr>
      <w:rFonts w:eastAsia="Times New Roman" w:cstheme="majorHAnsi"/>
      <w:bCs/>
      <w:color w:val="33C8CC" w:themeColor="accent2"/>
      <w:sz w:val="40"/>
      <w:szCs w:val="40"/>
    </w:rPr>
  </w:style>
  <w:style w:type="character" w:customStyle="1" w:styleId="TitleChar">
    <w:name w:val="Title Char"/>
    <w:basedOn w:val="DefaultParagraphFont"/>
    <w:link w:val="Title"/>
    <w:uiPriority w:val="44"/>
    <w:rsid w:val="009E5956"/>
    <w:rPr>
      <w:rFonts w:eastAsia="Times New Roman" w:cstheme="majorHAnsi"/>
      <w:bCs/>
      <w:color w:val="33C8CC" w:themeColor="accent2"/>
      <w:sz w:val="40"/>
      <w:szCs w:val="40"/>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semiHidden/>
    <w:qFormat/>
    <w:rsid w:val="00BB660E"/>
    <w:pPr>
      <w:numPr>
        <w:ilvl w:val="3"/>
        <w:numId w:val="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000000" w:themeColor="text1"/>
    </w:rPr>
  </w:style>
  <w:style w:type="paragraph" w:styleId="Footer">
    <w:name w:val="footer"/>
    <w:basedOn w:val="Normal"/>
    <w:link w:val="FooterChar"/>
    <w:uiPriority w:val="99"/>
    <w:semiHidden/>
    <w:rsid w:val="00AE7D95"/>
    <w:pPr>
      <w:tabs>
        <w:tab w:val="left" w:pos="9639"/>
      </w:tabs>
      <w:spacing w:before="0" w:after="0" w:line="240" w:lineRule="auto"/>
      <w:ind w:right="197"/>
    </w:pPr>
    <w:rPr>
      <w:noProof/>
      <w:szCs w:val="18"/>
    </w:rPr>
  </w:style>
  <w:style w:type="character" w:customStyle="1" w:styleId="FooterChar">
    <w:name w:val="Footer Char"/>
    <w:basedOn w:val="DefaultParagraphFont"/>
    <w:link w:val="Footer"/>
    <w:uiPriority w:val="99"/>
    <w:semiHidden/>
    <w:rsid w:val="00AE7D95"/>
    <w:rPr>
      <w:noProof/>
      <w:color w:val="000000" w:themeColor="text1"/>
      <w:sz w:val="18"/>
      <w:szCs w:val="18"/>
    </w:rPr>
  </w:style>
  <w:style w:type="character" w:styleId="PageNumber">
    <w:name w:val="page number"/>
    <w:uiPriority w:val="49"/>
    <w:semiHidden/>
    <w:rsid w:val="00522F8A"/>
    <w:rPr>
      <w:rFonts w:asciiTheme="minorHAnsi" w:hAnsiTheme="minorHAnsi"/>
      <w:b w:val="0"/>
      <w:color w:val="000000" w:themeColor="text1"/>
    </w:rPr>
  </w:style>
  <w:style w:type="paragraph" w:styleId="TOCHeading">
    <w:name w:val="TOC Heading"/>
    <w:basedOn w:val="Heading1"/>
    <w:next w:val="Normal"/>
    <w:uiPriority w:val="38"/>
    <w:semiHidden/>
    <w:rsid w:val="00522F8A"/>
    <w:pPr>
      <w:spacing w:before="480" w:after="720"/>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000000"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522F8A"/>
    <w:pPr>
      <w:spacing w:before="280"/>
      <w:ind w:left="446" w:right="29" w:hanging="446"/>
    </w:pPr>
    <w:rPr>
      <w:noProof/>
      <w:lang w:eastAsia="en-US"/>
    </w:rPr>
  </w:style>
  <w:style w:type="paragraph" w:styleId="TOC5">
    <w:name w:val="toc 5"/>
    <w:basedOn w:val="TOC2"/>
    <w:next w:val="Normal"/>
    <w:uiPriority w:val="39"/>
    <w:semiHidden/>
    <w:rsid w:val="00522F8A"/>
    <w:pPr>
      <w:ind w:left="1080" w:hanging="634"/>
    </w:pPr>
    <w:rPr>
      <w:lang w:eastAsia="en-US"/>
    </w:rPr>
  </w:style>
  <w:style w:type="paragraph" w:styleId="TOC6">
    <w:name w:val="toc 6"/>
    <w:basedOn w:val="TOC3"/>
    <w:next w:val="Normal"/>
    <w:uiPriority w:val="39"/>
    <w:semiHidden/>
    <w:rsid w:val="00522F8A"/>
    <w:pPr>
      <w:ind w:left="1800" w:hanging="720"/>
    </w:pPr>
    <w:rPr>
      <w:lang w:eastAsia="en-US"/>
    </w:rPr>
  </w:style>
  <w:style w:type="table" w:customStyle="1" w:styleId="DTFtexttable">
    <w:name w:val="DTF text table"/>
    <w:basedOn w:val="TableNormal"/>
    <w:uiPriority w:val="99"/>
    <w:rsid w:val="00633071"/>
    <w:pPr>
      <w:spacing w:before="30" w:after="30" w:line="264" w:lineRule="auto"/>
    </w:pPr>
    <w:rPr>
      <w:rFonts w:eastAsiaTheme="minorHAnsi"/>
      <w:spacing w:val="2"/>
      <w:sz w:val="17"/>
      <w:szCs w:val="21"/>
      <w:lang w:eastAsia="en-US"/>
    </w:rPr>
    <w:tblPr>
      <w:tblStyleRowBandSize w:val="1"/>
      <w:tblStyleColBandSize w:val="1"/>
      <w:tblBorders>
        <w:bottom w:val="single" w:sz="12" w:space="0" w:color="1EB6EC" w:themeColor="accent1"/>
        <w:insideH w:val="single" w:sz="6" w:space="0" w:color="A6A6A6" w:themeColor="background1" w:themeShade="A6"/>
      </w:tblBorders>
      <w:tblCellMar>
        <w:left w:w="57" w:type="dxa"/>
        <w:right w:w="57" w:type="dxa"/>
      </w:tblCellMar>
    </w:tblPr>
    <w:trPr>
      <w:cantSplit/>
    </w:trPr>
    <w:tcPr>
      <w:shd w:val="clear" w:color="auto" w:fill="auto"/>
    </w:tcPr>
    <w:tblStylePr w:type="firstRow">
      <w:pPr>
        <w:keepNext/>
        <w:keepLines/>
        <w:widowControl/>
        <w:wordWrap/>
        <w:spacing w:beforeLines="0" w:before="120" w:beforeAutospacing="0" w:afterLines="0" w:after="30" w:afterAutospacing="0"/>
        <w:jc w:val="left"/>
      </w:pPr>
      <w:rPr>
        <w:b/>
        <w:i w:val="0"/>
        <w:color w:val="FFFFFF" w:themeColor="background1"/>
        <w:sz w:val="18"/>
      </w:rPr>
      <w:tblPr/>
      <w:tcPr>
        <w:shd w:val="clear" w:color="auto" w:fill="1EB6EC" w:themeFill="accent1"/>
      </w:tcPr>
    </w:tblStylePr>
    <w:tblStylePr w:type="lastRow">
      <w:rPr>
        <w:b/>
      </w:rPr>
      <w:tblPr/>
      <w:tcPr>
        <w:shd w:val="clear" w:color="auto" w:fill="1EB6EC" w:themeFill="accent1"/>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633071"/>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1EB6EC"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1EB6EC" w:themeFill="accent1"/>
      </w:tcPr>
    </w:tblStylePr>
    <w:tblStylePr w:type="lastRow">
      <w:rPr>
        <w:b/>
      </w:rPr>
      <w:tblPr/>
      <w:tcPr>
        <w:tcBorders>
          <w:top w:val="single" w:sz="6" w:space="0" w:color="1EB6EC" w:themeColor="accent1"/>
          <w:left w:val="nil"/>
          <w:bottom w:val="single" w:sz="12" w:space="0" w:color="1EB6EC"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semiHidden/>
    <w:qFormat/>
    <w:rsid w:val="00522F8A"/>
    <w:pPr>
      <w:numPr>
        <w:ilvl w:val="7"/>
        <w:numId w:val="3"/>
      </w:numPr>
      <w:spacing w:before="100"/>
      <w:contextualSpacing/>
    </w:pPr>
  </w:style>
  <w:style w:type="paragraph" w:customStyle="1" w:styleId="Listnumindent">
    <w:name w:val="List num indent"/>
    <w:basedOn w:val="Normal"/>
    <w:uiPriority w:val="9"/>
    <w:semiHidden/>
    <w:qFormat/>
    <w:rsid w:val="00522F8A"/>
    <w:pPr>
      <w:numPr>
        <w:ilvl w:val="6"/>
        <w:numId w:val="3"/>
      </w:numPr>
      <w:spacing w:before="100"/>
    </w:pPr>
  </w:style>
  <w:style w:type="paragraph" w:customStyle="1" w:styleId="Listnum">
    <w:name w:val="List num"/>
    <w:basedOn w:val="Normal"/>
    <w:uiPriority w:val="2"/>
    <w:qFormat/>
    <w:rsid w:val="00522F8A"/>
    <w:pPr>
      <w:numPr>
        <w:numId w:val="3"/>
      </w:numPr>
    </w:pPr>
  </w:style>
  <w:style w:type="paragraph" w:customStyle="1" w:styleId="Listnum2">
    <w:name w:val="List num 2"/>
    <w:basedOn w:val="Normal"/>
    <w:uiPriority w:val="2"/>
    <w:qFormat/>
    <w:rsid w:val="00522F8A"/>
    <w:pPr>
      <w:numPr>
        <w:ilvl w:val="1"/>
        <w:numId w:val="3"/>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633071"/>
    <w:pPr>
      <w:keepNext/>
      <w:spacing w:before="120"/>
    </w:pPr>
    <w:rPr>
      <w:rFonts w:eastAsiaTheme="minorHAnsi"/>
      <w:color w:val="FFFFFF" w:themeColor="background1"/>
      <w:spacing w:val="2"/>
      <w:sz w:val="18"/>
      <w:szCs w:val="18"/>
      <w:lang w:eastAsia="en-US"/>
    </w:rPr>
  </w:style>
  <w:style w:type="paragraph" w:customStyle="1" w:styleId="Tablebullet">
    <w:name w:val="Table bullet"/>
    <w:basedOn w:val="Tabletext"/>
    <w:uiPriority w:val="6"/>
    <w:rsid w:val="00522F8A"/>
    <w:pPr>
      <w:numPr>
        <w:numId w:val="4"/>
      </w:numPr>
    </w:pPr>
  </w:style>
  <w:style w:type="paragraph" w:customStyle="1" w:styleId="Tabledash">
    <w:name w:val="Table dash"/>
    <w:basedOn w:val="Tablebullet"/>
    <w:uiPriority w:val="6"/>
    <w:rsid w:val="00522F8A"/>
    <w:pPr>
      <w:numPr>
        <w:ilvl w:val="1"/>
      </w:numPr>
    </w:pPr>
  </w:style>
  <w:style w:type="paragraph" w:customStyle="1" w:styleId="Numpara">
    <w:name w:val="Num para"/>
    <w:basedOn w:val="ListParagraph"/>
    <w:uiPriority w:val="2"/>
    <w:qFormat/>
    <w:rsid w:val="00522F8A"/>
    <w:pPr>
      <w:numPr>
        <w:numId w:val="2"/>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000000" w:themeColor="text1"/>
      <w:sz w:val="17"/>
    </w:rPr>
  </w:style>
  <w:style w:type="character" w:styleId="FootnoteReference">
    <w:name w:val="footnote reference"/>
    <w:basedOn w:val="DefaultParagraphFont"/>
    <w:uiPriority w:val="99"/>
    <w:semiHidden/>
    <w:rsid w:val="00522F8A"/>
    <w:rPr>
      <w:vertAlign w:val="superscript"/>
    </w:rPr>
  </w:style>
  <w:style w:type="paragraph" w:customStyle="1" w:styleId="Numparaindent">
    <w:name w:val="Num para indent"/>
    <w:basedOn w:val="Numpara"/>
    <w:uiPriority w:val="9"/>
    <w:semiHidden/>
    <w:qFormat/>
    <w:rsid w:val="00522F8A"/>
    <w:pPr>
      <w:numPr>
        <w:ilvl w:val="8"/>
        <w:numId w:val="3"/>
      </w:numPr>
      <w:tabs>
        <w:tab w:val="clear" w:pos="540"/>
      </w:tabs>
    </w:pPr>
  </w:style>
  <w:style w:type="paragraph" w:customStyle="1" w:styleId="Tablenum1">
    <w:name w:val="Table num 1"/>
    <w:basedOn w:val="Normal"/>
    <w:uiPriority w:val="6"/>
    <w:rsid w:val="00522F8A"/>
    <w:pPr>
      <w:numPr>
        <w:ilvl w:val="2"/>
        <w:numId w:val="4"/>
      </w:numPr>
      <w:spacing w:before="60" w:after="60"/>
    </w:pPr>
    <w:rPr>
      <w:sz w:val="17"/>
    </w:rPr>
  </w:style>
  <w:style w:type="paragraph" w:customStyle="1" w:styleId="Tablenum2">
    <w:name w:val="Table num 2"/>
    <w:basedOn w:val="Normal"/>
    <w:uiPriority w:val="6"/>
    <w:rsid w:val="00522F8A"/>
    <w:pPr>
      <w:numPr>
        <w:ilvl w:val="3"/>
        <w:numId w:val="4"/>
      </w:numPr>
      <w:spacing w:before="60" w:after="60"/>
    </w:pPr>
    <w:rPr>
      <w:sz w:val="17"/>
    </w:rPr>
  </w:style>
  <w:style w:type="paragraph" w:customStyle="1" w:styleId="NoteNormalindent">
    <w:name w:val="Note Normal indent"/>
    <w:basedOn w:val="NoteNormal"/>
    <w:uiPriority w:val="9"/>
    <w:semiHidden/>
    <w:rsid w:val="00522F8A"/>
    <w:pPr>
      <w:ind w:left="792"/>
    </w:pPr>
  </w:style>
  <w:style w:type="paragraph" w:styleId="Caption">
    <w:name w:val="caption"/>
    <w:basedOn w:val="Normal"/>
    <w:next w:val="Normal"/>
    <w:uiPriority w:val="5"/>
    <w:rsid w:val="0010784D"/>
    <w:pPr>
      <w:spacing w:before="200" w:after="60" w:line="240" w:lineRule="auto"/>
    </w:pPr>
    <w:rPr>
      <w:b/>
      <w:bCs/>
      <w:color w:val="53565A" w:themeColor="text2"/>
      <w:szCs w:val="18"/>
    </w:rPr>
  </w:style>
  <w:style w:type="paragraph" w:customStyle="1" w:styleId="CM">
    <w:name w:val="CM"/>
    <w:next w:val="Normal"/>
    <w:uiPriority w:val="79"/>
    <w:rsid w:val="005129A3"/>
    <w:pPr>
      <w:spacing w:after="2000" w:line="240" w:lineRule="auto"/>
      <w:ind w:right="4910"/>
      <w:jc w:val="right"/>
    </w:pPr>
    <w:rPr>
      <w:caps/>
      <w:color w:val="FFFFFF" w:themeColor="background1"/>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553B92"/>
    <w:rPr>
      <w:rFonts w:asciiTheme="majorHAnsi" w:eastAsiaTheme="majorEastAsia" w:hAnsiTheme="majorHAnsi" w:cstheme="majorBidi"/>
      <w:b/>
      <w:bCs/>
      <w:color w:val="53565A" w:themeColor="text2"/>
      <w:sz w:val="18"/>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QuoteAuthorText"/>
    <w:link w:val="QuoteChar"/>
    <w:uiPriority w:val="14"/>
    <w:qFormat/>
    <w:rsid w:val="007E55C4"/>
    <w:pPr>
      <w:keepNext/>
      <w:keepLines w:val="0"/>
      <w:spacing w:before="400" w:line="360" w:lineRule="exact"/>
      <w:ind w:left="720" w:right="720"/>
    </w:pPr>
    <w:rPr>
      <w:rFonts w:cstheme="minorHAnsi"/>
      <w:i/>
      <w:color w:val="33C8CC" w:themeColor="accent2"/>
      <w:sz w:val="32"/>
      <w:lang w:eastAsia="en-US"/>
    </w:rPr>
  </w:style>
  <w:style w:type="character" w:customStyle="1" w:styleId="QuoteChar">
    <w:name w:val="Quote Char"/>
    <w:basedOn w:val="DefaultParagraphFont"/>
    <w:link w:val="Quote"/>
    <w:uiPriority w:val="14"/>
    <w:rsid w:val="007E55C4"/>
    <w:rPr>
      <w:rFonts w:cstheme="minorHAnsi"/>
      <w:i/>
      <w:color w:val="33C8CC" w:themeColor="accent2"/>
      <w:sz w:val="32"/>
      <w:lang w:eastAsia="en-US"/>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Boxheading">
    <w:name w:val="Box heading"/>
    <w:basedOn w:val="Heading4"/>
    <w:qFormat/>
    <w:rsid w:val="00A16EC3"/>
    <w:pPr>
      <w:spacing w:line="240" w:lineRule="auto"/>
      <w:outlineLvl w:val="9"/>
    </w:pPr>
    <w:rPr>
      <w:color w:val="00AFAA" w:themeColor="accent6"/>
    </w:rPr>
  </w:style>
  <w:style w:type="paragraph" w:customStyle="1" w:styleId="Introductiontext">
    <w:name w:val="Introduction text"/>
    <w:qFormat/>
    <w:rsid w:val="009E5956"/>
    <w:pPr>
      <w:spacing w:after="360" w:line="240" w:lineRule="auto"/>
    </w:pPr>
    <w:rPr>
      <w:rFonts w:eastAsiaTheme="majorEastAsia" w:cstheme="majorBidi"/>
      <w:color w:val="95999E" w:themeColor="text2" w:themeTint="99"/>
      <w:sz w:val="28"/>
      <w:szCs w:val="28"/>
    </w:rPr>
  </w:style>
  <w:style w:type="paragraph" w:customStyle="1" w:styleId="QuoteAuthorText">
    <w:name w:val="Quote Author Text"/>
    <w:basedOn w:val="Normal"/>
    <w:next w:val="BodyText"/>
    <w:uiPriority w:val="10"/>
    <w:qFormat/>
    <w:rsid w:val="007E55C4"/>
    <w:pPr>
      <w:keepLines w:val="0"/>
      <w:spacing w:before="0" w:after="400" w:line="240" w:lineRule="auto"/>
      <w:ind w:left="720" w:right="619"/>
    </w:pPr>
    <w:rPr>
      <w:rFonts w:ascii="Arial" w:hAnsi="Arial" w:cs="Times New Roman"/>
      <w:bCs/>
      <w:color w:val="33C8CC" w:themeColor="accent2"/>
      <w:sz w:val="20"/>
      <w:szCs w:val="22"/>
      <w:lang w:eastAsia="en-US"/>
    </w:rPr>
  </w:style>
  <w:style w:type="paragraph" w:styleId="Revision">
    <w:name w:val="Revision"/>
    <w:hidden/>
    <w:uiPriority w:val="99"/>
    <w:semiHidden/>
    <w:rsid w:val="00317E00"/>
    <w:pPr>
      <w:spacing w:after="0" w:line="240" w:lineRule="auto"/>
    </w:pPr>
    <w:rPr>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6783">
      <w:bodyDiv w:val="1"/>
      <w:marLeft w:val="0"/>
      <w:marRight w:val="0"/>
      <w:marTop w:val="0"/>
      <w:marBottom w:val="0"/>
      <w:divBdr>
        <w:top w:val="none" w:sz="0" w:space="0" w:color="auto"/>
        <w:left w:val="none" w:sz="0" w:space="0" w:color="auto"/>
        <w:bottom w:val="none" w:sz="0" w:space="0" w:color="auto"/>
        <w:right w:val="none" w:sz="0" w:space="0" w:color="auto"/>
      </w:divBdr>
    </w:div>
    <w:div w:id="466356383">
      <w:bodyDiv w:val="1"/>
      <w:marLeft w:val="0"/>
      <w:marRight w:val="0"/>
      <w:marTop w:val="0"/>
      <w:marBottom w:val="0"/>
      <w:divBdr>
        <w:top w:val="none" w:sz="0" w:space="0" w:color="auto"/>
        <w:left w:val="none" w:sz="0" w:space="0" w:color="auto"/>
        <w:bottom w:val="none" w:sz="0" w:space="0" w:color="auto"/>
        <w:right w:val="none" w:sz="0" w:space="0" w:color="auto"/>
      </w:divBdr>
    </w:div>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using Registrar">
      <a:dk1>
        <a:sysClr val="windowText" lastClr="000000"/>
      </a:dk1>
      <a:lt1>
        <a:sysClr val="window" lastClr="FFFFFF"/>
      </a:lt1>
      <a:dk2>
        <a:srgbClr val="53565A"/>
      </a:dk2>
      <a:lt2>
        <a:srgbClr val="D9D9D6"/>
      </a:lt2>
      <a:accent1>
        <a:srgbClr val="1EB6EC"/>
      </a:accent1>
      <a:accent2>
        <a:srgbClr val="33C8CC"/>
      </a:accent2>
      <a:accent3>
        <a:srgbClr val="FFCB06"/>
      </a:accent3>
      <a:accent4>
        <a:srgbClr val="95E1E3"/>
      </a:accent4>
      <a:accent5>
        <a:srgbClr val="0D7DA5"/>
      </a:accent5>
      <a:accent6>
        <a:srgbClr val="00AFAA"/>
      </a:accent6>
      <a:hlink>
        <a:srgbClr val="7F7F7F"/>
      </a:hlink>
      <a:folHlink>
        <a:srgbClr val="EA720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C9132FC20C14EA3E2C903D8E68388" ma:contentTypeVersion="18" ma:contentTypeDescription="Create a new document." ma:contentTypeScope="" ma:versionID="388f5e23368882a3e7a0aa283b6d71f6">
  <xsd:schema xmlns:xsd="http://www.w3.org/2001/XMLSchema" xmlns:xs="http://www.w3.org/2001/XMLSchema" xmlns:p="http://schemas.microsoft.com/office/2006/metadata/properties" xmlns:ns2="c0d8ba20-6aff-4522-9c9b-1425d102fe24" xmlns:ns3="a59bfa50-a8fc-4acd-a8e0-06e7d7e6570c" targetNamespace="http://schemas.microsoft.com/office/2006/metadata/properties" ma:root="true" ma:fieldsID="f5d7e5d81a2a15767f2d610fda4e794f" ns2:_="" ns3:_="">
    <xsd:import namespace="c0d8ba20-6aff-4522-9c9b-1425d102fe24"/>
    <xsd:import namespace="a59bfa50-a8fc-4acd-a8e0-06e7d7e65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8ba20-6aff-4522-9c9b-1425d102fe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7a4f70-59c6-40ef-a5a8-342ab205bd8b}" ma:internalName="TaxCatchAll" ma:showField="CatchAllData" ma:web="c0d8ba20-6aff-4522-9c9b-1425d102fe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9bfa50-a8fc-4acd-a8e0-06e7d7e65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d8ba20-6aff-4522-9c9b-1425d102fe24" xsi:nil="true"/>
    <lcf76f155ced4ddcb4097134ff3c332f xmlns="a59bfa50-a8fc-4acd-a8e0-06e7d7e657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740273-E243-419D-83DE-EA20CA3A2111}"/>
</file>

<file path=customXml/itemProps2.xml><?xml version="1.0" encoding="utf-8"?>
<ds:datastoreItem xmlns:ds="http://schemas.openxmlformats.org/officeDocument/2006/customXml" ds:itemID="{81CDBC44-2E38-4BA1-9FE0-615369FCBA9F}"/>
</file>

<file path=customXml/itemProps3.xml><?xml version="1.0" encoding="utf-8"?>
<ds:datastoreItem xmlns:ds="http://schemas.openxmlformats.org/officeDocument/2006/customXml" ds:itemID="{99A06C8C-FBB8-4EB3-AA56-8104318DA678}"/>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John H Woolman (DTF)</cp:lastModifiedBy>
  <cp:revision>2</cp:revision>
  <dcterms:created xsi:type="dcterms:W3CDTF">2026-06-30T06:46:00Z</dcterms:created>
  <dcterms:modified xsi:type="dcterms:W3CDTF">2026-06-30T06:47:00Z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16ef7f83,5556787e,314ff211</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2026-06-30T06:47:06Z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4b6c6e53-105e-4954-9345-61e3d10ff818</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0x010100CD1C9132FC20C14EA3E2C903D8E68388</vt:lpwstr>
  </property>
</Properties>
</file>